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05" w:rsidRPr="00C10A1F" w:rsidRDefault="00201705" w:rsidP="00C10A1F">
      <w:pPr>
        <w:pStyle w:val="Heading1"/>
      </w:pPr>
      <w:r w:rsidRPr="00C10A1F">
        <w:t>HEALTH Directorate</w:t>
      </w:r>
    </w:p>
    <w:p w:rsidR="00201705" w:rsidRPr="00C10A1F" w:rsidRDefault="00201705" w:rsidP="00C10A1F">
      <w:pPr>
        <w:pStyle w:val="Heading3"/>
      </w:pPr>
      <w:r w:rsidRPr="00C10A1F">
        <w:t>Purpose</w:t>
      </w:r>
    </w:p>
    <w:p w:rsidR="00201705" w:rsidRPr="00C10A1F" w:rsidRDefault="0071789B" w:rsidP="00C10A1F">
      <w:pPr>
        <w:pStyle w:val="BodyText"/>
      </w:pPr>
      <w:r w:rsidRPr="00C10A1F">
        <w:t>The Health</w:t>
      </w:r>
      <w:r w:rsidR="00C03696" w:rsidRPr="00C10A1F">
        <w:t> </w:t>
      </w:r>
      <w:r w:rsidRPr="00C10A1F">
        <w:t>Directorate</w:t>
      </w:r>
      <w:r w:rsidR="00201705" w:rsidRPr="00C10A1F">
        <w:t xml:space="preserve"> aims to achieve good health for all residents of the Territory by planning, purchasing and providing quality community based health services, hospital and extended care services, managing public health risks, and promoting health and early care interventions.</w:t>
      </w:r>
    </w:p>
    <w:p w:rsidR="00201705" w:rsidRPr="005D74FC" w:rsidRDefault="0071789B" w:rsidP="005D74FC">
      <w:pPr>
        <w:pStyle w:val="BodyText"/>
      </w:pPr>
      <w:r w:rsidRPr="005D74FC">
        <w:t>The Health</w:t>
      </w:r>
      <w:r w:rsidR="00C03696">
        <w:t> </w:t>
      </w:r>
      <w:r w:rsidRPr="005D74FC">
        <w:t>Directorate</w:t>
      </w:r>
      <w:r w:rsidR="00201705" w:rsidRPr="005D74FC">
        <w:t>’s objectives are grouped around the following seven key performance areas:</w:t>
      </w:r>
    </w:p>
    <w:p w:rsidR="00201705" w:rsidRPr="00C10A1F" w:rsidRDefault="00201705" w:rsidP="00C10A1F">
      <w:pPr>
        <w:pStyle w:val="BodyTextIndent"/>
      </w:pPr>
      <w:r w:rsidRPr="00C10A1F">
        <w:t>consumer experience;</w:t>
      </w:r>
    </w:p>
    <w:p w:rsidR="00201705" w:rsidRPr="00C10A1F" w:rsidRDefault="00201705" w:rsidP="00C10A1F">
      <w:pPr>
        <w:pStyle w:val="BodyTextIndent"/>
      </w:pPr>
      <w:r w:rsidRPr="00C10A1F">
        <w:t>sustainability;</w:t>
      </w:r>
    </w:p>
    <w:p w:rsidR="00201705" w:rsidRPr="00C10A1F" w:rsidRDefault="00201705" w:rsidP="00C10A1F">
      <w:pPr>
        <w:pStyle w:val="BodyTextIndent"/>
      </w:pPr>
      <w:r w:rsidRPr="00C10A1F">
        <w:t>hospital and related care;</w:t>
      </w:r>
    </w:p>
    <w:p w:rsidR="00201705" w:rsidRPr="00C10A1F" w:rsidRDefault="00201705" w:rsidP="00C10A1F">
      <w:pPr>
        <w:pStyle w:val="BodyTextIndent"/>
      </w:pPr>
      <w:r w:rsidRPr="00C10A1F">
        <w:t>prevention;</w:t>
      </w:r>
    </w:p>
    <w:p w:rsidR="00201705" w:rsidRPr="00C10A1F" w:rsidRDefault="00201705" w:rsidP="00C10A1F">
      <w:pPr>
        <w:pStyle w:val="BodyTextIndent"/>
      </w:pPr>
      <w:r w:rsidRPr="00C10A1F">
        <w:t>social inclusion and indigenous health;</w:t>
      </w:r>
    </w:p>
    <w:p w:rsidR="00201705" w:rsidRPr="00C10A1F" w:rsidRDefault="00201705" w:rsidP="00C10A1F">
      <w:pPr>
        <w:pStyle w:val="BodyTextIndent"/>
      </w:pPr>
      <w:r w:rsidRPr="00C10A1F">
        <w:t>community based health; and</w:t>
      </w:r>
    </w:p>
    <w:p w:rsidR="00201705" w:rsidRPr="00C10A1F" w:rsidRDefault="00201705" w:rsidP="00C10A1F">
      <w:pPr>
        <w:pStyle w:val="BodyTextIndent"/>
      </w:pPr>
      <w:proofErr w:type="gramStart"/>
      <w:r w:rsidRPr="00C10A1F">
        <w:t>aged</w:t>
      </w:r>
      <w:proofErr w:type="gramEnd"/>
      <w:r w:rsidRPr="00C10A1F">
        <w:t xml:space="preserve"> care.</w:t>
      </w:r>
    </w:p>
    <w:p w:rsidR="00201705" w:rsidRPr="00C10A1F" w:rsidRDefault="002E47D7" w:rsidP="00C10A1F">
      <w:pPr>
        <w:pStyle w:val="Heading3"/>
      </w:pPr>
      <w:r w:rsidRPr="00C10A1F">
        <w:t>201</w:t>
      </w:r>
      <w:r w:rsidR="00C37081" w:rsidRPr="00C10A1F">
        <w:t>3</w:t>
      </w:r>
      <w:r w:rsidR="000F2E16" w:rsidRPr="00C10A1F">
        <w:noBreakHyphen/>
      </w:r>
      <w:r w:rsidRPr="00C10A1F">
        <w:t>1</w:t>
      </w:r>
      <w:r w:rsidR="00C37081" w:rsidRPr="00C10A1F">
        <w:t>4</w:t>
      </w:r>
      <w:r w:rsidR="00201705" w:rsidRPr="00C10A1F">
        <w:t xml:space="preserve"> Priorities</w:t>
      </w:r>
    </w:p>
    <w:p w:rsidR="00201705" w:rsidRPr="00C10A1F" w:rsidRDefault="00201705" w:rsidP="00C10A1F">
      <w:pPr>
        <w:pStyle w:val="BodyText"/>
      </w:pPr>
      <w:r w:rsidRPr="00C10A1F">
        <w:t xml:space="preserve">Strategic and operational initiatives to be pursued in </w:t>
      </w:r>
      <w:r w:rsidR="00B23980" w:rsidRPr="00C10A1F">
        <w:t>201</w:t>
      </w:r>
      <w:r w:rsidR="00C37081" w:rsidRPr="00C10A1F">
        <w:t>3</w:t>
      </w:r>
      <w:r w:rsidR="000F2E16" w:rsidRPr="00C10A1F">
        <w:noBreakHyphen/>
      </w:r>
      <w:r w:rsidR="00B23980" w:rsidRPr="00C10A1F">
        <w:t>1</w:t>
      </w:r>
      <w:r w:rsidR="00C37081" w:rsidRPr="00C10A1F">
        <w:t>4</w:t>
      </w:r>
      <w:r w:rsidRPr="00C10A1F">
        <w:t xml:space="preserve"> include:</w:t>
      </w:r>
    </w:p>
    <w:p w:rsidR="00201705" w:rsidRPr="00C10A1F" w:rsidRDefault="00201705" w:rsidP="00C10A1F">
      <w:pPr>
        <w:pStyle w:val="BodyTextIndent"/>
      </w:pPr>
      <w:r w:rsidRPr="00C10A1F">
        <w:t>implementing the national health reforms as agreed by the Council of Australian Governments (COAG)</w:t>
      </w:r>
      <w:r w:rsidR="00B23980" w:rsidRPr="00C10A1F">
        <w:t xml:space="preserve">, including the implementation of hospital </w:t>
      </w:r>
      <w:r w:rsidR="00C10A1F">
        <w:t>a</w:t>
      </w:r>
      <w:r w:rsidR="00B23980" w:rsidRPr="00C10A1F">
        <w:t xml:space="preserve">ctivity </w:t>
      </w:r>
      <w:r w:rsidR="00C10A1F">
        <w:t>b</w:t>
      </w:r>
      <w:r w:rsidR="00B23980" w:rsidRPr="00C10A1F">
        <w:t xml:space="preserve">ased </w:t>
      </w:r>
      <w:r w:rsidR="00C10A1F">
        <w:t>f</w:t>
      </w:r>
      <w:r w:rsidR="00B23980" w:rsidRPr="00C10A1F">
        <w:t>unding</w:t>
      </w:r>
      <w:r w:rsidRPr="00C10A1F">
        <w:t>;</w:t>
      </w:r>
    </w:p>
    <w:p w:rsidR="00201705" w:rsidRPr="00C10A1F" w:rsidRDefault="00201705" w:rsidP="00C10A1F">
      <w:pPr>
        <w:pStyle w:val="BodyTextIndent"/>
      </w:pPr>
      <w:r w:rsidRPr="00C10A1F">
        <w:t xml:space="preserve">continuing to meet the growth in demand for acute care, </w:t>
      </w:r>
      <w:r w:rsidR="00A92BD3" w:rsidRPr="00C10A1F">
        <w:t xml:space="preserve">critical care, </w:t>
      </w:r>
      <w:r w:rsidRPr="00C10A1F">
        <w:t>cancer treatment, mental health</w:t>
      </w:r>
      <w:r w:rsidR="00A92BD3" w:rsidRPr="00C10A1F">
        <w:t>, women</w:t>
      </w:r>
      <w:r w:rsidR="001B7D3C">
        <w:t>’s</w:t>
      </w:r>
      <w:r w:rsidR="00A92BD3" w:rsidRPr="00C10A1F">
        <w:t xml:space="preserve"> and children</w:t>
      </w:r>
      <w:r w:rsidR="001B7D3C">
        <w:t>’s services</w:t>
      </w:r>
      <w:r w:rsidRPr="00C10A1F">
        <w:t xml:space="preserve"> and </w:t>
      </w:r>
      <w:r w:rsidR="00A92BD3" w:rsidRPr="00C10A1F">
        <w:t xml:space="preserve">outpatient </w:t>
      </w:r>
      <w:r w:rsidRPr="00C10A1F">
        <w:t>services through extra capacity and by redesigning care delivery systems;</w:t>
      </w:r>
    </w:p>
    <w:p w:rsidR="00201705" w:rsidRPr="00970915" w:rsidRDefault="00201705" w:rsidP="00970915">
      <w:pPr>
        <w:pStyle w:val="BodyTextIndent"/>
      </w:pPr>
      <w:r w:rsidRPr="00970915">
        <w:t xml:space="preserve">continuing implementation of a comprehensive </w:t>
      </w:r>
      <w:r w:rsidR="005638BD" w:rsidRPr="00970915">
        <w:t>H</w:t>
      </w:r>
      <w:r w:rsidR="002E47D7" w:rsidRPr="00970915">
        <w:t xml:space="preserve">ealth </w:t>
      </w:r>
      <w:r w:rsidR="005638BD" w:rsidRPr="00970915">
        <w:t>I</w:t>
      </w:r>
      <w:r w:rsidR="002E47D7" w:rsidRPr="00970915">
        <w:t xml:space="preserve">nfrastructure </w:t>
      </w:r>
      <w:r w:rsidR="005638BD" w:rsidRPr="00970915">
        <w:t>P</w:t>
      </w:r>
      <w:r w:rsidR="002E47D7" w:rsidRPr="00970915">
        <w:t>rogram (HIP)</w:t>
      </w:r>
      <w:r w:rsidRPr="00970915">
        <w:t xml:space="preserve"> to build a sustainable and modern health system to ensure safety, availability and viability of quality health care in the ACT for now and into the future;</w:t>
      </w:r>
    </w:p>
    <w:p w:rsidR="00201705" w:rsidRPr="00C10A1F" w:rsidRDefault="00201705" w:rsidP="00C10A1F">
      <w:pPr>
        <w:pStyle w:val="BodyTextIndent"/>
      </w:pPr>
      <w:r w:rsidRPr="00C10A1F">
        <w:t>continuing work to improve health and wellbeing within the Aboriginal and Torres Strait Islander community;</w:t>
      </w:r>
    </w:p>
    <w:p w:rsidR="00B338E2" w:rsidRPr="00C10A1F" w:rsidRDefault="001B7D3C" w:rsidP="00C10A1F">
      <w:pPr>
        <w:pStyle w:val="BodyTextIndent"/>
      </w:pPr>
      <w:r>
        <w:t>opening S</w:t>
      </w:r>
      <w:r w:rsidR="00B338E2" w:rsidRPr="00C10A1F">
        <w:t>tage 2 of the Centenary Women’s and Children’s Hospital;</w:t>
      </w:r>
    </w:p>
    <w:p w:rsidR="00B338E2" w:rsidRPr="00C10A1F" w:rsidRDefault="00B338E2" w:rsidP="00C10A1F">
      <w:pPr>
        <w:pStyle w:val="BodyTextIndent"/>
      </w:pPr>
      <w:r w:rsidRPr="00C10A1F">
        <w:t xml:space="preserve">opening the </w:t>
      </w:r>
      <w:r w:rsidR="00D85775" w:rsidRPr="00C10A1F">
        <w:t>Canberra Region</w:t>
      </w:r>
      <w:r w:rsidRPr="00C10A1F">
        <w:t xml:space="preserve"> </w:t>
      </w:r>
      <w:r w:rsidR="00D85775" w:rsidRPr="00C10A1F">
        <w:t>C</w:t>
      </w:r>
      <w:r w:rsidRPr="00C10A1F">
        <w:t xml:space="preserve">ancer </w:t>
      </w:r>
      <w:r w:rsidR="00D85775" w:rsidRPr="00C10A1F">
        <w:t>C</w:t>
      </w:r>
      <w:r w:rsidRPr="00C10A1F">
        <w:t>entre;</w:t>
      </w:r>
    </w:p>
    <w:p w:rsidR="00201705" w:rsidRPr="00C10A1F" w:rsidRDefault="00201705" w:rsidP="00C10A1F">
      <w:pPr>
        <w:pStyle w:val="BodyTextIndent"/>
      </w:pPr>
      <w:r w:rsidRPr="00C10A1F">
        <w:t xml:space="preserve">opening the new </w:t>
      </w:r>
      <w:r w:rsidR="005A60F2" w:rsidRPr="00C10A1F">
        <w:t>Belconnen</w:t>
      </w:r>
      <w:r w:rsidR="00B23980" w:rsidRPr="00C10A1F">
        <w:t xml:space="preserve"> Health</w:t>
      </w:r>
      <w:r w:rsidR="002E47D7" w:rsidRPr="00C10A1F">
        <w:t xml:space="preserve"> Centre</w:t>
      </w:r>
      <w:r w:rsidRPr="00C10A1F">
        <w:t>; and</w:t>
      </w:r>
    </w:p>
    <w:p w:rsidR="00284F70" w:rsidRPr="00C10A1F" w:rsidRDefault="00201705" w:rsidP="00C10A1F">
      <w:pPr>
        <w:pStyle w:val="BodyTextIndent"/>
      </w:pPr>
      <w:proofErr w:type="gramStart"/>
      <w:r w:rsidRPr="00C10A1F">
        <w:t>maintaining</w:t>
      </w:r>
      <w:proofErr w:type="gramEnd"/>
      <w:r w:rsidRPr="00C10A1F">
        <w:t xml:space="preserve"> accreditation with </w:t>
      </w:r>
      <w:r w:rsidR="00C84D86" w:rsidRPr="00C10A1F">
        <w:t xml:space="preserve">international standards and other </w:t>
      </w:r>
      <w:r w:rsidRPr="00C10A1F">
        <w:t xml:space="preserve">appropriate </w:t>
      </w:r>
      <w:r w:rsidR="00C84D86" w:rsidRPr="00C10A1F">
        <w:t xml:space="preserve">national </w:t>
      </w:r>
      <w:r w:rsidRPr="00C10A1F">
        <w:t>bodies.</w:t>
      </w:r>
    </w:p>
    <w:p w:rsidR="0075638A" w:rsidRDefault="00284F70" w:rsidP="00970915">
      <w:pPr>
        <w:pStyle w:val="Heading3TopofPage"/>
      </w:pPr>
      <w:r>
        <w:br w:type="page"/>
      </w:r>
    </w:p>
    <w:p w:rsidR="00380962" w:rsidRPr="00970915" w:rsidRDefault="00201705" w:rsidP="00970915">
      <w:pPr>
        <w:pStyle w:val="Heading3TopofPage"/>
      </w:pPr>
      <w:r w:rsidRPr="00970915">
        <w:lastRenderedPageBreak/>
        <w:t>Business and Corporate Strategies</w:t>
      </w:r>
    </w:p>
    <w:p w:rsidR="00201705" w:rsidRPr="00970915" w:rsidRDefault="0071789B" w:rsidP="00970915">
      <w:pPr>
        <w:pStyle w:val="BodyText"/>
      </w:pPr>
      <w:r w:rsidRPr="00970915">
        <w:t>The Health</w:t>
      </w:r>
      <w:r w:rsidR="00C03696" w:rsidRPr="00970915">
        <w:t> </w:t>
      </w:r>
      <w:r w:rsidRPr="00970915">
        <w:t>Directorate</w:t>
      </w:r>
      <w:r w:rsidR="00201705" w:rsidRPr="00970915">
        <w:t xml:space="preserve"> has a comprehensive and effective governance framework, which manages strategic and operational risk, infrastructure and workforce planning, activity, information technology and financial performance.</w:t>
      </w:r>
    </w:p>
    <w:p w:rsidR="00201705" w:rsidRPr="00970915" w:rsidRDefault="0071789B" w:rsidP="00970915">
      <w:pPr>
        <w:pStyle w:val="BodyText"/>
      </w:pPr>
      <w:r w:rsidRPr="00970915">
        <w:t>The Health</w:t>
      </w:r>
      <w:r w:rsidR="00C03696" w:rsidRPr="00970915">
        <w:t> </w:t>
      </w:r>
      <w:r w:rsidRPr="00970915">
        <w:t>Directorate</w:t>
      </w:r>
      <w:r w:rsidR="00201705" w:rsidRPr="00970915">
        <w:t xml:space="preserve"> is committed to:</w:t>
      </w:r>
    </w:p>
    <w:p w:rsidR="00201705" w:rsidRPr="00970915" w:rsidRDefault="00201705" w:rsidP="00970915">
      <w:pPr>
        <w:pStyle w:val="BodyTextIndent"/>
      </w:pPr>
      <w:r w:rsidRPr="00970915">
        <w:t>achieving a comprehensive health system that protects and improves the health of the community;</w:t>
      </w:r>
    </w:p>
    <w:p w:rsidR="00201705" w:rsidRPr="00970915" w:rsidRDefault="00201705" w:rsidP="00970915">
      <w:pPr>
        <w:pStyle w:val="BodyTextIndent"/>
      </w:pPr>
      <w:r w:rsidRPr="00970915">
        <w:t>being an effective and efficient service provider;</w:t>
      </w:r>
    </w:p>
    <w:p w:rsidR="00201705" w:rsidRPr="00970915" w:rsidRDefault="00201705" w:rsidP="00D0119B">
      <w:pPr>
        <w:pStyle w:val="BodyTextIndent"/>
        <w:keepNext w:val="0"/>
      </w:pPr>
      <w:r w:rsidRPr="00970915">
        <w:t>working in partnership with other government services and community organisations;</w:t>
      </w:r>
    </w:p>
    <w:p w:rsidR="00201705" w:rsidRPr="00970915" w:rsidRDefault="00201705" w:rsidP="00D0119B">
      <w:pPr>
        <w:pStyle w:val="BodyTextIndent"/>
        <w:keepNext w:val="0"/>
      </w:pPr>
      <w:r w:rsidRPr="00970915">
        <w:t>developing new models of care and service delivery;</w:t>
      </w:r>
    </w:p>
    <w:p w:rsidR="00201705" w:rsidRPr="00970915" w:rsidRDefault="00201705" w:rsidP="00D0119B">
      <w:pPr>
        <w:pStyle w:val="BodyTextIndent"/>
        <w:keepNext w:val="0"/>
      </w:pPr>
      <w:r w:rsidRPr="00970915">
        <w:t>ongoing improvement in the cost of acute health services against the national peer hospital costs;</w:t>
      </w:r>
    </w:p>
    <w:p w:rsidR="00201705" w:rsidRPr="00970915" w:rsidRDefault="00201705" w:rsidP="00D0119B">
      <w:pPr>
        <w:pStyle w:val="BodyTextIndent"/>
        <w:keepNext w:val="0"/>
      </w:pPr>
      <w:r w:rsidRPr="00970915">
        <w:t>strengthening staff skills and professionalism; and</w:t>
      </w:r>
    </w:p>
    <w:p w:rsidR="00201705" w:rsidRPr="00970915" w:rsidRDefault="00201705" w:rsidP="00D0119B">
      <w:pPr>
        <w:pStyle w:val="BodyTextIndent"/>
        <w:keepNext w:val="0"/>
      </w:pPr>
      <w:proofErr w:type="gramStart"/>
      <w:r w:rsidRPr="00970915">
        <w:t>achieving</w:t>
      </w:r>
      <w:proofErr w:type="gramEnd"/>
      <w:r w:rsidRPr="00970915">
        <w:t xml:space="preserve"> a system of care and support that improves the quality of life for vulnerable groups.</w:t>
      </w:r>
    </w:p>
    <w:p w:rsidR="00201705" w:rsidRPr="005D74FC" w:rsidRDefault="00201705" w:rsidP="00D0119B">
      <w:pPr>
        <w:pStyle w:val="Heading3"/>
        <w:keepNext w:val="0"/>
      </w:pPr>
      <w:r w:rsidRPr="005D74FC">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201705" w:rsidRPr="00565DB3" w:rsidTr="00C47331">
        <w:trPr>
          <w:trHeight w:hRule="exact" w:val="510"/>
        </w:trPr>
        <w:tc>
          <w:tcPr>
            <w:tcW w:w="1638" w:type="dxa"/>
            <w:tcBorders>
              <w:top w:val="single" w:sz="4" w:space="0" w:color="auto"/>
              <w:left w:val="nil"/>
              <w:bottom w:val="single" w:sz="4" w:space="0" w:color="auto"/>
              <w:right w:val="nil"/>
            </w:tcBorders>
            <w:vAlign w:val="center"/>
          </w:tcPr>
          <w:p w:rsidR="00201705" w:rsidRPr="00970915" w:rsidRDefault="00243254" w:rsidP="00D0119B">
            <w:pPr>
              <w:pStyle w:val="TableTextRightBold-BP410pt"/>
            </w:pPr>
            <w:r w:rsidRPr="00970915">
              <w:t>201</w:t>
            </w:r>
            <w:r w:rsidR="00C37081" w:rsidRPr="00970915">
              <w:t>1</w:t>
            </w:r>
            <w:r w:rsidR="00201705" w:rsidRPr="00970915">
              <w:noBreakHyphen/>
            </w:r>
            <w:r w:rsidRPr="00970915">
              <w:t>1</w:t>
            </w:r>
            <w:r w:rsidR="00C37081" w:rsidRPr="00970915">
              <w:t>2</w:t>
            </w:r>
          </w:p>
          <w:p w:rsidR="00201705" w:rsidRPr="00565DB3" w:rsidRDefault="00201705" w:rsidP="00D0119B">
            <w:pPr>
              <w:pStyle w:val="TableTextRightBold-BP410pt"/>
            </w:pPr>
            <w:r w:rsidRPr="00970915">
              <w:t>Actual Outcome</w:t>
            </w:r>
          </w:p>
        </w:tc>
        <w:tc>
          <w:tcPr>
            <w:tcW w:w="2545"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201705" w:rsidRPr="00565DB3" w:rsidRDefault="00201705" w:rsidP="00D0119B">
            <w:pPr>
              <w:pStyle w:val="TableHeadingLeft-BP410pt"/>
              <w:keepNext w:val="0"/>
              <w:ind w:right="-64"/>
            </w:pPr>
          </w:p>
        </w:tc>
        <w:tc>
          <w:tcPr>
            <w:tcW w:w="1639" w:type="dxa"/>
            <w:tcBorders>
              <w:top w:val="single" w:sz="4" w:space="0" w:color="auto"/>
              <w:left w:val="nil"/>
              <w:bottom w:val="single" w:sz="4" w:space="0" w:color="auto"/>
              <w:right w:val="nil"/>
            </w:tcBorders>
            <w:vAlign w:val="center"/>
          </w:tcPr>
          <w:p w:rsidR="00201705" w:rsidRPr="00970915" w:rsidRDefault="00243254" w:rsidP="00D0119B">
            <w:pPr>
              <w:pStyle w:val="TableTextRightBold-BP410pt"/>
            </w:pPr>
            <w:r w:rsidRPr="00970915">
              <w:t>201</w:t>
            </w:r>
            <w:r w:rsidR="00C37081" w:rsidRPr="00970915">
              <w:t>2</w:t>
            </w:r>
            <w:r w:rsidR="00201705" w:rsidRPr="00970915">
              <w:t>-</w:t>
            </w:r>
            <w:r w:rsidRPr="00970915">
              <w:t>1</w:t>
            </w:r>
            <w:r w:rsidR="00C37081" w:rsidRPr="00970915">
              <w:t>3</w:t>
            </w:r>
          </w:p>
          <w:p w:rsidR="00201705" w:rsidRPr="00970915" w:rsidRDefault="00201705" w:rsidP="00D0119B">
            <w:pPr>
              <w:pStyle w:val="TableTextRightBold-BP410pt"/>
            </w:pPr>
            <w:r w:rsidRPr="00970915">
              <w:t>Budget</w:t>
            </w:r>
          </w:p>
        </w:tc>
        <w:tc>
          <w:tcPr>
            <w:tcW w:w="1639" w:type="dxa"/>
            <w:tcBorders>
              <w:top w:val="single" w:sz="4" w:space="0" w:color="auto"/>
              <w:left w:val="nil"/>
              <w:bottom w:val="single" w:sz="4" w:space="0" w:color="auto"/>
              <w:right w:val="nil"/>
            </w:tcBorders>
            <w:vAlign w:val="center"/>
          </w:tcPr>
          <w:p w:rsidR="00201705" w:rsidRPr="00970915" w:rsidRDefault="00243254" w:rsidP="00D0119B">
            <w:pPr>
              <w:pStyle w:val="TableTextRightBold-BP410pt"/>
            </w:pPr>
            <w:r w:rsidRPr="00970915">
              <w:t>201</w:t>
            </w:r>
            <w:r w:rsidR="00C37081" w:rsidRPr="00970915">
              <w:t>2</w:t>
            </w:r>
            <w:r w:rsidR="00201705" w:rsidRPr="00970915">
              <w:t>-</w:t>
            </w:r>
            <w:r w:rsidRPr="00970915">
              <w:t>1</w:t>
            </w:r>
            <w:r w:rsidR="00C37081" w:rsidRPr="00970915">
              <w:t>3</w:t>
            </w:r>
          </w:p>
          <w:p w:rsidR="00201705" w:rsidRPr="00970915" w:rsidRDefault="006569C3" w:rsidP="00D0119B">
            <w:pPr>
              <w:pStyle w:val="TableTextRightBold-BP410pt"/>
            </w:pPr>
            <w:r w:rsidRPr="00970915">
              <w:t xml:space="preserve">Est. </w:t>
            </w:r>
            <w:r w:rsidR="00201705" w:rsidRPr="00970915">
              <w:t>Outcome</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201705" w:rsidRPr="00970915" w:rsidRDefault="00243254" w:rsidP="00D0119B">
            <w:pPr>
              <w:pStyle w:val="TableTextRightBold-BP410pt"/>
            </w:pPr>
            <w:r w:rsidRPr="00970915">
              <w:t>201</w:t>
            </w:r>
            <w:r w:rsidR="00C37081" w:rsidRPr="00970915">
              <w:t>3</w:t>
            </w:r>
            <w:r w:rsidR="00201705" w:rsidRPr="00970915">
              <w:t>-</w:t>
            </w:r>
            <w:r w:rsidRPr="00970915">
              <w:t>1</w:t>
            </w:r>
            <w:r w:rsidR="00C37081" w:rsidRPr="00970915">
              <w:t>4</w:t>
            </w:r>
          </w:p>
          <w:p w:rsidR="00201705" w:rsidRPr="00970915" w:rsidRDefault="00201705" w:rsidP="00D0119B">
            <w:pPr>
              <w:pStyle w:val="TableTextRightBold-BP410pt"/>
            </w:pPr>
            <w:r w:rsidRPr="00970915">
              <w:t>Budget</w:t>
            </w:r>
          </w:p>
          <w:p w:rsidR="00201705" w:rsidRPr="00970915" w:rsidRDefault="00201705" w:rsidP="00D0119B">
            <w:pPr>
              <w:pStyle w:val="TableTextRightBold-BP410pt"/>
            </w:pPr>
          </w:p>
        </w:tc>
      </w:tr>
      <w:tr w:rsidR="00201705" w:rsidRPr="00565DB3" w:rsidTr="00C47331">
        <w:trPr>
          <w:trHeight w:val="392"/>
        </w:trPr>
        <w:tc>
          <w:tcPr>
            <w:tcW w:w="1638" w:type="dxa"/>
            <w:tcBorders>
              <w:top w:val="single" w:sz="4" w:space="0" w:color="auto"/>
              <w:left w:val="nil"/>
              <w:bottom w:val="single" w:sz="4" w:space="0" w:color="auto"/>
              <w:right w:val="nil"/>
            </w:tcBorders>
            <w:vAlign w:val="center"/>
          </w:tcPr>
          <w:p w:rsidR="00201705" w:rsidRPr="00970915" w:rsidRDefault="00C37081" w:rsidP="00D0119B">
            <w:pPr>
              <w:pStyle w:val="TableTextRight-BP410pt"/>
            </w:pPr>
            <w:r w:rsidRPr="00970915">
              <w:t>5,416</w:t>
            </w:r>
          </w:p>
        </w:tc>
        <w:tc>
          <w:tcPr>
            <w:tcW w:w="2545" w:type="dxa"/>
            <w:tcBorders>
              <w:top w:val="single" w:sz="4" w:space="0" w:color="auto"/>
              <w:left w:val="nil"/>
              <w:bottom w:val="single" w:sz="4" w:space="0" w:color="auto"/>
              <w:right w:val="nil"/>
            </w:tcBorders>
            <w:tcMar>
              <w:top w:w="18" w:type="dxa"/>
              <w:left w:w="421" w:type="dxa"/>
              <w:bottom w:w="0" w:type="dxa"/>
              <w:right w:w="18" w:type="dxa"/>
            </w:tcMar>
            <w:vAlign w:val="center"/>
          </w:tcPr>
          <w:p w:rsidR="00201705" w:rsidRPr="00565DB3" w:rsidRDefault="00201705" w:rsidP="00D0119B">
            <w:pPr>
              <w:pStyle w:val="TableTextLeftBold-BP4"/>
              <w:rPr>
                <w:vertAlign w:val="superscript"/>
              </w:rPr>
            </w:pPr>
            <w:r w:rsidRPr="00565DB3">
              <w:t>Staffing (FTE)</w:t>
            </w:r>
            <w:r w:rsidRPr="005D74FC">
              <w:rPr>
                <w:rFonts w:cs="Calibri"/>
                <w:vertAlign w:val="superscript"/>
              </w:rPr>
              <w:t>1</w:t>
            </w:r>
            <w:r w:rsidR="00035700" w:rsidRPr="005D74FC">
              <w:rPr>
                <w:rFonts w:cs="Calibri"/>
                <w:vertAlign w:val="superscript"/>
              </w:rPr>
              <w:t>,2</w:t>
            </w:r>
          </w:p>
        </w:tc>
        <w:tc>
          <w:tcPr>
            <w:tcW w:w="1639" w:type="dxa"/>
            <w:tcBorders>
              <w:top w:val="single" w:sz="4" w:space="0" w:color="auto"/>
              <w:left w:val="nil"/>
              <w:bottom w:val="single" w:sz="4" w:space="0" w:color="auto"/>
              <w:right w:val="nil"/>
            </w:tcBorders>
            <w:vAlign w:val="center"/>
          </w:tcPr>
          <w:p w:rsidR="00201705" w:rsidRPr="00970915" w:rsidRDefault="00C37081" w:rsidP="00D0119B">
            <w:pPr>
              <w:pStyle w:val="TableTextRight-BP410pt"/>
            </w:pPr>
            <w:r w:rsidRPr="00970915">
              <w:t>5,549</w:t>
            </w:r>
          </w:p>
        </w:tc>
        <w:tc>
          <w:tcPr>
            <w:tcW w:w="1639" w:type="dxa"/>
            <w:tcBorders>
              <w:top w:val="single" w:sz="4" w:space="0" w:color="auto"/>
              <w:left w:val="nil"/>
              <w:bottom w:val="single" w:sz="4" w:space="0" w:color="auto"/>
              <w:right w:val="nil"/>
            </w:tcBorders>
            <w:vAlign w:val="center"/>
          </w:tcPr>
          <w:p w:rsidR="00201705" w:rsidRPr="00970915" w:rsidRDefault="007133AF" w:rsidP="00665A8C">
            <w:pPr>
              <w:pStyle w:val="TableTextRight-BP410pt"/>
            </w:pPr>
            <w:r w:rsidRPr="00970915">
              <w:t>5,</w:t>
            </w:r>
            <w:r w:rsidR="00665A8C">
              <w:t>680</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201705" w:rsidRPr="00970915" w:rsidRDefault="007133AF" w:rsidP="00665A8C">
            <w:pPr>
              <w:pStyle w:val="TableTextRight-BP410pt"/>
            </w:pPr>
            <w:r w:rsidRPr="00970915">
              <w:t>5,8</w:t>
            </w:r>
            <w:r w:rsidR="00665A8C">
              <w:t>1</w:t>
            </w:r>
            <w:r w:rsidRPr="00970915">
              <w:t>1</w:t>
            </w:r>
          </w:p>
        </w:tc>
      </w:tr>
    </w:tbl>
    <w:p w:rsidR="00201705" w:rsidRPr="00970915" w:rsidRDefault="00201705" w:rsidP="00D0119B">
      <w:pPr>
        <w:pStyle w:val="NoteHeading"/>
      </w:pPr>
      <w:r w:rsidRPr="00970915">
        <w:t>Note</w:t>
      </w:r>
      <w:r w:rsidR="00B43B48" w:rsidRPr="00970915">
        <w:t>s</w:t>
      </w:r>
      <w:r w:rsidRPr="00970915">
        <w:t>:</w:t>
      </w:r>
    </w:p>
    <w:p w:rsidR="008429D4" w:rsidRPr="00970915" w:rsidRDefault="008429D4" w:rsidP="00D0119B">
      <w:pPr>
        <w:pStyle w:val="AINotes"/>
      </w:pPr>
      <w:r w:rsidRPr="00970915">
        <w:t>The increase</w:t>
      </w:r>
      <w:r w:rsidR="006B68D6" w:rsidRPr="00970915">
        <w:t xml:space="preserve"> of 1</w:t>
      </w:r>
      <w:r w:rsidR="00665A8C">
        <w:t>3</w:t>
      </w:r>
      <w:r w:rsidR="006B68D6" w:rsidRPr="00970915">
        <w:t>1 FTE</w:t>
      </w:r>
      <w:r w:rsidRPr="00970915">
        <w:t xml:space="preserve"> in the 201</w:t>
      </w:r>
      <w:r w:rsidR="005A60F2" w:rsidRPr="00970915">
        <w:t>2</w:t>
      </w:r>
      <w:r w:rsidRPr="00970915">
        <w:t>-1</w:t>
      </w:r>
      <w:r w:rsidR="005A60F2" w:rsidRPr="00970915">
        <w:t>3</w:t>
      </w:r>
      <w:r w:rsidRPr="00970915">
        <w:t xml:space="preserve"> estimated </w:t>
      </w:r>
      <w:proofErr w:type="gramStart"/>
      <w:r w:rsidRPr="00970915">
        <w:t>outcome</w:t>
      </w:r>
      <w:proofErr w:type="gramEnd"/>
      <w:r w:rsidRPr="00970915">
        <w:t xml:space="preserve"> from the 201</w:t>
      </w:r>
      <w:r w:rsidR="005A60F2" w:rsidRPr="00970915">
        <w:t>2</w:t>
      </w:r>
      <w:r w:rsidRPr="00970915">
        <w:t>-1</w:t>
      </w:r>
      <w:r w:rsidR="005A60F2" w:rsidRPr="00970915">
        <w:t>3</w:t>
      </w:r>
      <w:r w:rsidRPr="00970915">
        <w:t xml:space="preserve"> Budget is mainly due to </w:t>
      </w:r>
      <w:r w:rsidR="005011DD" w:rsidRPr="00970915">
        <w:t xml:space="preserve">the </w:t>
      </w:r>
      <w:r w:rsidRPr="00970915">
        <w:t xml:space="preserve">employment </w:t>
      </w:r>
      <w:r w:rsidR="005011DD" w:rsidRPr="00970915">
        <w:t xml:space="preserve">of </w:t>
      </w:r>
      <w:r w:rsidR="00B338E2" w:rsidRPr="00970915">
        <w:t xml:space="preserve">project management staff associated with the </w:t>
      </w:r>
      <w:r w:rsidR="005011DD" w:rsidRPr="00970915">
        <w:t xml:space="preserve">Health </w:t>
      </w:r>
      <w:r w:rsidR="00B338E2" w:rsidRPr="00970915">
        <w:t>Infrastructure Program (HIP)</w:t>
      </w:r>
      <w:r w:rsidR="001B7D3C">
        <w:t>,</w:t>
      </w:r>
      <w:r w:rsidR="00B338E2" w:rsidRPr="00970915">
        <w:t xml:space="preserve"> and a higher intake of junior medical doctor</w:t>
      </w:r>
      <w:r w:rsidR="00A31F44" w:rsidRPr="00970915">
        <w:t>s</w:t>
      </w:r>
      <w:r w:rsidR="00B338E2" w:rsidRPr="00970915">
        <w:t xml:space="preserve"> than anticipated</w:t>
      </w:r>
      <w:r w:rsidRPr="00970915">
        <w:t>.</w:t>
      </w:r>
    </w:p>
    <w:p w:rsidR="00F50660" w:rsidRPr="00970915" w:rsidRDefault="00F50660" w:rsidP="00D0119B">
      <w:pPr>
        <w:pStyle w:val="AINotes"/>
      </w:pPr>
      <w:r w:rsidRPr="00970915">
        <w:t xml:space="preserve">The increase of 131 FTE in the 2013-14 Budget from the 2012-13 estimated </w:t>
      </w:r>
      <w:proofErr w:type="gramStart"/>
      <w:r w:rsidRPr="00970915">
        <w:t>outcome</w:t>
      </w:r>
      <w:proofErr w:type="gramEnd"/>
      <w:r w:rsidRPr="00970915">
        <w:t xml:space="preserve"> is mainly due to the implementation of new and continuing initiatives.</w:t>
      </w:r>
    </w:p>
    <w:p w:rsidR="00201705" w:rsidRPr="00970915" w:rsidRDefault="007E786A" w:rsidP="00D0119B">
      <w:pPr>
        <w:pStyle w:val="Heading3"/>
        <w:keepNext w:val="0"/>
      </w:pPr>
      <w:r w:rsidRPr="00970915">
        <w:t>S</w:t>
      </w:r>
      <w:r w:rsidR="00201705" w:rsidRPr="00970915">
        <w:t>trategic Objectives and Indicators</w:t>
      </w:r>
    </w:p>
    <w:p w:rsidR="00201705" w:rsidRPr="00970915" w:rsidRDefault="00201705" w:rsidP="00D0119B">
      <w:pPr>
        <w:pStyle w:val="BodyText"/>
        <w:keepNext w:val="0"/>
      </w:pPr>
      <w:bookmarkStart w:id="0" w:name="RANGE!A1:F145"/>
      <w:bookmarkEnd w:id="0"/>
      <w:r w:rsidRPr="00970915">
        <w:t xml:space="preserve">The </w:t>
      </w:r>
      <w:r w:rsidR="00134E23" w:rsidRPr="00970915">
        <w:t xml:space="preserve">Health Directorate’s Corporate Plan </w:t>
      </w:r>
      <w:r w:rsidRPr="00970915">
        <w:t>identifies the following priorities:</w:t>
      </w:r>
    </w:p>
    <w:p w:rsidR="00134E23" w:rsidRPr="00970915" w:rsidRDefault="00970915" w:rsidP="00D0119B">
      <w:pPr>
        <w:pStyle w:val="BodyTextIndent"/>
        <w:keepNext w:val="0"/>
      </w:pPr>
      <w:r>
        <w:t>m</w:t>
      </w:r>
      <w:r w:rsidR="00134E23" w:rsidRPr="00970915">
        <w:t>eeting increa</w:t>
      </w:r>
      <w:r w:rsidR="00D86579" w:rsidRPr="00970915">
        <w:t>sing demand for health services;</w:t>
      </w:r>
    </w:p>
    <w:p w:rsidR="00134E23" w:rsidRPr="00970915" w:rsidRDefault="00970915" w:rsidP="00D0119B">
      <w:pPr>
        <w:pStyle w:val="BodyTextIndent"/>
        <w:keepNext w:val="0"/>
      </w:pPr>
      <w:r>
        <w:t>i</w:t>
      </w:r>
      <w:r w:rsidR="00134E23" w:rsidRPr="00970915">
        <w:t xml:space="preserve">mproving </w:t>
      </w:r>
      <w:r w:rsidR="00D86579" w:rsidRPr="00970915">
        <w:t>the health of vulnerable people;</w:t>
      </w:r>
    </w:p>
    <w:p w:rsidR="00134E23" w:rsidRPr="00970915" w:rsidRDefault="00970915" w:rsidP="00D0119B">
      <w:pPr>
        <w:pStyle w:val="BodyTextIndent"/>
        <w:keepNext w:val="0"/>
      </w:pPr>
      <w:r>
        <w:t>i</w:t>
      </w:r>
      <w:r w:rsidR="00D86579" w:rsidRPr="00970915">
        <w:t>mproving the patient journey;</w:t>
      </w:r>
    </w:p>
    <w:p w:rsidR="00134E23" w:rsidRPr="00970915" w:rsidRDefault="00970915" w:rsidP="00D0119B">
      <w:pPr>
        <w:pStyle w:val="BodyTextIndent"/>
        <w:keepNext w:val="0"/>
      </w:pPr>
      <w:r>
        <w:t>b</w:t>
      </w:r>
      <w:r w:rsidR="00134E23" w:rsidRPr="00970915">
        <w:t>uilding and nurtur</w:t>
      </w:r>
      <w:r w:rsidR="00D86579" w:rsidRPr="00970915">
        <w:t>ing a sustainable health system; and</w:t>
      </w:r>
    </w:p>
    <w:p w:rsidR="0036627A" w:rsidRPr="00970915" w:rsidRDefault="00970915" w:rsidP="00D0119B">
      <w:pPr>
        <w:pStyle w:val="BodyTextIndent"/>
        <w:keepNext w:val="0"/>
      </w:pPr>
      <w:proofErr w:type="gramStart"/>
      <w:r>
        <w:t>e</w:t>
      </w:r>
      <w:r w:rsidR="00134E23" w:rsidRPr="00970915">
        <w:t>nsuring</w:t>
      </w:r>
      <w:proofErr w:type="gramEnd"/>
      <w:r w:rsidR="00134E23" w:rsidRPr="00970915">
        <w:t xml:space="preserve"> that the planning and delivery of services is underpinned by the Health</w:t>
      </w:r>
      <w:r w:rsidR="00B1747B" w:rsidRPr="00970915">
        <w:t> </w:t>
      </w:r>
      <w:r w:rsidR="00134E23" w:rsidRPr="00970915">
        <w:t>Directorate</w:t>
      </w:r>
      <w:r w:rsidR="00D86579" w:rsidRPr="00970915">
        <w:t xml:space="preserve"> </w:t>
      </w:r>
      <w:r w:rsidR="00134E23" w:rsidRPr="00970915">
        <w:t>Safety and Quality Framework.</w:t>
      </w:r>
    </w:p>
    <w:p w:rsidR="007E390E" w:rsidRPr="004C6C9C" w:rsidRDefault="00665A8C" w:rsidP="00D0119B">
      <w:pPr>
        <w:pStyle w:val="BodyText"/>
        <w:keepNext w:val="0"/>
      </w:pPr>
      <w:r>
        <w:t>Three</w:t>
      </w:r>
      <w:r w:rsidR="007E390E" w:rsidRPr="004C6C9C">
        <w:t xml:space="preserve"> strategic indicators </w:t>
      </w:r>
      <w:r w:rsidR="007E390E">
        <w:t>that</w:t>
      </w:r>
      <w:r w:rsidR="007E390E" w:rsidRPr="004C6C9C">
        <w:t xml:space="preserve"> were reported in 2012</w:t>
      </w:r>
      <w:r w:rsidR="007E390E">
        <w:noBreakHyphen/>
      </w:r>
      <w:r w:rsidR="007E390E" w:rsidRPr="004C6C9C">
        <w:t>13 have been removed from the set of strategic indicators</w:t>
      </w:r>
      <w:r w:rsidR="002837ED">
        <w:t xml:space="preserve"> for</w:t>
      </w:r>
      <w:r w:rsidR="002837ED" w:rsidRPr="002837ED">
        <w:t xml:space="preserve"> </w:t>
      </w:r>
      <w:r w:rsidR="002837ED" w:rsidRPr="004C6C9C">
        <w:t>2013</w:t>
      </w:r>
      <w:r w:rsidR="002837ED">
        <w:noBreakHyphen/>
      </w:r>
      <w:r w:rsidR="002837ED" w:rsidRPr="004C6C9C">
        <w:t>14</w:t>
      </w:r>
      <w:r w:rsidR="002837ED">
        <w:t>.</w:t>
      </w:r>
    </w:p>
    <w:p w:rsidR="007E390E" w:rsidRPr="00A31912" w:rsidRDefault="00665A8C" w:rsidP="00D0119B">
      <w:pPr>
        <w:pStyle w:val="BodyText"/>
        <w:keepNext w:val="0"/>
      </w:pPr>
      <w:r>
        <w:t>Two</w:t>
      </w:r>
      <w:r w:rsidR="007E390E">
        <w:t xml:space="preserve"> of the </w:t>
      </w:r>
      <w:r w:rsidR="007E390E" w:rsidRPr="004C6C9C">
        <w:t xml:space="preserve">indicators have been moved to </w:t>
      </w:r>
      <w:r w:rsidR="007E390E">
        <w:t xml:space="preserve">the ACT </w:t>
      </w:r>
      <w:r w:rsidR="007E390E" w:rsidRPr="004C6C9C">
        <w:t xml:space="preserve">Local Hospital Network </w:t>
      </w:r>
      <w:r w:rsidR="007E390E">
        <w:t xml:space="preserve">Directorate (ACT LHN) </w:t>
      </w:r>
      <w:r w:rsidR="007E390E" w:rsidRPr="004C6C9C">
        <w:t xml:space="preserve">as required under the </w:t>
      </w:r>
      <w:r w:rsidR="007E390E" w:rsidRPr="00A34380">
        <w:rPr>
          <w:i/>
        </w:rPr>
        <w:t>National Health Reform Agreement</w:t>
      </w:r>
      <w:r w:rsidR="007E390E">
        <w:rPr>
          <w:i/>
        </w:rPr>
        <w:t xml:space="preserve"> </w:t>
      </w:r>
      <w:r w:rsidR="007E390E" w:rsidRPr="00553316">
        <w:t>(NHRA).</w:t>
      </w:r>
    </w:p>
    <w:p w:rsidR="0075638A" w:rsidRDefault="00D0119B" w:rsidP="00D0119B">
      <w:pPr>
        <w:pStyle w:val="SIHeading1"/>
        <w:keepNext w:val="0"/>
      </w:pPr>
      <w:r>
        <w:br w:type="page"/>
      </w:r>
    </w:p>
    <w:p w:rsidR="007E390E" w:rsidRPr="007E390E" w:rsidRDefault="007E390E" w:rsidP="00D0119B">
      <w:pPr>
        <w:pStyle w:val="SIHeading1"/>
        <w:keepNext w:val="0"/>
      </w:pPr>
      <w:r w:rsidRPr="007E390E">
        <w:lastRenderedPageBreak/>
        <w:t>Strategic Objective 1</w:t>
      </w:r>
    </w:p>
    <w:p w:rsidR="007E390E" w:rsidRPr="007E390E" w:rsidRDefault="007E390E" w:rsidP="00D0119B">
      <w:pPr>
        <w:pStyle w:val="SIHeading2"/>
        <w:keepNext w:val="0"/>
      </w:pPr>
      <w:r w:rsidRPr="007E390E">
        <w:t xml:space="preserve">Removals from </w:t>
      </w:r>
      <w:r w:rsidR="000B564A">
        <w:t>W</w:t>
      </w:r>
      <w:r w:rsidRPr="007E390E">
        <w:t xml:space="preserve">aiting </w:t>
      </w:r>
      <w:r w:rsidR="000B564A">
        <w:t>L</w:t>
      </w:r>
      <w:r w:rsidRPr="007E390E">
        <w:t xml:space="preserve">ist for </w:t>
      </w:r>
      <w:r w:rsidR="000B564A">
        <w:t>E</w:t>
      </w:r>
      <w:r w:rsidRPr="007E390E">
        <w:t xml:space="preserve">lective </w:t>
      </w:r>
      <w:r w:rsidR="000B564A">
        <w:t>S</w:t>
      </w:r>
      <w:r w:rsidRPr="007E390E">
        <w:t>urgery</w:t>
      </w:r>
    </w:p>
    <w:p w:rsidR="0006550A" w:rsidRDefault="0006550A" w:rsidP="00D0119B">
      <w:pPr>
        <w:pStyle w:val="BodyText"/>
        <w:keepNext w:val="0"/>
      </w:pPr>
      <w:r w:rsidRPr="0006550A">
        <w:rPr>
          <w:rStyle w:val="SIHeading1Char"/>
          <w:rFonts w:cs="Arial"/>
          <w:sz w:val="20"/>
        </w:rPr>
        <w:t>Strategic Indicator 1:</w:t>
      </w:r>
      <w:r w:rsidRPr="007966C6">
        <w:t xml:space="preserve">  </w:t>
      </w:r>
      <w:r w:rsidRPr="0006550A">
        <w:rPr>
          <w:rFonts w:ascii="Arial" w:hAnsi="Arial" w:cs="Arial"/>
          <w:sz w:val="20"/>
        </w:rPr>
        <w:t xml:space="preserve">Number of </w:t>
      </w:r>
      <w:r w:rsidR="00A1495E">
        <w:rPr>
          <w:rFonts w:ascii="Arial" w:hAnsi="Arial" w:cs="Arial"/>
          <w:sz w:val="20"/>
        </w:rPr>
        <w:t>P</w:t>
      </w:r>
      <w:r w:rsidRPr="0006550A">
        <w:rPr>
          <w:rFonts w:ascii="Arial" w:hAnsi="Arial" w:cs="Arial"/>
          <w:sz w:val="20"/>
        </w:rPr>
        <w:t xml:space="preserve">eople </w:t>
      </w:r>
      <w:r w:rsidR="00A1495E">
        <w:rPr>
          <w:rFonts w:ascii="Arial" w:hAnsi="Arial" w:cs="Arial"/>
          <w:sz w:val="20"/>
        </w:rPr>
        <w:t>Removed From Waiting L</w:t>
      </w:r>
      <w:r w:rsidRPr="0006550A">
        <w:rPr>
          <w:rFonts w:ascii="Arial" w:hAnsi="Arial" w:cs="Arial"/>
          <w:sz w:val="20"/>
        </w:rPr>
        <w:t>ist</w:t>
      </w:r>
    </w:p>
    <w:p w:rsidR="007E390E" w:rsidRPr="0006550A" w:rsidRDefault="007E390E" w:rsidP="00D0119B">
      <w:pPr>
        <w:pStyle w:val="BodyText"/>
        <w:keepNext w:val="0"/>
      </w:pPr>
      <w:r w:rsidRPr="007E390E">
        <w:t>The number of people removed from the ACT elective surgery waiting lists managed by ACT public hospitals.  This may include public patients treated in private hospitals</w:t>
      </w:r>
      <w:r w:rsidRPr="007966C6">
        <w:rPr>
          <w:b/>
        </w:rPr>
        <w:t>.</w:t>
      </w:r>
    </w:p>
    <w:tbl>
      <w:tblPr>
        <w:tblW w:w="9100" w:type="dxa"/>
        <w:tblLayout w:type="fixed"/>
        <w:tblCellMar>
          <w:left w:w="0" w:type="dxa"/>
          <w:right w:w="0" w:type="dxa"/>
        </w:tblCellMar>
        <w:tblLook w:val="0000"/>
      </w:tblPr>
      <w:tblGrid>
        <w:gridCol w:w="3574"/>
        <w:gridCol w:w="720"/>
        <w:gridCol w:w="1602"/>
        <w:gridCol w:w="1602"/>
        <w:gridCol w:w="1602"/>
      </w:tblGrid>
      <w:tr w:rsidR="007E390E" w:rsidRPr="00BC6E79" w:rsidTr="000242AA">
        <w:trPr>
          <w:trHeight w:val="240"/>
        </w:trPr>
        <w:tc>
          <w:tcPr>
            <w:tcW w:w="3671" w:type="dxa"/>
            <w:tcBorders>
              <w:top w:val="single" w:sz="4" w:space="0" w:color="auto"/>
              <w:left w:val="nil"/>
              <w:bottom w:val="nil"/>
              <w:right w:val="nil"/>
            </w:tcBorders>
            <w:noWrap/>
            <w:tcMar>
              <w:top w:w="15" w:type="dxa"/>
              <w:left w:w="15" w:type="dxa"/>
              <w:bottom w:w="0" w:type="dxa"/>
              <w:right w:w="15" w:type="dxa"/>
            </w:tcMar>
          </w:tcPr>
          <w:p w:rsidR="007E390E" w:rsidRPr="00BC6E79" w:rsidRDefault="007E390E" w:rsidP="000242AA">
            <w:pPr>
              <w:rPr>
                <w:rFonts w:eastAsia="Arial Unicode MS" w:cs="Calibri"/>
                <w:b/>
                <w:bCs/>
                <w:sz w:val="20"/>
              </w:rPr>
            </w:pPr>
            <w:r w:rsidRPr="00BC6E79">
              <w:rPr>
                <w:rFonts w:cs="Calibri"/>
                <w:b/>
                <w:bCs/>
                <w:sz w:val="20"/>
              </w:rPr>
              <w:t> </w:t>
            </w:r>
          </w:p>
        </w:tc>
        <w:tc>
          <w:tcPr>
            <w:tcW w:w="739" w:type="dxa"/>
            <w:tcBorders>
              <w:top w:val="single" w:sz="4" w:space="0" w:color="auto"/>
              <w:left w:val="nil"/>
              <w:bottom w:val="nil"/>
              <w:right w:val="nil"/>
            </w:tcBorders>
          </w:tcPr>
          <w:p w:rsidR="007E390E" w:rsidRPr="007E390E" w:rsidRDefault="007E390E" w:rsidP="00D0119B">
            <w:pPr>
              <w:pStyle w:val="TableTextRightBold-BP410pt"/>
            </w:pPr>
          </w:p>
        </w:tc>
        <w:tc>
          <w:tcPr>
            <w:tcW w:w="1644" w:type="dxa"/>
            <w:tcBorders>
              <w:top w:val="single" w:sz="4" w:space="0" w:color="auto"/>
              <w:left w:val="nil"/>
              <w:bottom w:val="nil"/>
              <w:right w:val="nil"/>
            </w:tcBorders>
            <w:noWrap/>
            <w:tcMar>
              <w:top w:w="15" w:type="dxa"/>
              <w:left w:w="15" w:type="dxa"/>
              <w:bottom w:w="0" w:type="dxa"/>
              <w:right w:w="15" w:type="dxa"/>
            </w:tcMar>
          </w:tcPr>
          <w:p w:rsidR="007E390E" w:rsidRPr="007E390E" w:rsidRDefault="007E390E" w:rsidP="000242AA">
            <w:pPr>
              <w:pStyle w:val="TableTextRightBold-BP410pt"/>
              <w:rPr>
                <w:rFonts w:eastAsia="Arial Unicode MS"/>
              </w:rPr>
            </w:pPr>
            <w:r w:rsidRPr="007E390E">
              <w:t>2012-13</w:t>
            </w:r>
          </w:p>
        </w:tc>
        <w:tc>
          <w:tcPr>
            <w:tcW w:w="1644" w:type="dxa"/>
            <w:tcBorders>
              <w:top w:val="single" w:sz="4" w:space="0" w:color="auto"/>
              <w:left w:val="nil"/>
              <w:bottom w:val="nil"/>
              <w:right w:val="nil"/>
            </w:tcBorders>
            <w:noWrap/>
            <w:tcMar>
              <w:top w:w="15" w:type="dxa"/>
              <w:left w:w="15" w:type="dxa"/>
              <w:bottom w:w="0" w:type="dxa"/>
              <w:right w:w="15" w:type="dxa"/>
            </w:tcMar>
          </w:tcPr>
          <w:p w:rsidR="007E390E" w:rsidRPr="007E390E" w:rsidRDefault="007E390E" w:rsidP="000242AA">
            <w:pPr>
              <w:pStyle w:val="TableTextRightBold-BP410pt"/>
              <w:rPr>
                <w:rFonts w:eastAsia="Arial Unicode MS"/>
              </w:rPr>
            </w:pPr>
            <w:r w:rsidRPr="007E390E">
              <w:rPr>
                <w:rFonts w:eastAsia="Arial Unicode MS"/>
              </w:rPr>
              <w:t>2012-13</w:t>
            </w:r>
          </w:p>
        </w:tc>
        <w:tc>
          <w:tcPr>
            <w:tcW w:w="1644" w:type="dxa"/>
            <w:tcBorders>
              <w:top w:val="single" w:sz="4" w:space="0" w:color="auto"/>
              <w:left w:val="nil"/>
              <w:bottom w:val="nil"/>
              <w:right w:val="nil"/>
            </w:tcBorders>
            <w:noWrap/>
            <w:tcMar>
              <w:top w:w="15" w:type="dxa"/>
              <w:left w:w="15" w:type="dxa"/>
              <w:bottom w:w="0" w:type="dxa"/>
              <w:right w:w="15" w:type="dxa"/>
            </w:tcMar>
          </w:tcPr>
          <w:p w:rsidR="007E390E" w:rsidRPr="007E390E" w:rsidRDefault="007E390E" w:rsidP="000242AA">
            <w:pPr>
              <w:pStyle w:val="TableTextRightBold-BP410pt"/>
              <w:rPr>
                <w:rFonts w:eastAsia="Arial Unicode MS"/>
              </w:rPr>
            </w:pPr>
            <w:r w:rsidRPr="007E390E">
              <w:rPr>
                <w:rFonts w:eastAsia="Arial Unicode MS"/>
              </w:rPr>
              <w:t>2013-14</w:t>
            </w:r>
          </w:p>
        </w:tc>
      </w:tr>
      <w:tr w:rsidR="007E390E" w:rsidRPr="00BC6E79" w:rsidTr="000242AA">
        <w:trPr>
          <w:trHeight w:val="240"/>
        </w:trPr>
        <w:tc>
          <w:tcPr>
            <w:tcW w:w="3671" w:type="dxa"/>
            <w:tcBorders>
              <w:top w:val="nil"/>
              <w:left w:val="nil"/>
              <w:bottom w:val="nil"/>
              <w:right w:val="nil"/>
            </w:tcBorders>
            <w:noWrap/>
            <w:tcMar>
              <w:top w:w="15" w:type="dxa"/>
              <w:left w:w="15" w:type="dxa"/>
              <w:bottom w:w="0" w:type="dxa"/>
              <w:right w:w="15" w:type="dxa"/>
            </w:tcMar>
          </w:tcPr>
          <w:p w:rsidR="007E390E" w:rsidRPr="00BC6E79" w:rsidRDefault="007E390E" w:rsidP="000242AA">
            <w:pPr>
              <w:rPr>
                <w:rFonts w:eastAsia="Arial Unicode MS" w:cs="Calibri"/>
                <w:b/>
                <w:bCs/>
                <w:sz w:val="20"/>
              </w:rPr>
            </w:pPr>
          </w:p>
        </w:tc>
        <w:tc>
          <w:tcPr>
            <w:tcW w:w="739" w:type="dxa"/>
            <w:tcBorders>
              <w:top w:val="nil"/>
              <w:left w:val="nil"/>
              <w:bottom w:val="nil"/>
              <w:right w:val="nil"/>
            </w:tcBorders>
          </w:tcPr>
          <w:p w:rsidR="007E390E" w:rsidRPr="007E390E" w:rsidRDefault="007E390E" w:rsidP="00D0119B">
            <w:pPr>
              <w:pStyle w:val="TableTextRightBold-BP410pt"/>
            </w:pPr>
          </w:p>
        </w:tc>
        <w:tc>
          <w:tcPr>
            <w:tcW w:w="1644" w:type="dxa"/>
            <w:tcBorders>
              <w:top w:val="nil"/>
              <w:left w:val="nil"/>
              <w:bottom w:val="nil"/>
              <w:right w:val="nil"/>
            </w:tcBorders>
            <w:noWrap/>
            <w:tcMar>
              <w:top w:w="15" w:type="dxa"/>
              <w:left w:w="15" w:type="dxa"/>
              <w:bottom w:w="0" w:type="dxa"/>
              <w:right w:w="15" w:type="dxa"/>
            </w:tcMar>
          </w:tcPr>
          <w:p w:rsidR="007E390E" w:rsidRPr="007E390E" w:rsidRDefault="001B7D3C" w:rsidP="000242AA">
            <w:pPr>
              <w:pStyle w:val="TableTextRightBold-BP410pt"/>
              <w:rPr>
                <w:rFonts w:eastAsia="Arial Unicode MS"/>
              </w:rPr>
            </w:pPr>
            <w:r>
              <w:t>Target</w:t>
            </w:r>
          </w:p>
        </w:tc>
        <w:tc>
          <w:tcPr>
            <w:tcW w:w="1644" w:type="dxa"/>
            <w:tcBorders>
              <w:top w:val="nil"/>
              <w:left w:val="nil"/>
              <w:bottom w:val="nil"/>
              <w:right w:val="nil"/>
            </w:tcBorders>
            <w:noWrap/>
            <w:tcMar>
              <w:top w:w="15" w:type="dxa"/>
              <w:left w:w="15" w:type="dxa"/>
              <w:bottom w:w="0" w:type="dxa"/>
              <w:right w:w="15" w:type="dxa"/>
            </w:tcMar>
          </w:tcPr>
          <w:p w:rsidR="007E390E" w:rsidRPr="007E390E" w:rsidRDefault="007E390E" w:rsidP="000242AA">
            <w:pPr>
              <w:pStyle w:val="TableTextRightBold-BP410pt"/>
              <w:rPr>
                <w:rFonts w:eastAsia="Arial Unicode MS"/>
              </w:rPr>
            </w:pPr>
            <w:r w:rsidRPr="007E390E">
              <w:t>Est.</w:t>
            </w:r>
            <w:r w:rsidR="001B7D3C">
              <w:t> Outcome</w:t>
            </w:r>
          </w:p>
        </w:tc>
        <w:tc>
          <w:tcPr>
            <w:tcW w:w="1644" w:type="dxa"/>
            <w:tcBorders>
              <w:top w:val="nil"/>
              <w:left w:val="nil"/>
              <w:bottom w:val="nil"/>
              <w:right w:val="nil"/>
            </w:tcBorders>
            <w:noWrap/>
            <w:tcMar>
              <w:top w:w="15" w:type="dxa"/>
              <w:left w:w="15" w:type="dxa"/>
              <w:bottom w:w="0" w:type="dxa"/>
              <w:right w:w="15" w:type="dxa"/>
            </w:tcMar>
          </w:tcPr>
          <w:p w:rsidR="007E390E" w:rsidRPr="007E390E" w:rsidRDefault="001B7D3C" w:rsidP="000242AA">
            <w:pPr>
              <w:pStyle w:val="TableTextRightBold-BP410pt"/>
              <w:rPr>
                <w:rFonts w:eastAsia="Arial Unicode MS"/>
              </w:rPr>
            </w:pPr>
            <w:r>
              <w:t>Target</w:t>
            </w:r>
          </w:p>
        </w:tc>
      </w:tr>
      <w:tr w:rsidR="007E390E" w:rsidRPr="0040721B" w:rsidTr="000242AA">
        <w:trPr>
          <w:trHeight w:val="20"/>
        </w:trPr>
        <w:tc>
          <w:tcPr>
            <w:tcW w:w="3671" w:type="dxa"/>
            <w:tcBorders>
              <w:top w:val="single" w:sz="4" w:space="0" w:color="auto"/>
              <w:left w:val="nil"/>
              <w:bottom w:val="single" w:sz="4" w:space="0" w:color="auto"/>
              <w:right w:val="nil"/>
            </w:tcBorders>
            <w:noWrap/>
            <w:tcMar>
              <w:top w:w="15" w:type="dxa"/>
              <w:left w:w="15" w:type="dxa"/>
              <w:bottom w:w="0" w:type="dxa"/>
              <w:right w:w="15" w:type="dxa"/>
            </w:tcMar>
          </w:tcPr>
          <w:p w:rsidR="007E390E" w:rsidRPr="007E390E" w:rsidRDefault="007E390E" w:rsidP="000242AA">
            <w:pPr>
              <w:pStyle w:val="TableTextLeft-BP410pt"/>
            </w:pPr>
            <w:r w:rsidRPr="007E390E">
              <w:t>People removed from the ACT elective surgery waiting list for surgery</w:t>
            </w:r>
          </w:p>
        </w:tc>
        <w:tc>
          <w:tcPr>
            <w:tcW w:w="739" w:type="dxa"/>
            <w:tcBorders>
              <w:top w:val="single" w:sz="4" w:space="0" w:color="auto"/>
              <w:left w:val="nil"/>
              <w:bottom w:val="single" w:sz="4" w:space="0" w:color="auto"/>
              <w:right w:val="nil"/>
            </w:tcBorders>
            <w:vAlign w:val="center"/>
          </w:tcPr>
          <w:p w:rsidR="007E390E" w:rsidRPr="007E390E" w:rsidRDefault="007E390E" w:rsidP="00D0119B">
            <w:pPr>
              <w:pStyle w:val="TableTextRight-BP410pt"/>
            </w:pPr>
          </w:p>
        </w:tc>
        <w:tc>
          <w:tcPr>
            <w:tcW w:w="1644" w:type="dxa"/>
            <w:tcBorders>
              <w:top w:val="single" w:sz="4" w:space="0" w:color="auto"/>
              <w:left w:val="nil"/>
              <w:bottom w:val="single" w:sz="4" w:space="0" w:color="auto"/>
              <w:right w:val="nil"/>
            </w:tcBorders>
            <w:noWrap/>
            <w:tcMar>
              <w:top w:w="15" w:type="dxa"/>
              <w:left w:w="15" w:type="dxa"/>
              <w:bottom w:w="0" w:type="dxa"/>
              <w:right w:w="15" w:type="dxa"/>
            </w:tcMar>
          </w:tcPr>
          <w:p w:rsidR="007E390E" w:rsidRPr="007E390E" w:rsidRDefault="007E390E" w:rsidP="000242AA">
            <w:pPr>
              <w:pStyle w:val="TableTextRight-BP410pt"/>
              <w:rPr>
                <w:rFonts w:eastAsia="Arial Unicode MS"/>
              </w:rPr>
            </w:pPr>
            <w:r w:rsidRPr="007E390E">
              <w:t>11,000</w:t>
            </w:r>
          </w:p>
        </w:tc>
        <w:tc>
          <w:tcPr>
            <w:tcW w:w="1644" w:type="dxa"/>
            <w:tcBorders>
              <w:top w:val="single" w:sz="4" w:space="0" w:color="auto"/>
              <w:left w:val="nil"/>
              <w:bottom w:val="single" w:sz="4" w:space="0" w:color="auto"/>
              <w:right w:val="nil"/>
            </w:tcBorders>
            <w:noWrap/>
            <w:tcMar>
              <w:top w:w="15" w:type="dxa"/>
              <w:left w:w="15" w:type="dxa"/>
              <w:bottom w:w="0" w:type="dxa"/>
              <w:right w:w="15" w:type="dxa"/>
            </w:tcMar>
          </w:tcPr>
          <w:p w:rsidR="007E390E" w:rsidRPr="007E390E" w:rsidRDefault="007E390E" w:rsidP="000242AA">
            <w:pPr>
              <w:pStyle w:val="TableTextRight-BP410pt"/>
              <w:rPr>
                <w:rFonts w:eastAsia="Arial Unicode MS"/>
              </w:rPr>
            </w:pPr>
            <w:r w:rsidRPr="007E390E">
              <w:t>11,000</w:t>
            </w:r>
          </w:p>
        </w:tc>
        <w:tc>
          <w:tcPr>
            <w:tcW w:w="1644" w:type="dxa"/>
            <w:tcBorders>
              <w:top w:val="single" w:sz="4" w:space="0" w:color="auto"/>
              <w:left w:val="nil"/>
              <w:bottom w:val="single" w:sz="4" w:space="0" w:color="auto"/>
              <w:right w:val="nil"/>
            </w:tcBorders>
            <w:noWrap/>
            <w:tcMar>
              <w:top w:w="15" w:type="dxa"/>
              <w:left w:w="15" w:type="dxa"/>
              <w:bottom w:w="0" w:type="dxa"/>
              <w:right w:w="15" w:type="dxa"/>
            </w:tcMar>
          </w:tcPr>
          <w:p w:rsidR="007E390E" w:rsidRPr="007E390E" w:rsidRDefault="007E390E" w:rsidP="000242AA">
            <w:pPr>
              <w:pStyle w:val="TableTextRight-BP410pt"/>
              <w:rPr>
                <w:rFonts w:eastAsia="Arial Unicode MS"/>
              </w:rPr>
            </w:pPr>
            <w:r w:rsidRPr="007E390E">
              <w:t>11,000</w:t>
            </w:r>
          </w:p>
        </w:tc>
      </w:tr>
    </w:tbl>
    <w:p w:rsidR="007E390E" w:rsidRPr="00A6284D" w:rsidRDefault="007E390E" w:rsidP="00D0119B">
      <w:pPr>
        <w:pStyle w:val="BodyText"/>
        <w:keepNext w:val="0"/>
      </w:pPr>
      <w:r w:rsidRPr="00A6284D">
        <w:t>In order to improve access to elective surgery, the Commonwealth and State and Territory Governments have entered into a partnership to significantly increase the number of elective surgery operations provided in our public hospitals, and to reduce the number of people waiting more than the clinically recommended times for that surgery.</w:t>
      </w:r>
    </w:p>
    <w:p w:rsidR="007E390E" w:rsidRPr="00A6284D" w:rsidRDefault="007E390E" w:rsidP="00D0119B">
      <w:pPr>
        <w:pStyle w:val="SIHeading1"/>
        <w:keepNext w:val="0"/>
      </w:pPr>
      <w:r w:rsidRPr="00A6284D">
        <w:t>Strategic Objective 2</w:t>
      </w:r>
    </w:p>
    <w:p w:rsidR="007E390E" w:rsidRPr="00A6284D" w:rsidRDefault="007E390E" w:rsidP="00D0119B">
      <w:pPr>
        <w:pStyle w:val="SIHeading2"/>
        <w:keepNext w:val="0"/>
      </w:pPr>
      <w:r w:rsidRPr="00A6284D">
        <w:t xml:space="preserve">No </w:t>
      </w:r>
      <w:r w:rsidR="004E50A8">
        <w:t>W</w:t>
      </w:r>
      <w:r w:rsidRPr="00A6284D">
        <w:t xml:space="preserve">aiting for </w:t>
      </w:r>
      <w:r w:rsidR="004E50A8">
        <w:t>A</w:t>
      </w:r>
      <w:r w:rsidRPr="00A6284D">
        <w:t xml:space="preserve">ccess to </w:t>
      </w:r>
      <w:r w:rsidR="004E50A8">
        <w:t>E</w:t>
      </w:r>
      <w:r w:rsidRPr="00A6284D">
        <w:t xml:space="preserve">mergency </w:t>
      </w:r>
      <w:r w:rsidR="004E50A8">
        <w:t>D</w:t>
      </w:r>
      <w:r w:rsidRPr="00A6284D">
        <w:t xml:space="preserve">ental </w:t>
      </w:r>
      <w:r w:rsidR="004E50A8">
        <w:t>H</w:t>
      </w:r>
      <w:r w:rsidRPr="00A6284D">
        <w:t xml:space="preserve">ealth </w:t>
      </w:r>
      <w:r w:rsidR="004E50A8">
        <w:t>S</w:t>
      </w:r>
      <w:r w:rsidRPr="00A6284D">
        <w:t>ervices</w:t>
      </w:r>
    </w:p>
    <w:p w:rsidR="0006550A" w:rsidRDefault="0006550A" w:rsidP="00D0119B">
      <w:pPr>
        <w:pStyle w:val="BodyText"/>
        <w:keepNext w:val="0"/>
      </w:pPr>
      <w:r w:rsidRPr="0006550A">
        <w:rPr>
          <w:rStyle w:val="SIHeading1Char"/>
          <w:rFonts w:cs="Arial"/>
          <w:sz w:val="20"/>
        </w:rPr>
        <w:t>Strategic Indicator 2</w:t>
      </w:r>
      <w:r w:rsidRPr="0006550A">
        <w:rPr>
          <w:rFonts w:ascii="Arial" w:hAnsi="Arial" w:cs="Arial"/>
          <w:sz w:val="20"/>
        </w:rPr>
        <w:t>:</w:t>
      </w:r>
      <w:r w:rsidRPr="007966C6">
        <w:rPr>
          <w:b/>
        </w:rPr>
        <w:t xml:space="preserve">  </w:t>
      </w:r>
      <w:r w:rsidRPr="0006550A">
        <w:rPr>
          <w:rFonts w:ascii="Arial" w:hAnsi="Arial" w:cs="Arial"/>
          <w:sz w:val="20"/>
        </w:rPr>
        <w:t xml:space="preserve">Percentage of </w:t>
      </w:r>
      <w:r w:rsidR="00A1495E">
        <w:rPr>
          <w:rFonts w:ascii="Arial" w:hAnsi="Arial" w:cs="Arial"/>
          <w:sz w:val="20"/>
        </w:rPr>
        <w:t>Assessed E</w:t>
      </w:r>
      <w:r w:rsidRPr="0006550A">
        <w:rPr>
          <w:rFonts w:ascii="Arial" w:hAnsi="Arial" w:cs="Arial"/>
          <w:sz w:val="20"/>
        </w:rPr>
        <w:t xml:space="preserve">mergency </w:t>
      </w:r>
      <w:r w:rsidR="00A1495E">
        <w:rPr>
          <w:rFonts w:ascii="Arial" w:hAnsi="Arial" w:cs="Arial"/>
          <w:sz w:val="20"/>
        </w:rPr>
        <w:t>C</w:t>
      </w:r>
      <w:r w:rsidRPr="0006550A">
        <w:rPr>
          <w:rFonts w:ascii="Arial" w:hAnsi="Arial" w:cs="Arial"/>
          <w:sz w:val="20"/>
        </w:rPr>
        <w:t xml:space="preserve">lients </w:t>
      </w:r>
      <w:r w:rsidR="00A1495E">
        <w:rPr>
          <w:rFonts w:ascii="Arial" w:hAnsi="Arial" w:cs="Arial"/>
          <w:sz w:val="20"/>
        </w:rPr>
        <w:t>S</w:t>
      </w:r>
      <w:r w:rsidRPr="0006550A">
        <w:rPr>
          <w:rFonts w:ascii="Arial" w:hAnsi="Arial" w:cs="Arial"/>
          <w:sz w:val="20"/>
        </w:rPr>
        <w:t xml:space="preserve">een </w:t>
      </w:r>
      <w:r w:rsidR="00A1495E">
        <w:rPr>
          <w:rFonts w:ascii="Arial" w:hAnsi="Arial" w:cs="Arial"/>
          <w:sz w:val="20"/>
        </w:rPr>
        <w:t>w</w:t>
      </w:r>
      <w:r w:rsidRPr="0006550A">
        <w:rPr>
          <w:rFonts w:ascii="Arial" w:hAnsi="Arial" w:cs="Arial"/>
          <w:sz w:val="20"/>
        </w:rPr>
        <w:t>ithin 24 hours</w:t>
      </w:r>
    </w:p>
    <w:p w:rsidR="007E390E" w:rsidRPr="007966C6" w:rsidRDefault="007E390E" w:rsidP="00D0119B">
      <w:pPr>
        <w:pStyle w:val="BodyText"/>
        <w:keepNext w:val="0"/>
      </w:pPr>
      <w:r w:rsidRPr="00A6284D">
        <w:t>The percentage of assessed emergency clients seen within 24 hours provides an indication of the responsiveness of the dental service to emergency clients.</w:t>
      </w:r>
    </w:p>
    <w:tbl>
      <w:tblPr>
        <w:tblW w:w="9072" w:type="dxa"/>
        <w:tblInd w:w="108" w:type="dxa"/>
        <w:tblLayout w:type="fixed"/>
        <w:tblLook w:val="0000"/>
      </w:tblPr>
      <w:tblGrid>
        <w:gridCol w:w="4416"/>
        <w:gridCol w:w="1079"/>
        <w:gridCol w:w="1333"/>
        <w:gridCol w:w="1078"/>
        <w:gridCol w:w="1166"/>
      </w:tblGrid>
      <w:tr w:rsidR="007E390E" w:rsidRPr="00F53A2C" w:rsidTr="009F1A00">
        <w:tc>
          <w:tcPr>
            <w:tcW w:w="4416" w:type="dxa"/>
            <w:tcBorders>
              <w:top w:val="single" w:sz="4" w:space="0" w:color="auto"/>
              <w:left w:val="nil"/>
              <w:right w:val="nil"/>
            </w:tcBorders>
          </w:tcPr>
          <w:p w:rsidR="007E390E" w:rsidRPr="00F53A2C" w:rsidRDefault="007E390E" w:rsidP="00024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079" w:type="dxa"/>
            <w:tcBorders>
              <w:top w:val="single" w:sz="4" w:space="0" w:color="auto"/>
              <w:left w:val="nil"/>
              <w:right w:val="nil"/>
            </w:tcBorders>
          </w:tcPr>
          <w:p w:rsidR="007E390E" w:rsidRPr="00C81982" w:rsidRDefault="007E390E" w:rsidP="000242AA">
            <w:pPr>
              <w:pStyle w:val="TableTextRightBold-BP4"/>
              <w:rPr>
                <w:sz w:val="20"/>
              </w:rPr>
            </w:pPr>
            <w:r w:rsidRPr="00C81982">
              <w:rPr>
                <w:sz w:val="20"/>
              </w:rPr>
              <w:t>2012-13</w:t>
            </w:r>
          </w:p>
        </w:tc>
        <w:tc>
          <w:tcPr>
            <w:tcW w:w="1333" w:type="dxa"/>
            <w:tcBorders>
              <w:top w:val="single" w:sz="4" w:space="0" w:color="auto"/>
              <w:left w:val="nil"/>
              <w:right w:val="nil"/>
            </w:tcBorders>
          </w:tcPr>
          <w:p w:rsidR="007E390E" w:rsidRPr="00C81982" w:rsidRDefault="00A6284D" w:rsidP="000242AA">
            <w:pPr>
              <w:pStyle w:val="TableTextRightBold-BP4"/>
              <w:rPr>
                <w:sz w:val="20"/>
              </w:rPr>
            </w:pPr>
            <w:r w:rsidRPr="00C81982">
              <w:rPr>
                <w:sz w:val="20"/>
              </w:rPr>
              <w:t>2012-13</w:t>
            </w:r>
            <w:r w:rsidR="007E390E" w:rsidRPr="00C81982">
              <w:rPr>
                <w:sz w:val="20"/>
              </w:rPr>
              <w:t xml:space="preserve"> </w:t>
            </w:r>
          </w:p>
        </w:tc>
        <w:tc>
          <w:tcPr>
            <w:tcW w:w="1078" w:type="dxa"/>
            <w:tcBorders>
              <w:top w:val="single" w:sz="4" w:space="0" w:color="auto"/>
              <w:left w:val="nil"/>
              <w:right w:val="nil"/>
            </w:tcBorders>
          </w:tcPr>
          <w:p w:rsidR="007E390E" w:rsidRPr="00C81982" w:rsidRDefault="007E390E" w:rsidP="000242AA">
            <w:pPr>
              <w:pStyle w:val="TableTextRightBold-BP4"/>
              <w:rPr>
                <w:sz w:val="20"/>
              </w:rPr>
            </w:pPr>
            <w:r w:rsidRPr="00C81982">
              <w:rPr>
                <w:sz w:val="20"/>
              </w:rPr>
              <w:t>2013-14</w:t>
            </w:r>
          </w:p>
        </w:tc>
        <w:tc>
          <w:tcPr>
            <w:tcW w:w="1166" w:type="dxa"/>
            <w:tcBorders>
              <w:top w:val="single" w:sz="4" w:space="0" w:color="auto"/>
              <w:left w:val="nil"/>
              <w:right w:val="nil"/>
            </w:tcBorders>
          </w:tcPr>
          <w:p w:rsidR="007E390E" w:rsidRPr="00C81982" w:rsidRDefault="007E390E" w:rsidP="000242AA">
            <w:pPr>
              <w:pStyle w:val="TableTextRightBold-BP4"/>
              <w:rPr>
                <w:sz w:val="20"/>
              </w:rPr>
            </w:pPr>
            <w:r w:rsidRPr="00C81982">
              <w:rPr>
                <w:sz w:val="20"/>
              </w:rPr>
              <w:t>Long Term</w:t>
            </w:r>
          </w:p>
        </w:tc>
      </w:tr>
      <w:tr w:rsidR="007E390E" w:rsidRPr="00F53A2C" w:rsidTr="009F1A00">
        <w:tc>
          <w:tcPr>
            <w:tcW w:w="4416" w:type="dxa"/>
            <w:tcBorders>
              <w:left w:val="nil"/>
              <w:right w:val="nil"/>
            </w:tcBorders>
          </w:tcPr>
          <w:p w:rsidR="007E390E" w:rsidRPr="00F53A2C" w:rsidRDefault="007E390E" w:rsidP="00024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079" w:type="dxa"/>
            <w:tcBorders>
              <w:left w:val="nil"/>
              <w:right w:val="nil"/>
            </w:tcBorders>
          </w:tcPr>
          <w:p w:rsidR="007E390E" w:rsidRPr="00C81982" w:rsidRDefault="007E390E" w:rsidP="000242AA">
            <w:pPr>
              <w:pStyle w:val="TableTextRightBold-BP4"/>
              <w:rPr>
                <w:sz w:val="20"/>
              </w:rPr>
            </w:pPr>
            <w:r w:rsidRPr="00C81982">
              <w:rPr>
                <w:sz w:val="20"/>
              </w:rPr>
              <w:t>Target</w:t>
            </w:r>
          </w:p>
        </w:tc>
        <w:tc>
          <w:tcPr>
            <w:tcW w:w="1333" w:type="dxa"/>
            <w:tcBorders>
              <w:left w:val="nil"/>
              <w:right w:val="nil"/>
            </w:tcBorders>
          </w:tcPr>
          <w:p w:rsidR="007E390E" w:rsidRPr="00C81982" w:rsidRDefault="007E390E" w:rsidP="000242AA">
            <w:pPr>
              <w:pStyle w:val="TableTextRightBold-BP4"/>
              <w:rPr>
                <w:sz w:val="20"/>
              </w:rPr>
            </w:pPr>
            <w:proofErr w:type="spellStart"/>
            <w:r w:rsidRPr="00C81982">
              <w:rPr>
                <w:sz w:val="20"/>
              </w:rPr>
              <w:t>Est.</w:t>
            </w:r>
            <w:r w:rsidR="00DD4A7D" w:rsidRPr="00C81982">
              <w:rPr>
                <w:sz w:val="20"/>
              </w:rPr>
              <w:t>Outcome</w:t>
            </w:r>
            <w:proofErr w:type="spellEnd"/>
          </w:p>
        </w:tc>
        <w:tc>
          <w:tcPr>
            <w:tcW w:w="1078" w:type="dxa"/>
            <w:tcBorders>
              <w:left w:val="nil"/>
              <w:right w:val="nil"/>
            </w:tcBorders>
          </w:tcPr>
          <w:p w:rsidR="007E390E" w:rsidRPr="00C81982" w:rsidRDefault="007E390E" w:rsidP="000242AA">
            <w:pPr>
              <w:pStyle w:val="TableTextRightBold-BP4"/>
              <w:rPr>
                <w:sz w:val="20"/>
              </w:rPr>
            </w:pPr>
            <w:r w:rsidRPr="00C81982">
              <w:rPr>
                <w:sz w:val="20"/>
              </w:rPr>
              <w:t>Target</w:t>
            </w:r>
          </w:p>
        </w:tc>
        <w:tc>
          <w:tcPr>
            <w:tcW w:w="1166" w:type="dxa"/>
            <w:tcBorders>
              <w:left w:val="nil"/>
              <w:right w:val="nil"/>
            </w:tcBorders>
          </w:tcPr>
          <w:p w:rsidR="007E390E" w:rsidRPr="00C81982" w:rsidRDefault="007E390E" w:rsidP="000242AA">
            <w:pPr>
              <w:pStyle w:val="TableTextRightBold-BP4"/>
              <w:rPr>
                <w:sz w:val="20"/>
              </w:rPr>
            </w:pPr>
            <w:r w:rsidRPr="00C81982">
              <w:rPr>
                <w:sz w:val="20"/>
              </w:rPr>
              <w:t>Target</w:t>
            </w:r>
          </w:p>
        </w:tc>
      </w:tr>
      <w:tr w:rsidR="007E390E" w:rsidRPr="00F53A2C" w:rsidTr="009F1A00">
        <w:tc>
          <w:tcPr>
            <w:tcW w:w="4416" w:type="dxa"/>
            <w:tcBorders>
              <w:top w:val="single" w:sz="4" w:space="0" w:color="auto"/>
              <w:left w:val="nil"/>
              <w:bottom w:val="single" w:sz="4" w:space="0" w:color="auto"/>
              <w:right w:val="nil"/>
            </w:tcBorders>
          </w:tcPr>
          <w:p w:rsidR="007E390E" w:rsidRPr="00A6284D" w:rsidRDefault="007E390E" w:rsidP="000242AA">
            <w:pPr>
              <w:pStyle w:val="TableTextLeft-BP410pt"/>
            </w:pPr>
            <w:r w:rsidRPr="00A6284D">
              <w:t xml:space="preserve">Percentage of emergency clients seen </w:t>
            </w:r>
            <w:r w:rsidRPr="00A6284D">
              <w:br/>
              <w:t>within 24 hours</w:t>
            </w:r>
          </w:p>
        </w:tc>
        <w:tc>
          <w:tcPr>
            <w:tcW w:w="1079" w:type="dxa"/>
            <w:tcBorders>
              <w:top w:val="single" w:sz="4" w:space="0" w:color="auto"/>
              <w:left w:val="nil"/>
              <w:bottom w:val="single" w:sz="4" w:space="0" w:color="auto"/>
              <w:right w:val="nil"/>
            </w:tcBorders>
          </w:tcPr>
          <w:p w:rsidR="007E390E" w:rsidRPr="00F53A2C" w:rsidRDefault="007E390E" w:rsidP="000242AA">
            <w:pPr>
              <w:pStyle w:val="TableTextRight-BP410pt"/>
            </w:pPr>
            <w:r w:rsidRPr="00F53A2C">
              <w:t>100%</w:t>
            </w:r>
          </w:p>
        </w:tc>
        <w:tc>
          <w:tcPr>
            <w:tcW w:w="1333" w:type="dxa"/>
            <w:tcBorders>
              <w:top w:val="single" w:sz="4" w:space="0" w:color="auto"/>
              <w:left w:val="nil"/>
              <w:bottom w:val="single" w:sz="4" w:space="0" w:color="auto"/>
              <w:right w:val="nil"/>
            </w:tcBorders>
          </w:tcPr>
          <w:p w:rsidR="007E390E" w:rsidRPr="00F53A2C" w:rsidRDefault="007E390E" w:rsidP="000242AA">
            <w:pPr>
              <w:pStyle w:val="TableTextRight-BP410pt"/>
            </w:pPr>
            <w:r>
              <w:t>100%</w:t>
            </w:r>
          </w:p>
        </w:tc>
        <w:tc>
          <w:tcPr>
            <w:tcW w:w="1078" w:type="dxa"/>
            <w:tcBorders>
              <w:top w:val="single" w:sz="4" w:space="0" w:color="auto"/>
              <w:left w:val="nil"/>
              <w:bottom w:val="single" w:sz="4" w:space="0" w:color="auto"/>
              <w:right w:val="nil"/>
            </w:tcBorders>
          </w:tcPr>
          <w:p w:rsidR="007E390E" w:rsidRPr="00F53A2C" w:rsidRDefault="007E390E" w:rsidP="000242AA">
            <w:pPr>
              <w:pStyle w:val="TableTextRight-BP410pt"/>
            </w:pPr>
            <w:r w:rsidRPr="00F53A2C">
              <w:t>100%</w:t>
            </w:r>
          </w:p>
        </w:tc>
        <w:tc>
          <w:tcPr>
            <w:tcW w:w="1166" w:type="dxa"/>
            <w:tcBorders>
              <w:top w:val="single" w:sz="4" w:space="0" w:color="auto"/>
              <w:left w:val="nil"/>
              <w:bottom w:val="single" w:sz="4" w:space="0" w:color="auto"/>
              <w:right w:val="nil"/>
            </w:tcBorders>
          </w:tcPr>
          <w:p w:rsidR="007E390E" w:rsidRPr="00F53A2C" w:rsidRDefault="007E390E" w:rsidP="000242AA">
            <w:pPr>
              <w:pStyle w:val="TableTextRight-BP410pt"/>
            </w:pPr>
            <w:r w:rsidRPr="00F53A2C">
              <w:t>100%</w:t>
            </w:r>
          </w:p>
        </w:tc>
      </w:tr>
    </w:tbl>
    <w:p w:rsidR="007E390E" w:rsidRPr="00F53A2C" w:rsidRDefault="007E390E" w:rsidP="00D0119B">
      <w:pPr>
        <w:pStyle w:val="SIHeading1"/>
        <w:keepNext w:val="0"/>
      </w:pPr>
      <w:r>
        <w:t>Strategic Objective 3</w:t>
      </w:r>
    </w:p>
    <w:p w:rsidR="007E390E" w:rsidRPr="00081E4D" w:rsidRDefault="007E390E" w:rsidP="00D0119B">
      <w:pPr>
        <w:pStyle w:val="SIHeading2"/>
        <w:keepNext w:val="0"/>
      </w:pPr>
      <w:r w:rsidRPr="00081E4D">
        <w:t xml:space="preserve">Improving </w:t>
      </w:r>
      <w:r w:rsidR="00642EB5">
        <w:t>T</w:t>
      </w:r>
      <w:r w:rsidRPr="00081E4D">
        <w:t xml:space="preserve">imeliness of </w:t>
      </w:r>
      <w:r w:rsidR="00642EB5">
        <w:t>A</w:t>
      </w:r>
      <w:r w:rsidRPr="00081E4D">
        <w:t xml:space="preserve">ccess to </w:t>
      </w:r>
      <w:r w:rsidR="00642EB5">
        <w:t>R</w:t>
      </w:r>
      <w:r w:rsidRPr="00081E4D">
        <w:t xml:space="preserve">adiotherapy </w:t>
      </w:r>
      <w:r w:rsidR="00642EB5">
        <w:t>S</w:t>
      </w:r>
      <w:r w:rsidRPr="00081E4D">
        <w:t>ervices</w:t>
      </w:r>
    </w:p>
    <w:p w:rsidR="0006550A" w:rsidRPr="00F53A2C" w:rsidRDefault="0006550A" w:rsidP="00D0119B">
      <w:pPr>
        <w:pStyle w:val="SIlabel"/>
        <w:keepNext w:val="0"/>
      </w:pPr>
      <w:r w:rsidRPr="00547D64">
        <w:rPr>
          <w:rStyle w:val="SIHeading1Char"/>
          <w:b/>
        </w:rPr>
        <w:t>Strategic Indicator 3</w:t>
      </w:r>
      <w:r w:rsidRPr="00547D64">
        <w:rPr>
          <w:b w:val="0"/>
        </w:rPr>
        <w:t>:</w:t>
      </w:r>
      <w:r>
        <w:t xml:space="preserve">  </w:t>
      </w:r>
      <w:r w:rsidRPr="000F33D9">
        <w:rPr>
          <w:b w:val="0"/>
        </w:rPr>
        <w:t xml:space="preserve">Percentage of </w:t>
      </w:r>
      <w:r w:rsidR="00A1495E">
        <w:rPr>
          <w:b w:val="0"/>
        </w:rPr>
        <w:t>R</w:t>
      </w:r>
      <w:r>
        <w:rPr>
          <w:b w:val="0"/>
        </w:rPr>
        <w:t>adiotherapy</w:t>
      </w:r>
      <w:r w:rsidRPr="000F33D9">
        <w:rPr>
          <w:b w:val="0"/>
        </w:rPr>
        <w:t xml:space="preserve"> </w:t>
      </w:r>
      <w:r w:rsidR="00A1495E">
        <w:rPr>
          <w:b w:val="0"/>
        </w:rPr>
        <w:t>P</w:t>
      </w:r>
      <w:r w:rsidRPr="000F33D9">
        <w:rPr>
          <w:b w:val="0"/>
        </w:rPr>
        <w:t xml:space="preserve">atients </w:t>
      </w:r>
      <w:r w:rsidR="00A1495E">
        <w:rPr>
          <w:b w:val="0"/>
        </w:rPr>
        <w:t>who C</w:t>
      </w:r>
      <w:r>
        <w:rPr>
          <w:b w:val="0"/>
        </w:rPr>
        <w:t xml:space="preserve">ommence </w:t>
      </w:r>
      <w:r w:rsidR="00A1495E">
        <w:rPr>
          <w:b w:val="0"/>
        </w:rPr>
        <w:t>T</w:t>
      </w:r>
      <w:r w:rsidRPr="000F33D9">
        <w:rPr>
          <w:b w:val="0"/>
        </w:rPr>
        <w:t xml:space="preserve">reatment </w:t>
      </w:r>
      <w:r w:rsidR="00A1495E">
        <w:rPr>
          <w:b w:val="0"/>
        </w:rPr>
        <w:t>within Standard T</w:t>
      </w:r>
      <w:r>
        <w:rPr>
          <w:b w:val="0"/>
        </w:rPr>
        <w:t>imeframes</w:t>
      </w:r>
    </w:p>
    <w:p w:rsidR="007E390E" w:rsidRPr="0080269F" w:rsidRDefault="007E390E" w:rsidP="00D0119B">
      <w:pPr>
        <w:pStyle w:val="BodyText"/>
        <w:keepNext w:val="0"/>
      </w:pPr>
      <w:r w:rsidRPr="0080269F">
        <w:t>The percentage of cancer patients who commence radiotherapy treatment within standard time frames.  This provides an indication of the effectiveness of public hospitals in meeting the need for cancer treatment services.</w:t>
      </w:r>
    </w:p>
    <w:tbl>
      <w:tblPr>
        <w:tblW w:w="9072" w:type="dxa"/>
        <w:tblInd w:w="108" w:type="dxa"/>
        <w:tblLayout w:type="fixed"/>
        <w:tblLook w:val="0000"/>
      </w:tblPr>
      <w:tblGrid>
        <w:gridCol w:w="4397"/>
        <w:gridCol w:w="1075"/>
        <w:gridCol w:w="1329"/>
        <w:gridCol w:w="1075"/>
        <w:gridCol w:w="1196"/>
      </w:tblGrid>
      <w:tr w:rsidR="007E390E" w:rsidRPr="002A79CE" w:rsidTr="009F1A00">
        <w:tc>
          <w:tcPr>
            <w:tcW w:w="4397" w:type="dxa"/>
            <w:tcBorders>
              <w:top w:val="single" w:sz="4" w:space="0" w:color="auto"/>
              <w:left w:val="nil"/>
              <w:right w:val="nil"/>
            </w:tcBorders>
          </w:tcPr>
          <w:p w:rsidR="007E390E" w:rsidRPr="00A85E2B" w:rsidRDefault="007E390E" w:rsidP="000A42C8">
            <w:pPr>
              <w:pStyle w:val="TableTextLeftBold-BP410pt"/>
            </w:pPr>
            <w:r w:rsidRPr="00A85E2B">
              <w:t>Category</w:t>
            </w:r>
            <w:r w:rsidR="00DE7E74" w:rsidRPr="00DE7E74">
              <w:rPr>
                <w:vertAlign w:val="superscript"/>
              </w:rPr>
              <w:t>1</w:t>
            </w:r>
          </w:p>
        </w:tc>
        <w:tc>
          <w:tcPr>
            <w:tcW w:w="1075" w:type="dxa"/>
            <w:tcBorders>
              <w:top w:val="single" w:sz="4" w:space="0" w:color="auto"/>
              <w:left w:val="nil"/>
              <w:right w:val="nil"/>
            </w:tcBorders>
          </w:tcPr>
          <w:p w:rsidR="007E390E" w:rsidRPr="00C81982" w:rsidRDefault="007E390E" w:rsidP="000A42C8">
            <w:pPr>
              <w:pStyle w:val="TableTextRightBold-BP4"/>
              <w:rPr>
                <w:sz w:val="20"/>
              </w:rPr>
            </w:pPr>
            <w:r w:rsidRPr="00C81982">
              <w:rPr>
                <w:sz w:val="20"/>
              </w:rPr>
              <w:t>2012-13</w:t>
            </w:r>
          </w:p>
        </w:tc>
        <w:tc>
          <w:tcPr>
            <w:tcW w:w="1329" w:type="dxa"/>
            <w:tcBorders>
              <w:top w:val="single" w:sz="4" w:space="0" w:color="auto"/>
              <w:left w:val="nil"/>
              <w:right w:val="nil"/>
            </w:tcBorders>
          </w:tcPr>
          <w:p w:rsidR="007E390E" w:rsidRPr="00C81982" w:rsidRDefault="007E390E" w:rsidP="000A42C8">
            <w:pPr>
              <w:pStyle w:val="TableTextRightBold-BP4"/>
              <w:rPr>
                <w:sz w:val="20"/>
              </w:rPr>
            </w:pPr>
            <w:r w:rsidRPr="00C81982">
              <w:rPr>
                <w:sz w:val="20"/>
              </w:rPr>
              <w:t>2012-13</w:t>
            </w:r>
          </w:p>
        </w:tc>
        <w:tc>
          <w:tcPr>
            <w:tcW w:w="1075" w:type="dxa"/>
            <w:tcBorders>
              <w:top w:val="single" w:sz="4" w:space="0" w:color="auto"/>
              <w:left w:val="nil"/>
              <w:right w:val="nil"/>
            </w:tcBorders>
          </w:tcPr>
          <w:p w:rsidR="007E390E" w:rsidRPr="00C81982" w:rsidRDefault="007E390E" w:rsidP="000A42C8">
            <w:pPr>
              <w:pStyle w:val="TableTextRightBold-BP4"/>
              <w:rPr>
                <w:sz w:val="20"/>
              </w:rPr>
            </w:pPr>
            <w:r w:rsidRPr="00C81982">
              <w:rPr>
                <w:sz w:val="20"/>
              </w:rPr>
              <w:t>2013-14</w:t>
            </w:r>
          </w:p>
        </w:tc>
        <w:tc>
          <w:tcPr>
            <w:tcW w:w="1196" w:type="dxa"/>
            <w:tcBorders>
              <w:top w:val="single" w:sz="4" w:space="0" w:color="auto"/>
              <w:left w:val="nil"/>
              <w:right w:val="nil"/>
            </w:tcBorders>
          </w:tcPr>
          <w:p w:rsidR="007E390E" w:rsidRPr="00C81982" w:rsidRDefault="007E390E" w:rsidP="000A42C8">
            <w:pPr>
              <w:pStyle w:val="TableTextRightBold-BP4"/>
              <w:rPr>
                <w:sz w:val="20"/>
              </w:rPr>
            </w:pPr>
            <w:r w:rsidRPr="00C81982">
              <w:rPr>
                <w:sz w:val="20"/>
              </w:rPr>
              <w:t xml:space="preserve">Long Term </w:t>
            </w:r>
          </w:p>
        </w:tc>
      </w:tr>
      <w:tr w:rsidR="007E390E" w:rsidRPr="002A79CE" w:rsidTr="009F1A00">
        <w:tc>
          <w:tcPr>
            <w:tcW w:w="4397" w:type="dxa"/>
            <w:tcBorders>
              <w:left w:val="nil"/>
              <w:right w:val="nil"/>
            </w:tcBorders>
          </w:tcPr>
          <w:p w:rsidR="007E390E" w:rsidRPr="0040721B" w:rsidRDefault="007E390E" w:rsidP="000A42C8">
            <w:pPr>
              <w:pStyle w:val="TableTextLeftBold-BP410pt"/>
            </w:pPr>
          </w:p>
        </w:tc>
        <w:tc>
          <w:tcPr>
            <w:tcW w:w="1075" w:type="dxa"/>
            <w:tcBorders>
              <w:left w:val="nil"/>
              <w:right w:val="nil"/>
            </w:tcBorders>
          </w:tcPr>
          <w:p w:rsidR="007E390E" w:rsidRPr="00C81982" w:rsidRDefault="007E390E" w:rsidP="000A42C8">
            <w:pPr>
              <w:pStyle w:val="TableTextRightBold-BP4"/>
              <w:rPr>
                <w:sz w:val="20"/>
              </w:rPr>
            </w:pPr>
            <w:r w:rsidRPr="00C81982">
              <w:rPr>
                <w:sz w:val="20"/>
              </w:rPr>
              <w:t>Target</w:t>
            </w:r>
          </w:p>
        </w:tc>
        <w:tc>
          <w:tcPr>
            <w:tcW w:w="1329" w:type="dxa"/>
            <w:tcBorders>
              <w:left w:val="nil"/>
              <w:right w:val="nil"/>
            </w:tcBorders>
          </w:tcPr>
          <w:p w:rsidR="007E390E" w:rsidRPr="00C81982" w:rsidRDefault="007E390E" w:rsidP="000A42C8">
            <w:pPr>
              <w:pStyle w:val="TableTextRightBold-BP4"/>
              <w:rPr>
                <w:sz w:val="20"/>
              </w:rPr>
            </w:pPr>
            <w:r w:rsidRPr="00C81982">
              <w:rPr>
                <w:sz w:val="20"/>
              </w:rPr>
              <w:t>Est.</w:t>
            </w:r>
            <w:r w:rsidR="000A42C8" w:rsidRPr="00C81982">
              <w:rPr>
                <w:sz w:val="20"/>
              </w:rPr>
              <w:t xml:space="preserve"> Outcome</w:t>
            </w:r>
          </w:p>
        </w:tc>
        <w:tc>
          <w:tcPr>
            <w:tcW w:w="1075" w:type="dxa"/>
            <w:tcBorders>
              <w:left w:val="nil"/>
              <w:right w:val="nil"/>
            </w:tcBorders>
          </w:tcPr>
          <w:p w:rsidR="007E390E" w:rsidRPr="00C81982" w:rsidRDefault="007E390E" w:rsidP="000A42C8">
            <w:pPr>
              <w:pStyle w:val="TableTextRightBold-BP4"/>
              <w:rPr>
                <w:sz w:val="20"/>
              </w:rPr>
            </w:pPr>
            <w:r w:rsidRPr="00C81982">
              <w:rPr>
                <w:sz w:val="20"/>
              </w:rPr>
              <w:t>Target</w:t>
            </w:r>
          </w:p>
        </w:tc>
        <w:tc>
          <w:tcPr>
            <w:tcW w:w="1196" w:type="dxa"/>
            <w:tcBorders>
              <w:left w:val="nil"/>
              <w:right w:val="nil"/>
            </w:tcBorders>
          </w:tcPr>
          <w:p w:rsidR="007E390E" w:rsidRPr="00C81982" w:rsidRDefault="007E390E" w:rsidP="000A42C8">
            <w:pPr>
              <w:pStyle w:val="TableTextRightBold-BP4"/>
              <w:rPr>
                <w:sz w:val="20"/>
              </w:rPr>
            </w:pPr>
            <w:r w:rsidRPr="00C81982">
              <w:rPr>
                <w:sz w:val="20"/>
              </w:rPr>
              <w:t>Target</w:t>
            </w:r>
          </w:p>
        </w:tc>
      </w:tr>
      <w:tr w:rsidR="007E390E" w:rsidRPr="00E83045" w:rsidTr="009F1A00">
        <w:trPr>
          <w:trHeight w:val="212"/>
        </w:trPr>
        <w:tc>
          <w:tcPr>
            <w:tcW w:w="4397" w:type="dxa"/>
            <w:tcBorders>
              <w:top w:val="single" w:sz="4" w:space="0" w:color="auto"/>
              <w:left w:val="nil"/>
              <w:right w:val="nil"/>
            </w:tcBorders>
          </w:tcPr>
          <w:p w:rsidR="007E390E" w:rsidRPr="000A42C8" w:rsidRDefault="007E390E" w:rsidP="000A42C8">
            <w:pPr>
              <w:pStyle w:val="TableTextLeft-BP410pt"/>
            </w:pPr>
            <w:r w:rsidRPr="000A42C8">
              <w:t>Urgent — treatment starts within 48 hours</w:t>
            </w:r>
          </w:p>
        </w:tc>
        <w:tc>
          <w:tcPr>
            <w:tcW w:w="1075" w:type="dxa"/>
            <w:tcBorders>
              <w:top w:val="single" w:sz="4" w:space="0" w:color="auto"/>
              <w:left w:val="nil"/>
              <w:right w:val="nil"/>
            </w:tcBorders>
          </w:tcPr>
          <w:p w:rsidR="007E390E" w:rsidRPr="000A42C8" w:rsidRDefault="007E390E" w:rsidP="000A42C8">
            <w:pPr>
              <w:pStyle w:val="TableTextRight-BP410pt"/>
            </w:pPr>
            <w:r w:rsidRPr="000A42C8">
              <w:t>100%</w:t>
            </w:r>
          </w:p>
        </w:tc>
        <w:tc>
          <w:tcPr>
            <w:tcW w:w="1329" w:type="dxa"/>
            <w:tcBorders>
              <w:top w:val="single" w:sz="4" w:space="0" w:color="auto"/>
              <w:left w:val="nil"/>
              <w:right w:val="nil"/>
            </w:tcBorders>
          </w:tcPr>
          <w:p w:rsidR="007E390E" w:rsidRPr="000A42C8" w:rsidRDefault="007E390E" w:rsidP="000A42C8">
            <w:pPr>
              <w:pStyle w:val="TableTextRight-BP410pt"/>
            </w:pPr>
            <w:r w:rsidRPr="000A42C8">
              <w:t>100%</w:t>
            </w:r>
          </w:p>
        </w:tc>
        <w:tc>
          <w:tcPr>
            <w:tcW w:w="1075" w:type="dxa"/>
            <w:tcBorders>
              <w:top w:val="single" w:sz="4" w:space="0" w:color="auto"/>
              <w:left w:val="nil"/>
              <w:right w:val="nil"/>
            </w:tcBorders>
          </w:tcPr>
          <w:p w:rsidR="007E390E" w:rsidRPr="000A42C8" w:rsidRDefault="007E390E" w:rsidP="000A42C8">
            <w:pPr>
              <w:pStyle w:val="TableTextRight-BP410pt"/>
            </w:pPr>
            <w:r w:rsidRPr="000A42C8">
              <w:t>100%</w:t>
            </w:r>
          </w:p>
        </w:tc>
        <w:tc>
          <w:tcPr>
            <w:tcW w:w="1196" w:type="dxa"/>
            <w:tcBorders>
              <w:top w:val="single" w:sz="4" w:space="0" w:color="auto"/>
              <w:left w:val="nil"/>
              <w:right w:val="nil"/>
            </w:tcBorders>
          </w:tcPr>
          <w:p w:rsidR="007E390E" w:rsidRPr="000A42C8" w:rsidRDefault="007E390E" w:rsidP="000A42C8">
            <w:pPr>
              <w:pStyle w:val="TableTextRight-BP410pt"/>
            </w:pPr>
            <w:r w:rsidRPr="000A42C8">
              <w:t>100%</w:t>
            </w:r>
          </w:p>
        </w:tc>
      </w:tr>
      <w:tr w:rsidR="007E390E" w:rsidRPr="00E83045" w:rsidTr="009F1A00">
        <w:trPr>
          <w:trHeight w:val="212"/>
        </w:trPr>
        <w:tc>
          <w:tcPr>
            <w:tcW w:w="4397" w:type="dxa"/>
            <w:tcBorders>
              <w:left w:val="nil"/>
              <w:right w:val="nil"/>
            </w:tcBorders>
          </w:tcPr>
          <w:p w:rsidR="007E390E" w:rsidRPr="000A42C8" w:rsidRDefault="007E390E" w:rsidP="000A42C8">
            <w:pPr>
              <w:pStyle w:val="TableTextLeft-BP410pt"/>
            </w:pPr>
            <w:r w:rsidRPr="000A42C8">
              <w:t>Semi urgent — treatment starts within 4 weeks</w:t>
            </w:r>
          </w:p>
        </w:tc>
        <w:tc>
          <w:tcPr>
            <w:tcW w:w="1075" w:type="dxa"/>
            <w:tcBorders>
              <w:left w:val="nil"/>
              <w:right w:val="nil"/>
            </w:tcBorders>
          </w:tcPr>
          <w:p w:rsidR="007E390E" w:rsidRPr="000A42C8" w:rsidRDefault="007E390E" w:rsidP="000A42C8">
            <w:pPr>
              <w:pStyle w:val="TableTextRight-BP410pt"/>
            </w:pPr>
            <w:r w:rsidRPr="000A42C8">
              <w:t>95%</w:t>
            </w:r>
          </w:p>
        </w:tc>
        <w:tc>
          <w:tcPr>
            <w:tcW w:w="1329" w:type="dxa"/>
            <w:tcBorders>
              <w:left w:val="nil"/>
              <w:right w:val="nil"/>
            </w:tcBorders>
          </w:tcPr>
          <w:p w:rsidR="007E390E" w:rsidRPr="000A42C8" w:rsidRDefault="007E390E" w:rsidP="000A42C8">
            <w:pPr>
              <w:pStyle w:val="TableTextRight-BP410pt"/>
            </w:pPr>
            <w:r w:rsidRPr="000A42C8">
              <w:t>100%</w:t>
            </w:r>
          </w:p>
        </w:tc>
        <w:tc>
          <w:tcPr>
            <w:tcW w:w="1075" w:type="dxa"/>
            <w:tcBorders>
              <w:left w:val="nil"/>
              <w:right w:val="nil"/>
            </w:tcBorders>
          </w:tcPr>
          <w:p w:rsidR="007E390E" w:rsidRPr="000A42C8" w:rsidRDefault="007E390E" w:rsidP="000A42C8">
            <w:pPr>
              <w:pStyle w:val="TableTextRight-BP410pt"/>
            </w:pPr>
            <w:r w:rsidRPr="000A42C8">
              <w:t>95%</w:t>
            </w:r>
          </w:p>
        </w:tc>
        <w:tc>
          <w:tcPr>
            <w:tcW w:w="1196" w:type="dxa"/>
            <w:tcBorders>
              <w:left w:val="nil"/>
              <w:right w:val="nil"/>
            </w:tcBorders>
          </w:tcPr>
          <w:p w:rsidR="007E390E" w:rsidRPr="000A42C8" w:rsidRDefault="007E390E" w:rsidP="000A42C8">
            <w:pPr>
              <w:pStyle w:val="TableTextRight-BP410pt"/>
            </w:pPr>
            <w:r w:rsidRPr="000A42C8">
              <w:t>100%</w:t>
            </w:r>
          </w:p>
        </w:tc>
      </w:tr>
      <w:tr w:rsidR="007E390E" w:rsidRPr="0040721B" w:rsidTr="009F1A00">
        <w:trPr>
          <w:trHeight w:val="212"/>
        </w:trPr>
        <w:tc>
          <w:tcPr>
            <w:tcW w:w="4397" w:type="dxa"/>
            <w:tcBorders>
              <w:left w:val="nil"/>
              <w:bottom w:val="single" w:sz="4" w:space="0" w:color="auto"/>
              <w:right w:val="nil"/>
            </w:tcBorders>
          </w:tcPr>
          <w:p w:rsidR="007E390E" w:rsidRPr="000A42C8" w:rsidRDefault="007E390E" w:rsidP="000A42C8">
            <w:pPr>
              <w:pStyle w:val="TableTextLeft-BP410pt"/>
            </w:pPr>
            <w:r w:rsidRPr="000A42C8">
              <w:t>Non urgent — treatment starts within 6 weeks</w:t>
            </w:r>
          </w:p>
        </w:tc>
        <w:tc>
          <w:tcPr>
            <w:tcW w:w="1075" w:type="dxa"/>
            <w:tcBorders>
              <w:left w:val="nil"/>
              <w:bottom w:val="single" w:sz="4" w:space="0" w:color="auto"/>
              <w:right w:val="nil"/>
            </w:tcBorders>
          </w:tcPr>
          <w:p w:rsidR="007E390E" w:rsidRPr="000A42C8" w:rsidRDefault="007E390E" w:rsidP="000A42C8">
            <w:pPr>
              <w:pStyle w:val="TableTextRight-BP410pt"/>
            </w:pPr>
            <w:r w:rsidRPr="000A42C8">
              <w:t>95%</w:t>
            </w:r>
          </w:p>
        </w:tc>
        <w:tc>
          <w:tcPr>
            <w:tcW w:w="1329" w:type="dxa"/>
            <w:tcBorders>
              <w:left w:val="nil"/>
              <w:bottom w:val="single" w:sz="4" w:space="0" w:color="auto"/>
              <w:right w:val="nil"/>
            </w:tcBorders>
          </w:tcPr>
          <w:p w:rsidR="007E390E" w:rsidRPr="000A42C8" w:rsidRDefault="007E390E" w:rsidP="000A42C8">
            <w:pPr>
              <w:pStyle w:val="TableTextRight-BP410pt"/>
            </w:pPr>
            <w:r w:rsidRPr="000A42C8">
              <w:t>98%</w:t>
            </w:r>
          </w:p>
        </w:tc>
        <w:tc>
          <w:tcPr>
            <w:tcW w:w="1075" w:type="dxa"/>
            <w:tcBorders>
              <w:left w:val="nil"/>
              <w:bottom w:val="single" w:sz="4" w:space="0" w:color="auto"/>
              <w:right w:val="nil"/>
            </w:tcBorders>
          </w:tcPr>
          <w:p w:rsidR="007E390E" w:rsidRPr="000A42C8" w:rsidRDefault="007E390E" w:rsidP="000A42C8">
            <w:pPr>
              <w:pStyle w:val="TableTextRight-BP410pt"/>
            </w:pPr>
            <w:r w:rsidRPr="000A42C8">
              <w:t>95%</w:t>
            </w:r>
          </w:p>
        </w:tc>
        <w:tc>
          <w:tcPr>
            <w:tcW w:w="1196" w:type="dxa"/>
            <w:tcBorders>
              <w:left w:val="nil"/>
              <w:bottom w:val="single" w:sz="4" w:space="0" w:color="auto"/>
              <w:right w:val="nil"/>
            </w:tcBorders>
          </w:tcPr>
          <w:p w:rsidR="007E390E" w:rsidRPr="000A42C8" w:rsidRDefault="007E390E" w:rsidP="000A42C8">
            <w:pPr>
              <w:pStyle w:val="TableTextRight-BP410pt"/>
            </w:pPr>
            <w:r w:rsidRPr="000A42C8">
              <w:t>100%</w:t>
            </w:r>
          </w:p>
        </w:tc>
      </w:tr>
    </w:tbl>
    <w:p w:rsidR="007E390E" w:rsidRDefault="007E390E" w:rsidP="00D0119B">
      <w:pPr>
        <w:pStyle w:val="NoteHeading"/>
      </w:pPr>
      <w:r>
        <w:t>Note:</w:t>
      </w:r>
    </w:p>
    <w:p w:rsidR="007E390E" w:rsidRPr="0080269F" w:rsidRDefault="007E390E" w:rsidP="00D0119B">
      <w:pPr>
        <w:pStyle w:val="AINotes"/>
        <w:numPr>
          <w:ilvl w:val="0"/>
          <w:numId w:val="23"/>
        </w:numPr>
      </w:pPr>
      <w:r w:rsidRPr="0080269F">
        <w:t xml:space="preserve">The Department of Radiation Oncology is committed to commencing treatment for radiotherapy patients within Radiation Oncology Practice Standards. </w:t>
      </w:r>
      <w:r w:rsidR="0080269F" w:rsidRPr="0080269F">
        <w:t xml:space="preserve"> </w:t>
      </w:r>
      <w:r w:rsidRPr="0080269F">
        <w:t xml:space="preserve">With the introduction of a fourth linear accelerator and improved staffing levels, the service has been able to </w:t>
      </w:r>
      <w:r w:rsidR="002837ED">
        <w:t>better</w:t>
      </w:r>
      <w:r w:rsidRPr="0080269F">
        <w:t xml:space="preserve"> target wait times.</w:t>
      </w:r>
    </w:p>
    <w:p w:rsidR="0075638A" w:rsidRDefault="000242AA" w:rsidP="00D0119B">
      <w:pPr>
        <w:pStyle w:val="SIHeading1"/>
        <w:keepNext w:val="0"/>
      </w:pPr>
      <w:r>
        <w:br w:type="page"/>
      </w:r>
    </w:p>
    <w:p w:rsidR="007E390E" w:rsidRPr="0080269F" w:rsidRDefault="007E390E" w:rsidP="00D0119B">
      <w:pPr>
        <w:pStyle w:val="SIHeading1"/>
        <w:keepNext w:val="0"/>
      </w:pPr>
      <w:r w:rsidRPr="0080269F">
        <w:lastRenderedPageBreak/>
        <w:t>Strategic Objective 4</w:t>
      </w:r>
    </w:p>
    <w:p w:rsidR="007E390E" w:rsidRPr="00F53A2C" w:rsidRDefault="007E390E" w:rsidP="00D0119B">
      <w:pPr>
        <w:pStyle w:val="SIHeading2"/>
        <w:keepNext w:val="0"/>
      </w:pPr>
      <w:r>
        <w:t>I</w:t>
      </w:r>
      <w:r w:rsidRPr="0080269F">
        <w:t xml:space="preserve">mproving the </w:t>
      </w:r>
      <w:r w:rsidR="00642EB5">
        <w:t>B</w:t>
      </w:r>
      <w:r w:rsidRPr="0080269F">
        <w:t xml:space="preserve">reast </w:t>
      </w:r>
      <w:r w:rsidR="00642EB5">
        <w:t>S</w:t>
      </w:r>
      <w:r w:rsidRPr="0080269F">
        <w:t xml:space="preserve">creen </w:t>
      </w:r>
      <w:r w:rsidR="00642EB5">
        <w:t>P</w:t>
      </w:r>
      <w:r w:rsidRPr="0080269F">
        <w:t xml:space="preserve">articipation </w:t>
      </w:r>
      <w:r w:rsidR="00642EB5">
        <w:t>R</w:t>
      </w:r>
      <w:r w:rsidRPr="0080269F">
        <w:t xml:space="preserve">ate for </w:t>
      </w:r>
      <w:r w:rsidR="00642EB5">
        <w:t>W</w:t>
      </w:r>
      <w:r w:rsidRPr="0080269F">
        <w:t xml:space="preserve">omen </w:t>
      </w:r>
      <w:r w:rsidR="000242AA">
        <w:t>a</w:t>
      </w:r>
      <w:r w:rsidRPr="0080269F">
        <w:t xml:space="preserve">ged 50 to 69 </w:t>
      </w:r>
      <w:r w:rsidR="000242AA">
        <w:t>y</w:t>
      </w:r>
      <w:r w:rsidRPr="0080269F">
        <w:t>ears</w:t>
      </w:r>
    </w:p>
    <w:p w:rsidR="0006550A" w:rsidRPr="0006550A" w:rsidRDefault="0006550A" w:rsidP="00D0119B">
      <w:pPr>
        <w:pStyle w:val="BodyText"/>
        <w:keepNext w:val="0"/>
        <w:rPr>
          <w:sz w:val="20"/>
        </w:rPr>
      </w:pPr>
      <w:r w:rsidRPr="0006550A">
        <w:rPr>
          <w:rStyle w:val="SIlabelChar"/>
          <w:sz w:val="20"/>
        </w:rPr>
        <w:t>Strategic Indicator 4</w:t>
      </w:r>
      <w:r w:rsidRPr="0080269F">
        <w:rPr>
          <w:rStyle w:val="SIHeading1Char"/>
        </w:rPr>
        <w:t>:</w:t>
      </w:r>
      <w:r>
        <w:t xml:space="preserve">  </w:t>
      </w:r>
      <w:r w:rsidR="00A1495E">
        <w:rPr>
          <w:rFonts w:ascii="Arial" w:hAnsi="Arial"/>
          <w:kern w:val="28"/>
          <w:sz w:val="20"/>
        </w:rPr>
        <w:t>Participation R</w:t>
      </w:r>
      <w:r w:rsidRPr="0006550A">
        <w:rPr>
          <w:rFonts w:ascii="Arial" w:hAnsi="Arial"/>
          <w:kern w:val="28"/>
          <w:sz w:val="20"/>
        </w:rPr>
        <w:t xml:space="preserve">ate for </w:t>
      </w:r>
      <w:r w:rsidR="00A1495E">
        <w:rPr>
          <w:rFonts w:ascii="Arial" w:hAnsi="Arial"/>
          <w:kern w:val="28"/>
          <w:sz w:val="20"/>
        </w:rPr>
        <w:t>B</w:t>
      </w:r>
      <w:r w:rsidRPr="0006550A">
        <w:rPr>
          <w:rFonts w:ascii="Arial" w:hAnsi="Arial"/>
          <w:kern w:val="28"/>
          <w:sz w:val="20"/>
        </w:rPr>
        <w:t xml:space="preserve">reast </w:t>
      </w:r>
      <w:r w:rsidR="00A1495E">
        <w:rPr>
          <w:rFonts w:ascii="Arial" w:hAnsi="Arial"/>
          <w:kern w:val="28"/>
          <w:sz w:val="20"/>
        </w:rPr>
        <w:t>S</w:t>
      </w:r>
      <w:r w:rsidRPr="0006550A">
        <w:rPr>
          <w:rFonts w:ascii="Arial" w:hAnsi="Arial"/>
          <w:kern w:val="28"/>
          <w:sz w:val="20"/>
        </w:rPr>
        <w:t>creening</w:t>
      </w:r>
    </w:p>
    <w:p w:rsidR="007E390E" w:rsidRPr="0006550A" w:rsidRDefault="007E390E" w:rsidP="00D0119B">
      <w:pPr>
        <w:pStyle w:val="BodyText"/>
        <w:keepNext w:val="0"/>
      </w:pPr>
      <w:proofErr w:type="gramStart"/>
      <w:r w:rsidRPr="0080269F">
        <w:t>The proportion of women in the target age group (50 to 69 years) who had a breast screen in the 24 months prior to each counting period</w:t>
      </w:r>
      <w:r w:rsidRPr="00C81982">
        <w:t>.</w:t>
      </w:r>
      <w:proofErr w:type="gramEnd"/>
    </w:p>
    <w:tbl>
      <w:tblPr>
        <w:tblW w:w="9100" w:type="dxa"/>
        <w:tblLayout w:type="fixed"/>
        <w:tblLook w:val="0000"/>
      </w:tblPr>
      <w:tblGrid>
        <w:gridCol w:w="4509"/>
        <w:gridCol w:w="1088"/>
        <w:gridCol w:w="1329"/>
        <w:gridCol w:w="1087"/>
        <w:gridCol w:w="1087"/>
      </w:tblGrid>
      <w:tr w:rsidR="007E390E" w:rsidRPr="00F53A2C" w:rsidTr="00A1495E">
        <w:tc>
          <w:tcPr>
            <w:tcW w:w="4632" w:type="dxa"/>
            <w:tcBorders>
              <w:top w:val="single" w:sz="4" w:space="0" w:color="auto"/>
              <w:left w:val="nil"/>
              <w:right w:val="nil"/>
            </w:tcBorders>
            <w:vAlign w:val="center"/>
          </w:tcPr>
          <w:p w:rsidR="007E390E" w:rsidRPr="00C81982" w:rsidRDefault="007E390E" w:rsidP="00D01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113" w:type="dxa"/>
            <w:tcBorders>
              <w:top w:val="single" w:sz="4" w:space="0" w:color="auto"/>
              <w:left w:val="nil"/>
              <w:right w:val="nil"/>
            </w:tcBorders>
          </w:tcPr>
          <w:p w:rsidR="007E390E" w:rsidRPr="00C81982" w:rsidRDefault="0080269F" w:rsidP="00C81982">
            <w:pPr>
              <w:pStyle w:val="TableTextRightBold-BP4"/>
              <w:rPr>
                <w:sz w:val="20"/>
              </w:rPr>
            </w:pPr>
            <w:r w:rsidRPr="00C81982">
              <w:rPr>
                <w:sz w:val="20"/>
              </w:rPr>
              <w:t>2012-13</w:t>
            </w:r>
          </w:p>
        </w:tc>
        <w:tc>
          <w:tcPr>
            <w:tcW w:w="1361" w:type="dxa"/>
            <w:tcBorders>
              <w:top w:val="single" w:sz="4" w:space="0" w:color="auto"/>
              <w:left w:val="nil"/>
              <w:right w:val="nil"/>
            </w:tcBorders>
          </w:tcPr>
          <w:p w:rsidR="007E390E" w:rsidRPr="00C81982" w:rsidRDefault="0080269F" w:rsidP="00C81982">
            <w:pPr>
              <w:pStyle w:val="TableTextRightBold-BP4"/>
              <w:rPr>
                <w:sz w:val="20"/>
              </w:rPr>
            </w:pPr>
            <w:r w:rsidRPr="00C81982">
              <w:rPr>
                <w:sz w:val="20"/>
              </w:rPr>
              <w:t>2012-13</w:t>
            </w:r>
          </w:p>
        </w:tc>
        <w:tc>
          <w:tcPr>
            <w:tcW w:w="1112" w:type="dxa"/>
            <w:tcBorders>
              <w:top w:val="single" w:sz="4" w:space="0" w:color="auto"/>
              <w:left w:val="nil"/>
              <w:right w:val="nil"/>
            </w:tcBorders>
          </w:tcPr>
          <w:p w:rsidR="007E390E" w:rsidRPr="00C81982" w:rsidRDefault="007E390E" w:rsidP="00C81982">
            <w:pPr>
              <w:pStyle w:val="TableTextRightBold-BP4"/>
              <w:rPr>
                <w:sz w:val="20"/>
              </w:rPr>
            </w:pPr>
            <w:r w:rsidRPr="00C81982">
              <w:rPr>
                <w:sz w:val="20"/>
              </w:rPr>
              <w:t>2013-14</w:t>
            </w:r>
          </w:p>
        </w:tc>
        <w:tc>
          <w:tcPr>
            <w:tcW w:w="1112" w:type="dxa"/>
            <w:tcBorders>
              <w:top w:val="single" w:sz="4" w:space="0" w:color="auto"/>
              <w:left w:val="nil"/>
              <w:right w:val="nil"/>
            </w:tcBorders>
          </w:tcPr>
          <w:p w:rsidR="007E390E" w:rsidRPr="00C81982" w:rsidRDefault="007E390E" w:rsidP="00C81982">
            <w:pPr>
              <w:pStyle w:val="TableTextRightBold-BP4"/>
              <w:rPr>
                <w:sz w:val="20"/>
              </w:rPr>
            </w:pPr>
            <w:r w:rsidRPr="00C81982">
              <w:rPr>
                <w:sz w:val="20"/>
              </w:rPr>
              <w:t>Long Term</w:t>
            </w:r>
          </w:p>
        </w:tc>
      </w:tr>
      <w:tr w:rsidR="007E390E" w:rsidRPr="00F53A2C" w:rsidTr="00A1495E">
        <w:tc>
          <w:tcPr>
            <w:tcW w:w="4632" w:type="dxa"/>
            <w:tcBorders>
              <w:left w:val="nil"/>
              <w:right w:val="nil"/>
            </w:tcBorders>
          </w:tcPr>
          <w:p w:rsidR="007E390E" w:rsidRPr="00C81982" w:rsidRDefault="007E390E" w:rsidP="00C81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113" w:type="dxa"/>
            <w:tcBorders>
              <w:left w:val="nil"/>
              <w:right w:val="nil"/>
            </w:tcBorders>
          </w:tcPr>
          <w:p w:rsidR="007E390E" w:rsidRPr="00C81982" w:rsidRDefault="007E390E" w:rsidP="00C81982">
            <w:pPr>
              <w:pStyle w:val="TableTextRightBold"/>
            </w:pPr>
            <w:r w:rsidRPr="00C81982">
              <w:t>Target</w:t>
            </w:r>
          </w:p>
        </w:tc>
        <w:tc>
          <w:tcPr>
            <w:tcW w:w="1361" w:type="dxa"/>
            <w:tcBorders>
              <w:left w:val="nil"/>
              <w:right w:val="nil"/>
            </w:tcBorders>
          </w:tcPr>
          <w:p w:rsidR="007E390E" w:rsidRPr="00C81982" w:rsidRDefault="007E390E" w:rsidP="00C81982">
            <w:pPr>
              <w:pStyle w:val="TableTextRightBold"/>
            </w:pPr>
            <w:r w:rsidRPr="00C81982">
              <w:t>Est.</w:t>
            </w:r>
            <w:r w:rsidR="00C81982" w:rsidRPr="00C81982">
              <w:t xml:space="preserve"> Outcome</w:t>
            </w:r>
          </w:p>
        </w:tc>
        <w:tc>
          <w:tcPr>
            <w:tcW w:w="1112" w:type="dxa"/>
            <w:tcBorders>
              <w:left w:val="nil"/>
              <w:right w:val="nil"/>
            </w:tcBorders>
          </w:tcPr>
          <w:p w:rsidR="007E390E" w:rsidRPr="00C81982" w:rsidRDefault="007E390E" w:rsidP="00C81982">
            <w:pPr>
              <w:pStyle w:val="TableTextRightBold"/>
            </w:pPr>
            <w:r w:rsidRPr="00C81982">
              <w:t>Target</w:t>
            </w:r>
          </w:p>
        </w:tc>
        <w:tc>
          <w:tcPr>
            <w:tcW w:w="1112" w:type="dxa"/>
            <w:tcBorders>
              <w:left w:val="nil"/>
              <w:right w:val="nil"/>
            </w:tcBorders>
          </w:tcPr>
          <w:p w:rsidR="007E390E" w:rsidRPr="00C81982" w:rsidRDefault="007E390E" w:rsidP="00C81982">
            <w:pPr>
              <w:pStyle w:val="TableTextRightBold"/>
            </w:pPr>
            <w:r w:rsidRPr="00C81982">
              <w:t>Target</w:t>
            </w:r>
          </w:p>
        </w:tc>
      </w:tr>
      <w:tr w:rsidR="007E390E" w:rsidRPr="00F53A2C" w:rsidTr="00A1495E">
        <w:tc>
          <w:tcPr>
            <w:tcW w:w="4632" w:type="dxa"/>
            <w:tcBorders>
              <w:top w:val="single" w:sz="4" w:space="0" w:color="auto"/>
              <w:left w:val="nil"/>
              <w:bottom w:val="single" w:sz="4" w:space="0" w:color="auto"/>
              <w:right w:val="nil"/>
            </w:tcBorders>
            <w:shd w:val="clear" w:color="auto" w:fill="auto"/>
          </w:tcPr>
          <w:p w:rsidR="007E390E" w:rsidRPr="00C81982" w:rsidRDefault="007E390E" w:rsidP="00C81982">
            <w:pPr>
              <w:pStyle w:val="TableTextLeft-BP410pt"/>
              <w:rPr>
                <w:szCs w:val="20"/>
              </w:rPr>
            </w:pPr>
            <w:r w:rsidRPr="00C81982">
              <w:rPr>
                <w:szCs w:val="20"/>
              </w:rPr>
              <w:t xml:space="preserve">Proportion of women </w:t>
            </w:r>
            <w:r w:rsidR="002837ED">
              <w:rPr>
                <w:szCs w:val="20"/>
              </w:rPr>
              <w:t xml:space="preserve">aged 50 to 69 who have a breast </w:t>
            </w:r>
            <w:r w:rsidRPr="00C81982">
              <w:rPr>
                <w:szCs w:val="20"/>
              </w:rPr>
              <w:t>screen</w:t>
            </w:r>
            <w:r w:rsidRPr="00C81982">
              <w:rPr>
                <w:szCs w:val="20"/>
                <w:vertAlign w:val="superscript"/>
              </w:rPr>
              <w:t>1</w:t>
            </w:r>
          </w:p>
        </w:tc>
        <w:tc>
          <w:tcPr>
            <w:tcW w:w="1113" w:type="dxa"/>
            <w:tcBorders>
              <w:top w:val="single" w:sz="4" w:space="0" w:color="auto"/>
              <w:left w:val="nil"/>
              <w:bottom w:val="single" w:sz="4" w:space="0" w:color="auto"/>
              <w:right w:val="nil"/>
            </w:tcBorders>
          </w:tcPr>
          <w:p w:rsidR="007E390E" w:rsidRPr="00C81982" w:rsidRDefault="007E390E" w:rsidP="00C81982">
            <w:pPr>
              <w:pStyle w:val="TableTextRight-BP410pt"/>
            </w:pPr>
            <w:r w:rsidRPr="00C81982">
              <w:t>60%</w:t>
            </w:r>
          </w:p>
        </w:tc>
        <w:tc>
          <w:tcPr>
            <w:tcW w:w="1361" w:type="dxa"/>
            <w:tcBorders>
              <w:top w:val="single" w:sz="4" w:space="0" w:color="auto"/>
              <w:left w:val="nil"/>
              <w:bottom w:val="single" w:sz="4" w:space="0" w:color="auto"/>
              <w:right w:val="nil"/>
            </w:tcBorders>
          </w:tcPr>
          <w:p w:rsidR="007E390E" w:rsidRPr="00C81982" w:rsidRDefault="007E390E" w:rsidP="00C81982">
            <w:pPr>
              <w:pStyle w:val="TableTextRight-BP410pt"/>
            </w:pPr>
            <w:r w:rsidRPr="00C81982">
              <w:t>55%</w:t>
            </w:r>
          </w:p>
        </w:tc>
        <w:tc>
          <w:tcPr>
            <w:tcW w:w="1112" w:type="dxa"/>
            <w:tcBorders>
              <w:top w:val="single" w:sz="4" w:space="0" w:color="auto"/>
              <w:left w:val="nil"/>
              <w:bottom w:val="single" w:sz="4" w:space="0" w:color="auto"/>
              <w:right w:val="nil"/>
            </w:tcBorders>
          </w:tcPr>
          <w:p w:rsidR="007E390E" w:rsidRPr="00C81982" w:rsidRDefault="007E390E" w:rsidP="00C81982">
            <w:pPr>
              <w:pStyle w:val="TableTextRight-BP410pt"/>
            </w:pPr>
            <w:r w:rsidRPr="00C81982">
              <w:t>60%</w:t>
            </w:r>
          </w:p>
        </w:tc>
        <w:tc>
          <w:tcPr>
            <w:tcW w:w="1112" w:type="dxa"/>
            <w:tcBorders>
              <w:top w:val="single" w:sz="4" w:space="0" w:color="auto"/>
              <w:left w:val="nil"/>
              <w:bottom w:val="single" w:sz="4" w:space="0" w:color="auto"/>
              <w:right w:val="nil"/>
            </w:tcBorders>
          </w:tcPr>
          <w:p w:rsidR="007E390E" w:rsidRPr="00C81982" w:rsidRDefault="007E390E" w:rsidP="00C81982">
            <w:pPr>
              <w:pStyle w:val="TableTextRight-BP410pt"/>
            </w:pPr>
            <w:r w:rsidRPr="00C81982">
              <w:t>70%</w:t>
            </w:r>
          </w:p>
        </w:tc>
      </w:tr>
    </w:tbl>
    <w:p w:rsidR="007E390E" w:rsidRPr="0080269F" w:rsidRDefault="007E390E" w:rsidP="00D0119B">
      <w:pPr>
        <w:pStyle w:val="NoteHeading"/>
      </w:pPr>
      <w:r w:rsidRPr="0080269F">
        <w:t>Note:</w:t>
      </w:r>
    </w:p>
    <w:p w:rsidR="007E390E" w:rsidRPr="0080269F" w:rsidRDefault="007E390E" w:rsidP="00D0119B">
      <w:pPr>
        <w:pStyle w:val="AINotes"/>
        <w:numPr>
          <w:ilvl w:val="0"/>
          <w:numId w:val="24"/>
        </w:numPr>
      </w:pPr>
      <w:proofErr w:type="spellStart"/>
      <w:r w:rsidRPr="0080269F">
        <w:t>BreastScreen</w:t>
      </w:r>
      <w:proofErr w:type="spellEnd"/>
      <w:r w:rsidRPr="0080269F">
        <w:t xml:space="preserve"> ACT has readily available appointments but is experiencing difficulty filling them.</w:t>
      </w:r>
      <w:r w:rsidR="0080269F">
        <w:t xml:space="preserve"> </w:t>
      </w:r>
      <w:r w:rsidRPr="0080269F">
        <w:t xml:space="preserve"> A number of initiatives are underway to raise awareness and profile of the service, particularly within the target group of women aged 50-69.</w:t>
      </w:r>
    </w:p>
    <w:p w:rsidR="007E390E" w:rsidRPr="0080269F" w:rsidRDefault="007E390E" w:rsidP="00D0119B">
      <w:pPr>
        <w:pStyle w:val="SIHeading1"/>
        <w:keepNext w:val="0"/>
      </w:pPr>
      <w:r w:rsidRPr="0080269F">
        <w:t>Strategic Objective 5</w:t>
      </w:r>
    </w:p>
    <w:p w:rsidR="007E390E" w:rsidRPr="00F53A2C" w:rsidRDefault="007E390E" w:rsidP="00D0119B">
      <w:pPr>
        <w:pStyle w:val="SIHeading2"/>
        <w:keepNext w:val="0"/>
      </w:pPr>
      <w:r w:rsidRPr="00F53A2C">
        <w:t xml:space="preserve">Maintaining the </w:t>
      </w:r>
      <w:r w:rsidR="002A5AC2">
        <w:t>W</w:t>
      </w:r>
      <w:r w:rsidRPr="00F53A2C">
        <w:t xml:space="preserve">aiting </w:t>
      </w:r>
      <w:r w:rsidR="002A5AC2">
        <w:t>T</w:t>
      </w:r>
      <w:r w:rsidRPr="00F53A2C">
        <w:t xml:space="preserve">imes for </w:t>
      </w:r>
      <w:r w:rsidR="00C81982">
        <w:t>i</w:t>
      </w:r>
      <w:r w:rsidRPr="00F53A2C">
        <w:t>n</w:t>
      </w:r>
      <w:r w:rsidR="002A5AC2">
        <w:t xml:space="preserve"> H</w:t>
      </w:r>
      <w:r w:rsidRPr="00F53A2C">
        <w:t xml:space="preserve">ospital </w:t>
      </w:r>
      <w:r w:rsidR="002A5AC2">
        <w:t>A</w:t>
      </w:r>
      <w:r w:rsidRPr="00F53A2C">
        <w:t xml:space="preserve">ssessments by the </w:t>
      </w:r>
      <w:r w:rsidR="0080269F">
        <w:t>A</w:t>
      </w:r>
      <w:r w:rsidRPr="00F53A2C">
        <w:t xml:space="preserve">ged </w:t>
      </w:r>
      <w:r w:rsidR="0080269F">
        <w:t>C</w:t>
      </w:r>
      <w:r w:rsidRPr="00F53A2C">
        <w:t xml:space="preserve">are </w:t>
      </w:r>
      <w:r w:rsidR="0080269F">
        <w:t>A</w:t>
      </w:r>
      <w:r w:rsidRPr="00F53A2C">
        <w:t xml:space="preserve">ssessment </w:t>
      </w:r>
      <w:r w:rsidR="0080269F">
        <w:t>T</w:t>
      </w:r>
      <w:r w:rsidRPr="00F53A2C">
        <w:t>eam</w:t>
      </w:r>
    </w:p>
    <w:p w:rsidR="0006550A" w:rsidRPr="00AA6E17" w:rsidRDefault="0006550A" w:rsidP="00D0119B">
      <w:pPr>
        <w:pStyle w:val="SIlabel"/>
        <w:keepNext w:val="0"/>
        <w:rPr>
          <w:b w:val="0"/>
        </w:rPr>
      </w:pPr>
      <w:r>
        <w:t xml:space="preserve">Strategic Indicator 5:  </w:t>
      </w:r>
      <w:r w:rsidR="005A3160">
        <w:rPr>
          <w:b w:val="0"/>
        </w:rPr>
        <w:t>Aged Care A</w:t>
      </w:r>
      <w:r w:rsidRPr="00AA6E17">
        <w:rPr>
          <w:b w:val="0"/>
        </w:rPr>
        <w:t>ssessment</w:t>
      </w:r>
      <w:r w:rsidR="005A3160">
        <w:rPr>
          <w:b w:val="0"/>
        </w:rPr>
        <w:t xml:space="preserve"> Waiting T</w:t>
      </w:r>
      <w:r w:rsidRPr="00AA6E17">
        <w:rPr>
          <w:b w:val="0"/>
        </w:rPr>
        <w:t>ime</w:t>
      </w:r>
    </w:p>
    <w:p w:rsidR="007E390E" w:rsidRDefault="007E390E" w:rsidP="00D0119B">
      <w:pPr>
        <w:pStyle w:val="BodyText"/>
        <w:keepNext w:val="0"/>
      </w:pPr>
      <w:r w:rsidRPr="00F53A2C">
        <w:rPr>
          <w:kern w:val="28"/>
        </w:rPr>
        <w:t>The mean waiting time in working days between the request for, and provision of, assessment by the Aged Care Assessment Team (ACAT) for patients in public hospitals.</w:t>
      </w:r>
      <w:r>
        <w:rPr>
          <w:kern w:val="28"/>
        </w:rPr>
        <w:t xml:space="preserve">  </w:t>
      </w:r>
      <w:r w:rsidRPr="00F53A2C">
        <w:t>This provides an indication of the responsiveness of the ACAT in assessing the needs of clients.</w:t>
      </w:r>
    </w:p>
    <w:tbl>
      <w:tblPr>
        <w:tblW w:w="9081" w:type="dxa"/>
        <w:tblLayout w:type="fixed"/>
        <w:tblLook w:val="0000"/>
      </w:tblPr>
      <w:tblGrid>
        <w:gridCol w:w="4519"/>
        <w:gridCol w:w="1063"/>
        <w:gridCol w:w="1332"/>
        <w:gridCol w:w="1078"/>
        <w:gridCol w:w="1089"/>
      </w:tblGrid>
      <w:tr w:rsidR="007E390E" w:rsidRPr="00F53A2C" w:rsidTr="005A3160">
        <w:tc>
          <w:tcPr>
            <w:tcW w:w="4632" w:type="dxa"/>
            <w:tcBorders>
              <w:top w:val="single" w:sz="4" w:space="0" w:color="auto"/>
              <w:left w:val="nil"/>
              <w:right w:val="nil"/>
            </w:tcBorders>
          </w:tcPr>
          <w:p w:rsidR="007E390E" w:rsidRPr="00C81982" w:rsidRDefault="007E390E" w:rsidP="00C81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085" w:type="dxa"/>
            <w:tcBorders>
              <w:top w:val="single" w:sz="4" w:space="0" w:color="auto"/>
              <w:left w:val="nil"/>
              <w:right w:val="nil"/>
            </w:tcBorders>
          </w:tcPr>
          <w:p w:rsidR="007E390E" w:rsidRPr="00C81982" w:rsidRDefault="007E390E" w:rsidP="00C81982">
            <w:pPr>
              <w:pStyle w:val="TableHeadingRight-BP410pt"/>
              <w:keepNext w:val="0"/>
              <w:rPr>
                <w:szCs w:val="20"/>
              </w:rPr>
            </w:pPr>
            <w:r w:rsidRPr="00C81982">
              <w:rPr>
                <w:szCs w:val="20"/>
              </w:rPr>
              <w:t xml:space="preserve">2012-13 </w:t>
            </w:r>
          </w:p>
        </w:tc>
        <w:tc>
          <w:tcPr>
            <w:tcW w:w="1361" w:type="dxa"/>
            <w:tcBorders>
              <w:top w:val="single" w:sz="4" w:space="0" w:color="auto"/>
              <w:left w:val="nil"/>
              <w:right w:val="nil"/>
            </w:tcBorders>
          </w:tcPr>
          <w:p w:rsidR="007E390E" w:rsidRPr="00C81982" w:rsidRDefault="007E390E" w:rsidP="00C81982">
            <w:pPr>
              <w:pStyle w:val="TableHeadingRight-BP410pt"/>
              <w:keepNext w:val="0"/>
              <w:rPr>
                <w:szCs w:val="20"/>
              </w:rPr>
            </w:pPr>
            <w:r w:rsidRPr="00C81982">
              <w:rPr>
                <w:szCs w:val="20"/>
              </w:rPr>
              <w:t>2012-13</w:t>
            </w:r>
          </w:p>
        </w:tc>
        <w:tc>
          <w:tcPr>
            <w:tcW w:w="1100" w:type="dxa"/>
            <w:tcBorders>
              <w:top w:val="single" w:sz="4" w:space="0" w:color="auto"/>
              <w:left w:val="nil"/>
              <w:right w:val="nil"/>
            </w:tcBorders>
          </w:tcPr>
          <w:p w:rsidR="007E390E" w:rsidRPr="00C81982" w:rsidRDefault="007E390E" w:rsidP="00C81982">
            <w:pPr>
              <w:pStyle w:val="TableHeadingRight-BP410pt"/>
              <w:keepNext w:val="0"/>
              <w:rPr>
                <w:szCs w:val="20"/>
              </w:rPr>
            </w:pPr>
            <w:r w:rsidRPr="00C81982">
              <w:rPr>
                <w:szCs w:val="20"/>
              </w:rPr>
              <w:t>2013-14</w:t>
            </w:r>
          </w:p>
        </w:tc>
        <w:tc>
          <w:tcPr>
            <w:tcW w:w="1111" w:type="dxa"/>
            <w:tcBorders>
              <w:top w:val="single" w:sz="4" w:space="0" w:color="auto"/>
              <w:left w:val="nil"/>
              <w:right w:val="nil"/>
            </w:tcBorders>
          </w:tcPr>
          <w:p w:rsidR="007E390E" w:rsidRPr="00C81982" w:rsidRDefault="007E390E" w:rsidP="00C81982">
            <w:pPr>
              <w:pStyle w:val="TableHeadingRight-BP410pt"/>
              <w:keepNext w:val="0"/>
              <w:rPr>
                <w:szCs w:val="20"/>
              </w:rPr>
            </w:pPr>
            <w:r w:rsidRPr="00C81982">
              <w:rPr>
                <w:szCs w:val="20"/>
              </w:rPr>
              <w:t>Long Term</w:t>
            </w:r>
          </w:p>
        </w:tc>
      </w:tr>
      <w:tr w:rsidR="007E390E" w:rsidRPr="00F53A2C" w:rsidTr="005A3160">
        <w:tc>
          <w:tcPr>
            <w:tcW w:w="4632" w:type="dxa"/>
            <w:tcBorders>
              <w:left w:val="nil"/>
              <w:right w:val="nil"/>
            </w:tcBorders>
          </w:tcPr>
          <w:p w:rsidR="007E390E" w:rsidRPr="00C81982" w:rsidRDefault="007E390E" w:rsidP="00C81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085" w:type="dxa"/>
            <w:tcBorders>
              <w:left w:val="nil"/>
              <w:right w:val="nil"/>
            </w:tcBorders>
          </w:tcPr>
          <w:p w:rsidR="007E390E" w:rsidRPr="00C81982" w:rsidRDefault="007E390E" w:rsidP="00C81982">
            <w:pPr>
              <w:pStyle w:val="TableHeadingRight-BP410pt"/>
              <w:keepNext w:val="0"/>
              <w:rPr>
                <w:szCs w:val="20"/>
              </w:rPr>
            </w:pPr>
            <w:r w:rsidRPr="00C81982">
              <w:rPr>
                <w:szCs w:val="20"/>
              </w:rPr>
              <w:t>Target</w:t>
            </w:r>
          </w:p>
        </w:tc>
        <w:tc>
          <w:tcPr>
            <w:tcW w:w="1361" w:type="dxa"/>
            <w:tcBorders>
              <w:left w:val="nil"/>
              <w:right w:val="nil"/>
            </w:tcBorders>
          </w:tcPr>
          <w:p w:rsidR="007E390E" w:rsidRPr="00C81982" w:rsidRDefault="007E390E" w:rsidP="00C81982">
            <w:pPr>
              <w:pStyle w:val="TableHeadingRight-BP410pt"/>
              <w:keepNext w:val="0"/>
              <w:rPr>
                <w:szCs w:val="20"/>
              </w:rPr>
            </w:pPr>
            <w:r w:rsidRPr="00C81982">
              <w:rPr>
                <w:szCs w:val="20"/>
              </w:rPr>
              <w:t>Est.</w:t>
            </w:r>
            <w:r w:rsidR="00C81982">
              <w:rPr>
                <w:szCs w:val="20"/>
              </w:rPr>
              <w:t xml:space="preserve"> </w:t>
            </w:r>
            <w:r w:rsidR="00C81982" w:rsidRPr="00C81982">
              <w:rPr>
                <w:szCs w:val="20"/>
              </w:rPr>
              <w:t>Outcome</w:t>
            </w:r>
          </w:p>
        </w:tc>
        <w:tc>
          <w:tcPr>
            <w:tcW w:w="1100" w:type="dxa"/>
            <w:tcBorders>
              <w:left w:val="nil"/>
              <w:right w:val="nil"/>
            </w:tcBorders>
          </w:tcPr>
          <w:p w:rsidR="007E390E" w:rsidRPr="00C81982" w:rsidRDefault="007E390E" w:rsidP="00C81982">
            <w:pPr>
              <w:pStyle w:val="TableHeadingRight-BP410pt"/>
              <w:keepNext w:val="0"/>
              <w:rPr>
                <w:szCs w:val="20"/>
              </w:rPr>
            </w:pPr>
            <w:r w:rsidRPr="00C81982">
              <w:rPr>
                <w:szCs w:val="20"/>
              </w:rPr>
              <w:t>Target</w:t>
            </w:r>
          </w:p>
        </w:tc>
        <w:tc>
          <w:tcPr>
            <w:tcW w:w="1111" w:type="dxa"/>
            <w:tcBorders>
              <w:left w:val="nil"/>
              <w:right w:val="nil"/>
            </w:tcBorders>
          </w:tcPr>
          <w:p w:rsidR="007E390E" w:rsidRPr="00C81982" w:rsidRDefault="007E390E" w:rsidP="00C81982">
            <w:pPr>
              <w:pStyle w:val="TableHeadingRight-BP410pt"/>
              <w:keepNext w:val="0"/>
              <w:rPr>
                <w:szCs w:val="20"/>
              </w:rPr>
            </w:pPr>
            <w:r w:rsidRPr="00C81982">
              <w:rPr>
                <w:szCs w:val="20"/>
              </w:rPr>
              <w:t>Target</w:t>
            </w:r>
          </w:p>
        </w:tc>
      </w:tr>
      <w:tr w:rsidR="007E390E" w:rsidRPr="00F53A2C" w:rsidTr="005A3160">
        <w:tc>
          <w:tcPr>
            <w:tcW w:w="4632" w:type="dxa"/>
            <w:tcBorders>
              <w:top w:val="single" w:sz="4" w:space="0" w:color="auto"/>
              <w:left w:val="nil"/>
              <w:bottom w:val="single" w:sz="4" w:space="0" w:color="auto"/>
              <w:right w:val="nil"/>
            </w:tcBorders>
          </w:tcPr>
          <w:p w:rsidR="007E390E" w:rsidRPr="00C81982" w:rsidRDefault="007E390E" w:rsidP="00C81982">
            <w:pPr>
              <w:pStyle w:val="TableTextLeft-BP410pt"/>
              <w:rPr>
                <w:szCs w:val="20"/>
              </w:rPr>
            </w:pPr>
            <w:r w:rsidRPr="00C81982">
              <w:rPr>
                <w:szCs w:val="20"/>
              </w:rPr>
              <w:t>Mean waiting time in working days</w:t>
            </w:r>
          </w:p>
        </w:tc>
        <w:tc>
          <w:tcPr>
            <w:tcW w:w="1085" w:type="dxa"/>
            <w:tcBorders>
              <w:top w:val="single" w:sz="4" w:space="0" w:color="auto"/>
              <w:left w:val="nil"/>
              <w:bottom w:val="single" w:sz="4" w:space="0" w:color="auto"/>
              <w:right w:val="nil"/>
            </w:tcBorders>
          </w:tcPr>
          <w:p w:rsidR="007E390E" w:rsidRPr="00C81982" w:rsidRDefault="007E390E" w:rsidP="00C81982">
            <w:pPr>
              <w:pStyle w:val="TableTextRight-BP410pt"/>
            </w:pPr>
            <w:r w:rsidRPr="00C81982">
              <w:t>2 days</w:t>
            </w:r>
          </w:p>
        </w:tc>
        <w:tc>
          <w:tcPr>
            <w:tcW w:w="1361" w:type="dxa"/>
            <w:tcBorders>
              <w:top w:val="single" w:sz="4" w:space="0" w:color="auto"/>
              <w:left w:val="nil"/>
              <w:bottom w:val="single" w:sz="4" w:space="0" w:color="auto"/>
              <w:right w:val="nil"/>
            </w:tcBorders>
          </w:tcPr>
          <w:p w:rsidR="007E390E" w:rsidRPr="00C81982" w:rsidRDefault="007E390E" w:rsidP="00C81982">
            <w:pPr>
              <w:pStyle w:val="TableTextRight-BP410pt"/>
              <w:rPr>
                <w:vertAlign w:val="superscript"/>
              </w:rPr>
            </w:pPr>
            <w:r w:rsidRPr="00C81982">
              <w:t>2.4 days</w:t>
            </w:r>
            <w:r w:rsidRPr="00C81982">
              <w:rPr>
                <w:vertAlign w:val="superscript"/>
              </w:rPr>
              <w:t>1</w:t>
            </w:r>
          </w:p>
        </w:tc>
        <w:tc>
          <w:tcPr>
            <w:tcW w:w="1100" w:type="dxa"/>
            <w:tcBorders>
              <w:top w:val="single" w:sz="4" w:space="0" w:color="auto"/>
              <w:left w:val="nil"/>
              <w:bottom w:val="single" w:sz="4" w:space="0" w:color="auto"/>
              <w:right w:val="nil"/>
            </w:tcBorders>
          </w:tcPr>
          <w:p w:rsidR="007E390E" w:rsidRPr="00C81982" w:rsidRDefault="007E390E" w:rsidP="00C81982">
            <w:pPr>
              <w:pStyle w:val="TableTextRight-BP410pt"/>
            </w:pPr>
            <w:r w:rsidRPr="00C81982">
              <w:t>2 days</w:t>
            </w:r>
          </w:p>
        </w:tc>
        <w:tc>
          <w:tcPr>
            <w:tcW w:w="1111" w:type="dxa"/>
            <w:tcBorders>
              <w:top w:val="single" w:sz="4" w:space="0" w:color="auto"/>
              <w:left w:val="nil"/>
              <w:bottom w:val="single" w:sz="4" w:space="0" w:color="auto"/>
              <w:right w:val="nil"/>
            </w:tcBorders>
          </w:tcPr>
          <w:p w:rsidR="007E390E" w:rsidRPr="00C81982" w:rsidRDefault="007E390E" w:rsidP="00C81982">
            <w:pPr>
              <w:pStyle w:val="TableTextRight-BP410pt"/>
            </w:pPr>
            <w:r w:rsidRPr="00C81982">
              <w:t>2 days</w:t>
            </w:r>
          </w:p>
        </w:tc>
      </w:tr>
    </w:tbl>
    <w:p w:rsidR="007E390E" w:rsidRPr="00803A83" w:rsidRDefault="007E390E" w:rsidP="00D0119B">
      <w:pPr>
        <w:pStyle w:val="NoteHeading"/>
      </w:pPr>
      <w:r w:rsidRPr="00803A83">
        <w:t>Note:</w:t>
      </w:r>
    </w:p>
    <w:p w:rsidR="007E390E" w:rsidRPr="00803A83" w:rsidRDefault="007E390E" w:rsidP="00D0119B">
      <w:pPr>
        <w:pStyle w:val="AINotes"/>
        <w:numPr>
          <w:ilvl w:val="0"/>
          <w:numId w:val="25"/>
        </w:numPr>
      </w:pPr>
      <w:r w:rsidRPr="00803A83">
        <w:t xml:space="preserve">The ACT Aged Care Assessment Unit (ACAT) was unable to meet the indicator target due to increased public and private hospital referrals and ongoing issues with unexpected staff unavailability.  To improve performance on the indicator, ACAT are currently attempting recruitment of additional casual backfill assessors to deal with the increased levels of referrals. </w:t>
      </w:r>
      <w:r w:rsidR="00803A83">
        <w:t xml:space="preserve"> </w:t>
      </w:r>
      <w:r w:rsidRPr="00803A83">
        <w:t>The result is still within the national response timeframe.</w:t>
      </w:r>
    </w:p>
    <w:p w:rsidR="007E390E" w:rsidRPr="00803A83" w:rsidRDefault="007E390E" w:rsidP="00803A83">
      <w:pPr>
        <w:pStyle w:val="SIHeading1"/>
      </w:pPr>
      <w:r w:rsidRPr="00803A83">
        <w:t>Strategic Objective 6</w:t>
      </w:r>
    </w:p>
    <w:p w:rsidR="007E390E" w:rsidRPr="00803A83" w:rsidRDefault="007E390E" w:rsidP="00803A83">
      <w:pPr>
        <w:pStyle w:val="SIHeading2"/>
      </w:pPr>
      <w:r w:rsidRPr="00F53A2C">
        <w:t xml:space="preserve"> </w:t>
      </w:r>
      <w:r>
        <w:t>R</w:t>
      </w:r>
      <w:r w:rsidRPr="00F53A2C">
        <w:t xml:space="preserve">educing the </w:t>
      </w:r>
      <w:r w:rsidR="00543B1E">
        <w:t>U</w:t>
      </w:r>
      <w:r w:rsidRPr="00F53A2C">
        <w:t xml:space="preserve">sage of </w:t>
      </w:r>
      <w:r w:rsidR="00543B1E">
        <w:t>S</w:t>
      </w:r>
      <w:r w:rsidRPr="00F53A2C">
        <w:t>eclusion</w:t>
      </w:r>
      <w:r>
        <w:t xml:space="preserve"> in </w:t>
      </w:r>
      <w:r w:rsidR="00543B1E">
        <w:t>M</w:t>
      </w:r>
      <w:r>
        <w:t xml:space="preserve">ental </w:t>
      </w:r>
      <w:r w:rsidR="00543B1E">
        <w:t>H</w:t>
      </w:r>
      <w:r>
        <w:t xml:space="preserve">ealth </w:t>
      </w:r>
      <w:r w:rsidR="00543B1E">
        <w:t>E</w:t>
      </w:r>
      <w:r w:rsidR="007F78C0">
        <w:t>p</w:t>
      </w:r>
      <w:r>
        <w:t>isodes</w:t>
      </w:r>
    </w:p>
    <w:p w:rsidR="0006550A" w:rsidRPr="00AA6E17" w:rsidRDefault="0006550A" w:rsidP="0006550A">
      <w:pPr>
        <w:pStyle w:val="SIlabel"/>
        <w:rPr>
          <w:b w:val="0"/>
        </w:rPr>
      </w:pPr>
      <w:r>
        <w:t xml:space="preserve">Strategic Indicator 6:  </w:t>
      </w:r>
      <w:r w:rsidRPr="00AA6E17">
        <w:rPr>
          <w:b w:val="0"/>
        </w:rPr>
        <w:t>Proportion</w:t>
      </w:r>
      <w:r>
        <w:t xml:space="preserve"> </w:t>
      </w:r>
      <w:r w:rsidRPr="00AA6E17">
        <w:rPr>
          <w:b w:val="0"/>
        </w:rPr>
        <w:t>of</w:t>
      </w:r>
      <w:r>
        <w:t xml:space="preserve"> </w:t>
      </w:r>
      <w:r w:rsidR="001E3DB7">
        <w:rPr>
          <w:b w:val="0"/>
        </w:rPr>
        <w:t>Clients with a Mental Health Seclusion E</w:t>
      </w:r>
      <w:r>
        <w:rPr>
          <w:b w:val="0"/>
        </w:rPr>
        <w:t>pisode</w:t>
      </w:r>
    </w:p>
    <w:p w:rsidR="007E390E" w:rsidRDefault="007E390E" w:rsidP="00803A83">
      <w:pPr>
        <w:pStyle w:val="BodyText"/>
      </w:pPr>
      <w:proofErr w:type="gramStart"/>
      <w:r w:rsidRPr="00803A83">
        <w:t>The proportion of mental health clients who are subject to a seclusion episode while being an admitted patient in an ACT public mental health inpatient unit.</w:t>
      </w:r>
      <w:proofErr w:type="gramEnd"/>
      <w:r w:rsidRPr="00803A83">
        <w:t xml:space="preserve">  This measures the effectiveness of public mental health services in the ACT over time in providing services that minimise the need for seclusion.</w:t>
      </w:r>
    </w:p>
    <w:tbl>
      <w:tblPr>
        <w:tblW w:w="9100" w:type="dxa"/>
        <w:tblLayout w:type="fixed"/>
        <w:tblLook w:val="0000"/>
      </w:tblPr>
      <w:tblGrid>
        <w:gridCol w:w="4528"/>
        <w:gridCol w:w="1068"/>
        <w:gridCol w:w="1334"/>
        <w:gridCol w:w="1079"/>
        <w:gridCol w:w="1091"/>
      </w:tblGrid>
      <w:tr w:rsidR="001E3DB7" w:rsidRPr="00F53A2C" w:rsidTr="001E3DB7">
        <w:tc>
          <w:tcPr>
            <w:tcW w:w="4528" w:type="dxa"/>
            <w:tcBorders>
              <w:top w:val="single" w:sz="4" w:space="0" w:color="auto"/>
              <w:left w:val="nil"/>
              <w:right w:val="nil"/>
            </w:tcBorders>
            <w:vAlign w:val="center"/>
          </w:tcPr>
          <w:p w:rsidR="001E3DB7" w:rsidRPr="00C81982" w:rsidRDefault="001E3DB7" w:rsidP="00086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068"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2012-13</w:t>
            </w:r>
          </w:p>
        </w:tc>
        <w:tc>
          <w:tcPr>
            <w:tcW w:w="1334"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2012-13</w:t>
            </w:r>
          </w:p>
        </w:tc>
        <w:tc>
          <w:tcPr>
            <w:tcW w:w="1079"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2013-14</w:t>
            </w:r>
          </w:p>
        </w:tc>
        <w:tc>
          <w:tcPr>
            <w:tcW w:w="1091"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Long Term</w:t>
            </w:r>
          </w:p>
        </w:tc>
      </w:tr>
      <w:tr w:rsidR="001E3DB7" w:rsidRPr="00F53A2C" w:rsidTr="001E3DB7">
        <w:tc>
          <w:tcPr>
            <w:tcW w:w="4528" w:type="dxa"/>
            <w:tcBorders>
              <w:left w:val="nil"/>
              <w:right w:val="nil"/>
            </w:tcBorders>
          </w:tcPr>
          <w:p w:rsidR="001E3DB7" w:rsidRPr="00C81982" w:rsidRDefault="001E3DB7" w:rsidP="00086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068" w:type="dxa"/>
            <w:tcBorders>
              <w:left w:val="nil"/>
              <w:right w:val="nil"/>
            </w:tcBorders>
          </w:tcPr>
          <w:p w:rsidR="001E3DB7" w:rsidRPr="00C81982" w:rsidRDefault="001E3DB7" w:rsidP="00086F74">
            <w:pPr>
              <w:pStyle w:val="TableTextRightBold"/>
            </w:pPr>
            <w:r w:rsidRPr="00C81982">
              <w:t>Target</w:t>
            </w:r>
          </w:p>
        </w:tc>
        <w:tc>
          <w:tcPr>
            <w:tcW w:w="1334" w:type="dxa"/>
            <w:tcBorders>
              <w:left w:val="nil"/>
              <w:right w:val="nil"/>
            </w:tcBorders>
          </w:tcPr>
          <w:p w:rsidR="001E3DB7" w:rsidRPr="00C81982" w:rsidRDefault="001E3DB7" w:rsidP="00086F74">
            <w:pPr>
              <w:pStyle w:val="TableTextRightBold"/>
            </w:pPr>
            <w:r w:rsidRPr="00C81982">
              <w:t>Est. Outcome</w:t>
            </w:r>
          </w:p>
        </w:tc>
        <w:tc>
          <w:tcPr>
            <w:tcW w:w="1079" w:type="dxa"/>
            <w:tcBorders>
              <w:left w:val="nil"/>
              <w:right w:val="nil"/>
            </w:tcBorders>
          </w:tcPr>
          <w:p w:rsidR="001E3DB7" w:rsidRPr="00C81982" w:rsidRDefault="001E3DB7" w:rsidP="00086F74">
            <w:pPr>
              <w:pStyle w:val="TableTextRightBold"/>
            </w:pPr>
            <w:r w:rsidRPr="00C81982">
              <w:t>Target</w:t>
            </w:r>
          </w:p>
        </w:tc>
        <w:tc>
          <w:tcPr>
            <w:tcW w:w="1091" w:type="dxa"/>
            <w:tcBorders>
              <w:left w:val="nil"/>
              <w:right w:val="nil"/>
            </w:tcBorders>
          </w:tcPr>
          <w:p w:rsidR="001E3DB7" w:rsidRPr="00C81982" w:rsidRDefault="001E3DB7" w:rsidP="00086F74">
            <w:pPr>
              <w:pStyle w:val="TableTextRightBold"/>
            </w:pPr>
            <w:r w:rsidRPr="00C81982">
              <w:t>Target</w:t>
            </w:r>
          </w:p>
        </w:tc>
      </w:tr>
      <w:tr w:rsidR="001E3DB7" w:rsidRPr="00F53A2C" w:rsidTr="001E3DB7">
        <w:tc>
          <w:tcPr>
            <w:tcW w:w="4528" w:type="dxa"/>
            <w:tcBorders>
              <w:top w:val="single" w:sz="4" w:space="0" w:color="auto"/>
              <w:left w:val="nil"/>
              <w:bottom w:val="single" w:sz="4" w:space="0" w:color="auto"/>
              <w:right w:val="nil"/>
            </w:tcBorders>
            <w:shd w:val="clear" w:color="auto" w:fill="auto"/>
          </w:tcPr>
          <w:p w:rsidR="001E3DB7" w:rsidRPr="00C81982" w:rsidRDefault="001E3DB7" w:rsidP="00086F74">
            <w:pPr>
              <w:pStyle w:val="TableTextLeft-BP410pt"/>
              <w:rPr>
                <w:szCs w:val="20"/>
              </w:rPr>
            </w:pPr>
            <w:r w:rsidRPr="00803A83">
              <w:t>The proportion of mental health clients who are subject to a seclusion episode while being an admitted patient in an ACT public mental health inpatient unit</w:t>
            </w:r>
          </w:p>
        </w:tc>
        <w:tc>
          <w:tcPr>
            <w:tcW w:w="1068" w:type="dxa"/>
            <w:tcBorders>
              <w:top w:val="single" w:sz="4" w:space="0" w:color="auto"/>
              <w:left w:val="nil"/>
              <w:bottom w:val="single" w:sz="4" w:space="0" w:color="auto"/>
              <w:right w:val="nil"/>
            </w:tcBorders>
          </w:tcPr>
          <w:p w:rsidR="001E3DB7" w:rsidRPr="00F53A2C" w:rsidRDefault="001E3DB7" w:rsidP="001E3DB7">
            <w:pPr>
              <w:pStyle w:val="TableTextRight-BP410pt"/>
            </w:pPr>
            <w:r>
              <w:t>&lt;</w:t>
            </w:r>
            <w:r w:rsidRPr="00F53A2C">
              <w:t>3%</w:t>
            </w:r>
          </w:p>
        </w:tc>
        <w:tc>
          <w:tcPr>
            <w:tcW w:w="1334" w:type="dxa"/>
            <w:tcBorders>
              <w:top w:val="single" w:sz="4" w:space="0" w:color="auto"/>
              <w:left w:val="nil"/>
              <w:bottom w:val="single" w:sz="4" w:space="0" w:color="auto"/>
              <w:right w:val="nil"/>
            </w:tcBorders>
          </w:tcPr>
          <w:p w:rsidR="001E3DB7" w:rsidRPr="00E95FFA" w:rsidRDefault="001E3DB7" w:rsidP="001E3DB7">
            <w:pPr>
              <w:pStyle w:val="TableTextRight-BP410pt"/>
            </w:pPr>
            <w:r w:rsidRPr="00E95FFA">
              <w:t>1.4%</w:t>
            </w:r>
          </w:p>
        </w:tc>
        <w:tc>
          <w:tcPr>
            <w:tcW w:w="1079" w:type="dxa"/>
            <w:tcBorders>
              <w:top w:val="single" w:sz="4" w:space="0" w:color="auto"/>
              <w:left w:val="nil"/>
              <w:bottom w:val="single" w:sz="4" w:space="0" w:color="auto"/>
              <w:right w:val="nil"/>
            </w:tcBorders>
          </w:tcPr>
          <w:p w:rsidR="001E3DB7" w:rsidRPr="00E95FFA" w:rsidRDefault="001E3DB7" w:rsidP="001E3DB7">
            <w:pPr>
              <w:pStyle w:val="TableTextRight-BP410pt"/>
            </w:pPr>
            <w:r w:rsidRPr="00E95FFA">
              <w:t>&lt;3%</w:t>
            </w:r>
          </w:p>
        </w:tc>
        <w:tc>
          <w:tcPr>
            <w:tcW w:w="1091" w:type="dxa"/>
            <w:tcBorders>
              <w:top w:val="single" w:sz="4" w:space="0" w:color="auto"/>
              <w:left w:val="nil"/>
              <w:bottom w:val="single" w:sz="4" w:space="0" w:color="auto"/>
              <w:right w:val="nil"/>
            </w:tcBorders>
          </w:tcPr>
          <w:p w:rsidR="001E3DB7" w:rsidRPr="00E95FFA" w:rsidRDefault="001E3DB7" w:rsidP="001E3DB7">
            <w:pPr>
              <w:pStyle w:val="TableTextRight-BP410pt"/>
            </w:pPr>
            <w:r w:rsidRPr="00E95FFA">
              <w:t>&lt;3%</w:t>
            </w:r>
          </w:p>
        </w:tc>
      </w:tr>
    </w:tbl>
    <w:p w:rsidR="007E390E" w:rsidRPr="00803A83" w:rsidRDefault="007E390E" w:rsidP="00803A83">
      <w:pPr>
        <w:pStyle w:val="SIHeading1"/>
      </w:pPr>
      <w:r w:rsidRPr="00803A83">
        <w:lastRenderedPageBreak/>
        <w:t>Strategic Objective 7</w:t>
      </w:r>
    </w:p>
    <w:p w:rsidR="007E390E" w:rsidRPr="00803A83" w:rsidRDefault="007E390E" w:rsidP="00803A83">
      <w:pPr>
        <w:pStyle w:val="SIHeading2"/>
      </w:pPr>
      <w:r w:rsidRPr="00803A83">
        <w:t xml:space="preserve">Maintaining </w:t>
      </w:r>
      <w:r w:rsidR="007F6802">
        <w:t>R</w:t>
      </w:r>
      <w:r w:rsidRPr="00803A83">
        <w:t xml:space="preserve">educed </w:t>
      </w:r>
      <w:r w:rsidR="007F6802">
        <w:t>R</w:t>
      </w:r>
      <w:r w:rsidRPr="00803A83">
        <w:t xml:space="preserve">ates of </w:t>
      </w:r>
      <w:r w:rsidR="007F6802">
        <w:t>P</w:t>
      </w:r>
      <w:r w:rsidRPr="00803A83">
        <w:t xml:space="preserve">atient </w:t>
      </w:r>
      <w:r w:rsidR="007F6802">
        <w:t>R</w:t>
      </w:r>
      <w:r w:rsidRPr="00803A83">
        <w:t xml:space="preserve">eturn to an ACT </w:t>
      </w:r>
      <w:r w:rsidR="007F6802">
        <w:t>P</w:t>
      </w:r>
      <w:r w:rsidRPr="00803A83">
        <w:t xml:space="preserve">ublic </w:t>
      </w:r>
      <w:r w:rsidR="007F6802">
        <w:t>A</w:t>
      </w:r>
      <w:r w:rsidRPr="00803A83">
        <w:t xml:space="preserve">cute </w:t>
      </w:r>
      <w:r w:rsidR="007F6802">
        <w:t>P</w:t>
      </w:r>
      <w:r w:rsidRPr="00803A83">
        <w:t xml:space="preserve">sychiatric </w:t>
      </w:r>
      <w:r w:rsidR="007F6802">
        <w:t>I</w:t>
      </w:r>
      <w:r w:rsidRPr="00803A83">
        <w:t xml:space="preserve">npatient </w:t>
      </w:r>
      <w:r w:rsidR="007F6802">
        <w:t>U</w:t>
      </w:r>
      <w:r w:rsidRPr="00803A83">
        <w:t xml:space="preserve">nit </w:t>
      </w:r>
    </w:p>
    <w:p w:rsidR="0006550A" w:rsidRPr="00E91E29" w:rsidRDefault="0006550A" w:rsidP="0006550A">
      <w:pPr>
        <w:pStyle w:val="SIlabel"/>
        <w:rPr>
          <w:b w:val="0"/>
        </w:rPr>
      </w:pPr>
      <w:r w:rsidRPr="00547D64">
        <w:rPr>
          <w:rStyle w:val="SIHeading1Char"/>
          <w:b/>
        </w:rPr>
        <w:t>Strategic Indicator 7</w:t>
      </w:r>
      <w:r w:rsidRPr="00547D64">
        <w:rPr>
          <w:b w:val="0"/>
        </w:rPr>
        <w:t>:</w:t>
      </w:r>
      <w:r>
        <w:t xml:space="preserve">  </w:t>
      </w:r>
      <w:r>
        <w:rPr>
          <w:b w:val="0"/>
        </w:rPr>
        <w:t xml:space="preserve">Acute </w:t>
      </w:r>
      <w:r w:rsidR="001E3DB7">
        <w:rPr>
          <w:b w:val="0"/>
        </w:rPr>
        <w:t>P</w:t>
      </w:r>
      <w:r>
        <w:rPr>
          <w:b w:val="0"/>
        </w:rPr>
        <w:t xml:space="preserve">sychiatric </w:t>
      </w:r>
      <w:r w:rsidR="001E3DB7">
        <w:rPr>
          <w:b w:val="0"/>
        </w:rPr>
        <w:t>U</w:t>
      </w:r>
      <w:r>
        <w:rPr>
          <w:b w:val="0"/>
        </w:rPr>
        <w:t xml:space="preserve">nit </w:t>
      </w:r>
      <w:r w:rsidR="001E3DB7">
        <w:rPr>
          <w:b w:val="0"/>
        </w:rPr>
        <w:t>P</w:t>
      </w:r>
      <w:r>
        <w:rPr>
          <w:b w:val="0"/>
        </w:rPr>
        <w:t xml:space="preserve">atient 28 </w:t>
      </w:r>
      <w:r w:rsidR="001E3DB7">
        <w:rPr>
          <w:b w:val="0"/>
        </w:rPr>
        <w:t>D</w:t>
      </w:r>
      <w:r>
        <w:rPr>
          <w:b w:val="0"/>
        </w:rPr>
        <w:t xml:space="preserve">ay </w:t>
      </w:r>
      <w:r w:rsidR="001E3DB7">
        <w:rPr>
          <w:b w:val="0"/>
        </w:rPr>
        <w:t>R</w:t>
      </w:r>
      <w:r>
        <w:rPr>
          <w:b w:val="0"/>
        </w:rPr>
        <w:t xml:space="preserve">eadmission </w:t>
      </w:r>
      <w:r w:rsidR="001E3DB7">
        <w:rPr>
          <w:b w:val="0"/>
        </w:rPr>
        <w:t>R</w:t>
      </w:r>
      <w:r>
        <w:rPr>
          <w:b w:val="0"/>
        </w:rPr>
        <w:t>ate</w:t>
      </w:r>
    </w:p>
    <w:p w:rsidR="007E390E" w:rsidRDefault="007E390E" w:rsidP="00803A83">
      <w:pPr>
        <w:pStyle w:val="BodyText"/>
      </w:pPr>
      <w:r w:rsidRPr="00803A83">
        <w:t>This is the proportion of clients who return to hospital within 28 days of discharge from an ACT public acute psychiatric unit following an acute episode of care.  This indicator reflects the quality of care provided to acute mental health patients.</w:t>
      </w:r>
    </w:p>
    <w:tbl>
      <w:tblPr>
        <w:tblW w:w="9100" w:type="dxa"/>
        <w:tblLayout w:type="fixed"/>
        <w:tblLook w:val="0000"/>
      </w:tblPr>
      <w:tblGrid>
        <w:gridCol w:w="4528"/>
        <w:gridCol w:w="1068"/>
        <w:gridCol w:w="1334"/>
        <w:gridCol w:w="1079"/>
        <w:gridCol w:w="1091"/>
      </w:tblGrid>
      <w:tr w:rsidR="001E3DB7" w:rsidRPr="00F53A2C" w:rsidTr="00086F74">
        <w:tc>
          <w:tcPr>
            <w:tcW w:w="4528" w:type="dxa"/>
            <w:tcBorders>
              <w:top w:val="single" w:sz="4" w:space="0" w:color="auto"/>
              <w:left w:val="nil"/>
              <w:right w:val="nil"/>
            </w:tcBorders>
            <w:vAlign w:val="center"/>
          </w:tcPr>
          <w:p w:rsidR="001E3DB7" w:rsidRPr="00C81982" w:rsidRDefault="001E3DB7" w:rsidP="00086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068"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2012-13</w:t>
            </w:r>
          </w:p>
        </w:tc>
        <w:tc>
          <w:tcPr>
            <w:tcW w:w="1334"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2012-13</w:t>
            </w:r>
          </w:p>
        </w:tc>
        <w:tc>
          <w:tcPr>
            <w:tcW w:w="1079"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2013-14</w:t>
            </w:r>
          </w:p>
        </w:tc>
        <w:tc>
          <w:tcPr>
            <w:tcW w:w="1091" w:type="dxa"/>
            <w:tcBorders>
              <w:top w:val="single" w:sz="4" w:space="0" w:color="auto"/>
              <w:left w:val="nil"/>
              <w:right w:val="nil"/>
            </w:tcBorders>
          </w:tcPr>
          <w:p w:rsidR="001E3DB7" w:rsidRPr="00D13A92" w:rsidRDefault="001E3DB7" w:rsidP="00086F74">
            <w:pPr>
              <w:pStyle w:val="TableTextRightBold-BP410pt"/>
            </w:pPr>
            <w:r w:rsidRPr="00D13A92">
              <w:t xml:space="preserve">National </w:t>
            </w:r>
          </w:p>
        </w:tc>
      </w:tr>
      <w:tr w:rsidR="001E3DB7" w:rsidRPr="00F53A2C" w:rsidTr="00086F74">
        <w:tc>
          <w:tcPr>
            <w:tcW w:w="4528" w:type="dxa"/>
            <w:tcBorders>
              <w:left w:val="nil"/>
              <w:right w:val="nil"/>
            </w:tcBorders>
          </w:tcPr>
          <w:p w:rsidR="001E3DB7" w:rsidRPr="00C81982" w:rsidRDefault="001E3DB7" w:rsidP="00086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068" w:type="dxa"/>
            <w:tcBorders>
              <w:left w:val="nil"/>
              <w:right w:val="nil"/>
            </w:tcBorders>
          </w:tcPr>
          <w:p w:rsidR="001E3DB7" w:rsidRPr="00C81982" w:rsidRDefault="001E3DB7" w:rsidP="00086F74">
            <w:pPr>
              <w:pStyle w:val="TableTextRightBold"/>
            </w:pPr>
            <w:r w:rsidRPr="00C81982">
              <w:t>Target</w:t>
            </w:r>
          </w:p>
        </w:tc>
        <w:tc>
          <w:tcPr>
            <w:tcW w:w="1334" w:type="dxa"/>
            <w:tcBorders>
              <w:left w:val="nil"/>
              <w:right w:val="nil"/>
            </w:tcBorders>
          </w:tcPr>
          <w:p w:rsidR="001E3DB7" w:rsidRPr="00C81982" w:rsidRDefault="001E3DB7" w:rsidP="00086F74">
            <w:pPr>
              <w:pStyle w:val="TableTextRightBold"/>
            </w:pPr>
            <w:r w:rsidRPr="00C81982">
              <w:t>Est. Outcome</w:t>
            </w:r>
          </w:p>
        </w:tc>
        <w:tc>
          <w:tcPr>
            <w:tcW w:w="1079" w:type="dxa"/>
            <w:tcBorders>
              <w:left w:val="nil"/>
              <w:right w:val="nil"/>
            </w:tcBorders>
          </w:tcPr>
          <w:p w:rsidR="001E3DB7" w:rsidRPr="00C81982" w:rsidRDefault="001E3DB7" w:rsidP="00086F74">
            <w:pPr>
              <w:pStyle w:val="TableTextRightBold"/>
            </w:pPr>
            <w:r w:rsidRPr="00C81982">
              <w:t>Target</w:t>
            </w:r>
          </w:p>
        </w:tc>
        <w:tc>
          <w:tcPr>
            <w:tcW w:w="1091" w:type="dxa"/>
            <w:tcBorders>
              <w:left w:val="nil"/>
              <w:right w:val="nil"/>
            </w:tcBorders>
          </w:tcPr>
          <w:p w:rsidR="001E3DB7" w:rsidRPr="00D13A92" w:rsidRDefault="001E3DB7" w:rsidP="00086F74">
            <w:pPr>
              <w:pStyle w:val="TableTextRightBold-BP410pt"/>
            </w:pPr>
            <w:r w:rsidRPr="00D13A92">
              <w:t>Rate</w:t>
            </w:r>
          </w:p>
        </w:tc>
      </w:tr>
      <w:tr w:rsidR="001E3DB7" w:rsidRPr="00F53A2C" w:rsidTr="00086F74">
        <w:tc>
          <w:tcPr>
            <w:tcW w:w="4528" w:type="dxa"/>
            <w:tcBorders>
              <w:top w:val="single" w:sz="4" w:space="0" w:color="auto"/>
              <w:left w:val="nil"/>
              <w:bottom w:val="single" w:sz="4" w:space="0" w:color="auto"/>
              <w:right w:val="nil"/>
            </w:tcBorders>
            <w:shd w:val="clear" w:color="auto" w:fill="auto"/>
          </w:tcPr>
          <w:p w:rsidR="001E3DB7" w:rsidRPr="00C81982" w:rsidRDefault="001E3DB7" w:rsidP="00086F74">
            <w:pPr>
              <w:pStyle w:val="TableTextLeft-BP410pt"/>
              <w:rPr>
                <w:szCs w:val="20"/>
              </w:rPr>
            </w:pPr>
            <w:r w:rsidRPr="00D13A92">
              <w:rPr>
                <w:szCs w:val="20"/>
              </w:rPr>
              <w:t>Proportion of clients w</w:t>
            </w:r>
            <w:r>
              <w:rPr>
                <w:szCs w:val="20"/>
              </w:rPr>
              <w:t>ho return to hospital within 28 </w:t>
            </w:r>
            <w:r w:rsidRPr="00D13A92">
              <w:rPr>
                <w:szCs w:val="20"/>
              </w:rPr>
              <w:t>days of discharge from an ACT acute psychiatric mental health inpatient unit</w:t>
            </w:r>
          </w:p>
        </w:tc>
        <w:tc>
          <w:tcPr>
            <w:tcW w:w="1068" w:type="dxa"/>
            <w:tcBorders>
              <w:top w:val="single" w:sz="4" w:space="0" w:color="auto"/>
              <w:left w:val="nil"/>
              <w:bottom w:val="single" w:sz="4" w:space="0" w:color="auto"/>
              <w:right w:val="nil"/>
            </w:tcBorders>
          </w:tcPr>
          <w:p w:rsidR="001E3DB7" w:rsidRPr="00D13A92" w:rsidRDefault="001E3DB7" w:rsidP="00086F74">
            <w:pPr>
              <w:pStyle w:val="TableTextRight-BP410pt"/>
            </w:pPr>
            <w:r w:rsidRPr="00D13A92">
              <w:t>&lt;10%</w:t>
            </w:r>
          </w:p>
        </w:tc>
        <w:tc>
          <w:tcPr>
            <w:tcW w:w="1334" w:type="dxa"/>
            <w:tcBorders>
              <w:top w:val="single" w:sz="4" w:space="0" w:color="auto"/>
              <w:left w:val="nil"/>
              <w:bottom w:val="single" w:sz="4" w:space="0" w:color="auto"/>
              <w:right w:val="nil"/>
            </w:tcBorders>
          </w:tcPr>
          <w:p w:rsidR="001E3DB7" w:rsidRPr="00D13A92" w:rsidRDefault="001E3DB7" w:rsidP="00086F74">
            <w:pPr>
              <w:pStyle w:val="TableTextRight-BP410pt"/>
            </w:pPr>
            <w:r w:rsidRPr="00D13A92">
              <w:t>8.8%</w:t>
            </w:r>
          </w:p>
        </w:tc>
        <w:tc>
          <w:tcPr>
            <w:tcW w:w="1079" w:type="dxa"/>
            <w:tcBorders>
              <w:top w:val="single" w:sz="4" w:space="0" w:color="auto"/>
              <w:left w:val="nil"/>
              <w:bottom w:val="single" w:sz="4" w:space="0" w:color="auto"/>
              <w:right w:val="nil"/>
            </w:tcBorders>
          </w:tcPr>
          <w:p w:rsidR="001E3DB7" w:rsidRPr="00D13A92" w:rsidRDefault="001E3DB7" w:rsidP="00086F74">
            <w:pPr>
              <w:pStyle w:val="TableTextRight-BP410pt"/>
            </w:pPr>
            <w:r w:rsidRPr="00D13A92">
              <w:t>&lt;5%</w:t>
            </w:r>
          </w:p>
        </w:tc>
        <w:tc>
          <w:tcPr>
            <w:tcW w:w="1091" w:type="dxa"/>
            <w:tcBorders>
              <w:top w:val="single" w:sz="4" w:space="0" w:color="auto"/>
              <w:left w:val="nil"/>
              <w:bottom w:val="single" w:sz="4" w:space="0" w:color="auto"/>
              <w:right w:val="nil"/>
            </w:tcBorders>
          </w:tcPr>
          <w:p w:rsidR="001E3DB7" w:rsidRPr="00D13A92" w:rsidRDefault="001E3DB7" w:rsidP="00086F74">
            <w:pPr>
              <w:pStyle w:val="TableTextRight-BP410pt"/>
            </w:pPr>
            <w:r w:rsidRPr="00D13A92">
              <w:t>14.7%</w:t>
            </w:r>
          </w:p>
        </w:tc>
      </w:tr>
    </w:tbl>
    <w:p w:rsidR="001E3DB7" w:rsidRPr="00803A83" w:rsidRDefault="001E3DB7" w:rsidP="001E3DB7">
      <w:pPr>
        <w:pStyle w:val="NoteText"/>
        <w:rPr>
          <w:i/>
        </w:rPr>
      </w:pPr>
      <w:r w:rsidRPr="00803A83">
        <w:rPr>
          <w:i/>
        </w:rPr>
        <w:t>Source:  Report on Government Services 2013 Table 12A.39.</w:t>
      </w:r>
    </w:p>
    <w:p w:rsidR="007E390E" w:rsidRPr="00803A83" w:rsidRDefault="007E390E" w:rsidP="00803A83">
      <w:pPr>
        <w:pStyle w:val="SIHeading1"/>
      </w:pPr>
      <w:r w:rsidRPr="00803A83">
        <w:t>Strategic Objective 8</w:t>
      </w:r>
    </w:p>
    <w:p w:rsidR="007E390E" w:rsidRPr="00F53A2C" w:rsidRDefault="007E390E" w:rsidP="007E390E">
      <w:pPr>
        <w:pStyle w:val="SIHeading2"/>
      </w:pPr>
      <w:r w:rsidRPr="00F53A2C">
        <w:t xml:space="preserve">Reaching the </w:t>
      </w:r>
      <w:r w:rsidR="004A56F8">
        <w:t>O</w:t>
      </w:r>
      <w:r w:rsidRPr="00F53A2C">
        <w:t xml:space="preserve">ptimum </w:t>
      </w:r>
      <w:r w:rsidR="004A56F8">
        <w:t>O</w:t>
      </w:r>
      <w:r w:rsidRPr="00F53A2C">
        <w:t xml:space="preserve">ccupancy </w:t>
      </w:r>
      <w:r w:rsidR="004A56F8">
        <w:t>R</w:t>
      </w:r>
      <w:r w:rsidRPr="00F53A2C">
        <w:t xml:space="preserve">ate for all </w:t>
      </w:r>
      <w:r w:rsidR="004A56F8">
        <w:t>O</w:t>
      </w:r>
      <w:r w:rsidRPr="00F53A2C">
        <w:t xml:space="preserve">vernight </w:t>
      </w:r>
      <w:r w:rsidR="004A56F8">
        <w:t>H</w:t>
      </w:r>
      <w:r w:rsidRPr="00F53A2C">
        <w:t xml:space="preserve">ospital </w:t>
      </w:r>
      <w:r w:rsidR="004A56F8">
        <w:t>B</w:t>
      </w:r>
      <w:r w:rsidRPr="00F53A2C">
        <w:t>eds</w:t>
      </w:r>
    </w:p>
    <w:p w:rsidR="0006550A" w:rsidRPr="00333A5C" w:rsidRDefault="0006550A" w:rsidP="0006550A">
      <w:pPr>
        <w:pStyle w:val="SIlabel"/>
        <w:rPr>
          <w:b w:val="0"/>
        </w:rPr>
      </w:pPr>
      <w:r w:rsidRPr="00547D64">
        <w:rPr>
          <w:rStyle w:val="SIHeading1Char"/>
          <w:b/>
        </w:rPr>
        <w:t>Strategic Indicator 8</w:t>
      </w:r>
      <w:r w:rsidRPr="00547D64">
        <w:rPr>
          <w:b w:val="0"/>
        </w:rPr>
        <w:t>:</w:t>
      </w:r>
      <w:r>
        <w:t xml:space="preserve">  </w:t>
      </w:r>
      <w:r w:rsidR="001E3DB7">
        <w:rPr>
          <w:b w:val="0"/>
        </w:rPr>
        <w:t>Percentage of O</w:t>
      </w:r>
      <w:r w:rsidRPr="00DB3378">
        <w:rPr>
          <w:b w:val="0"/>
        </w:rPr>
        <w:t xml:space="preserve">vernight </w:t>
      </w:r>
      <w:r w:rsidR="001E3DB7">
        <w:rPr>
          <w:b w:val="0"/>
        </w:rPr>
        <w:t>H</w:t>
      </w:r>
      <w:r w:rsidRPr="00DB3378">
        <w:rPr>
          <w:b w:val="0"/>
        </w:rPr>
        <w:t xml:space="preserve">ospital </w:t>
      </w:r>
      <w:r w:rsidR="001E3DB7">
        <w:rPr>
          <w:b w:val="0"/>
        </w:rPr>
        <w:t>B</w:t>
      </w:r>
      <w:r w:rsidRPr="00DB3378">
        <w:rPr>
          <w:b w:val="0"/>
        </w:rPr>
        <w:t xml:space="preserve">eds in </w:t>
      </w:r>
      <w:r w:rsidR="001E3DB7">
        <w:rPr>
          <w:b w:val="0"/>
        </w:rPr>
        <w:t>U</w:t>
      </w:r>
      <w:r w:rsidRPr="00DB3378">
        <w:rPr>
          <w:b w:val="0"/>
        </w:rPr>
        <w:t>se</w:t>
      </w:r>
    </w:p>
    <w:p w:rsidR="007E390E" w:rsidRDefault="007E390E" w:rsidP="00803A83">
      <w:pPr>
        <w:pStyle w:val="BodyText"/>
      </w:pPr>
      <w:r w:rsidRPr="00803A83">
        <w:t>The mean percentage of overnight hospital beds in use.  This provides an indication of the efficient use of resources available for hospital services.</w:t>
      </w:r>
    </w:p>
    <w:tbl>
      <w:tblPr>
        <w:tblW w:w="9100" w:type="dxa"/>
        <w:tblLayout w:type="fixed"/>
        <w:tblLook w:val="0000"/>
      </w:tblPr>
      <w:tblGrid>
        <w:gridCol w:w="4528"/>
        <w:gridCol w:w="1068"/>
        <w:gridCol w:w="1334"/>
        <w:gridCol w:w="1079"/>
        <w:gridCol w:w="1091"/>
      </w:tblGrid>
      <w:tr w:rsidR="001E3DB7" w:rsidRPr="00F53A2C" w:rsidTr="00086F74">
        <w:tc>
          <w:tcPr>
            <w:tcW w:w="4528" w:type="dxa"/>
            <w:tcBorders>
              <w:top w:val="single" w:sz="4" w:space="0" w:color="auto"/>
              <w:left w:val="nil"/>
              <w:right w:val="nil"/>
            </w:tcBorders>
            <w:vAlign w:val="center"/>
          </w:tcPr>
          <w:p w:rsidR="001E3DB7" w:rsidRPr="00C81982" w:rsidRDefault="001E3DB7" w:rsidP="00086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068"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2012-13</w:t>
            </w:r>
          </w:p>
        </w:tc>
        <w:tc>
          <w:tcPr>
            <w:tcW w:w="1334"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2012-13</w:t>
            </w:r>
          </w:p>
        </w:tc>
        <w:tc>
          <w:tcPr>
            <w:tcW w:w="1079"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2013-14</w:t>
            </w:r>
          </w:p>
        </w:tc>
        <w:tc>
          <w:tcPr>
            <w:tcW w:w="1091" w:type="dxa"/>
            <w:tcBorders>
              <w:top w:val="single" w:sz="4" w:space="0" w:color="auto"/>
              <w:left w:val="nil"/>
              <w:right w:val="nil"/>
            </w:tcBorders>
          </w:tcPr>
          <w:p w:rsidR="001E3DB7" w:rsidRPr="00C81982" w:rsidRDefault="001E3DB7" w:rsidP="00086F74">
            <w:pPr>
              <w:pStyle w:val="TableTextRightBold-BP4"/>
              <w:rPr>
                <w:sz w:val="20"/>
              </w:rPr>
            </w:pPr>
            <w:r w:rsidRPr="00C81982">
              <w:rPr>
                <w:sz w:val="20"/>
              </w:rPr>
              <w:t>Long Term</w:t>
            </w:r>
          </w:p>
        </w:tc>
      </w:tr>
      <w:tr w:rsidR="001E3DB7" w:rsidRPr="00F53A2C" w:rsidTr="00086F74">
        <w:tc>
          <w:tcPr>
            <w:tcW w:w="4528" w:type="dxa"/>
            <w:tcBorders>
              <w:left w:val="nil"/>
              <w:right w:val="nil"/>
            </w:tcBorders>
          </w:tcPr>
          <w:p w:rsidR="001E3DB7" w:rsidRPr="00C81982" w:rsidRDefault="001E3DB7" w:rsidP="00086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9" w:hanging="159"/>
              <w:outlineLvl w:val="6"/>
              <w:rPr>
                <w:rFonts w:ascii="Arial" w:hAnsi="Arial" w:cs="Arial"/>
                <w:bCs/>
                <w:sz w:val="20"/>
              </w:rPr>
            </w:pPr>
          </w:p>
        </w:tc>
        <w:tc>
          <w:tcPr>
            <w:tcW w:w="1068" w:type="dxa"/>
            <w:tcBorders>
              <w:left w:val="nil"/>
              <w:right w:val="nil"/>
            </w:tcBorders>
          </w:tcPr>
          <w:p w:rsidR="001E3DB7" w:rsidRPr="00C81982" w:rsidRDefault="001E3DB7" w:rsidP="00086F74">
            <w:pPr>
              <w:pStyle w:val="TableTextRightBold"/>
            </w:pPr>
            <w:r w:rsidRPr="00C81982">
              <w:t>Target</w:t>
            </w:r>
          </w:p>
        </w:tc>
        <w:tc>
          <w:tcPr>
            <w:tcW w:w="1334" w:type="dxa"/>
            <w:tcBorders>
              <w:left w:val="nil"/>
              <w:right w:val="nil"/>
            </w:tcBorders>
          </w:tcPr>
          <w:p w:rsidR="001E3DB7" w:rsidRPr="00C81982" w:rsidRDefault="001E3DB7" w:rsidP="00086F74">
            <w:pPr>
              <w:pStyle w:val="TableTextRightBold"/>
            </w:pPr>
            <w:r w:rsidRPr="00C81982">
              <w:t>Est. Outcome</w:t>
            </w:r>
          </w:p>
        </w:tc>
        <w:tc>
          <w:tcPr>
            <w:tcW w:w="1079" w:type="dxa"/>
            <w:tcBorders>
              <w:left w:val="nil"/>
              <w:right w:val="nil"/>
            </w:tcBorders>
          </w:tcPr>
          <w:p w:rsidR="001E3DB7" w:rsidRPr="00C81982" w:rsidRDefault="001E3DB7" w:rsidP="00086F74">
            <w:pPr>
              <w:pStyle w:val="TableTextRightBold"/>
            </w:pPr>
            <w:r w:rsidRPr="00C81982">
              <w:t>Target</w:t>
            </w:r>
          </w:p>
        </w:tc>
        <w:tc>
          <w:tcPr>
            <w:tcW w:w="1091" w:type="dxa"/>
            <w:tcBorders>
              <w:left w:val="nil"/>
              <w:right w:val="nil"/>
            </w:tcBorders>
          </w:tcPr>
          <w:p w:rsidR="001E3DB7" w:rsidRPr="00C81982" w:rsidRDefault="001E3DB7" w:rsidP="00086F74">
            <w:pPr>
              <w:pStyle w:val="TableTextRightBold"/>
            </w:pPr>
            <w:r w:rsidRPr="00C81982">
              <w:t>Target</w:t>
            </w:r>
          </w:p>
        </w:tc>
      </w:tr>
      <w:tr w:rsidR="001E3DB7" w:rsidRPr="00F53A2C" w:rsidTr="00086F74">
        <w:tc>
          <w:tcPr>
            <w:tcW w:w="4528" w:type="dxa"/>
            <w:tcBorders>
              <w:top w:val="single" w:sz="4" w:space="0" w:color="auto"/>
              <w:left w:val="nil"/>
              <w:bottom w:val="single" w:sz="4" w:space="0" w:color="auto"/>
              <w:right w:val="nil"/>
            </w:tcBorders>
            <w:shd w:val="clear" w:color="auto" w:fill="auto"/>
          </w:tcPr>
          <w:p w:rsidR="001E3DB7" w:rsidRPr="00C81982" w:rsidRDefault="001E3DB7" w:rsidP="00086F74">
            <w:pPr>
              <w:pStyle w:val="TableTextLeft-BP410pt"/>
              <w:rPr>
                <w:szCs w:val="20"/>
              </w:rPr>
            </w:pPr>
            <w:r w:rsidRPr="00567807">
              <w:rPr>
                <w:szCs w:val="20"/>
              </w:rPr>
              <w:t>Mean percentage of overnight hospital beds in use</w:t>
            </w:r>
          </w:p>
        </w:tc>
        <w:tc>
          <w:tcPr>
            <w:tcW w:w="1068" w:type="dxa"/>
            <w:tcBorders>
              <w:top w:val="single" w:sz="4" w:space="0" w:color="auto"/>
              <w:left w:val="nil"/>
              <w:bottom w:val="single" w:sz="4" w:space="0" w:color="auto"/>
              <w:right w:val="nil"/>
            </w:tcBorders>
          </w:tcPr>
          <w:p w:rsidR="001E3DB7" w:rsidRPr="00567807" w:rsidRDefault="001E3DB7" w:rsidP="00086F74">
            <w:pPr>
              <w:pStyle w:val="TableTextRight-BP4"/>
              <w:rPr>
                <w:sz w:val="20"/>
              </w:rPr>
            </w:pPr>
            <w:r w:rsidRPr="00567807">
              <w:rPr>
                <w:sz w:val="20"/>
              </w:rPr>
              <w:t>85%</w:t>
            </w:r>
          </w:p>
        </w:tc>
        <w:tc>
          <w:tcPr>
            <w:tcW w:w="1334" w:type="dxa"/>
            <w:tcBorders>
              <w:top w:val="single" w:sz="4" w:space="0" w:color="auto"/>
              <w:left w:val="nil"/>
              <w:bottom w:val="single" w:sz="4" w:space="0" w:color="auto"/>
              <w:right w:val="nil"/>
            </w:tcBorders>
          </w:tcPr>
          <w:p w:rsidR="001E3DB7" w:rsidRPr="00567807" w:rsidRDefault="001E3DB7" w:rsidP="00086F74">
            <w:pPr>
              <w:pStyle w:val="TableTextRight-BP4"/>
              <w:rPr>
                <w:sz w:val="20"/>
                <w:vertAlign w:val="superscript"/>
              </w:rPr>
            </w:pPr>
            <w:r w:rsidRPr="00567807">
              <w:rPr>
                <w:sz w:val="20"/>
              </w:rPr>
              <w:t>93%</w:t>
            </w:r>
            <w:r w:rsidRPr="00567807">
              <w:rPr>
                <w:sz w:val="20"/>
                <w:vertAlign w:val="superscript"/>
              </w:rPr>
              <w:t>1</w:t>
            </w:r>
          </w:p>
        </w:tc>
        <w:tc>
          <w:tcPr>
            <w:tcW w:w="1079" w:type="dxa"/>
            <w:tcBorders>
              <w:top w:val="single" w:sz="4" w:space="0" w:color="auto"/>
              <w:left w:val="nil"/>
              <w:bottom w:val="single" w:sz="4" w:space="0" w:color="auto"/>
              <w:right w:val="nil"/>
            </w:tcBorders>
          </w:tcPr>
          <w:p w:rsidR="001E3DB7" w:rsidRPr="00567807" w:rsidRDefault="001E3DB7" w:rsidP="00086F74">
            <w:pPr>
              <w:pStyle w:val="TableTextRight-BP4"/>
              <w:rPr>
                <w:sz w:val="20"/>
              </w:rPr>
            </w:pPr>
            <w:r w:rsidRPr="00567807">
              <w:rPr>
                <w:sz w:val="20"/>
              </w:rPr>
              <w:t>90%</w:t>
            </w:r>
          </w:p>
        </w:tc>
        <w:tc>
          <w:tcPr>
            <w:tcW w:w="1091" w:type="dxa"/>
            <w:tcBorders>
              <w:top w:val="single" w:sz="4" w:space="0" w:color="auto"/>
              <w:left w:val="nil"/>
              <w:bottom w:val="single" w:sz="4" w:space="0" w:color="auto"/>
              <w:right w:val="nil"/>
            </w:tcBorders>
          </w:tcPr>
          <w:p w:rsidR="001E3DB7" w:rsidRPr="00567807" w:rsidRDefault="001E3DB7" w:rsidP="00086F74">
            <w:pPr>
              <w:pStyle w:val="TableTextRight-BP4"/>
              <w:rPr>
                <w:sz w:val="20"/>
              </w:rPr>
            </w:pPr>
            <w:r w:rsidRPr="00567807">
              <w:rPr>
                <w:sz w:val="20"/>
              </w:rPr>
              <w:t>85%</w:t>
            </w:r>
          </w:p>
        </w:tc>
      </w:tr>
    </w:tbl>
    <w:p w:rsidR="007E390E" w:rsidRPr="000E5DB8" w:rsidRDefault="007E390E" w:rsidP="001E3DB7">
      <w:pPr>
        <w:pStyle w:val="NoteHeading"/>
      </w:pPr>
      <w:r w:rsidRPr="000E5DB8">
        <w:t>Note:</w:t>
      </w:r>
    </w:p>
    <w:p w:rsidR="007E390E" w:rsidRPr="000E5DB8" w:rsidRDefault="007E390E" w:rsidP="007E390E">
      <w:pPr>
        <w:pStyle w:val="NumberedNotes"/>
        <w:tabs>
          <w:tab w:val="clear" w:pos="360"/>
        </w:tabs>
      </w:pPr>
      <w:r w:rsidRPr="00A31912">
        <w:t>1</w:t>
      </w:r>
      <w:r>
        <w:t>.</w:t>
      </w:r>
      <w:r>
        <w:tab/>
      </w:r>
      <w:r w:rsidRPr="000E5DB8">
        <w:t>There has been an increase in the number of non same</w:t>
      </w:r>
      <w:r>
        <w:noBreakHyphen/>
      </w:r>
      <w:proofErr w:type="spellStart"/>
      <w:r w:rsidRPr="000E5DB8">
        <w:t>day</w:t>
      </w:r>
      <w:proofErr w:type="spellEnd"/>
      <w:r w:rsidRPr="000E5DB8">
        <w:t xml:space="preserve"> bed days which has impacted </w:t>
      </w:r>
      <w:r>
        <w:t>by increasing</w:t>
      </w:r>
      <w:r w:rsidRPr="000E5DB8">
        <w:t xml:space="preserve"> the bed occupancy rate.</w:t>
      </w:r>
    </w:p>
    <w:p w:rsidR="007E390E" w:rsidRPr="0006550A" w:rsidRDefault="007E390E" w:rsidP="0006550A">
      <w:pPr>
        <w:pStyle w:val="SIHeading1"/>
      </w:pPr>
      <w:r w:rsidRPr="0006550A">
        <w:t>Strategic Objective 9</w:t>
      </w:r>
    </w:p>
    <w:p w:rsidR="007E390E" w:rsidRPr="00283965" w:rsidRDefault="007E390E" w:rsidP="007E390E">
      <w:pPr>
        <w:pStyle w:val="SIHeading2"/>
      </w:pPr>
      <w:r w:rsidRPr="00BB60FE">
        <w:t xml:space="preserve">Management of </w:t>
      </w:r>
      <w:r w:rsidR="006D1169">
        <w:t>C</w:t>
      </w:r>
      <w:r w:rsidRPr="00BB60FE">
        <w:t xml:space="preserve">hronic </w:t>
      </w:r>
      <w:r w:rsidR="006D1169">
        <w:t>D</w:t>
      </w:r>
      <w:r w:rsidRPr="00BB60FE">
        <w:t xml:space="preserve">isease: </w:t>
      </w:r>
      <w:r w:rsidR="006D1169">
        <w:t>M</w:t>
      </w:r>
      <w:r w:rsidRPr="00283965">
        <w:t xml:space="preserve">aintenance of the </w:t>
      </w:r>
      <w:r w:rsidR="006D1169">
        <w:t>H</w:t>
      </w:r>
      <w:r w:rsidR="007F78C0">
        <w:t>i</w:t>
      </w:r>
      <w:r w:rsidRPr="00283965">
        <w:t xml:space="preserve">ghest </w:t>
      </w:r>
      <w:r w:rsidR="006D1169">
        <w:t>L</w:t>
      </w:r>
      <w:r w:rsidRPr="00283965">
        <w:t xml:space="preserve">ife </w:t>
      </w:r>
      <w:r w:rsidR="006D1169">
        <w:t>E</w:t>
      </w:r>
      <w:r w:rsidRPr="00283965">
        <w:t xml:space="preserve">xpectancy at </w:t>
      </w:r>
      <w:r w:rsidR="006D1169">
        <w:t>B</w:t>
      </w:r>
      <w:r w:rsidR="007F78C0">
        <w:t>i</w:t>
      </w:r>
      <w:r w:rsidRPr="00283965">
        <w:t>rth in Australia</w:t>
      </w:r>
    </w:p>
    <w:p w:rsidR="007E390E" w:rsidRPr="00A31912" w:rsidRDefault="007E390E" w:rsidP="007E390E">
      <w:pPr>
        <w:pStyle w:val="BodyText"/>
      </w:pPr>
      <w:r w:rsidRPr="00A31912">
        <w:t>The top ten leading causes of disease burden in terms of Disability Adjusted Life Years are all chronic diseases.  These diseases, which include chronic heart disease, anxiety and depression, type 2 diabetes, stroke, chronic obstructive pulmonary disorder, lung cancer, Alzheimer’s and other dementias, colorectal cancer, asthma, and breast cancer, account for nearly 43 per cent of the total disease burden in Australia.</w:t>
      </w:r>
    </w:p>
    <w:p w:rsidR="007E390E" w:rsidRDefault="007E390E" w:rsidP="007E390E">
      <w:pPr>
        <w:pStyle w:val="SIlabel"/>
      </w:pPr>
      <w:r>
        <w:t xml:space="preserve">Strategic Indicator 9:  </w:t>
      </w:r>
      <w:r w:rsidRPr="00D4113C">
        <w:rPr>
          <w:b w:val="0"/>
        </w:rPr>
        <w:t xml:space="preserve">Maintenance of the </w:t>
      </w:r>
      <w:r w:rsidR="001E3DB7">
        <w:rPr>
          <w:b w:val="0"/>
        </w:rPr>
        <w:t>Highest Life E</w:t>
      </w:r>
      <w:r w:rsidRPr="00D4113C">
        <w:rPr>
          <w:b w:val="0"/>
        </w:rPr>
        <w:t xml:space="preserve">xpectancy at </w:t>
      </w:r>
      <w:r w:rsidR="001E3DB7">
        <w:rPr>
          <w:b w:val="0"/>
        </w:rPr>
        <w:t>Birth in A</w:t>
      </w:r>
      <w:r w:rsidRPr="00D4113C">
        <w:rPr>
          <w:b w:val="0"/>
        </w:rPr>
        <w:t>ustralia</w:t>
      </w:r>
    </w:p>
    <w:p w:rsidR="007E390E" w:rsidRPr="00803A83" w:rsidRDefault="007E390E" w:rsidP="00803A83">
      <w:pPr>
        <w:pStyle w:val="BodyText"/>
      </w:pPr>
      <w:r w:rsidRPr="00803A83">
        <w:t>Life expectancy at birth provides an indication of the general health of the population and reflects on a range of issues other than the provision of health services, such as economic and environmental factors.  In 2011, the ACT has the highest life expectancy of any jurisdiction in Australia, and the Government aims to maintain this result.</w:t>
      </w:r>
    </w:p>
    <w:tbl>
      <w:tblPr>
        <w:tblW w:w="9100" w:type="dxa"/>
        <w:tblLayout w:type="fixed"/>
        <w:tblLook w:val="0000"/>
      </w:tblPr>
      <w:tblGrid>
        <w:gridCol w:w="6205"/>
        <w:gridCol w:w="1445"/>
        <w:gridCol w:w="1450"/>
      </w:tblGrid>
      <w:tr w:rsidR="007E390E" w:rsidRPr="00283965" w:rsidTr="001F4D8F">
        <w:trPr>
          <w:cantSplit/>
        </w:trPr>
        <w:tc>
          <w:tcPr>
            <w:tcW w:w="6345" w:type="dxa"/>
            <w:tcBorders>
              <w:top w:val="single" w:sz="4" w:space="0" w:color="auto"/>
              <w:left w:val="nil"/>
              <w:bottom w:val="single" w:sz="4" w:space="0" w:color="auto"/>
              <w:right w:val="nil"/>
            </w:tcBorders>
          </w:tcPr>
          <w:p w:rsidR="007E390E" w:rsidRPr="001F4D8F" w:rsidRDefault="007E390E" w:rsidP="00A6284D">
            <w:pPr>
              <w:pStyle w:val="TableTextLeftBold-BP410pt"/>
            </w:pPr>
            <w:r w:rsidRPr="001F4D8F">
              <w:t>Life expectancy at birth in Australia 2011</w:t>
            </w:r>
          </w:p>
        </w:tc>
        <w:tc>
          <w:tcPr>
            <w:tcW w:w="1474" w:type="dxa"/>
            <w:tcBorders>
              <w:top w:val="single" w:sz="4" w:space="0" w:color="auto"/>
              <w:left w:val="nil"/>
              <w:bottom w:val="single" w:sz="4" w:space="0" w:color="auto"/>
              <w:right w:val="nil"/>
            </w:tcBorders>
          </w:tcPr>
          <w:p w:rsidR="007E390E" w:rsidRPr="001F4D8F" w:rsidRDefault="007E390E" w:rsidP="00A6284D">
            <w:pPr>
              <w:pStyle w:val="TableTextRightBold-BP4"/>
              <w:rPr>
                <w:sz w:val="20"/>
              </w:rPr>
            </w:pPr>
            <w:r w:rsidRPr="001F4D8F">
              <w:rPr>
                <w:sz w:val="20"/>
              </w:rPr>
              <w:t>ACT Rate</w:t>
            </w:r>
          </w:p>
        </w:tc>
        <w:tc>
          <w:tcPr>
            <w:tcW w:w="1479" w:type="dxa"/>
            <w:tcBorders>
              <w:top w:val="single" w:sz="4" w:space="0" w:color="auto"/>
              <w:left w:val="nil"/>
              <w:bottom w:val="single" w:sz="4" w:space="0" w:color="auto"/>
              <w:right w:val="nil"/>
            </w:tcBorders>
          </w:tcPr>
          <w:p w:rsidR="007E390E" w:rsidRPr="001F4D8F" w:rsidRDefault="007E390E" w:rsidP="00A6284D">
            <w:pPr>
              <w:pStyle w:val="TableTextRightBold-BP4"/>
              <w:rPr>
                <w:sz w:val="20"/>
              </w:rPr>
            </w:pPr>
            <w:r w:rsidRPr="001F4D8F">
              <w:rPr>
                <w:sz w:val="20"/>
              </w:rPr>
              <w:t>National Rate</w:t>
            </w:r>
          </w:p>
        </w:tc>
      </w:tr>
      <w:tr w:rsidR="007E390E" w:rsidRPr="00A60707" w:rsidTr="001F4D8F">
        <w:trPr>
          <w:cantSplit/>
        </w:trPr>
        <w:tc>
          <w:tcPr>
            <w:tcW w:w="6345" w:type="dxa"/>
            <w:tcBorders>
              <w:top w:val="single" w:sz="4" w:space="0" w:color="auto"/>
              <w:left w:val="nil"/>
              <w:right w:val="nil"/>
            </w:tcBorders>
            <w:vAlign w:val="center"/>
          </w:tcPr>
          <w:p w:rsidR="007E390E" w:rsidRPr="001F4D8F" w:rsidRDefault="007E390E" w:rsidP="00A6284D">
            <w:pPr>
              <w:pStyle w:val="TableTextLeft-BP410pt"/>
              <w:rPr>
                <w:szCs w:val="20"/>
              </w:rPr>
            </w:pPr>
            <w:r w:rsidRPr="001F4D8F">
              <w:rPr>
                <w:szCs w:val="20"/>
              </w:rPr>
              <w:t>Females</w:t>
            </w:r>
          </w:p>
        </w:tc>
        <w:tc>
          <w:tcPr>
            <w:tcW w:w="1474" w:type="dxa"/>
            <w:tcBorders>
              <w:top w:val="single" w:sz="4" w:space="0" w:color="auto"/>
              <w:left w:val="nil"/>
              <w:right w:val="nil"/>
            </w:tcBorders>
            <w:vAlign w:val="center"/>
          </w:tcPr>
          <w:p w:rsidR="007E390E" w:rsidRPr="001F4D8F" w:rsidRDefault="007E390E" w:rsidP="00803A83">
            <w:pPr>
              <w:pStyle w:val="TableTextRight-BP410pt"/>
            </w:pPr>
            <w:r w:rsidRPr="001F4D8F">
              <w:t>84.8</w:t>
            </w:r>
          </w:p>
        </w:tc>
        <w:tc>
          <w:tcPr>
            <w:tcW w:w="1479" w:type="dxa"/>
            <w:tcBorders>
              <w:top w:val="single" w:sz="4" w:space="0" w:color="auto"/>
              <w:left w:val="nil"/>
              <w:right w:val="nil"/>
            </w:tcBorders>
            <w:vAlign w:val="center"/>
          </w:tcPr>
          <w:p w:rsidR="007E390E" w:rsidRPr="001F4D8F" w:rsidRDefault="007E390E" w:rsidP="00803A83">
            <w:pPr>
              <w:pStyle w:val="TableTextRight-BP410pt"/>
            </w:pPr>
            <w:r w:rsidRPr="001F4D8F">
              <w:t>84.2</w:t>
            </w:r>
          </w:p>
        </w:tc>
      </w:tr>
      <w:tr w:rsidR="007E390E" w:rsidRPr="00A60707" w:rsidTr="001F4D8F">
        <w:trPr>
          <w:cantSplit/>
        </w:trPr>
        <w:tc>
          <w:tcPr>
            <w:tcW w:w="6345" w:type="dxa"/>
            <w:tcBorders>
              <w:left w:val="nil"/>
              <w:bottom w:val="single" w:sz="4" w:space="0" w:color="auto"/>
              <w:right w:val="nil"/>
            </w:tcBorders>
            <w:vAlign w:val="center"/>
          </w:tcPr>
          <w:p w:rsidR="007E390E" w:rsidRPr="001F4D8F" w:rsidRDefault="007E390E" w:rsidP="00A6284D">
            <w:pPr>
              <w:pStyle w:val="TableTextLeft-BP410pt"/>
              <w:rPr>
                <w:szCs w:val="20"/>
                <w:shd w:val="clear" w:color="auto" w:fill="FF0000"/>
              </w:rPr>
            </w:pPr>
            <w:r w:rsidRPr="001F4D8F">
              <w:rPr>
                <w:szCs w:val="20"/>
              </w:rPr>
              <w:t>Males</w:t>
            </w:r>
          </w:p>
        </w:tc>
        <w:tc>
          <w:tcPr>
            <w:tcW w:w="1474" w:type="dxa"/>
            <w:tcBorders>
              <w:left w:val="nil"/>
              <w:bottom w:val="single" w:sz="4" w:space="0" w:color="auto"/>
              <w:right w:val="nil"/>
            </w:tcBorders>
            <w:vAlign w:val="center"/>
          </w:tcPr>
          <w:p w:rsidR="007E390E" w:rsidRPr="001F4D8F" w:rsidRDefault="007E390E" w:rsidP="00803A83">
            <w:pPr>
              <w:pStyle w:val="TableTextRight-BP410pt"/>
            </w:pPr>
            <w:r w:rsidRPr="001F4D8F">
              <w:t>81.0</w:t>
            </w:r>
          </w:p>
        </w:tc>
        <w:tc>
          <w:tcPr>
            <w:tcW w:w="1479" w:type="dxa"/>
            <w:tcBorders>
              <w:left w:val="nil"/>
              <w:bottom w:val="single" w:sz="4" w:space="0" w:color="auto"/>
              <w:right w:val="nil"/>
            </w:tcBorders>
            <w:vAlign w:val="center"/>
          </w:tcPr>
          <w:p w:rsidR="007E390E" w:rsidRPr="001F4D8F" w:rsidRDefault="007E390E" w:rsidP="00803A83">
            <w:pPr>
              <w:pStyle w:val="TableTextRight-BP410pt"/>
            </w:pPr>
            <w:r w:rsidRPr="001F4D8F">
              <w:t>79.7</w:t>
            </w:r>
          </w:p>
        </w:tc>
      </w:tr>
    </w:tbl>
    <w:p w:rsidR="007E390E" w:rsidRPr="00803A83" w:rsidRDefault="007E390E" w:rsidP="00803A83">
      <w:pPr>
        <w:pStyle w:val="NoteText"/>
        <w:rPr>
          <w:rFonts w:ascii="Arial" w:hAnsi="Arial" w:cs="Arial"/>
          <w:b/>
          <w:i/>
          <w:szCs w:val="16"/>
        </w:rPr>
      </w:pPr>
      <w:r w:rsidRPr="00803A83">
        <w:rPr>
          <w:i/>
        </w:rPr>
        <w:t xml:space="preserve">Source:  ABS 2012, Deaths, Australia, 2011, cat. </w:t>
      </w:r>
      <w:proofErr w:type="gramStart"/>
      <w:r w:rsidR="00803A83">
        <w:rPr>
          <w:i/>
        </w:rPr>
        <w:t>no</w:t>
      </w:r>
      <w:proofErr w:type="gramEnd"/>
      <w:r w:rsidR="00803A83">
        <w:rPr>
          <w:i/>
        </w:rPr>
        <w:t xml:space="preserve">. </w:t>
      </w:r>
      <w:r w:rsidRPr="00803A83">
        <w:rPr>
          <w:i/>
        </w:rPr>
        <w:t>3302.0, ABS, Canberra</w:t>
      </w:r>
      <w:r w:rsidRPr="00803A83">
        <w:rPr>
          <w:rFonts w:ascii="Arial" w:hAnsi="Arial" w:cs="Arial"/>
          <w:b/>
          <w:i/>
          <w:szCs w:val="16"/>
        </w:rPr>
        <w:t>.</w:t>
      </w:r>
    </w:p>
    <w:p w:rsidR="007E390E" w:rsidRPr="00803A83" w:rsidRDefault="00991430" w:rsidP="00991430">
      <w:pPr>
        <w:pStyle w:val="SIHeading1"/>
        <w:tabs>
          <w:tab w:val="center" w:pos="4513"/>
        </w:tabs>
        <w:jc w:val="left"/>
      </w:pPr>
      <w:r>
        <w:lastRenderedPageBreak/>
        <w:tab/>
      </w:r>
      <w:r w:rsidR="007E390E" w:rsidRPr="00803A83">
        <w:t>Strategic Objective 10</w:t>
      </w:r>
    </w:p>
    <w:p w:rsidR="007E390E" w:rsidRPr="00803A83" w:rsidRDefault="007E390E" w:rsidP="00803A83">
      <w:pPr>
        <w:pStyle w:val="SIHeading2"/>
      </w:pPr>
      <w:r w:rsidRPr="00803A83">
        <w:t xml:space="preserve">Lower </w:t>
      </w:r>
      <w:r w:rsidR="008D4B2B">
        <w:t>P</w:t>
      </w:r>
      <w:r w:rsidRPr="00803A83">
        <w:t xml:space="preserve">revalence of </w:t>
      </w:r>
      <w:r w:rsidR="008D4B2B">
        <w:t>C</w:t>
      </w:r>
      <w:r w:rsidRPr="00803A83">
        <w:t xml:space="preserve">irculatory </w:t>
      </w:r>
      <w:r w:rsidR="008D4B2B">
        <w:t>D</w:t>
      </w:r>
      <w:r w:rsidRPr="00803A83">
        <w:t xml:space="preserve">isease than the </w:t>
      </w:r>
      <w:r w:rsidR="008D4B2B">
        <w:t>N</w:t>
      </w:r>
      <w:r w:rsidRPr="00803A83">
        <w:t xml:space="preserve">ational </w:t>
      </w:r>
      <w:r w:rsidR="008D4B2B">
        <w:t>A</w:t>
      </w:r>
      <w:r w:rsidRPr="00803A83">
        <w:t xml:space="preserve">verage </w:t>
      </w:r>
    </w:p>
    <w:p w:rsidR="0006550A" w:rsidRPr="00195786" w:rsidRDefault="0006550A" w:rsidP="0006550A">
      <w:pPr>
        <w:pStyle w:val="SIlabel"/>
        <w:rPr>
          <w:b w:val="0"/>
        </w:rPr>
      </w:pPr>
      <w:r w:rsidRPr="00547D64">
        <w:rPr>
          <w:rStyle w:val="SIHeading1Char"/>
          <w:b/>
        </w:rPr>
        <w:t>Strategic Indicator 10</w:t>
      </w:r>
      <w:r w:rsidRPr="00547D64">
        <w:rPr>
          <w:b w:val="0"/>
        </w:rPr>
        <w:t>:</w:t>
      </w:r>
      <w:r w:rsidRPr="00195786">
        <w:t xml:space="preserve">  </w:t>
      </w:r>
      <w:r w:rsidR="001E3DB7">
        <w:rPr>
          <w:b w:val="0"/>
        </w:rPr>
        <w:t>The Proportion of the ACT P</w:t>
      </w:r>
      <w:r w:rsidRPr="00195786">
        <w:rPr>
          <w:b w:val="0"/>
        </w:rPr>
        <w:t>opulati</w:t>
      </w:r>
      <w:r w:rsidR="001E3DB7">
        <w:rPr>
          <w:b w:val="0"/>
        </w:rPr>
        <w:t>on with S</w:t>
      </w:r>
      <w:r w:rsidRPr="00195786">
        <w:rPr>
          <w:b w:val="0"/>
        </w:rPr>
        <w:t>ome</w:t>
      </w:r>
      <w:r w:rsidR="001E3DB7">
        <w:rPr>
          <w:b w:val="0"/>
        </w:rPr>
        <w:t xml:space="preserve"> F</w:t>
      </w:r>
      <w:r w:rsidR="004622D8">
        <w:rPr>
          <w:b w:val="0"/>
        </w:rPr>
        <w:t xml:space="preserve">orm of </w:t>
      </w:r>
      <w:r w:rsidR="001E3DB7">
        <w:rPr>
          <w:b w:val="0"/>
        </w:rPr>
        <w:t>Cardiovascular D</w:t>
      </w:r>
      <w:r w:rsidR="004622D8">
        <w:rPr>
          <w:b w:val="0"/>
        </w:rPr>
        <w:t>isease</w:t>
      </w:r>
    </w:p>
    <w:p w:rsidR="007E390E" w:rsidRPr="00803A83" w:rsidRDefault="007E390E" w:rsidP="00803A83">
      <w:pPr>
        <w:pStyle w:val="BodyText"/>
      </w:pPr>
      <w:r w:rsidRPr="00803A83">
        <w:t xml:space="preserve">Population projections suggest that the ACT population is ageing faster than other jurisdictions.  The median age of the ACT population (36.9 years in 2010) has increased by 4.8 years since 1990.  While people of all ages </w:t>
      </w:r>
      <w:r w:rsidRPr="001F4D8F">
        <w:t>can present with a chronic disease, the ageing</w:t>
      </w:r>
      <w:r w:rsidRPr="00803A83">
        <w:t xml:space="preserve"> of the population and longer life spans mean that chronic diseases will place major demands on the health system for workforce and financial resources. </w:t>
      </w:r>
    </w:p>
    <w:tbl>
      <w:tblPr>
        <w:tblW w:w="9100" w:type="dxa"/>
        <w:tblLayout w:type="fixed"/>
        <w:tblLook w:val="0000"/>
      </w:tblPr>
      <w:tblGrid>
        <w:gridCol w:w="6215"/>
        <w:gridCol w:w="1434"/>
        <w:gridCol w:w="1451"/>
      </w:tblGrid>
      <w:tr w:rsidR="007E390E" w:rsidRPr="00283965" w:rsidTr="001F4D8F">
        <w:trPr>
          <w:cantSplit/>
        </w:trPr>
        <w:tc>
          <w:tcPr>
            <w:tcW w:w="6413" w:type="dxa"/>
            <w:tcBorders>
              <w:top w:val="single" w:sz="4" w:space="0" w:color="auto"/>
              <w:left w:val="nil"/>
              <w:bottom w:val="single" w:sz="4" w:space="0" w:color="auto"/>
              <w:right w:val="nil"/>
            </w:tcBorders>
          </w:tcPr>
          <w:p w:rsidR="007E390E" w:rsidRPr="001F4D8F" w:rsidRDefault="007E390E" w:rsidP="00A6284D">
            <w:pPr>
              <w:pStyle w:val="TableTextLeftBold-BP410pt"/>
            </w:pPr>
            <w:r w:rsidRPr="001F4D8F">
              <w:t>Cardiovascular Disease</w:t>
            </w:r>
          </w:p>
        </w:tc>
        <w:tc>
          <w:tcPr>
            <w:tcW w:w="1474" w:type="dxa"/>
            <w:tcBorders>
              <w:top w:val="single" w:sz="4" w:space="0" w:color="auto"/>
              <w:left w:val="nil"/>
              <w:bottom w:val="single" w:sz="4" w:space="0" w:color="auto"/>
              <w:right w:val="nil"/>
            </w:tcBorders>
          </w:tcPr>
          <w:p w:rsidR="007E390E" w:rsidRPr="001F4D8F" w:rsidRDefault="007E390E" w:rsidP="00A6284D">
            <w:pPr>
              <w:pStyle w:val="TableHeadingRight-BP410pt"/>
              <w:rPr>
                <w:szCs w:val="20"/>
              </w:rPr>
            </w:pPr>
            <w:r w:rsidRPr="001F4D8F">
              <w:rPr>
                <w:szCs w:val="20"/>
              </w:rPr>
              <w:t>ACT Rate</w:t>
            </w:r>
          </w:p>
        </w:tc>
        <w:tc>
          <w:tcPr>
            <w:tcW w:w="1491" w:type="dxa"/>
            <w:tcBorders>
              <w:top w:val="single" w:sz="4" w:space="0" w:color="auto"/>
              <w:left w:val="nil"/>
              <w:bottom w:val="single" w:sz="4" w:space="0" w:color="auto"/>
              <w:right w:val="nil"/>
            </w:tcBorders>
          </w:tcPr>
          <w:p w:rsidR="007E390E" w:rsidRPr="001F4D8F" w:rsidRDefault="007E390E" w:rsidP="00A6284D">
            <w:pPr>
              <w:pStyle w:val="TableHeadingRight-BP410pt"/>
              <w:rPr>
                <w:szCs w:val="20"/>
              </w:rPr>
            </w:pPr>
            <w:r w:rsidRPr="001F4D8F">
              <w:rPr>
                <w:szCs w:val="20"/>
              </w:rPr>
              <w:t>National Rate</w:t>
            </w:r>
          </w:p>
        </w:tc>
      </w:tr>
      <w:tr w:rsidR="007E390E" w:rsidRPr="00283965" w:rsidTr="001F4D8F">
        <w:trPr>
          <w:cantSplit/>
        </w:trPr>
        <w:tc>
          <w:tcPr>
            <w:tcW w:w="6413" w:type="dxa"/>
            <w:tcBorders>
              <w:top w:val="single" w:sz="4" w:space="0" w:color="auto"/>
              <w:left w:val="nil"/>
              <w:bottom w:val="single" w:sz="4" w:space="0" w:color="auto"/>
              <w:right w:val="nil"/>
            </w:tcBorders>
          </w:tcPr>
          <w:p w:rsidR="007E390E" w:rsidRPr="001F4D8F" w:rsidRDefault="007E390E" w:rsidP="00A6284D">
            <w:pPr>
              <w:pStyle w:val="TableTextLeft-BP410pt"/>
              <w:rPr>
                <w:szCs w:val="20"/>
              </w:rPr>
            </w:pPr>
            <w:r w:rsidRPr="001F4D8F">
              <w:rPr>
                <w:szCs w:val="20"/>
              </w:rPr>
              <w:t>Proportion of the population diagnosed with some form of cardiovascular disease</w:t>
            </w:r>
          </w:p>
        </w:tc>
        <w:tc>
          <w:tcPr>
            <w:tcW w:w="1474" w:type="dxa"/>
            <w:tcBorders>
              <w:top w:val="single" w:sz="4" w:space="0" w:color="auto"/>
              <w:left w:val="nil"/>
              <w:bottom w:val="single" w:sz="4" w:space="0" w:color="auto"/>
              <w:right w:val="nil"/>
            </w:tcBorders>
          </w:tcPr>
          <w:p w:rsidR="007E390E" w:rsidRPr="001F4D8F" w:rsidRDefault="007E390E" w:rsidP="001F4D8F">
            <w:pPr>
              <w:pStyle w:val="TableTextRight-BP410pt"/>
            </w:pPr>
            <w:r w:rsidRPr="001F4D8F">
              <w:t>18.4%</w:t>
            </w:r>
          </w:p>
        </w:tc>
        <w:tc>
          <w:tcPr>
            <w:tcW w:w="1491" w:type="dxa"/>
            <w:tcBorders>
              <w:top w:val="single" w:sz="4" w:space="0" w:color="auto"/>
              <w:left w:val="nil"/>
              <w:bottom w:val="single" w:sz="4" w:space="0" w:color="auto"/>
              <w:right w:val="nil"/>
            </w:tcBorders>
          </w:tcPr>
          <w:p w:rsidR="007E390E" w:rsidRPr="001F4D8F" w:rsidRDefault="007E390E" w:rsidP="001F4D8F">
            <w:pPr>
              <w:pStyle w:val="TableTextRight-BP410pt"/>
            </w:pPr>
            <w:r w:rsidRPr="001F4D8F">
              <w:t>16.9%</w:t>
            </w:r>
          </w:p>
        </w:tc>
      </w:tr>
    </w:tbl>
    <w:p w:rsidR="007E390E" w:rsidRPr="00803A83" w:rsidRDefault="007E390E" w:rsidP="00803A83">
      <w:pPr>
        <w:pStyle w:val="NoteText"/>
        <w:rPr>
          <w:i/>
        </w:rPr>
      </w:pPr>
      <w:r w:rsidRPr="00803A83">
        <w:rPr>
          <w:i/>
        </w:rPr>
        <w:t>Source:  Australian Health Survey: First Results, 2011-12. Australian Bureau of Statistics Catalogue No: 4364.0.55.001.</w:t>
      </w:r>
    </w:p>
    <w:p w:rsidR="007E390E" w:rsidRPr="0006550A" w:rsidRDefault="007E390E" w:rsidP="0006550A">
      <w:pPr>
        <w:pStyle w:val="SIHeading1"/>
      </w:pPr>
      <w:r w:rsidRPr="0006550A">
        <w:t>Strategic Objective 11</w:t>
      </w:r>
    </w:p>
    <w:p w:rsidR="007E390E" w:rsidRPr="00803A83" w:rsidRDefault="007E390E" w:rsidP="00803A83">
      <w:pPr>
        <w:pStyle w:val="SIHeading2"/>
      </w:pPr>
      <w:r w:rsidRPr="00803A83">
        <w:t xml:space="preserve">Lower </w:t>
      </w:r>
      <w:r w:rsidR="006D2C1C">
        <w:t>P</w:t>
      </w:r>
      <w:r w:rsidRPr="00803A83">
        <w:t xml:space="preserve">revalence of </w:t>
      </w:r>
      <w:r w:rsidR="006D2C1C">
        <w:t>D</w:t>
      </w:r>
      <w:r w:rsidRPr="00803A83">
        <w:t xml:space="preserve">iabetes than the </w:t>
      </w:r>
      <w:r w:rsidR="006D2C1C">
        <w:t>N</w:t>
      </w:r>
      <w:r w:rsidRPr="00803A83">
        <w:t xml:space="preserve">ational </w:t>
      </w:r>
      <w:r w:rsidR="006D2C1C">
        <w:t>A</w:t>
      </w:r>
      <w:r w:rsidRPr="00803A83">
        <w:t xml:space="preserve">verage </w:t>
      </w:r>
    </w:p>
    <w:p w:rsidR="0006550A" w:rsidRDefault="0006550A" w:rsidP="00803A83">
      <w:pPr>
        <w:pStyle w:val="BodyText"/>
      </w:pPr>
      <w:r w:rsidRPr="00803A83">
        <w:rPr>
          <w:rStyle w:val="SIHeading1Char"/>
          <w:sz w:val="20"/>
        </w:rPr>
        <w:t>Strategic Indicator 11:</w:t>
      </w:r>
      <w:r>
        <w:t xml:space="preserve">  </w:t>
      </w:r>
      <w:r w:rsidR="001E3DB7">
        <w:rPr>
          <w:rFonts w:ascii="Arial" w:hAnsi="Arial"/>
          <w:kern w:val="28"/>
          <w:sz w:val="20"/>
        </w:rPr>
        <w:t>The Proportion of the ACT P</w:t>
      </w:r>
      <w:r w:rsidRPr="00E52088">
        <w:rPr>
          <w:rFonts w:ascii="Arial" w:hAnsi="Arial"/>
          <w:kern w:val="28"/>
          <w:sz w:val="20"/>
        </w:rPr>
        <w:t xml:space="preserve">opulation </w:t>
      </w:r>
      <w:r w:rsidR="001E3DB7">
        <w:rPr>
          <w:rFonts w:ascii="Arial" w:hAnsi="Arial"/>
          <w:kern w:val="28"/>
          <w:sz w:val="20"/>
        </w:rPr>
        <w:t>D</w:t>
      </w:r>
      <w:r w:rsidRPr="00E52088">
        <w:rPr>
          <w:rFonts w:ascii="Arial" w:hAnsi="Arial"/>
          <w:kern w:val="28"/>
          <w:sz w:val="20"/>
        </w:rPr>
        <w:t xml:space="preserve">iagnosed with </w:t>
      </w:r>
      <w:r w:rsidR="001E3DB7">
        <w:rPr>
          <w:rFonts w:ascii="Arial" w:hAnsi="Arial"/>
          <w:kern w:val="28"/>
          <w:sz w:val="20"/>
        </w:rPr>
        <w:t>Some Form of D</w:t>
      </w:r>
      <w:r w:rsidRPr="00E52088">
        <w:rPr>
          <w:rFonts w:ascii="Arial" w:hAnsi="Arial"/>
          <w:kern w:val="28"/>
          <w:sz w:val="20"/>
        </w:rPr>
        <w:t>iabetes</w:t>
      </w:r>
    </w:p>
    <w:p w:rsidR="007E390E" w:rsidRPr="0006550A" w:rsidRDefault="007E390E" w:rsidP="00803A83">
      <w:pPr>
        <w:pStyle w:val="BodyText"/>
      </w:pPr>
      <w:r w:rsidRPr="00803A83">
        <w:t>This indicator provides a marker of the success of prevention and early intervention initiatives.  The self-reported prevalence of diabetes in Australia has more than doubled over the past 25 years.  Prevalence rates may increase in the short term as a result of early intervention and detection campaigns.  This would be a positive result as experts predict that only half of those with diabetes are aware of their condition.  This can have significant impa</w:t>
      </w:r>
      <w:r w:rsidR="001F4D8F">
        <w:t>cts on their long term health.</w:t>
      </w:r>
    </w:p>
    <w:tbl>
      <w:tblPr>
        <w:tblW w:w="9100" w:type="dxa"/>
        <w:tblLayout w:type="fixed"/>
        <w:tblLook w:val="0000"/>
      </w:tblPr>
      <w:tblGrid>
        <w:gridCol w:w="6215"/>
        <w:gridCol w:w="1434"/>
        <w:gridCol w:w="1451"/>
      </w:tblGrid>
      <w:tr w:rsidR="007E390E" w:rsidRPr="00283965" w:rsidTr="001F4D8F">
        <w:trPr>
          <w:cantSplit/>
        </w:trPr>
        <w:tc>
          <w:tcPr>
            <w:tcW w:w="6413" w:type="dxa"/>
            <w:tcBorders>
              <w:top w:val="single" w:sz="4" w:space="0" w:color="auto"/>
              <w:left w:val="nil"/>
              <w:bottom w:val="single" w:sz="4" w:space="0" w:color="auto"/>
              <w:right w:val="nil"/>
            </w:tcBorders>
          </w:tcPr>
          <w:p w:rsidR="007E390E" w:rsidRPr="001F4D8F" w:rsidRDefault="007E390E" w:rsidP="00A6284D">
            <w:pPr>
              <w:pStyle w:val="TableTextLeftBold-BP410pt"/>
            </w:pPr>
            <w:r w:rsidRPr="001F4D8F">
              <w:t>Diabetes</w:t>
            </w:r>
          </w:p>
        </w:tc>
        <w:tc>
          <w:tcPr>
            <w:tcW w:w="1474" w:type="dxa"/>
            <w:tcBorders>
              <w:top w:val="single" w:sz="4" w:space="0" w:color="auto"/>
              <w:left w:val="nil"/>
              <w:bottom w:val="single" w:sz="4" w:space="0" w:color="auto"/>
              <w:right w:val="nil"/>
            </w:tcBorders>
          </w:tcPr>
          <w:p w:rsidR="007E390E" w:rsidRPr="001F4D8F" w:rsidRDefault="007E390E" w:rsidP="00A6284D">
            <w:pPr>
              <w:pStyle w:val="TableTextRightBold-BP4"/>
              <w:rPr>
                <w:sz w:val="20"/>
              </w:rPr>
            </w:pPr>
            <w:r w:rsidRPr="001F4D8F">
              <w:rPr>
                <w:sz w:val="20"/>
              </w:rPr>
              <w:t>ACT Rate</w:t>
            </w:r>
          </w:p>
        </w:tc>
        <w:tc>
          <w:tcPr>
            <w:tcW w:w="1491" w:type="dxa"/>
            <w:tcBorders>
              <w:top w:val="single" w:sz="4" w:space="0" w:color="auto"/>
              <w:left w:val="nil"/>
              <w:bottom w:val="single" w:sz="4" w:space="0" w:color="auto"/>
              <w:right w:val="nil"/>
            </w:tcBorders>
          </w:tcPr>
          <w:p w:rsidR="007E390E" w:rsidRPr="001F4D8F" w:rsidRDefault="007E390E" w:rsidP="00A6284D">
            <w:pPr>
              <w:pStyle w:val="TableTextRightBold-BP4"/>
              <w:rPr>
                <w:sz w:val="20"/>
              </w:rPr>
            </w:pPr>
            <w:r w:rsidRPr="001F4D8F">
              <w:rPr>
                <w:sz w:val="20"/>
              </w:rPr>
              <w:t>National Rate</w:t>
            </w:r>
          </w:p>
        </w:tc>
      </w:tr>
      <w:tr w:rsidR="007E390E" w:rsidRPr="008146DE" w:rsidTr="001F4D8F">
        <w:trPr>
          <w:cantSplit/>
        </w:trPr>
        <w:tc>
          <w:tcPr>
            <w:tcW w:w="6413" w:type="dxa"/>
            <w:tcBorders>
              <w:top w:val="single" w:sz="4" w:space="0" w:color="auto"/>
              <w:left w:val="nil"/>
              <w:bottom w:val="single" w:sz="4" w:space="0" w:color="auto"/>
              <w:right w:val="nil"/>
            </w:tcBorders>
          </w:tcPr>
          <w:p w:rsidR="007E390E" w:rsidRPr="001F4D8F" w:rsidRDefault="007E390E" w:rsidP="00A6284D">
            <w:pPr>
              <w:pStyle w:val="TableTextLeft-BP410pt"/>
              <w:rPr>
                <w:bCs/>
                <w:szCs w:val="20"/>
              </w:rPr>
            </w:pPr>
            <w:r w:rsidRPr="001F4D8F">
              <w:rPr>
                <w:szCs w:val="20"/>
              </w:rPr>
              <w:t>Prevalence of diabetes in the ACT</w:t>
            </w:r>
          </w:p>
        </w:tc>
        <w:tc>
          <w:tcPr>
            <w:tcW w:w="1474" w:type="dxa"/>
            <w:tcBorders>
              <w:top w:val="single" w:sz="4" w:space="0" w:color="auto"/>
              <w:left w:val="nil"/>
              <w:bottom w:val="single" w:sz="4" w:space="0" w:color="auto"/>
              <w:right w:val="nil"/>
            </w:tcBorders>
          </w:tcPr>
          <w:p w:rsidR="007E390E" w:rsidRPr="001F4D8F" w:rsidRDefault="007E390E" w:rsidP="00A6284D">
            <w:pPr>
              <w:pStyle w:val="TableTextRight-BP410pt"/>
            </w:pPr>
            <w:r w:rsidRPr="001F4D8F">
              <w:t>3.8%</w:t>
            </w:r>
          </w:p>
        </w:tc>
        <w:tc>
          <w:tcPr>
            <w:tcW w:w="1491" w:type="dxa"/>
            <w:tcBorders>
              <w:top w:val="single" w:sz="4" w:space="0" w:color="auto"/>
              <w:left w:val="nil"/>
              <w:bottom w:val="single" w:sz="4" w:space="0" w:color="auto"/>
              <w:right w:val="nil"/>
            </w:tcBorders>
          </w:tcPr>
          <w:p w:rsidR="007E390E" w:rsidRPr="001F4D8F" w:rsidRDefault="007E390E" w:rsidP="00A6284D">
            <w:pPr>
              <w:pStyle w:val="TableTextRight-BP410pt"/>
            </w:pPr>
            <w:r w:rsidRPr="001F4D8F">
              <w:t>3.7%</w:t>
            </w:r>
          </w:p>
        </w:tc>
      </w:tr>
    </w:tbl>
    <w:p w:rsidR="007E390E" w:rsidRPr="00803A83" w:rsidRDefault="007E390E" w:rsidP="00803A83">
      <w:pPr>
        <w:pStyle w:val="NoteText"/>
        <w:rPr>
          <w:i/>
        </w:rPr>
      </w:pPr>
      <w:r w:rsidRPr="00803A83">
        <w:rPr>
          <w:i/>
        </w:rPr>
        <w:t>Source</w:t>
      </w:r>
      <w:r w:rsidRPr="00803A83">
        <w:rPr>
          <w:b/>
          <w:i/>
        </w:rPr>
        <w:t xml:space="preserve">:  </w:t>
      </w:r>
      <w:r w:rsidRPr="0006550A">
        <w:rPr>
          <w:i/>
        </w:rPr>
        <w:t>Australian Health Survey: First Results, 2011-12</w:t>
      </w:r>
      <w:r w:rsidRPr="00803A83">
        <w:rPr>
          <w:b/>
          <w:i/>
        </w:rPr>
        <w:t xml:space="preserve">. </w:t>
      </w:r>
      <w:r w:rsidR="0006550A">
        <w:rPr>
          <w:b/>
          <w:i/>
        </w:rPr>
        <w:t xml:space="preserve"> </w:t>
      </w:r>
      <w:r w:rsidRPr="00803A83">
        <w:rPr>
          <w:i/>
        </w:rPr>
        <w:t>Australian Bureau of Statistics Catalogue No: 4364.0.55.001</w:t>
      </w:r>
      <w:r w:rsidRPr="00803A83">
        <w:rPr>
          <w:b/>
          <w:i/>
        </w:rPr>
        <w:t>.</w:t>
      </w:r>
    </w:p>
    <w:p w:rsidR="007E390E" w:rsidRPr="00803A83" w:rsidRDefault="007E390E" w:rsidP="00803A83">
      <w:pPr>
        <w:pStyle w:val="SIHeading1"/>
      </w:pPr>
      <w:r w:rsidRPr="00803A83">
        <w:t>Strategic Objective 12</w:t>
      </w:r>
    </w:p>
    <w:p w:rsidR="007E390E" w:rsidRPr="00803A83" w:rsidRDefault="007E390E" w:rsidP="00803A83">
      <w:pPr>
        <w:pStyle w:val="SIHeading2"/>
      </w:pPr>
      <w:r w:rsidRPr="00803A83">
        <w:t xml:space="preserve">Government </w:t>
      </w:r>
      <w:r w:rsidR="007F78C0">
        <w:t>C</w:t>
      </w:r>
      <w:r w:rsidRPr="00803A83">
        <w:t xml:space="preserve">apital </w:t>
      </w:r>
      <w:r w:rsidR="007F78C0">
        <w:t>E</w:t>
      </w:r>
      <w:r w:rsidRPr="00803A83">
        <w:t xml:space="preserve">xpenditure on </w:t>
      </w:r>
      <w:r w:rsidR="007F78C0">
        <w:t>H</w:t>
      </w:r>
      <w:r w:rsidRPr="00803A83">
        <w:t xml:space="preserve">ealthcare </w:t>
      </w:r>
      <w:r w:rsidR="007F78C0">
        <w:t>I</w:t>
      </w:r>
      <w:r w:rsidRPr="00803A83">
        <w:t>nfrastructure</w:t>
      </w:r>
    </w:p>
    <w:p w:rsidR="007E390E" w:rsidRPr="00032C76" w:rsidRDefault="007E390E" w:rsidP="007E390E">
      <w:pPr>
        <w:pStyle w:val="SIHeading1"/>
        <w:jc w:val="left"/>
      </w:pPr>
      <w:r w:rsidRPr="00803A83">
        <w:t>Strategic Indicator 12</w:t>
      </w:r>
      <w:r w:rsidRPr="00032C76">
        <w:t xml:space="preserve">:  </w:t>
      </w:r>
      <w:r w:rsidRPr="00032C76">
        <w:rPr>
          <w:b w:val="0"/>
        </w:rPr>
        <w:t xml:space="preserve">Capital </w:t>
      </w:r>
      <w:r w:rsidR="001E3DB7">
        <w:rPr>
          <w:b w:val="0"/>
        </w:rPr>
        <w:t>C</w:t>
      </w:r>
      <w:r w:rsidRPr="00032C76">
        <w:rPr>
          <w:b w:val="0"/>
        </w:rPr>
        <w:t>onsumption</w:t>
      </w:r>
    </w:p>
    <w:p w:rsidR="007E390E" w:rsidRPr="00A40C55" w:rsidRDefault="007E390E" w:rsidP="007E390E">
      <w:pPr>
        <w:pStyle w:val="BodyText"/>
      </w:pPr>
      <w:r w:rsidRPr="00032C76">
        <w:t>This indicator provides information on government investment to improve healthcare infrastructure.  Information on the level of funding allocated for health infrastructure as a proportion of overall expenditure provides an indication of investment towards developing sustainable and improved models of care.  The aim for the ACT is to exceed the national rate</w:t>
      </w:r>
      <w:r>
        <w:t xml:space="preserve"> of expenditure on infrastructure</w:t>
      </w:r>
      <w:r w:rsidRPr="00032C76">
        <w:t>.</w:t>
      </w:r>
    </w:p>
    <w:tbl>
      <w:tblPr>
        <w:tblW w:w="9100" w:type="dxa"/>
        <w:tblLayout w:type="fixed"/>
        <w:tblLook w:val="0000"/>
      </w:tblPr>
      <w:tblGrid>
        <w:gridCol w:w="6332"/>
        <w:gridCol w:w="1384"/>
        <w:gridCol w:w="1384"/>
      </w:tblGrid>
      <w:tr w:rsidR="007E390E" w:rsidRPr="00032C76" w:rsidTr="003A5212">
        <w:tc>
          <w:tcPr>
            <w:tcW w:w="6811" w:type="dxa"/>
            <w:tcBorders>
              <w:top w:val="single" w:sz="4" w:space="0" w:color="auto"/>
              <w:left w:val="nil"/>
              <w:bottom w:val="single" w:sz="4" w:space="0" w:color="auto"/>
              <w:right w:val="nil"/>
            </w:tcBorders>
          </w:tcPr>
          <w:p w:rsidR="007E390E" w:rsidRPr="00032C76" w:rsidRDefault="007E390E" w:rsidP="001E3DB7">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cs="Calibri"/>
              </w:rPr>
            </w:pPr>
            <w:r w:rsidRPr="00032C76">
              <w:rPr>
                <w:rFonts w:cs="Calibri"/>
              </w:rPr>
              <w:t>Government</w:t>
            </w:r>
            <w:r w:rsidRPr="00032C76">
              <w:rPr>
                <w:rFonts w:cs="Calibri"/>
                <w:vertAlign w:val="superscript"/>
              </w:rPr>
              <w:t>1</w:t>
            </w:r>
            <w:r w:rsidRPr="00032C76">
              <w:rPr>
                <w:rFonts w:cs="Calibri"/>
              </w:rPr>
              <w:t xml:space="preserve"> capital </w:t>
            </w:r>
            <w:r w:rsidR="00991430">
              <w:rPr>
                <w:rFonts w:cs="Calibri"/>
              </w:rPr>
              <w:t>expenditure as a proportion of G</w:t>
            </w:r>
            <w:r w:rsidRPr="00032C76">
              <w:rPr>
                <w:rFonts w:cs="Calibri"/>
              </w:rPr>
              <w:t>overnment</w:t>
            </w:r>
            <w:r w:rsidRPr="00032C76">
              <w:rPr>
                <w:rFonts w:cs="Calibri"/>
                <w:vertAlign w:val="superscript"/>
              </w:rPr>
              <w:t>2</w:t>
            </w:r>
            <w:r w:rsidRPr="00032C76">
              <w:rPr>
                <w:rFonts w:cs="Calibri"/>
              </w:rPr>
              <w:t xml:space="preserve"> capital consumption expenditure by healthcare facilities, 2007-08 to 2009-10</w:t>
            </w:r>
          </w:p>
        </w:tc>
        <w:tc>
          <w:tcPr>
            <w:tcW w:w="1474" w:type="dxa"/>
            <w:tcBorders>
              <w:top w:val="single" w:sz="4" w:space="0" w:color="auto"/>
              <w:left w:val="nil"/>
              <w:bottom w:val="single" w:sz="4" w:space="0" w:color="auto"/>
              <w:right w:val="nil"/>
            </w:tcBorders>
          </w:tcPr>
          <w:p w:rsidR="007E390E" w:rsidRPr="00032C76" w:rsidRDefault="007E390E" w:rsidP="003A5212">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032C76">
              <w:rPr>
                <w:rFonts w:cs="Calibri"/>
              </w:rPr>
              <w:t>ACT Rate</w:t>
            </w:r>
          </w:p>
        </w:tc>
        <w:tc>
          <w:tcPr>
            <w:tcW w:w="1474" w:type="dxa"/>
            <w:tcBorders>
              <w:top w:val="single" w:sz="4" w:space="0" w:color="auto"/>
              <w:left w:val="nil"/>
              <w:bottom w:val="single" w:sz="4" w:space="0" w:color="auto"/>
              <w:right w:val="nil"/>
            </w:tcBorders>
          </w:tcPr>
          <w:p w:rsidR="007E390E" w:rsidRPr="00032C76" w:rsidRDefault="007E390E" w:rsidP="003A5212">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rPr>
            </w:pPr>
            <w:r w:rsidRPr="00032C76">
              <w:rPr>
                <w:rFonts w:cs="Calibri"/>
              </w:rPr>
              <w:t>National Rate</w:t>
            </w:r>
          </w:p>
        </w:tc>
      </w:tr>
      <w:tr w:rsidR="007E390E" w:rsidRPr="00032C76" w:rsidTr="003A5212">
        <w:trPr>
          <w:trHeight w:hRule="exact" w:val="284"/>
        </w:trPr>
        <w:tc>
          <w:tcPr>
            <w:tcW w:w="6811" w:type="dxa"/>
            <w:tcBorders>
              <w:top w:val="single" w:sz="4" w:space="0" w:color="auto"/>
              <w:left w:val="nil"/>
              <w:right w:val="nil"/>
            </w:tcBorders>
          </w:tcPr>
          <w:p w:rsidR="007E390E" w:rsidRPr="00032C76" w:rsidRDefault="007E390E" w:rsidP="003A5212">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b w:val="0"/>
                <w:bCs/>
              </w:rPr>
            </w:pPr>
            <w:r w:rsidRPr="00032C76">
              <w:rPr>
                <w:rFonts w:cs="Calibri"/>
                <w:b w:val="0"/>
                <w:bCs/>
              </w:rPr>
              <w:t>2007-08</w:t>
            </w:r>
          </w:p>
        </w:tc>
        <w:tc>
          <w:tcPr>
            <w:tcW w:w="1474" w:type="dxa"/>
            <w:tcBorders>
              <w:top w:val="single" w:sz="4" w:space="0" w:color="auto"/>
              <w:left w:val="nil"/>
              <w:right w:val="nil"/>
            </w:tcBorders>
          </w:tcPr>
          <w:p w:rsidR="007E390E" w:rsidRPr="00032C76" w:rsidRDefault="007E390E" w:rsidP="003A5212">
            <w:pPr>
              <w:pStyle w:val="Heading6"/>
              <w:rPr>
                <w:rFonts w:cs="Calibri"/>
                <w:b w:val="0"/>
              </w:rPr>
            </w:pPr>
            <w:r w:rsidRPr="00032C76">
              <w:rPr>
                <w:rFonts w:cs="Calibri"/>
                <w:b w:val="0"/>
              </w:rPr>
              <w:t>1.89</w:t>
            </w:r>
          </w:p>
        </w:tc>
        <w:tc>
          <w:tcPr>
            <w:tcW w:w="1474" w:type="dxa"/>
            <w:tcBorders>
              <w:top w:val="single" w:sz="4" w:space="0" w:color="auto"/>
              <w:left w:val="nil"/>
              <w:right w:val="nil"/>
            </w:tcBorders>
          </w:tcPr>
          <w:p w:rsidR="007E390E" w:rsidRPr="00032C76" w:rsidRDefault="007E390E" w:rsidP="003A5212">
            <w:pPr>
              <w:pStyle w:val="Heading6"/>
              <w:rPr>
                <w:rFonts w:cs="Calibri"/>
                <w:b w:val="0"/>
              </w:rPr>
            </w:pPr>
            <w:r w:rsidRPr="00032C76">
              <w:rPr>
                <w:rFonts w:cs="Calibri"/>
                <w:b w:val="0"/>
              </w:rPr>
              <w:t>1.51</w:t>
            </w:r>
          </w:p>
        </w:tc>
      </w:tr>
      <w:tr w:rsidR="007E390E" w:rsidRPr="00032C76" w:rsidTr="003A5212">
        <w:trPr>
          <w:trHeight w:hRule="exact" w:val="284"/>
        </w:trPr>
        <w:tc>
          <w:tcPr>
            <w:tcW w:w="6811" w:type="dxa"/>
            <w:tcBorders>
              <w:left w:val="nil"/>
              <w:right w:val="nil"/>
            </w:tcBorders>
          </w:tcPr>
          <w:p w:rsidR="007E390E" w:rsidRPr="00032C76" w:rsidRDefault="007E390E" w:rsidP="003A5212">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b w:val="0"/>
                <w:bCs/>
              </w:rPr>
            </w:pPr>
            <w:r w:rsidRPr="00032C76">
              <w:rPr>
                <w:rFonts w:cs="Calibri"/>
                <w:b w:val="0"/>
                <w:bCs/>
              </w:rPr>
              <w:t>2008-09</w:t>
            </w:r>
          </w:p>
        </w:tc>
        <w:tc>
          <w:tcPr>
            <w:tcW w:w="1474" w:type="dxa"/>
            <w:tcBorders>
              <w:left w:val="nil"/>
              <w:right w:val="nil"/>
            </w:tcBorders>
          </w:tcPr>
          <w:p w:rsidR="007E390E" w:rsidRPr="00032C76" w:rsidRDefault="007E390E" w:rsidP="003A5212">
            <w:pPr>
              <w:pStyle w:val="Heading6"/>
              <w:rPr>
                <w:rFonts w:cs="Calibri"/>
                <w:b w:val="0"/>
              </w:rPr>
            </w:pPr>
            <w:r w:rsidRPr="00032C76">
              <w:rPr>
                <w:rFonts w:cs="Calibri"/>
                <w:b w:val="0"/>
              </w:rPr>
              <w:t>2.76</w:t>
            </w:r>
          </w:p>
        </w:tc>
        <w:tc>
          <w:tcPr>
            <w:tcW w:w="1474" w:type="dxa"/>
            <w:tcBorders>
              <w:left w:val="nil"/>
              <w:right w:val="nil"/>
            </w:tcBorders>
          </w:tcPr>
          <w:p w:rsidR="007E390E" w:rsidRPr="00032C76" w:rsidRDefault="007E390E" w:rsidP="003A5212">
            <w:pPr>
              <w:pStyle w:val="Heading6"/>
              <w:rPr>
                <w:rFonts w:cs="Calibri"/>
                <w:b w:val="0"/>
              </w:rPr>
            </w:pPr>
            <w:r w:rsidRPr="00032C76">
              <w:rPr>
                <w:rFonts w:cs="Calibri"/>
                <w:b w:val="0"/>
              </w:rPr>
              <w:t>1.90</w:t>
            </w:r>
          </w:p>
        </w:tc>
      </w:tr>
      <w:tr w:rsidR="007E390E" w:rsidRPr="00032C76" w:rsidTr="003A5212">
        <w:trPr>
          <w:trHeight w:hRule="exact" w:val="284"/>
        </w:trPr>
        <w:tc>
          <w:tcPr>
            <w:tcW w:w="6811" w:type="dxa"/>
            <w:tcBorders>
              <w:left w:val="nil"/>
              <w:bottom w:val="single" w:sz="4" w:space="0" w:color="auto"/>
              <w:right w:val="nil"/>
            </w:tcBorders>
          </w:tcPr>
          <w:p w:rsidR="007E390E" w:rsidRPr="00032C76" w:rsidRDefault="007E390E" w:rsidP="003A5212">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b w:val="0"/>
                <w:bCs/>
              </w:rPr>
            </w:pPr>
            <w:r w:rsidRPr="00032C76">
              <w:rPr>
                <w:rFonts w:cs="Calibri"/>
                <w:b w:val="0"/>
                <w:bCs/>
              </w:rPr>
              <w:t>2009-10</w:t>
            </w:r>
          </w:p>
        </w:tc>
        <w:tc>
          <w:tcPr>
            <w:tcW w:w="1474" w:type="dxa"/>
            <w:tcBorders>
              <w:left w:val="nil"/>
              <w:bottom w:val="single" w:sz="4" w:space="0" w:color="auto"/>
              <w:right w:val="nil"/>
            </w:tcBorders>
          </w:tcPr>
          <w:p w:rsidR="007E390E" w:rsidRPr="00032C76" w:rsidRDefault="007E390E" w:rsidP="003A5212">
            <w:pPr>
              <w:pStyle w:val="Heading6"/>
              <w:rPr>
                <w:rFonts w:cs="Calibri"/>
                <w:b w:val="0"/>
              </w:rPr>
            </w:pPr>
            <w:r w:rsidRPr="00032C76">
              <w:rPr>
                <w:rFonts w:cs="Calibri"/>
                <w:b w:val="0"/>
              </w:rPr>
              <w:t>2.67</w:t>
            </w:r>
          </w:p>
        </w:tc>
        <w:tc>
          <w:tcPr>
            <w:tcW w:w="1474" w:type="dxa"/>
            <w:tcBorders>
              <w:left w:val="nil"/>
              <w:bottom w:val="single" w:sz="4" w:space="0" w:color="auto"/>
              <w:right w:val="nil"/>
            </w:tcBorders>
          </w:tcPr>
          <w:p w:rsidR="007E390E" w:rsidRPr="00032C76" w:rsidRDefault="007E390E" w:rsidP="003A5212">
            <w:pPr>
              <w:pStyle w:val="Heading6"/>
              <w:rPr>
                <w:rFonts w:cs="Calibri"/>
              </w:rPr>
            </w:pPr>
            <w:r w:rsidRPr="00032C76">
              <w:rPr>
                <w:rFonts w:cs="Calibri"/>
                <w:b w:val="0"/>
              </w:rPr>
              <w:t>1.57</w:t>
            </w:r>
          </w:p>
        </w:tc>
      </w:tr>
    </w:tbl>
    <w:p w:rsidR="007E390E" w:rsidRPr="00803A83" w:rsidRDefault="007E390E" w:rsidP="00803A83">
      <w:pPr>
        <w:pStyle w:val="NoteText"/>
        <w:rPr>
          <w:i/>
        </w:rPr>
      </w:pPr>
      <w:r w:rsidRPr="00803A83">
        <w:rPr>
          <w:i/>
        </w:rPr>
        <w:t>Source:  Health Expenditure Australia 2009-10 (Australian Institute of Health and Welfare).</w:t>
      </w:r>
    </w:p>
    <w:p w:rsidR="007E390E" w:rsidRPr="00803A83" w:rsidRDefault="007E390E" w:rsidP="0006550A">
      <w:pPr>
        <w:pStyle w:val="NoteHeading"/>
      </w:pPr>
      <w:r w:rsidRPr="00803A83">
        <w:t>Notes:</w:t>
      </w:r>
    </w:p>
    <w:p w:rsidR="007E390E" w:rsidRPr="00032C76" w:rsidRDefault="007E390E" w:rsidP="00CE50C4">
      <w:pPr>
        <w:pStyle w:val="AINotes"/>
        <w:numPr>
          <w:ilvl w:val="0"/>
          <w:numId w:val="1"/>
        </w:numPr>
      </w:pPr>
      <w:r w:rsidRPr="00032C76">
        <w:t>Excludes local government.</w:t>
      </w:r>
    </w:p>
    <w:p w:rsidR="0006550A" w:rsidRDefault="007E390E" w:rsidP="00CE50C4">
      <w:pPr>
        <w:pStyle w:val="AINotes"/>
        <w:numPr>
          <w:ilvl w:val="0"/>
          <w:numId w:val="1"/>
        </w:numPr>
      </w:pPr>
      <w:r w:rsidRPr="00032C76">
        <w:t>Expenditure on publicly owned healthcare facilities.</w:t>
      </w:r>
    </w:p>
    <w:p w:rsidR="0075638A" w:rsidRDefault="0006550A" w:rsidP="00991430">
      <w:pPr>
        <w:pStyle w:val="SIHeading1"/>
        <w:tabs>
          <w:tab w:val="center" w:pos="4513"/>
        </w:tabs>
      </w:pPr>
      <w:r>
        <w:br w:type="page"/>
      </w:r>
    </w:p>
    <w:p w:rsidR="007E390E" w:rsidRPr="0006550A" w:rsidRDefault="007E390E" w:rsidP="00991430">
      <w:pPr>
        <w:pStyle w:val="SIHeading1"/>
        <w:tabs>
          <w:tab w:val="center" w:pos="4513"/>
        </w:tabs>
      </w:pPr>
      <w:r w:rsidRPr="0006550A">
        <w:lastRenderedPageBreak/>
        <w:t>Strategic Objective 13</w:t>
      </w:r>
    </w:p>
    <w:p w:rsidR="007E390E" w:rsidRPr="00283965" w:rsidRDefault="007E390E" w:rsidP="007E390E">
      <w:pPr>
        <w:pStyle w:val="SIHeading2"/>
        <w:rPr>
          <w:rFonts w:cs="Arial"/>
        </w:rPr>
      </w:pPr>
      <w:r w:rsidRPr="00283965">
        <w:rPr>
          <w:rFonts w:cs="Arial"/>
        </w:rPr>
        <w:t xml:space="preserve">Higher </w:t>
      </w:r>
      <w:r w:rsidR="00D07595">
        <w:rPr>
          <w:rFonts w:cs="Arial"/>
        </w:rPr>
        <w:t>P</w:t>
      </w:r>
      <w:r w:rsidRPr="00283965">
        <w:rPr>
          <w:rFonts w:cs="Arial"/>
        </w:rPr>
        <w:t xml:space="preserve">roportion of Government </w:t>
      </w:r>
      <w:r w:rsidR="00D07595">
        <w:rPr>
          <w:rFonts w:cs="Arial"/>
        </w:rPr>
        <w:t>R</w:t>
      </w:r>
      <w:r w:rsidRPr="00283965">
        <w:rPr>
          <w:rFonts w:cs="Arial"/>
        </w:rPr>
        <w:t xml:space="preserve">ecurrent </w:t>
      </w:r>
      <w:r w:rsidR="00D07595">
        <w:rPr>
          <w:rFonts w:cs="Arial"/>
        </w:rPr>
        <w:t>H</w:t>
      </w:r>
      <w:r w:rsidRPr="00283965">
        <w:rPr>
          <w:rFonts w:cs="Arial"/>
        </w:rPr>
        <w:t xml:space="preserve">ealth </w:t>
      </w:r>
      <w:r w:rsidR="00D07595">
        <w:rPr>
          <w:rFonts w:cs="Arial"/>
        </w:rPr>
        <w:t>F</w:t>
      </w:r>
      <w:r w:rsidRPr="00283965">
        <w:rPr>
          <w:rFonts w:cs="Arial"/>
        </w:rPr>
        <w:t xml:space="preserve">unding </w:t>
      </w:r>
      <w:r w:rsidR="00D07595">
        <w:rPr>
          <w:rFonts w:cs="Arial"/>
        </w:rPr>
        <w:t>E</w:t>
      </w:r>
      <w:r w:rsidRPr="00283965">
        <w:rPr>
          <w:rFonts w:cs="Arial"/>
        </w:rPr>
        <w:t xml:space="preserve">xpenditure on </w:t>
      </w:r>
      <w:r w:rsidR="00D07595">
        <w:rPr>
          <w:rFonts w:cs="Arial"/>
        </w:rPr>
        <w:t>P</w:t>
      </w:r>
      <w:r w:rsidRPr="00283965">
        <w:rPr>
          <w:rFonts w:cs="Arial"/>
        </w:rPr>
        <w:t xml:space="preserve">ublic </w:t>
      </w:r>
      <w:r w:rsidR="00D07595">
        <w:rPr>
          <w:rFonts w:cs="Arial"/>
        </w:rPr>
        <w:t>H</w:t>
      </w:r>
      <w:r w:rsidRPr="00283965">
        <w:rPr>
          <w:rFonts w:cs="Arial"/>
        </w:rPr>
        <w:t xml:space="preserve">ealth </w:t>
      </w:r>
      <w:r w:rsidR="00D07595">
        <w:rPr>
          <w:rFonts w:cs="Arial"/>
        </w:rPr>
        <w:t>A</w:t>
      </w:r>
      <w:r w:rsidRPr="00283965">
        <w:rPr>
          <w:rFonts w:cs="Arial"/>
        </w:rPr>
        <w:t xml:space="preserve">ctivities than </w:t>
      </w:r>
      <w:r>
        <w:rPr>
          <w:rFonts w:cs="Arial"/>
        </w:rPr>
        <w:t xml:space="preserve">the </w:t>
      </w:r>
      <w:r w:rsidR="00D07595">
        <w:rPr>
          <w:rFonts w:cs="Arial"/>
        </w:rPr>
        <w:t>N</w:t>
      </w:r>
      <w:r w:rsidRPr="00283965">
        <w:rPr>
          <w:rFonts w:cs="Arial"/>
        </w:rPr>
        <w:t xml:space="preserve">ational </w:t>
      </w:r>
      <w:r w:rsidR="00D07595">
        <w:rPr>
          <w:rFonts w:cs="Arial"/>
        </w:rPr>
        <w:t>A</w:t>
      </w:r>
      <w:r w:rsidRPr="00283965">
        <w:rPr>
          <w:rFonts w:cs="Arial"/>
        </w:rPr>
        <w:t>verage</w:t>
      </w:r>
    </w:p>
    <w:p w:rsidR="0006550A" w:rsidRPr="001F0C3C" w:rsidRDefault="0006550A" w:rsidP="0006550A">
      <w:pPr>
        <w:pStyle w:val="SIlabel"/>
        <w:rPr>
          <w:b w:val="0"/>
        </w:rPr>
      </w:pPr>
      <w:r>
        <w:t xml:space="preserve">Strategic Indicator 13:  </w:t>
      </w:r>
      <w:r w:rsidR="001E3DB7">
        <w:rPr>
          <w:b w:val="0"/>
        </w:rPr>
        <w:t>Proportion of Government Recurrent Health Funding Expenditure on Public Health A</w:t>
      </w:r>
      <w:r w:rsidRPr="001F0C3C">
        <w:rPr>
          <w:b w:val="0"/>
        </w:rPr>
        <w:t>ctivities</w:t>
      </w:r>
    </w:p>
    <w:p w:rsidR="007E390E" w:rsidRPr="00803A83" w:rsidRDefault="007E390E" w:rsidP="00803A83">
      <w:pPr>
        <w:pStyle w:val="BodyText"/>
      </w:pPr>
      <w:r w:rsidRPr="00803A83">
        <w:t>Improvements in the prevention of diseases can reduce longer term impacts on the health system, particularly for people with chronic diseases.  The aim for the ACT is to exceed the Australian average rate of recurrent health funding on public health activities as a strategy to reduce the long term chronic disease burden.</w:t>
      </w:r>
    </w:p>
    <w:tbl>
      <w:tblPr>
        <w:tblW w:w="9100" w:type="dxa"/>
        <w:tblLayout w:type="fixed"/>
        <w:tblLook w:val="0000"/>
      </w:tblPr>
      <w:tblGrid>
        <w:gridCol w:w="6354"/>
        <w:gridCol w:w="1373"/>
        <w:gridCol w:w="1373"/>
      </w:tblGrid>
      <w:tr w:rsidR="007E390E" w:rsidRPr="00283965" w:rsidTr="00991430">
        <w:tc>
          <w:tcPr>
            <w:tcW w:w="6900" w:type="dxa"/>
            <w:tcBorders>
              <w:top w:val="single" w:sz="4" w:space="0" w:color="auto"/>
              <w:left w:val="nil"/>
              <w:bottom w:val="single" w:sz="4" w:space="0" w:color="auto"/>
              <w:right w:val="nil"/>
            </w:tcBorders>
          </w:tcPr>
          <w:p w:rsidR="007E390E" w:rsidRPr="00283965" w:rsidRDefault="00991430" w:rsidP="001E3DB7">
            <w:pPr>
              <w:pStyle w:val="TableTextLeftBold-BP410pt"/>
              <w:ind w:left="0" w:firstLine="0"/>
            </w:pPr>
            <w:r>
              <w:t>Estimated total G</w:t>
            </w:r>
            <w:r w:rsidR="007E390E" w:rsidRPr="00283965">
              <w:t>overnment expenditure on public health activities as a proportion of total current health expenditure</w:t>
            </w:r>
          </w:p>
        </w:tc>
        <w:tc>
          <w:tcPr>
            <w:tcW w:w="1474" w:type="dxa"/>
            <w:tcBorders>
              <w:top w:val="single" w:sz="4" w:space="0" w:color="auto"/>
              <w:left w:val="nil"/>
              <w:bottom w:val="single" w:sz="4" w:space="0" w:color="auto"/>
              <w:right w:val="nil"/>
            </w:tcBorders>
          </w:tcPr>
          <w:p w:rsidR="007E390E" w:rsidRPr="00283965" w:rsidRDefault="007E390E" w:rsidP="00A6284D">
            <w:pPr>
              <w:pStyle w:val="TableTextRightBold-BP410pt"/>
            </w:pPr>
            <w:r w:rsidRPr="00283965">
              <w:t>ACT Rate</w:t>
            </w:r>
          </w:p>
        </w:tc>
        <w:tc>
          <w:tcPr>
            <w:tcW w:w="1474" w:type="dxa"/>
            <w:tcBorders>
              <w:top w:val="single" w:sz="4" w:space="0" w:color="auto"/>
              <w:left w:val="nil"/>
              <w:bottom w:val="single" w:sz="4" w:space="0" w:color="auto"/>
              <w:right w:val="nil"/>
            </w:tcBorders>
          </w:tcPr>
          <w:p w:rsidR="007E390E" w:rsidRPr="00283965" w:rsidRDefault="007E390E" w:rsidP="00A6284D">
            <w:pPr>
              <w:pStyle w:val="TableTextRightBold-BP410pt"/>
            </w:pPr>
            <w:r w:rsidRPr="00283965">
              <w:t>National Rate</w:t>
            </w:r>
          </w:p>
        </w:tc>
      </w:tr>
      <w:tr w:rsidR="007E390E" w:rsidRPr="00283965" w:rsidTr="00991430">
        <w:tc>
          <w:tcPr>
            <w:tcW w:w="6900" w:type="dxa"/>
            <w:tcBorders>
              <w:top w:val="single" w:sz="4" w:space="0" w:color="auto"/>
              <w:left w:val="nil"/>
              <w:right w:val="nil"/>
            </w:tcBorders>
          </w:tcPr>
          <w:p w:rsidR="007E390E" w:rsidRPr="00283965" w:rsidRDefault="007E390E" w:rsidP="00A6284D">
            <w:pPr>
              <w:pStyle w:val="TableTextLeft-BP410pt"/>
            </w:pPr>
            <w:r w:rsidRPr="00283965">
              <w:t>200</w:t>
            </w:r>
            <w:r>
              <w:t>8</w:t>
            </w:r>
            <w:r w:rsidRPr="00283965">
              <w:t>-0</w:t>
            </w:r>
            <w:r>
              <w:t>9</w:t>
            </w:r>
          </w:p>
        </w:tc>
        <w:tc>
          <w:tcPr>
            <w:tcW w:w="1474" w:type="dxa"/>
            <w:tcBorders>
              <w:top w:val="single" w:sz="4" w:space="0" w:color="auto"/>
              <w:left w:val="nil"/>
              <w:right w:val="nil"/>
            </w:tcBorders>
          </w:tcPr>
          <w:p w:rsidR="007E390E" w:rsidRPr="007574A9" w:rsidRDefault="007E390E" w:rsidP="00A6284D">
            <w:pPr>
              <w:pStyle w:val="TableTextRight-BP410pt"/>
            </w:pPr>
            <w:r w:rsidRPr="007574A9">
              <w:t>3.1%</w:t>
            </w:r>
          </w:p>
        </w:tc>
        <w:tc>
          <w:tcPr>
            <w:tcW w:w="1474" w:type="dxa"/>
            <w:tcBorders>
              <w:top w:val="single" w:sz="4" w:space="0" w:color="auto"/>
              <w:left w:val="nil"/>
              <w:right w:val="nil"/>
            </w:tcBorders>
          </w:tcPr>
          <w:p w:rsidR="007E390E" w:rsidRPr="007574A9" w:rsidRDefault="007E390E" w:rsidP="00A6284D">
            <w:pPr>
              <w:pStyle w:val="TableTextRight-BP410pt"/>
            </w:pPr>
            <w:r w:rsidRPr="007574A9">
              <w:t>2.7%</w:t>
            </w:r>
          </w:p>
        </w:tc>
      </w:tr>
      <w:tr w:rsidR="007E390E" w:rsidRPr="00283965" w:rsidTr="00991430">
        <w:tc>
          <w:tcPr>
            <w:tcW w:w="6900" w:type="dxa"/>
            <w:tcBorders>
              <w:left w:val="nil"/>
              <w:right w:val="nil"/>
            </w:tcBorders>
          </w:tcPr>
          <w:p w:rsidR="007E390E" w:rsidRPr="00283965" w:rsidRDefault="007E390E" w:rsidP="00A6284D">
            <w:pPr>
              <w:pStyle w:val="TableTextLeft-BP410pt"/>
            </w:pPr>
            <w:r>
              <w:t>2009-10</w:t>
            </w:r>
          </w:p>
        </w:tc>
        <w:tc>
          <w:tcPr>
            <w:tcW w:w="1474" w:type="dxa"/>
            <w:tcBorders>
              <w:left w:val="nil"/>
              <w:right w:val="nil"/>
            </w:tcBorders>
          </w:tcPr>
          <w:p w:rsidR="007E390E" w:rsidRPr="007574A9" w:rsidRDefault="007E390E" w:rsidP="00A6284D">
            <w:pPr>
              <w:pStyle w:val="TableTextRight-BP410pt"/>
            </w:pPr>
            <w:r w:rsidRPr="007574A9">
              <w:t>2.7%</w:t>
            </w:r>
          </w:p>
        </w:tc>
        <w:tc>
          <w:tcPr>
            <w:tcW w:w="1474" w:type="dxa"/>
            <w:tcBorders>
              <w:left w:val="nil"/>
              <w:right w:val="nil"/>
            </w:tcBorders>
          </w:tcPr>
          <w:p w:rsidR="007E390E" w:rsidRPr="007574A9" w:rsidRDefault="007E390E" w:rsidP="00A6284D">
            <w:pPr>
              <w:pStyle w:val="TableTextRight-BP410pt"/>
            </w:pPr>
            <w:r w:rsidRPr="007574A9">
              <w:t>2.2%</w:t>
            </w:r>
          </w:p>
        </w:tc>
      </w:tr>
      <w:tr w:rsidR="007E390E" w:rsidRPr="00283965" w:rsidTr="00991430">
        <w:tc>
          <w:tcPr>
            <w:tcW w:w="6900" w:type="dxa"/>
            <w:tcBorders>
              <w:left w:val="nil"/>
              <w:bottom w:val="single" w:sz="4" w:space="0" w:color="auto"/>
              <w:right w:val="nil"/>
            </w:tcBorders>
          </w:tcPr>
          <w:p w:rsidR="007E390E" w:rsidRPr="00283965" w:rsidRDefault="007E390E" w:rsidP="00A6284D">
            <w:pPr>
              <w:pStyle w:val="TableTextLeft-BP410pt"/>
            </w:pPr>
            <w:r>
              <w:t>2010-11</w:t>
            </w:r>
          </w:p>
        </w:tc>
        <w:tc>
          <w:tcPr>
            <w:tcW w:w="1474" w:type="dxa"/>
            <w:tcBorders>
              <w:left w:val="nil"/>
              <w:bottom w:val="single" w:sz="4" w:space="0" w:color="auto"/>
              <w:right w:val="nil"/>
            </w:tcBorders>
          </w:tcPr>
          <w:p w:rsidR="007E390E" w:rsidRPr="007574A9" w:rsidRDefault="007E390E" w:rsidP="00A6284D">
            <w:pPr>
              <w:pStyle w:val="TableTextRight-BP410pt"/>
            </w:pPr>
            <w:r w:rsidRPr="007574A9">
              <w:t>2.6%</w:t>
            </w:r>
          </w:p>
        </w:tc>
        <w:tc>
          <w:tcPr>
            <w:tcW w:w="1474" w:type="dxa"/>
            <w:tcBorders>
              <w:left w:val="nil"/>
              <w:bottom w:val="single" w:sz="4" w:space="0" w:color="auto"/>
              <w:right w:val="nil"/>
            </w:tcBorders>
          </w:tcPr>
          <w:p w:rsidR="007E390E" w:rsidRPr="007574A9" w:rsidRDefault="007E390E" w:rsidP="00A6284D">
            <w:pPr>
              <w:pStyle w:val="TableTextRight-BP410pt"/>
            </w:pPr>
            <w:r w:rsidRPr="007574A9">
              <w:t>2.1%</w:t>
            </w:r>
          </w:p>
        </w:tc>
      </w:tr>
    </w:tbl>
    <w:p w:rsidR="007E390E" w:rsidRPr="00803A83" w:rsidRDefault="007E390E" w:rsidP="00803A83">
      <w:pPr>
        <w:pStyle w:val="NoteText"/>
        <w:rPr>
          <w:i/>
        </w:rPr>
      </w:pPr>
      <w:r w:rsidRPr="00803A83">
        <w:rPr>
          <w:i/>
        </w:rPr>
        <w:t>Source:  Health Expenditure Australia 2010-11 (Australian Institute of Health and Welfare).</w:t>
      </w:r>
    </w:p>
    <w:p w:rsidR="007E390E" w:rsidRPr="00803A83" w:rsidRDefault="007E390E" w:rsidP="00803A83">
      <w:pPr>
        <w:pStyle w:val="SIHeading1"/>
      </w:pPr>
      <w:r w:rsidRPr="00803A83">
        <w:t>Strategic Objective 14</w:t>
      </w:r>
    </w:p>
    <w:p w:rsidR="007E390E" w:rsidRPr="00803A83" w:rsidRDefault="007E390E" w:rsidP="00803A83">
      <w:pPr>
        <w:pStyle w:val="SIHeading2"/>
      </w:pPr>
      <w:r w:rsidRPr="00803A83">
        <w:t xml:space="preserve">Addressing </w:t>
      </w:r>
      <w:r w:rsidR="00361C18">
        <w:t>G</w:t>
      </w:r>
      <w:r w:rsidRPr="00803A83">
        <w:t xml:space="preserve">aps in Aboriginal and Torres Strait Islander </w:t>
      </w:r>
      <w:r w:rsidR="00361C18">
        <w:t>I</w:t>
      </w:r>
      <w:r w:rsidRPr="00803A83">
        <w:t xml:space="preserve">mmunisation </w:t>
      </w:r>
      <w:r w:rsidR="00361C18">
        <w:t>S</w:t>
      </w:r>
      <w:r w:rsidRPr="00803A83">
        <w:t>tatus</w:t>
      </w:r>
    </w:p>
    <w:p w:rsidR="0006550A" w:rsidRPr="0006550A" w:rsidRDefault="0006550A" w:rsidP="0006550A">
      <w:pPr>
        <w:pStyle w:val="BodyText"/>
        <w:rPr>
          <w:rFonts w:ascii="Arial" w:hAnsi="Arial"/>
          <w:kern w:val="28"/>
          <w:sz w:val="20"/>
        </w:rPr>
      </w:pPr>
      <w:r w:rsidRPr="0006550A">
        <w:rPr>
          <w:rFonts w:ascii="Arial" w:hAnsi="Arial"/>
          <w:b/>
          <w:kern w:val="28"/>
          <w:sz w:val="20"/>
        </w:rPr>
        <w:t>Strategic Indicator 14:</w:t>
      </w:r>
      <w:r w:rsidRPr="00155FBC">
        <w:t xml:space="preserve">  </w:t>
      </w:r>
      <w:r w:rsidR="001E3DB7">
        <w:rPr>
          <w:rFonts w:ascii="Arial" w:hAnsi="Arial"/>
          <w:kern w:val="28"/>
          <w:sz w:val="20"/>
        </w:rPr>
        <w:t>Immunisation R</w:t>
      </w:r>
      <w:r w:rsidRPr="0006550A">
        <w:rPr>
          <w:rFonts w:ascii="Arial" w:hAnsi="Arial"/>
          <w:kern w:val="28"/>
          <w:sz w:val="20"/>
        </w:rPr>
        <w:t>ates – ACT Aborigi</w:t>
      </w:r>
      <w:r w:rsidR="001E3DB7">
        <w:rPr>
          <w:rFonts w:ascii="Arial" w:hAnsi="Arial"/>
          <w:kern w:val="28"/>
          <w:sz w:val="20"/>
        </w:rPr>
        <w:t>nal and Torres Strait Islander P</w:t>
      </w:r>
      <w:r w:rsidRPr="0006550A">
        <w:rPr>
          <w:rFonts w:ascii="Arial" w:hAnsi="Arial"/>
          <w:kern w:val="28"/>
          <w:sz w:val="20"/>
        </w:rPr>
        <w:t>opulation</w:t>
      </w:r>
    </w:p>
    <w:p w:rsidR="007E390E" w:rsidRPr="00155FBC" w:rsidRDefault="003F769B" w:rsidP="0006550A">
      <w:pPr>
        <w:pStyle w:val="BodyText"/>
      </w:pPr>
      <w:r>
        <w:t>The i</w:t>
      </w:r>
      <w:r w:rsidR="007E390E" w:rsidRPr="00803A83">
        <w:t>mmunisation rate provides an indication of the level of investment in public health services to minimise the incidence of vaccine preventable diseases.  The ACT’s indigenous population has a much lower rate of immunisation than the general population.  The ACT aims to minimise disparities between indigenous and non indigenous Australians through a targeted immunisation strategy.</w:t>
      </w:r>
    </w:p>
    <w:tbl>
      <w:tblPr>
        <w:tblW w:w="9100" w:type="dxa"/>
        <w:tblBorders>
          <w:top w:val="single" w:sz="4" w:space="0" w:color="auto"/>
        </w:tblBorders>
        <w:tblLayout w:type="fixed"/>
        <w:tblLook w:val="0000"/>
      </w:tblPr>
      <w:tblGrid>
        <w:gridCol w:w="4486"/>
        <w:gridCol w:w="1071"/>
        <w:gridCol w:w="1379"/>
        <w:gridCol w:w="1071"/>
        <w:gridCol w:w="1093"/>
      </w:tblGrid>
      <w:tr w:rsidR="007E390E" w:rsidRPr="00283965" w:rsidTr="001E3DB7">
        <w:tc>
          <w:tcPr>
            <w:tcW w:w="4632" w:type="dxa"/>
            <w:tcBorders>
              <w:top w:val="single" w:sz="4" w:space="0" w:color="auto"/>
              <w:bottom w:val="nil"/>
            </w:tcBorders>
          </w:tcPr>
          <w:p w:rsidR="007E390E" w:rsidRPr="00283965" w:rsidRDefault="007E390E" w:rsidP="00E4622A">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val="0"/>
                <w:bCs/>
              </w:rPr>
            </w:pPr>
          </w:p>
        </w:tc>
        <w:tc>
          <w:tcPr>
            <w:tcW w:w="1100" w:type="dxa"/>
            <w:tcBorders>
              <w:top w:val="single" w:sz="4" w:space="0" w:color="auto"/>
              <w:bottom w:val="nil"/>
            </w:tcBorders>
          </w:tcPr>
          <w:p w:rsidR="007E390E" w:rsidRPr="00283965" w:rsidRDefault="007E390E" w:rsidP="00E4622A">
            <w:pPr>
              <w:pStyle w:val="TableTextRightBold-BP410pt"/>
            </w:pPr>
            <w:r w:rsidRPr="00283965">
              <w:t>2012-1</w:t>
            </w:r>
            <w:r>
              <w:t>3</w:t>
            </w:r>
          </w:p>
        </w:tc>
        <w:tc>
          <w:tcPr>
            <w:tcW w:w="1418" w:type="dxa"/>
            <w:tcBorders>
              <w:top w:val="single" w:sz="4" w:space="0" w:color="auto"/>
              <w:bottom w:val="nil"/>
            </w:tcBorders>
          </w:tcPr>
          <w:p w:rsidR="007E390E" w:rsidRPr="00283965" w:rsidRDefault="007E390E" w:rsidP="00E4622A">
            <w:pPr>
              <w:pStyle w:val="TableTextRightBold-BP410pt"/>
              <w:rPr>
                <w:vertAlign w:val="superscript"/>
              </w:rPr>
            </w:pPr>
            <w:r w:rsidRPr="00283965">
              <w:t xml:space="preserve">2012-13 </w:t>
            </w:r>
          </w:p>
        </w:tc>
        <w:tc>
          <w:tcPr>
            <w:tcW w:w="1100" w:type="dxa"/>
            <w:tcBorders>
              <w:top w:val="single" w:sz="4" w:space="0" w:color="auto"/>
              <w:bottom w:val="nil"/>
            </w:tcBorders>
          </w:tcPr>
          <w:p w:rsidR="007E390E" w:rsidRPr="00283965" w:rsidRDefault="007E390E" w:rsidP="00E4622A">
            <w:pPr>
              <w:pStyle w:val="TableTextRightBold-BP410pt"/>
            </w:pPr>
            <w:r w:rsidRPr="00283965">
              <w:t>2013-14</w:t>
            </w:r>
          </w:p>
        </w:tc>
        <w:tc>
          <w:tcPr>
            <w:tcW w:w="1123" w:type="dxa"/>
            <w:tcBorders>
              <w:top w:val="single" w:sz="4" w:space="0" w:color="auto"/>
              <w:bottom w:val="nil"/>
            </w:tcBorders>
          </w:tcPr>
          <w:p w:rsidR="007E390E" w:rsidRPr="00283965" w:rsidRDefault="007E390E" w:rsidP="00E4622A">
            <w:pPr>
              <w:pStyle w:val="TableTextRightBold-BP410pt"/>
            </w:pPr>
            <w:r w:rsidRPr="00283965">
              <w:t>Long Term</w:t>
            </w:r>
          </w:p>
        </w:tc>
      </w:tr>
      <w:tr w:rsidR="007E390E" w:rsidRPr="00283965" w:rsidTr="001E3DB7">
        <w:tc>
          <w:tcPr>
            <w:tcW w:w="4632" w:type="dxa"/>
            <w:tcBorders>
              <w:top w:val="nil"/>
              <w:bottom w:val="nil"/>
            </w:tcBorders>
          </w:tcPr>
          <w:p w:rsidR="007E390E" w:rsidRPr="00283965" w:rsidRDefault="007E390E" w:rsidP="00E4622A">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val="0"/>
                <w:bCs/>
              </w:rPr>
            </w:pPr>
          </w:p>
        </w:tc>
        <w:tc>
          <w:tcPr>
            <w:tcW w:w="1100" w:type="dxa"/>
            <w:tcBorders>
              <w:top w:val="nil"/>
              <w:bottom w:val="nil"/>
            </w:tcBorders>
          </w:tcPr>
          <w:p w:rsidR="007E390E" w:rsidRPr="00283965" w:rsidRDefault="007E390E" w:rsidP="00E4622A">
            <w:pPr>
              <w:pStyle w:val="TableTextRightBold-BP410pt"/>
            </w:pPr>
            <w:r w:rsidRPr="00283965">
              <w:t>Target</w:t>
            </w:r>
          </w:p>
        </w:tc>
        <w:tc>
          <w:tcPr>
            <w:tcW w:w="1418" w:type="dxa"/>
            <w:tcBorders>
              <w:top w:val="nil"/>
              <w:bottom w:val="nil"/>
            </w:tcBorders>
          </w:tcPr>
          <w:p w:rsidR="007E390E" w:rsidRPr="00283965" w:rsidRDefault="007E390E" w:rsidP="00E4622A">
            <w:pPr>
              <w:pStyle w:val="TableTextRightBold-BP410pt"/>
            </w:pPr>
            <w:r w:rsidRPr="00283965">
              <w:t>Est.</w:t>
            </w:r>
            <w:r w:rsidR="00991430">
              <w:t>Outcome</w:t>
            </w:r>
            <w:r w:rsidR="00991430" w:rsidRPr="00991430">
              <w:rPr>
                <w:vertAlign w:val="superscript"/>
              </w:rPr>
              <w:t>1</w:t>
            </w:r>
          </w:p>
        </w:tc>
        <w:tc>
          <w:tcPr>
            <w:tcW w:w="1100" w:type="dxa"/>
            <w:tcBorders>
              <w:top w:val="nil"/>
              <w:bottom w:val="nil"/>
            </w:tcBorders>
          </w:tcPr>
          <w:p w:rsidR="007E390E" w:rsidRPr="00283965" w:rsidRDefault="007E390E" w:rsidP="00E4622A">
            <w:pPr>
              <w:pStyle w:val="TableTextRightBold-BP410pt"/>
            </w:pPr>
            <w:r w:rsidRPr="00283965">
              <w:t>Target</w:t>
            </w:r>
          </w:p>
        </w:tc>
        <w:tc>
          <w:tcPr>
            <w:tcW w:w="1123" w:type="dxa"/>
            <w:tcBorders>
              <w:top w:val="nil"/>
              <w:bottom w:val="nil"/>
            </w:tcBorders>
          </w:tcPr>
          <w:p w:rsidR="007E390E" w:rsidRPr="00283965" w:rsidRDefault="007E390E" w:rsidP="00E4622A">
            <w:pPr>
              <w:pStyle w:val="TableTextRightBold-BP410pt"/>
            </w:pPr>
            <w:r w:rsidRPr="00283965">
              <w:t>Target</w:t>
            </w:r>
          </w:p>
        </w:tc>
      </w:tr>
      <w:tr w:rsidR="007E390E" w:rsidRPr="003F53D8" w:rsidTr="001E3DB7">
        <w:tc>
          <w:tcPr>
            <w:tcW w:w="4632" w:type="dxa"/>
            <w:tcBorders>
              <w:top w:val="single" w:sz="4" w:space="0" w:color="auto"/>
              <w:bottom w:val="single" w:sz="4" w:space="0" w:color="auto"/>
            </w:tcBorders>
          </w:tcPr>
          <w:p w:rsidR="007E390E" w:rsidRPr="003F53D8" w:rsidRDefault="007E390E" w:rsidP="002822CE">
            <w:pPr>
              <w:pStyle w:val="TableTextLeft-BP410pt"/>
              <w:ind w:left="0" w:firstLine="0"/>
            </w:pPr>
            <w:r w:rsidRPr="003F53D8">
              <w:t>Immunisation rates for vaccines in the national schedule for the ACT indigenous population:</w:t>
            </w:r>
          </w:p>
          <w:p w:rsidR="007E390E" w:rsidRPr="003F53D8" w:rsidRDefault="007E390E" w:rsidP="00E4622A">
            <w:pPr>
              <w:pStyle w:val="TableTextLeft-BP410pt"/>
            </w:pPr>
            <w:r w:rsidRPr="003F53D8">
              <w:t xml:space="preserve">   12 to 15 months</w:t>
            </w:r>
          </w:p>
          <w:p w:rsidR="007E390E" w:rsidRPr="003F53D8" w:rsidRDefault="007E390E" w:rsidP="00E4622A">
            <w:pPr>
              <w:pStyle w:val="TableTextLeft-BP410pt"/>
            </w:pPr>
            <w:r w:rsidRPr="003F53D8">
              <w:t xml:space="preserve">   24 to 27 months</w:t>
            </w:r>
          </w:p>
          <w:p w:rsidR="007E390E" w:rsidRPr="003F53D8" w:rsidRDefault="007E390E" w:rsidP="00E4622A">
            <w:pPr>
              <w:pStyle w:val="TableTextLeft-BP410pt"/>
            </w:pPr>
            <w:r w:rsidRPr="003F53D8">
              <w:t xml:space="preserve">   60 to 63</w:t>
            </w:r>
            <w:r w:rsidR="002837ED">
              <w:t xml:space="preserve"> </w:t>
            </w:r>
            <w:r w:rsidRPr="003F53D8">
              <w:t>months</w:t>
            </w:r>
          </w:p>
          <w:p w:rsidR="007E390E" w:rsidRPr="003F53D8" w:rsidRDefault="007E390E" w:rsidP="00E4622A">
            <w:pPr>
              <w:pStyle w:val="TableTextLeft-BP410pt"/>
            </w:pPr>
            <w:r w:rsidRPr="003F53D8">
              <w:t xml:space="preserve">   All</w:t>
            </w:r>
          </w:p>
        </w:tc>
        <w:tc>
          <w:tcPr>
            <w:tcW w:w="1100" w:type="dxa"/>
            <w:tcBorders>
              <w:top w:val="single" w:sz="4" w:space="0" w:color="auto"/>
              <w:bottom w:val="single" w:sz="4" w:space="0" w:color="auto"/>
            </w:tcBorders>
          </w:tcPr>
          <w:p w:rsidR="007E390E" w:rsidRPr="003F53D8" w:rsidRDefault="007E390E" w:rsidP="00E4622A">
            <w:pPr>
              <w:pStyle w:val="TableTextRight-BP410pt"/>
            </w:pPr>
          </w:p>
          <w:p w:rsidR="007E390E" w:rsidRPr="003F53D8" w:rsidRDefault="007E390E" w:rsidP="00E4622A">
            <w:pPr>
              <w:pStyle w:val="TableTextRight-BP410pt"/>
            </w:pPr>
          </w:p>
          <w:p w:rsidR="007E390E" w:rsidRPr="003F53D8" w:rsidRDefault="007E390E" w:rsidP="00E4622A">
            <w:pPr>
              <w:pStyle w:val="TableTextRight-BP410pt"/>
            </w:pPr>
            <w:r w:rsidRPr="003F53D8">
              <w:t>≥90%</w:t>
            </w:r>
          </w:p>
          <w:p w:rsidR="007E390E" w:rsidRPr="003F53D8" w:rsidRDefault="007E390E" w:rsidP="00E4622A">
            <w:pPr>
              <w:pStyle w:val="TableTextRight-BP410pt"/>
            </w:pPr>
            <w:r w:rsidRPr="003F53D8">
              <w:t>≥90%</w:t>
            </w:r>
          </w:p>
          <w:p w:rsidR="007E390E" w:rsidRPr="003F53D8" w:rsidRDefault="007E390E" w:rsidP="00E4622A">
            <w:pPr>
              <w:pStyle w:val="TableTextRight-BP410pt"/>
            </w:pPr>
            <w:r w:rsidRPr="003F53D8">
              <w:t>≥90%</w:t>
            </w:r>
          </w:p>
          <w:p w:rsidR="007E390E" w:rsidRPr="003F53D8" w:rsidRDefault="007E390E" w:rsidP="00E4622A">
            <w:pPr>
              <w:pStyle w:val="TableTextRight-BP410pt"/>
            </w:pPr>
            <w:r w:rsidRPr="003F53D8">
              <w:t>≥90%</w:t>
            </w:r>
          </w:p>
        </w:tc>
        <w:tc>
          <w:tcPr>
            <w:tcW w:w="1418" w:type="dxa"/>
            <w:tcBorders>
              <w:top w:val="single" w:sz="4" w:space="0" w:color="auto"/>
              <w:bottom w:val="single" w:sz="4" w:space="0" w:color="auto"/>
            </w:tcBorders>
          </w:tcPr>
          <w:p w:rsidR="007E390E" w:rsidRPr="003F53D8" w:rsidRDefault="007E390E" w:rsidP="00E4622A">
            <w:pPr>
              <w:pStyle w:val="TableTextRight-BP410pt"/>
            </w:pPr>
          </w:p>
          <w:p w:rsidR="007E390E" w:rsidRPr="003F53D8" w:rsidRDefault="007E390E" w:rsidP="00E4622A">
            <w:pPr>
              <w:pStyle w:val="TableTextRight-BP410pt"/>
            </w:pPr>
          </w:p>
          <w:p w:rsidR="007E390E" w:rsidRPr="007C6BC3" w:rsidRDefault="007E390E" w:rsidP="00E4622A">
            <w:pPr>
              <w:pStyle w:val="TableTextRight-BP410pt"/>
            </w:pPr>
            <w:r w:rsidRPr="007C6BC3">
              <w:t>81.5</w:t>
            </w:r>
          </w:p>
          <w:p w:rsidR="007E390E" w:rsidRPr="007C6BC3" w:rsidRDefault="007E390E" w:rsidP="00E4622A">
            <w:pPr>
              <w:pStyle w:val="TableTextRight-BP410pt"/>
            </w:pPr>
            <w:r>
              <w:t>91.6</w:t>
            </w:r>
          </w:p>
          <w:p w:rsidR="007E390E" w:rsidRPr="007C6BC3" w:rsidRDefault="007E390E" w:rsidP="00E4622A">
            <w:pPr>
              <w:pStyle w:val="TableTextRight-BP410pt"/>
            </w:pPr>
            <w:r>
              <w:t>91.0</w:t>
            </w:r>
          </w:p>
          <w:p w:rsidR="007E390E" w:rsidRPr="003F53D8" w:rsidRDefault="007E390E" w:rsidP="00E4622A">
            <w:pPr>
              <w:pStyle w:val="TableTextRight-BP410pt"/>
            </w:pPr>
            <w:r>
              <w:t>88.0</w:t>
            </w:r>
          </w:p>
        </w:tc>
        <w:tc>
          <w:tcPr>
            <w:tcW w:w="1100" w:type="dxa"/>
            <w:tcBorders>
              <w:top w:val="single" w:sz="4" w:space="0" w:color="auto"/>
              <w:bottom w:val="single" w:sz="4" w:space="0" w:color="auto"/>
            </w:tcBorders>
          </w:tcPr>
          <w:p w:rsidR="007E390E" w:rsidRPr="003F53D8" w:rsidRDefault="007E390E" w:rsidP="00E4622A">
            <w:pPr>
              <w:pStyle w:val="TableTextRight-BP410pt"/>
            </w:pPr>
          </w:p>
          <w:p w:rsidR="007E390E" w:rsidRPr="003F53D8" w:rsidRDefault="007E390E" w:rsidP="00E4622A">
            <w:pPr>
              <w:pStyle w:val="TableTextRight-BP410pt"/>
            </w:pPr>
          </w:p>
          <w:p w:rsidR="007E390E" w:rsidRPr="003F53D8" w:rsidRDefault="007E390E" w:rsidP="00E4622A">
            <w:pPr>
              <w:pStyle w:val="TableTextRight-BP410pt"/>
            </w:pPr>
            <w:r w:rsidRPr="003F53D8">
              <w:t>≥90%</w:t>
            </w:r>
          </w:p>
          <w:p w:rsidR="007E390E" w:rsidRPr="003F53D8" w:rsidRDefault="007E390E" w:rsidP="00E4622A">
            <w:pPr>
              <w:pStyle w:val="TableTextRight-BP410pt"/>
            </w:pPr>
            <w:r w:rsidRPr="003F53D8">
              <w:t>≥90%</w:t>
            </w:r>
          </w:p>
          <w:p w:rsidR="007E390E" w:rsidRPr="003F53D8" w:rsidRDefault="007E390E" w:rsidP="00E4622A">
            <w:pPr>
              <w:pStyle w:val="TableTextRight-BP410pt"/>
            </w:pPr>
            <w:r w:rsidRPr="003F53D8">
              <w:t>≥90%</w:t>
            </w:r>
          </w:p>
          <w:p w:rsidR="007E390E" w:rsidRPr="003F53D8" w:rsidRDefault="007E390E" w:rsidP="00E4622A">
            <w:pPr>
              <w:pStyle w:val="TableTextRight-BP410pt"/>
            </w:pPr>
            <w:r w:rsidRPr="003F53D8">
              <w:t>≥90%</w:t>
            </w:r>
          </w:p>
        </w:tc>
        <w:tc>
          <w:tcPr>
            <w:tcW w:w="1123" w:type="dxa"/>
            <w:tcBorders>
              <w:top w:val="single" w:sz="4" w:space="0" w:color="auto"/>
              <w:bottom w:val="single" w:sz="4" w:space="0" w:color="auto"/>
            </w:tcBorders>
          </w:tcPr>
          <w:p w:rsidR="007E390E" w:rsidRPr="003F53D8" w:rsidRDefault="007E390E" w:rsidP="00E4622A">
            <w:pPr>
              <w:pStyle w:val="TableTextRight-BP410pt"/>
            </w:pPr>
          </w:p>
          <w:p w:rsidR="007E390E" w:rsidRPr="003F53D8" w:rsidRDefault="007E390E" w:rsidP="00E4622A">
            <w:pPr>
              <w:pStyle w:val="TableTextRight-BP410pt"/>
            </w:pPr>
          </w:p>
          <w:p w:rsidR="007E390E" w:rsidRPr="003F53D8" w:rsidRDefault="007E390E" w:rsidP="00E4622A">
            <w:pPr>
              <w:pStyle w:val="TableTextRight-BP410pt"/>
            </w:pPr>
            <w:r w:rsidRPr="003F53D8">
              <w:t>≥90%</w:t>
            </w:r>
          </w:p>
          <w:p w:rsidR="007E390E" w:rsidRPr="003F53D8" w:rsidRDefault="007E390E" w:rsidP="00E4622A">
            <w:pPr>
              <w:pStyle w:val="TableTextRight-BP410pt"/>
            </w:pPr>
            <w:r w:rsidRPr="003F53D8">
              <w:t>≥90%</w:t>
            </w:r>
          </w:p>
          <w:p w:rsidR="007E390E" w:rsidRPr="003F53D8" w:rsidRDefault="007E390E" w:rsidP="00E4622A">
            <w:pPr>
              <w:pStyle w:val="TableTextRight-BP410pt"/>
            </w:pPr>
            <w:r w:rsidRPr="003F53D8">
              <w:t>≥90%</w:t>
            </w:r>
          </w:p>
          <w:p w:rsidR="007E390E" w:rsidRPr="003F53D8" w:rsidRDefault="007E390E" w:rsidP="00E4622A">
            <w:pPr>
              <w:pStyle w:val="TableTextRight-BP410pt"/>
            </w:pPr>
            <w:r w:rsidRPr="003F53D8">
              <w:t>≥90%</w:t>
            </w:r>
          </w:p>
        </w:tc>
      </w:tr>
    </w:tbl>
    <w:p w:rsidR="00DC00A3" w:rsidRPr="008F3EE2" w:rsidRDefault="00DC00A3" w:rsidP="008F3EE2">
      <w:pPr>
        <w:pStyle w:val="NoteHeading"/>
        <w:spacing w:before="0"/>
        <w:rPr>
          <w:b w:val="0"/>
          <w:i/>
        </w:rPr>
      </w:pPr>
      <w:r w:rsidRPr="008F3EE2">
        <w:rPr>
          <w:b w:val="0"/>
          <w:i/>
        </w:rPr>
        <w:t>Source:</w:t>
      </w:r>
      <w:r w:rsidR="008F3EE2">
        <w:rPr>
          <w:b w:val="0"/>
          <w:i/>
        </w:rPr>
        <w:t xml:space="preserve">  Productivity Commission’s Review of Government Service (ROGS).</w:t>
      </w:r>
    </w:p>
    <w:p w:rsidR="007E390E" w:rsidRPr="003F53D8" w:rsidRDefault="007E390E" w:rsidP="007E390E">
      <w:pPr>
        <w:pStyle w:val="NoteHeading"/>
      </w:pPr>
      <w:r w:rsidRPr="003F53D8">
        <w:t>Note:</w:t>
      </w:r>
    </w:p>
    <w:p w:rsidR="007E390E" w:rsidRPr="0006550A" w:rsidRDefault="007E390E" w:rsidP="00CE50C4">
      <w:pPr>
        <w:pStyle w:val="AINotes"/>
        <w:numPr>
          <w:ilvl w:val="0"/>
          <w:numId w:val="26"/>
        </w:numPr>
      </w:pPr>
      <w:r w:rsidRPr="0006550A">
        <w:t xml:space="preserve">The very low numbers of Aboriginal and Torres Strait Islander children in the Territory means that the ACT Aboriginal and Torres Strait Islander coverage data should be read with caution.  </w:t>
      </w:r>
      <w:r w:rsidR="002837ED">
        <w:t xml:space="preserve">Given the </w:t>
      </w:r>
      <w:r w:rsidRPr="0006550A">
        <w:t>small population</w:t>
      </w:r>
      <w:r w:rsidR="002606BB">
        <w:t>,</w:t>
      </w:r>
      <w:r w:rsidRPr="0006550A">
        <w:t xml:space="preserve"> </w:t>
      </w:r>
      <w:r w:rsidR="002837ED">
        <w:t xml:space="preserve">small changes can result in significant </w:t>
      </w:r>
      <w:r w:rsidRPr="0006550A">
        <w:t>rate fluctuations.</w:t>
      </w:r>
    </w:p>
    <w:p w:rsidR="007E390E" w:rsidRPr="0006550A" w:rsidRDefault="007E390E" w:rsidP="0006550A">
      <w:pPr>
        <w:pStyle w:val="SIHeading1"/>
      </w:pPr>
      <w:r w:rsidRPr="0006550A">
        <w:t>Strategic Objective 15</w:t>
      </w:r>
    </w:p>
    <w:p w:rsidR="007E390E" w:rsidRPr="001D1B37" w:rsidRDefault="007E390E" w:rsidP="001D1B37">
      <w:pPr>
        <w:pStyle w:val="SIHeading2"/>
      </w:pPr>
      <w:r w:rsidRPr="001D1B37">
        <w:t xml:space="preserve">Higher </w:t>
      </w:r>
      <w:r w:rsidR="00CF6C2A">
        <w:t>P</w:t>
      </w:r>
      <w:r w:rsidRPr="001D1B37">
        <w:t xml:space="preserve">articipation </w:t>
      </w:r>
      <w:r w:rsidR="00CF6C2A">
        <w:t>R</w:t>
      </w:r>
      <w:r w:rsidRPr="001D1B37">
        <w:t xml:space="preserve">ate in the </w:t>
      </w:r>
      <w:r w:rsidR="00CF6C2A">
        <w:t>C</w:t>
      </w:r>
      <w:r w:rsidRPr="001D1B37">
        <w:t xml:space="preserve">ervical </w:t>
      </w:r>
      <w:r w:rsidR="00CF6C2A">
        <w:t>S</w:t>
      </w:r>
      <w:r w:rsidRPr="001D1B37">
        <w:t xml:space="preserve">creening </w:t>
      </w:r>
      <w:r w:rsidR="00CF6C2A">
        <w:t>P</w:t>
      </w:r>
      <w:r w:rsidRPr="001D1B37">
        <w:t xml:space="preserve">rogram than the </w:t>
      </w:r>
      <w:r w:rsidR="00CF6C2A">
        <w:t>N</w:t>
      </w:r>
      <w:r w:rsidRPr="001D1B37">
        <w:t xml:space="preserve">ational </w:t>
      </w:r>
      <w:r w:rsidR="00CF6C2A">
        <w:t>A</w:t>
      </w:r>
      <w:r w:rsidR="001D1B37" w:rsidRPr="001D1B37">
        <w:t>v</w:t>
      </w:r>
      <w:r w:rsidRPr="001D1B37">
        <w:t>erage</w:t>
      </w:r>
    </w:p>
    <w:p w:rsidR="0006550A" w:rsidRDefault="0006550A" w:rsidP="007E390E">
      <w:pPr>
        <w:pStyle w:val="BodyText"/>
      </w:pPr>
      <w:r w:rsidRPr="0006550A">
        <w:rPr>
          <w:rFonts w:ascii="Arial" w:hAnsi="Arial"/>
          <w:b/>
          <w:kern w:val="28"/>
          <w:sz w:val="20"/>
        </w:rPr>
        <w:t>Strategic Indicator 15</w:t>
      </w:r>
      <w:r>
        <w:t xml:space="preserve">:  </w:t>
      </w:r>
      <w:r w:rsidRPr="0006550A">
        <w:rPr>
          <w:rFonts w:ascii="Arial" w:hAnsi="Arial"/>
          <w:kern w:val="28"/>
          <w:sz w:val="20"/>
        </w:rPr>
        <w:t xml:space="preserve">Two </w:t>
      </w:r>
      <w:r w:rsidR="001E3DB7">
        <w:rPr>
          <w:rFonts w:ascii="Arial" w:hAnsi="Arial"/>
          <w:kern w:val="28"/>
          <w:sz w:val="20"/>
        </w:rPr>
        <w:t>Y</w:t>
      </w:r>
      <w:r w:rsidRPr="0006550A">
        <w:rPr>
          <w:rFonts w:ascii="Arial" w:hAnsi="Arial"/>
          <w:kern w:val="28"/>
          <w:sz w:val="20"/>
        </w:rPr>
        <w:t xml:space="preserve">ear </w:t>
      </w:r>
      <w:r w:rsidR="001E3DB7">
        <w:rPr>
          <w:rFonts w:ascii="Arial" w:hAnsi="Arial"/>
          <w:kern w:val="28"/>
          <w:sz w:val="20"/>
        </w:rPr>
        <w:t>Participation Rate in the C</w:t>
      </w:r>
      <w:r w:rsidRPr="0006550A">
        <w:rPr>
          <w:rFonts w:ascii="Arial" w:hAnsi="Arial"/>
          <w:kern w:val="28"/>
          <w:sz w:val="20"/>
        </w:rPr>
        <w:t xml:space="preserve">ervical </w:t>
      </w:r>
      <w:r w:rsidR="001E3DB7">
        <w:rPr>
          <w:rFonts w:ascii="Arial" w:hAnsi="Arial"/>
          <w:kern w:val="28"/>
          <w:sz w:val="20"/>
        </w:rPr>
        <w:t>S</w:t>
      </w:r>
      <w:r w:rsidRPr="0006550A">
        <w:rPr>
          <w:rFonts w:ascii="Arial" w:hAnsi="Arial"/>
          <w:kern w:val="28"/>
          <w:sz w:val="20"/>
        </w:rPr>
        <w:t xml:space="preserve">creening </w:t>
      </w:r>
      <w:r w:rsidR="001E3DB7">
        <w:rPr>
          <w:rFonts w:ascii="Arial" w:hAnsi="Arial"/>
          <w:kern w:val="28"/>
          <w:sz w:val="20"/>
        </w:rPr>
        <w:t>P</w:t>
      </w:r>
      <w:r w:rsidRPr="0006550A">
        <w:rPr>
          <w:rFonts w:ascii="Arial" w:hAnsi="Arial"/>
          <w:kern w:val="28"/>
          <w:sz w:val="20"/>
        </w:rPr>
        <w:t>rogram</w:t>
      </w:r>
    </w:p>
    <w:p w:rsidR="007E390E" w:rsidRPr="00283965" w:rsidRDefault="002837ED" w:rsidP="001D1B37">
      <w:pPr>
        <w:pStyle w:val="BodyText"/>
      </w:pPr>
      <w:r>
        <w:t xml:space="preserve">The two </w:t>
      </w:r>
      <w:r w:rsidR="007E390E" w:rsidRPr="0006550A">
        <w:t>year participation rate provides an indication of the effectiveness of early intervention health messages.  The ACT aims to exceed the national average for this indicator.</w:t>
      </w:r>
    </w:p>
    <w:tbl>
      <w:tblPr>
        <w:tblW w:w="9100" w:type="dxa"/>
        <w:tblLayout w:type="fixed"/>
        <w:tblLook w:val="0000"/>
      </w:tblPr>
      <w:tblGrid>
        <w:gridCol w:w="6354"/>
        <w:gridCol w:w="1373"/>
        <w:gridCol w:w="1373"/>
      </w:tblGrid>
      <w:tr w:rsidR="007E390E" w:rsidRPr="00283965" w:rsidTr="003F769B">
        <w:tc>
          <w:tcPr>
            <w:tcW w:w="6900" w:type="dxa"/>
            <w:tcBorders>
              <w:top w:val="single" w:sz="4" w:space="0" w:color="auto"/>
              <w:left w:val="nil"/>
              <w:bottom w:val="single" w:sz="4" w:space="0" w:color="auto"/>
              <w:right w:val="nil"/>
            </w:tcBorders>
          </w:tcPr>
          <w:p w:rsidR="007E390E" w:rsidRPr="00221F52" w:rsidRDefault="007E390E" w:rsidP="003F769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tc>
        <w:tc>
          <w:tcPr>
            <w:tcW w:w="1474" w:type="dxa"/>
            <w:tcBorders>
              <w:top w:val="single" w:sz="4" w:space="0" w:color="auto"/>
              <w:left w:val="nil"/>
              <w:bottom w:val="single" w:sz="4" w:space="0" w:color="auto"/>
              <w:right w:val="nil"/>
            </w:tcBorders>
          </w:tcPr>
          <w:p w:rsidR="007E390E" w:rsidRPr="00B8792A" w:rsidRDefault="007E390E" w:rsidP="009F1A00">
            <w:pPr>
              <w:pStyle w:val="TableTextRightBold-BP410pt"/>
              <w:rPr>
                <w:vertAlign w:val="superscript"/>
              </w:rPr>
            </w:pPr>
            <w:r w:rsidRPr="00283965">
              <w:t>ACT Rate</w:t>
            </w:r>
          </w:p>
        </w:tc>
        <w:tc>
          <w:tcPr>
            <w:tcW w:w="1474" w:type="dxa"/>
            <w:tcBorders>
              <w:top w:val="single" w:sz="4" w:space="0" w:color="auto"/>
              <w:left w:val="nil"/>
              <w:bottom w:val="single" w:sz="4" w:space="0" w:color="auto"/>
              <w:right w:val="nil"/>
            </w:tcBorders>
          </w:tcPr>
          <w:p w:rsidR="007E390E" w:rsidRPr="00283965" w:rsidRDefault="007E390E" w:rsidP="003F769B">
            <w:pPr>
              <w:pStyle w:val="TableTextRightBold-BP410pt"/>
            </w:pPr>
            <w:r w:rsidRPr="00283965">
              <w:t>National Rate</w:t>
            </w:r>
          </w:p>
        </w:tc>
      </w:tr>
      <w:tr w:rsidR="007E390E" w:rsidRPr="003E3D3A" w:rsidTr="003F769B">
        <w:tc>
          <w:tcPr>
            <w:tcW w:w="6900" w:type="dxa"/>
            <w:tcBorders>
              <w:top w:val="single" w:sz="4" w:space="0" w:color="auto"/>
              <w:left w:val="nil"/>
              <w:bottom w:val="single" w:sz="4" w:space="0" w:color="auto"/>
              <w:right w:val="nil"/>
            </w:tcBorders>
          </w:tcPr>
          <w:p w:rsidR="007E390E" w:rsidRPr="003E3D3A" w:rsidRDefault="007E390E" w:rsidP="003F769B">
            <w:pPr>
              <w:pStyle w:val="TableTextLeft-BP410pt"/>
              <w:rPr>
                <w:shd w:val="clear" w:color="auto" w:fill="FF0000"/>
              </w:rPr>
            </w:pPr>
            <w:r w:rsidRPr="003E3D3A">
              <w:t>Two year participation rate</w:t>
            </w:r>
          </w:p>
        </w:tc>
        <w:tc>
          <w:tcPr>
            <w:tcW w:w="1474" w:type="dxa"/>
            <w:tcBorders>
              <w:top w:val="single" w:sz="4" w:space="0" w:color="auto"/>
              <w:left w:val="nil"/>
              <w:bottom w:val="single" w:sz="4" w:space="0" w:color="auto"/>
              <w:right w:val="nil"/>
            </w:tcBorders>
          </w:tcPr>
          <w:p w:rsidR="007E390E" w:rsidRPr="003E3D3A" w:rsidRDefault="007E390E" w:rsidP="003F769B">
            <w:pPr>
              <w:pStyle w:val="TableTextRight-BP410pt"/>
              <w:rPr>
                <w:shd w:val="clear" w:color="auto" w:fill="FF0000"/>
              </w:rPr>
            </w:pPr>
            <w:r w:rsidRPr="003E3D3A">
              <w:t>58.8%</w:t>
            </w:r>
          </w:p>
        </w:tc>
        <w:tc>
          <w:tcPr>
            <w:tcW w:w="1474" w:type="dxa"/>
            <w:tcBorders>
              <w:top w:val="single" w:sz="4" w:space="0" w:color="auto"/>
              <w:left w:val="nil"/>
              <w:bottom w:val="single" w:sz="4" w:space="0" w:color="auto"/>
              <w:right w:val="nil"/>
            </w:tcBorders>
          </w:tcPr>
          <w:p w:rsidR="007E390E" w:rsidRPr="003E3D3A" w:rsidRDefault="007E390E" w:rsidP="003F769B">
            <w:pPr>
              <w:pStyle w:val="TableTextRight-BP410pt"/>
              <w:rPr>
                <w:shd w:val="clear" w:color="auto" w:fill="FF0000"/>
              </w:rPr>
            </w:pPr>
            <w:r w:rsidRPr="003E3D3A">
              <w:t>57.4%</w:t>
            </w:r>
          </w:p>
        </w:tc>
      </w:tr>
    </w:tbl>
    <w:p w:rsidR="007E390E" w:rsidRPr="001D1B37" w:rsidRDefault="007E390E" w:rsidP="001D1B37">
      <w:pPr>
        <w:pStyle w:val="NoteText"/>
        <w:rPr>
          <w:i/>
        </w:rPr>
      </w:pPr>
      <w:r w:rsidRPr="001D1B37">
        <w:rPr>
          <w:i/>
        </w:rPr>
        <w:t>Source:  Cervical Screening in Australia 2009-10 (</w:t>
      </w:r>
      <w:r w:rsidR="000324C3">
        <w:rPr>
          <w:i/>
        </w:rPr>
        <w:t xml:space="preserve">Published:  </w:t>
      </w:r>
      <w:r w:rsidRPr="001D1B37">
        <w:rPr>
          <w:i/>
        </w:rPr>
        <w:t xml:space="preserve">Australian Institute of Health and </w:t>
      </w:r>
      <w:proofErr w:type="gramStart"/>
      <w:r w:rsidRPr="001D1B37">
        <w:rPr>
          <w:i/>
        </w:rPr>
        <w:t>Welfare,</w:t>
      </w:r>
      <w:proofErr w:type="gramEnd"/>
      <w:r w:rsidRPr="001D1B37">
        <w:rPr>
          <w:i/>
        </w:rPr>
        <w:t xml:space="preserve"> May 2012).</w:t>
      </w:r>
    </w:p>
    <w:p w:rsidR="007E390E" w:rsidRPr="001D1B37" w:rsidRDefault="007E390E" w:rsidP="001D1B37">
      <w:pPr>
        <w:pStyle w:val="SIHeading1"/>
      </w:pPr>
      <w:r w:rsidRPr="001D1B37">
        <w:lastRenderedPageBreak/>
        <w:t>Strategic Objective 16</w:t>
      </w:r>
    </w:p>
    <w:p w:rsidR="007E390E" w:rsidRPr="00955BEF" w:rsidRDefault="007E390E" w:rsidP="007E390E">
      <w:pPr>
        <w:pStyle w:val="SIHeading2"/>
      </w:pPr>
      <w:r w:rsidRPr="00955BEF">
        <w:t xml:space="preserve">Achieve </w:t>
      </w:r>
      <w:r w:rsidR="005F17EE">
        <w:t>L</w:t>
      </w:r>
      <w:r w:rsidRPr="00955BEF">
        <w:t xml:space="preserve">ower than the Australian </w:t>
      </w:r>
      <w:r w:rsidR="005F17EE">
        <w:t>A</w:t>
      </w:r>
      <w:r w:rsidRPr="00955BEF">
        <w:t xml:space="preserve">verage in the </w:t>
      </w:r>
      <w:r w:rsidR="001D1B37">
        <w:t>D</w:t>
      </w:r>
      <w:r w:rsidRPr="00955BEF">
        <w:t xml:space="preserve">ecayed, </w:t>
      </w:r>
      <w:r w:rsidR="001D1B37">
        <w:t>M</w:t>
      </w:r>
      <w:r w:rsidRPr="00955BEF">
        <w:t xml:space="preserve">issing, or Filled Teeth (DMFT) </w:t>
      </w:r>
      <w:r w:rsidR="001D1B37">
        <w:t>I</w:t>
      </w:r>
      <w:r w:rsidRPr="00955BEF">
        <w:t>ndex</w:t>
      </w:r>
    </w:p>
    <w:p w:rsidR="001D1B37" w:rsidRPr="00955BEF" w:rsidRDefault="001D1B37" w:rsidP="001D1B37">
      <w:pPr>
        <w:pStyle w:val="SIlabel"/>
        <w:rPr>
          <w:b w:val="0"/>
        </w:rPr>
      </w:pPr>
      <w:r>
        <w:t xml:space="preserve">Strategic Indicator 16:  </w:t>
      </w:r>
      <w:r w:rsidRPr="00955BEF">
        <w:rPr>
          <w:b w:val="0"/>
        </w:rPr>
        <w:t xml:space="preserve">The </w:t>
      </w:r>
      <w:r w:rsidR="001E3DB7">
        <w:rPr>
          <w:b w:val="0"/>
        </w:rPr>
        <w:t>Mean Number of Teeth with Dental Decay, M</w:t>
      </w:r>
      <w:r w:rsidRPr="00955BEF">
        <w:rPr>
          <w:b w:val="0"/>
        </w:rPr>
        <w:t>issing o</w:t>
      </w:r>
      <w:r w:rsidR="001E3DB7">
        <w:rPr>
          <w:b w:val="0"/>
        </w:rPr>
        <w:t>r Filled Teeth at A</w:t>
      </w:r>
      <w:r w:rsidR="005A1E2C">
        <w:rPr>
          <w:b w:val="0"/>
        </w:rPr>
        <w:t>ges 6 and 12</w:t>
      </w:r>
    </w:p>
    <w:p w:rsidR="007E390E" w:rsidRPr="0065149E" w:rsidRDefault="007E390E" w:rsidP="007E390E">
      <w:pPr>
        <w:pStyle w:val="BodyText"/>
      </w:pPr>
      <w:r w:rsidRPr="0065149E">
        <w:t xml:space="preserve">This gives an indication of the effectiveness of dental prevention, early intervention and treatment services in the ACT.  The aim for the ACT is to better the </w:t>
      </w:r>
      <w:r>
        <w:t>national</w:t>
      </w:r>
      <w:r w:rsidRPr="0065149E">
        <w:t xml:space="preserve"> average on the DMFT.</w:t>
      </w:r>
    </w:p>
    <w:tbl>
      <w:tblPr>
        <w:tblW w:w="9100" w:type="dxa"/>
        <w:tblLayout w:type="fixed"/>
        <w:tblLook w:val="0000"/>
      </w:tblPr>
      <w:tblGrid>
        <w:gridCol w:w="6356"/>
        <w:gridCol w:w="1372"/>
        <w:gridCol w:w="1372"/>
      </w:tblGrid>
      <w:tr w:rsidR="007E390E" w:rsidRPr="00283965" w:rsidTr="00BC7008">
        <w:tc>
          <w:tcPr>
            <w:tcW w:w="6905" w:type="dxa"/>
            <w:tcBorders>
              <w:top w:val="single" w:sz="4" w:space="0" w:color="auto"/>
            </w:tcBorders>
          </w:tcPr>
          <w:p w:rsidR="007E390E" w:rsidRPr="00283965" w:rsidRDefault="007E390E" w:rsidP="00A62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tc>
        <w:tc>
          <w:tcPr>
            <w:tcW w:w="1474" w:type="dxa"/>
            <w:tcBorders>
              <w:top w:val="single" w:sz="4" w:space="0" w:color="auto"/>
            </w:tcBorders>
          </w:tcPr>
          <w:p w:rsidR="007E390E" w:rsidRPr="000C6B14" w:rsidRDefault="007E390E" w:rsidP="00A6284D">
            <w:pPr>
              <w:pStyle w:val="TableTextRightBold-BP410pt"/>
            </w:pPr>
            <w:r w:rsidRPr="000C6B14">
              <w:t>ACT Rate</w:t>
            </w:r>
            <w:r w:rsidRPr="000C6B14">
              <w:rPr>
                <w:vertAlign w:val="superscript"/>
              </w:rPr>
              <w:t>1</w:t>
            </w:r>
          </w:p>
        </w:tc>
        <w:tc>
          <w:tcPr>
            <w:tcW w:w="1474" w:type="dxa"/>
            <w:tcBorders>
              <w:top w:val="single" w:sz="4" w:space="0" w:color="auto"/>
            </w:tcBorders>
          </w:tcPr>
          <w:p w:rsidR="007E390E" w:rsidRPr="000C6B14" w:rsidRDefault="007E390E" w:rsidP="00BC7008">
            <w:pPr>
              <w:pStyle w:val="TableTextRightBold-BP410pt"/>
            </w:pPr>
            <w:r w:rsidRPr="000C6B14">
              <w:t>National</w:t>
            </w:r>
            <w:r w:rsidR="00BC7008">
              <w:t xml:space="preserve"> </w:t>
            </w:r>
            <w:r w:rsidRPr="000C6B14">
              <w:t>Rate</w:t>
            </w:r>
          </w:p>
        </w:tc>
      </w:tr>
      <w:tr w:rsidR="007E390E" w:rsidRPr="00283965" w:rsidTr="00BC7008">
        <w:tc>
          <w:tcPr>
            <w:tcW w:w="6905" w:type="dxa"/>
            <w:tcBorders>
              <w:top w:val="single" w:sz="4" w:space="0" w:color="auto"/>
            </w:tcBorders>
          </w:tcPr>
          <w:p w:rsidR="007E390E" w:rsidRPr="00531B0E" w:rsidRDefault="007E390E" w:rsidP="00A6284D">
            <w:pPr>
              <w:pStyle w:val="TableTextLeft-BP410pt"/>
              <w:rPr>
                <w:vertAlign w:val="superscript"/>
              </w:rPr>
            </w:pPr>
            <w:r w:rsidRPr="00283965">
              <w:t>DMFT index at 6 years</w:t>
            </w:r>
          </w:p>
        </w:tc>
        <w:tc>
          <w:tcPr>
            <w:tcW w:w="1474" w:type="dxa"/>
            <w:tcBorders>
              <w:top w:val="single" w:sz="4" w:space="0" w:color="auto"/>
            </w:tcBorders>
          </w:tcPr>
          <w:p w:rsidR="007E390E" w:rsidRPr="00EF5C5D" w:rsidRDefault="007E390E" w:rsidP="00A6284D">
            <w:pPr>
              <w:pStyle w:val="TableTextRight-BP410pt"/>
            </w:pPr>
            <w:r w:rsidRPr="00EF5C5D">
              <w:t>1.16</w:t>
            </w:r>
          </w:p>
        </w:tc>
        <w:tc>
          <w:tcPr>
            <w:tcW w:w="1474" w:type="dxa"/>
            <w:tcBorders>
              <w:top w:val="single" w:sz="4" w:space="0" w:color="auto"/>
            </w:tcBorders>
          </w:tcPr>
          <w:p w:rsidR="007E390E" w:rsidRPr="00EF5C5D" w:rsidRDefault="007E390E" w:rsidP="00A6284D">
            <w:pPr>
              <w:pStyle w:val="TableTextRight-BP410pt"/>
            </w:pPr>
            <w:r w:rsidRPr="00EF5C5D">
              <w:t>2.31</w:t>
            </w:r>
          </w:p>
        </w:tc>
      </w:tr>
      <w:tr w:rsidR="007E390E" w:rsidRPr="00283965" w:rsidTr="00BC7008">
        <w:tc>
          <w:tcPr>
            <w:tcW w:w="6905" w:type="dxa"/>
            <w:tcBorders>
              <w:bottom w:val="single" w:sz="4" w:space="0" w:color="auto"/>
            </w:tcBorders>
          </w:tcPr>
          <w:p w:rsidR="007E390E" w:rsidRPr="00531B0E" w:rsidRDefault="007E390E" w:rsidP="00A6284D">
            <w:pPr>
              <w:pStyle w:val="TableTextLeft-BP410pt"/>
              <w:rPr>
                <w:vertAlign w:val="superscript"/>
              </w:rPr>
            </w:pPr>
            <w:r w:rsidRPr="00283965">
              <w:t>DMFT Index at 12 years</w:t>
            </w:r>
          </w:p>
        </w:tc>
        <w:tc>
          <w:tcPr>
            <w:tcW w:w="1474" w:type="dxa"/>
            <w:tcBorders>
              <w:bottom w:val="single" w:sz="4" w:space="0" w:color="auto"/>
            </w:tcBorders>
          </w:tcPr>
          <w:p w:rsidR="007E390E" w:rsidRPr="00EF5C5D" w:rsidRDefault="007E390E" w:rsidP="00A6284D">
            <w:pPr>
              <w:pStyle w:val="TableTextRight-BP410pt"/>
            </w:pPr>
            <w:r w:rsidRPr="00EF5C5D">
              <w:t>0.71</w:t>
            </w:r>
          </w:p>
        </w:tc>
        <w:tc>
          <w:tcPr>
            <w:tcW w:w="1474" w:type="dxa"/>
            <w:tcBorders>
              <w:bottom w:val="single" w:sz="4" w:space="0" w:color="auto"/>
            </w:tcBorders>
          </w:tcPr>
          <w:p w:rsidR="007E390E" w:rsidRPr="00EF5C5D" w:rsidRDefault="007E390E" w:rsidP="00A6284D">
            <w:pPr>
              <w:pStyle w:val="TableTextRight-BP410pt"/>
            </w:pPr>
            <w:r w:rsidRPr="00EF5C5D">
              <w:t>1.11</w:t>
            </w:r>
          </w:p>
        </w:tc>
      </w:tr>
    </w:tbl>
    <w:p w:rsidR="007E390E" w:rsidRPr="001D1B37" w:rsidRDefault="007E390E" w:rsidP="001D1B37">
      <w:pPr>
        <w:pStyle w:val="NoteText"/>
        <w:rPr>
          <w:i/>
        </w:rPr>
      </w:pPr>
      <w:r w:rsidRPr="001D1B37">
        <w:rPr>
          <w:i/>
        </w:rPr>
        <w:t>Source</w:t>
      </w:r>
      <w:r w:rsidR="000324C3">
        <w:rPr>
          <w:i/>
        </w:rPr>
        <w:t xml:space="preserve">:  </w:t>
      </w:r>
      <w:r w:rsidRPr="001D1B37">
        <w:rPr>
          <w:i/>
        </w:rPr>
        <w:t>Child Dental Health Survey, 2008</w:t>
      </w:r>
      <w:r w:rsidR="000324C3">
        <w:rPr>
          <w:i/>
        </w:rPr>
        <w:t xml:space="preserve"> (Published: </w:t>
      </w:r>
      <w:r w:rsidR="000324C3" w:rsidRPr="000324C3">
        <w:rPr>
          <w:i/>
        </w:rPr>
        <w:t xml:space="preserve"> </w:t>
      </w:r>
      <w:r w:rsidR="000324C3" w:rsidRPr="001D1B37">
        <w:rPr>
          <w:i/>
        </w:rPr>
        <w:t>Australian Institute of Health and Welfare</w:t>
      </w:r>
      <w:r w:rsidR="000324C3">
        <w:rPr>
          <w:i/>
        </w:rPr>
        <w:t>,</w:t>
      </w:r>
      <w:r w:rsidR="000324C3" w:rsidRPr="001D1B37">
        <w:rPr>
          <w:i/>
        </w:rPr>
        <w:t xml:space="preserve"> 2012</w:t>
      </w:r>
      <w:r w:rsidR="000324C3">
        <w:rPr>
          <w:i/>
        </w:rPr>
        <w:t>).</w:t>
      </w:r>
    </w:p>
    <w:p w:rsidR="007E390E" w:rsidRPr="001D1B37" w:rsidRDefault="007E390E" w:rsidP="001D1B37">
      <w:pPr>
        <w:pStyle w:val="NoteHeading"/>
      </w:pPr>
      <w:r w:rsidRPr="001D1B37">
        <w:t>Note:</w:t>
      </w:r>
    </w:p>
    <w:p w:rsidR="007E390E" w:rsidRPr="001D1B37" w:rsidRDefault="007E390E" w:rsidP="00CE50C4">
      <w:pPr>
        <w:pStyle w:val="AINotes"/>
        <w:numPr>
          <w:ilvl w:val="0"/>
          <w:numId w:val="27"/>
        </w:numPr>
      </w:pPr>
      <w:r w:rsidRPr="001D1B37">
        <w:t>Lowest of all jurisdictions.</w:t>
      </w:r>
    </w:p>
    <w:p w:rsidR="007E390E" w:rsidRPr="001D1B37" w:rsidRDefault="007E390E" w:rsidP="001D1B37">
      <w:pPr>
        <w:pStyle w:val="SIHeading1"/>
      </w:pPr>
      <w:r w:rsidRPr="001D1B37">
        <w:t>Strategic Objective 17</w:t>
      </w:r>
    </w:p>
    <w:p w:rsidR="007E390E" w:rsidRPr="00283965" w:rsidRDefault="007E390E" w:rsidP="007E390E">
      <w:pPr>
        <w:pStyle w:val="SIHeading2"/>
      </w:pPr>
      <w:r w:rsidRPr="00283965">
        <w:t xml:space="preserve">Reducing the </w:t>
      </w:r>
      <w:r w:rsidR="008A71A6">
        <w:t>R</w:t>
      </w:r>
      <w:r w:rsidRPr="00283965">
        <w:t xml:space="preserve">isk of </w:t>
      </w:r>
      <w:r w:rsidR="008A71A6">
        <w:t>F</w:t>
      </w:r>
      <w:r w:rsidRPr="00283965">
        <w:t xml:space="preserve">ractured </w:t>
      </w:r>
      <w:r w:rsidR="008A71A6">
        <w:t>F</w:t>
      </w:r>
      <w:r w:rsidRPr="00B8792A">
        <w:t>emurs</w:t>
      </w:r>
      <w:r w:rsidRPr="00283965">
        <w:t xml:space="preserve"> in ACT </w:t>
      </w:r>
      <w:r w:rsidR="008A71A6">
        <w:t>R</w:t>
      </w:r>
      <w:r w:rsidRPr="00283965">
        <w:t xml:space="preserve">esidents </w:t>
      </w:r>
      <w:r w:rsidR="00BF59EB">
        <w:t>A</w:t>
      </w:r>
      <w:r w:rsidRPr="00283965">
        <w:t xml:space="preserve">ged </w:t>
      </w:r>
      <w:proofErr w:type="gramStart"/>
      <w:r w:rsidR="00BF59EB">
        <w:t>O</w:t>
      </w:r>
      <w:r w:rsidRPr="00283965">
        <w:t>ver</w:t>
      </w:r>
      <w:proofErr w:type="gramEnd"/>
      <w:r w:rsidRPr="00283965">
        <w:t xml:space="preserve"> 75 </w:t>
      </w:r>
      <w:r w:rsidR="001D1B37">
        <w:t>y</w:t>
      </w:r>
      <w:r w:rsidRPr="00283965">
        <w:t>ears</w:t>
      </w:r>
    </w:p>
    <w:p w:rsidR="001D1B37" w:rsidRPr="00283965" w:rsidRDefault="001D1B37" w:rsidP="001D1B37">
      <w:pPr>
        <w:pStyle w:val="SIlabel"/>
      </w:pPr>
      <w:r>
        <w:t xml:space="preserve">Strategic Indicator 17:  </w:t>
      </w:r>
      <w:r w:rsidRPr="00171E03">
        <w:rPr>
          <w:b w:val="0"/>
        </w:rPr>
        <w:t>Reduction in the</w:t>
      </w:r>
      <w:r w:rsidR="001E3DB7">
        <w:rPr>
          <w:b w:val="0"/>
        </w:rPr>
        <w:t xml:space="preserve"> Rate of B</w:t>
      </w:r>
      <w:r w:rsidRPr="00171E03">
        <w:rPr>
          <w:b w:val="0"/>
        </w:rPr>
        <w:t xml:space="preserve">roken </w:t>
      </w:r>
      <w:r w:rsidR="001E3DB7">
        <w:rPr>
          <w:b w:val="0"/>
        </w:rPr>
        <w:t>Hips (Fractured Neck of F</w:t>
      </w:r>
      <w:r w:rsidRPr="00171E03">
        <w:rPr>
          <w:b w:val="0"/>
        </w:rPr>
        <w:t>emur)</w:t>
      </w:r>
    </w:p>
    <w:p w:rsidR="007E390E" w:rsidRDefault="007E390E" w:rsidP="007E390E">
      <w:pPr>
        <w:pStyle w:val="BodyText"/>
      </w:pPr>
      <w:r w:rsidRPr="003E3D3A">
        <w:t>This indicator provides an indication of the success of public and community health initiatives to prevent hip fractures.  In 2010</w:t>
      </w:r>
      <w:r>
        <w:noBreakHyphen/>
      </w:r>
      <w:r w:rsidRPr="003E3D3A">
        <w:t>11, the ACT rate of admissions in persons aged 75 years and over with a fractured neck of femur was 5.3 per 1,000 persons in the ACT</w:t>
      </w:r>
      <w:r>
        <w:t> </w:t>
      </w:r>
      <w:r w:rsidRPr="003E3D3A">
        <w:t>population.  This is within the long term target and follows a generally decreasing trend over the 10 year period from 2001</w:t>
      </w:r>
      <w:r>
        <w:noBreakHyphen/>
      </w:r>
      <w:r w:rsidRPr="003E3D3A">
        <w:t>02.</w:t>
      </w:r>
    </w:p>
    <w:tbl>
      <w:tblPr>
        <w:tblW w:w="9100" w:type="dxa"/>
        <w:jc w:val="center"/>
        <w:tblLayout w:type="fixed"/>
        <w:tblLook w:val="0000"/>
      </w:tblPr>
      <w:tblGrid>
        <w:gridCol w:w="6354"/>
        <w:gridCol w:w="1373"/>
        <w:gridCol w:w="1373"/>
      </w:tblGrid>
      <w:tr w:rsidR="007E390E" w:rsidRPr="00283965" w:rsidTr="00BC7008">
        <w:trPr>
          <w:jc w:val="center"/>
        </w:trPr>
        <w:tc>
          <w:tcPr>
            <w:tcW w:w="6900" w:type="dxa"/>
            <w:tcBorders>
              <w:top w:val="single" w:sz="4" w:space="0" w:color="auto"/>
              <w:left w:val="nil"/>
              <w:bottom w:val="single" w:sz="4" w:space="0" w:color="auto"/>
              <w:right w:val="nil"/>
            </w:tcBorders>
          </w:tcPr>
          <w:p w:rsidR="007E390E" w:rsidRPr="00283965" w:rsidRDefault="007E390E" w:rsidP="00A6284D">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c>
          <w:tcPr>
            <w:tcW w:w="1474" w:type="dxa"/>
            <w:tcBorders>
              <w:top w:val="single" w:sz="4" w:space="0" w:color="auto"/>
              <w:left w:val="nil"/>
              <w:bottom w:val="single" w:sz="4" w:space="0" w:color="auto"/>
              <w:right w:val="nil"/>
            </w:tcBorders>
          </w:tcPr>
          <w:p w:rsidR="007E390E" w:rsidRPr="00283965" w:rsidRDefault="007E390E" w:rsidP="00A6284D">
            <w:pPr>
              <w:pStyle w:val="TableTextRightBold-BP410pt"/>
            </w:pPr>
            <w:r w:rsidRPr="00283965">
              <w:t>2010-11 Outcome</w:t>
            </w:r>
          </w:p>
        </w:tc>
        <w:tc>
          <w:tcPr>
            <w:tcW w:w="1474" w:type="dxa"/>
            <w:tcBorders>
              <w:top w:val="single" w:sz="4" w:space="0" w:color="auto"/>
              <w:left w:val="nil"/>
              <w:bottom w:val="single" w:sz="4" w:space="0" w:color="auto"/>
              <w:right w:val="nil"/>
            </w:tcBorders>
          </w:tcPr>
          <w:p w:rsidR="007E390E" w:rsidRPr="00283965" w:rsidRDefault="007E390E" w:rsidP="00A6284D">
            <w:pPr>
              <w:pStyle w:val="TableTextRightBold-BP410pt"/>
            </w:pPr>
            <w:r w:rsidRPr="00283965">
              <w:t>Long Term Target</w:t>
            </w:r>
          </w:p>
        </w:tc>
      </w:tr>
      <w:tr w:rsidR="007E390E" w:rsidRPr="003E3D3A" w:rsidTr="00BC7008">
        <w:trPr>
          <w:jc w:val="center"/>
        </w:trPr>
        <w:tc>
          <w:tcPr>
            <w:tcW w:w="6900" w:type="dxa"/>
            <w:tcBorders>
              <w:top w:val="single" w:sz="4" w:space="0" w:color="auto"/>
              <w:left w:val="nil"/>
              <w:bottom w:val="single" w:sz="4" w:space="0" w:color="auto"/>
              <w:right w:val="nil"/>
            </w:tcBorders>
          </w:tcPr>
          <w:p w:rsidR="007E390E" w:rsidRPr="00283965" w:rsidRDefault="007E390E" w:rsidP="00A6284D">
            <w:pPr>
              <w:pStyle w:val="TableTextLeft-BP410pt"/>
              <w:rPr>
                <w:szCs w:val="20"/>
              </w:rPr>
            </w:pPr>
            <w:r w:rsidRPr="00283965">
              <w:t>Rate per 1,000 people</w:t>
            </w:r>
          </w:p>
        </w:tc>
        <w:tc>
          <w:tcPr>
            <w:tcW w:w="1474" w:type="dxa"/>
            <w:tcBorders>
              <w:top w:val="single" w:sz="4" w:space="0" w:color="auto"/>
              <w:left w:val="nil"/>
              <w:bottom w:val="single" w:sz="4" w:space="0" w:color="auto"/>
              <w:right w:val="nil"/>
            </w:tcBorders>
          </w:tcPr>
          <w:p w:rsidR="007E390E" w:rsidRPr="003E3D3A" w:rsidRDefault="007E390E" w:rsidP="00A6284D">
            <w:pPr>
              <w:pStyle w:val="TableTextRight-BP410pt"/>
            </w:pPr>
            <w:r w:rsidRPr="003E3D3A">
              <w:t>5.3</w:t>
            </w:r>
          </w:p>
        </w:tc>
        <w:tc>
          <w:tcPr>
            <w:tcW w:w="1474" w:type="dxa"/>
            <w:tcBorders>
              <w:top w:val="single" w:sz="4" w:space="0" w:color="auto"/>
              <w:left w:val="nil"/>
              <w:bottom w:val="single" w:sz="4" w:space="0" w:color="auto"/>
              <w:right w:val="nil"/>
            </w:tcBorders>
          </w:tcPr>
          <w:p w:rsidR="007E390E" w:rsidRPr="003E3D3A" w:rsidRDefault="007E390E" w:rsidP="00A6284D">
            <w:pPr>
              <w:pStyle w:val="TableTextRight-BP410pt"/>
            </w:pPr>
            <w:r w:rsidRPr="003E3D3A">
              <w:t>5.3</w:t>
            </w:r>
          </w:p>
        </w:tc>
      </w:tr>
    </w:tbl>
    <w:p w:rsidR="007E390E" w:rsidRPr="001E3DB7" w:rsidRDefault="007E390E" w:rsidP="001E3DB7">
      <w:pPr>
        <w:pStyle w:val="NoteText"/>
        <w:rPr>
          <w:i/>
        </w:rPr>
      </w:pPr>
      <w:r w:rsidRPr="009173F9">
        <w:rPr>
          <w:i/>
        </w:rPr>
        <w:t xml:space="preserve">Source:  </w:t>
      </w:r>
      <w:r w:rsidRPr="001E3DB7">
        <w:rPr>
          <w:i/>
        </w:rPr>
        <w:t>ACT Admitted Patient Care data, 2010-11.</w:t>
      </w:r>
    </w:p>
    <w:p w:rsidR="007E390E" w:rsidRPr="00283965" w:rsidRDefault="007E390E" w:rsidP="007E390E">
      <w:pPr>
        <w:pStyle w:val="SIHeading1"/>
      </w:pPr>
      <w:r w:rsidRPr="00171E03">
        <w:t>Strategic</w:t>
      </w:r>
      <w:r w:rsidRPr="00283965">
        <w:t xml:space="preserve"> Objective </w:t>
      </w:r>
      <w:r>
        <w:t>18</w:t>
      </w:r>
    </w:p>
    <w:p w:rsidR="007E390E" w:rsidRPr="00171E03" w:rsidRDefault="007E390E" w:rsidP="007E390E">
      <w:pPr>
        <w:pStyle w:val="SIHeading2"/>
      </w:pPr>
      <w:r w:rsidRPr="00171E03">
        <w:t xml:space="preserve">Reduction in the </w:t>
      </w:r>
      <w:r w:rsidR="009C4C8C">
        <w:t>Y</w:t>
      </w:r>
      <w:r w:rsidRPr="00171E03">
        <w:t xml:space="preserve">outh </w:t>
      </w:r>
      <w:r w:rsidR="009C4C8C">
        <w:t>S</w:t>
      </w:r>
      <w:r w:rsidRPr="00171E03">
        <w:t xml:space="preserve">moking </w:t>
      </w:r>
      <w:r w:rsidR="009C4C8C">
        <w:t>R</w:t>
      </w:r>
      <w:r w:rsidRPr="00171E03">
        <w:t>ate</w:t>
      </w:r>
    </w:p>
    <w:p w:rsidR="001D1B37" w:rsidRPr="00283965" w:rsidRDefault="001D1B37" w:rsidP="001D1B37">
      <w:pPr>
        <w:pStyle w:val="SIlabel"/>
      </w:pPr>
      <w:r>
        <w:t xml:space="preserve">Strategic Indicator 18:  </w:t>
      </w:r>
      <w:r w:rsidRPr="00471B04">
        <w:rPr>
          <w:b w:val="0"/>
        </w:rPr>
        <w:t xml:space="preserve">Percentage of </w:t>
      </w:r>
      <w:r w:rsidR="001E3DB7">
        <w:rPr>
          <w:b w:val="0"/>
        </w:rPr>
        <w:t>Persons A</w:t>
      </w:r>
      <w:r w:rsidRPr="00471B04">
        <w:rPr>
          <w:b w:val="0"/>
        </w:rPr>
        <w:t xml:space="preserve">ged 12 to 17 </w:t>
      </w:r>
      <w:r w:rsidR="001E3DB7">
        <w:rPr>
          <w:b w:val="0"/>
        </w:rPr>
        <w:t>Y</w:t>
      </w:r>
      <w:r w:rsidRPr="00471B04">
        <w:rPr>
          <w:b w:val="0"/>
        </w:rPr>
        <w:t xml:space="preserve">ears </w:t>
      </w:r>
      <w:r w:rsidR="001E3DB7">
        <w:rPr>
          <w:b w:val="0"/>
        </w:rPr>
        <w:t>W</w:t>
      </w:r>
      <w:r w:rsidRPr="00471B04">
        <w:rPr>
          <w:b w:val="0"/>
        </w:rPr>
        <w:t xml:space="preserve">ho </w:t>
      </w:r>
      <w:r w:rsidR="001E3DB7">
        <w:rPr>
          <w:b w:val="0"/>
        </w:rPr>
        <w:t>S</w:t>
      </w:r>
      <w:r w:rsidRPr="00471B04">
        <w:rPr>
          <w:b w:val="0"/>
        </w:rPr>
        <w:t xml:space="preserve">moke </w:t>
      </w:r>
      <w:r w:rsidR="001E3DB7">
        <w:rPr>
          <w:b w:val="0"/>
        </w:rPr>
        <w:t>R</w:t>
      </w:r>
      <w:r w:rsidRPr="00471B04">
        <w:rPr>
          <w:b w:val="0"/>
        </w:rPr>
        <w:t>egularly</w:t>
      </w:r>
    </w:p>
    <w:p w:rsidR="007E390E" w:rsidRPr="00E62665" w:rsidRDefault="007E390E" w:rsidP="007E390E">
      <w:pPr>
        <w:pStyle w:val="BodyText"/>
      </w:pPr>
      <w:r w:rsidRPr="00E62665">
        <w:t>Results from the 2011 Australian Secondary School Alcohol and Drug Survey (ASSAD) show that 5.8 </w:t>
      </w:r>
      <w:r>
        <w:t>per cent</w:t>
      </w:r>
      <w:r w:rsidRPr="00E62665">
        <w:t xml:space="preserve"> of students were current smokers in that year.  This demonstrates a continued decline in current smoking from 15.3</w:t>
      </w:r>
      <w:r>
        <w:t> per cent</w:t>
      </w:r>
      <w:r w:rsidRPr="00E62665">
        <w:t xml:space="preserve"> in 2001, 6.7</w:t>
      </w:r>
      <w:r>
        <w:t> per cent</w:t>
      </w:r>
      <w:r w:rsidRPr="00E62665">
        <w:t xml:space="preserve"> in 2008 to 5.8</w:t>
      </w:r>
      <w:r>
        <w:t> per cent</w:t>
      </w:r>
      <w:r w:rsidRPr="00E62665">
        <w:t xml:space="preserve"> in 2011.  The national rate for current smoking in youths in 2011 was 6.7</w:t>
      </w:r>
      <w:r>
        <w:t> per cent</w:t>
      </w:r>
      <w:r w:rsidRPr="00E62665">
        <w:t>.</w:t>
      </w:r>
    </w:p>
    <w:tbl>
      <w:tblPr>
        <w:tblW w:w="9099" w:type="dxa"/>
        <w:tblLayout w:type="fixed"/>
        <w:tblLook w:val="0000"/>
      </w:tblPr>
      <w:tblGrid>
        <w:gridCol w:w="5517"/>
        <w:gridCol w:w="1194"/>
        <w:gridCol w:w="1194"/>
        <w:gridCol w:w="1194"/>
      </w:tblGrid>
      <w:tr w:rsidR="007E390E" w:rsidRPr="00283965" w:rsidTr="00BC7008">
        <w:tc>
          <w:tcPr>
            <w:tcW w:w="5517" w:type="dxa"/>
            <w:tcBorders>
              <w:top w:val="single" w:sz="4" w:space="0" w:color="auto"/>
              <w:left w:val="nil"/>
              <w:bottom w:val="single" w:sz="4" w:space="0" w:color="auto"/>
              <w:right w:val="nil"/>
            </w:tcBorders>
          </w:tcPr>
          <w:p w:rsidR="007E390E" w:rsidRPr="00283965" w:rsidRDefault="007E390E" w:rsidP="00A62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p>
        </w:tc>
        <w:tc>
          <w:tcPr>
            <w:tcW w:w="1194" w:type="dxa"/>
            <w:tcBorders>
              <w:top w:val="single" w:sz="4" w:space="0" w:color="auto"/>
              <w:left w:val="nil"/>
              <w:bottom w:val="single" w:sz="4" w:space="0" w:color="auto"/>
              <w:right w:val="nil"/>
            </w:tcBorders>
          </w:tcPr>
          <w:p w:rsidR="007E390E" w:rsidRPr="00283965" w:rsidRDefault="007E390E" w:rsidP="00A6284D">
            <w:pPr>
              <w:pStyle w:val="TableTextRightBold-BP410pt"/>
            </w:pPr>
            <w:r w:rsidRPr="00283965">
              <w:t>20</w:t>
            </w:r>
            <w:r>
              <w:t>11</w:t>
            </w:r>
            <w:r w:rsidRPr="00283965">
              <w:t xml:space="preserve"> Outcome</w:t>
            </w:r>
          </w:p>
        </w:tc>
        <w:tc>
          <w:tcPr>
            <w:tcW w:w="1194" w:type="dxa"/>
            <w:tcBorders>
              <w:top w:val="single" w:sz="4" w:space="0" w:color="auto"/>
              <w:left w:val="nil"/>
              <w:bottom w:val="single" w:sz="4" w:space="0" w:color="auto"/>
              <w:right w:val="nil"/>
            </w:tcBorders>
          </w:tcPr>
          <w:p w:rsidR="007E390E" w:rsidRPr="00283965" w:rsidRDefault="007E390E" w:rsidP="00A6284D">
            <w:pPr>
              <w:pStyle w:val="TableTextRightBold-BP410pt"/>
            </w:pPr>
            <w:r w:rsidRPr="00283965">
              <w:t>National Rate</w:t>
            </w:r>
          </w:p>
        </w:tc>
        <w:tc>
          <w:tcPr>
            <w:tcW w:w="1194" w:type="dxa"/>
            <w:tcBorders>
              <w:top w:val="single" w:sz="4" w:space="0" w:color="auto"/>
              <w:left w:val="nil"/>
              <w:bottom w:val="single" w:sz="4" w:space="0" w:color="auto"/>
              <w:right w:val="nil"/>
            </w:tcBorders>
          </w:tcPr>
          <w:p w:rsidR="007E390E" w:rsidRPr="00283965" w:rsidRDefault="007E390E" w:rsidP="00A6284D">
            <w:pPr>
              <w:pStyle w:val="TableTextRightBold-BP410pt"/>
            </w:pPr>
            <w:r w:rsidRPr="00283965">
              <w:t>Long Term Target</w:t>
            </w:r>
          </w:p>
        </w:tc>
      </w:tr>
      <w:tr w:rsidR="007E390E" w:rsidRPr="00283965" w:rsidTr="00BC7008">
        <w:tc>
          <w:tcPr>
            <w:tcW w:w="5517" w:type="dxa"/>
            <w:tcBorders>
              <w:top w:val="single" w:sz="4" w:space="0" w:color="auto"/>
              <w:left w:val="nil"/>
              <w:bottom w:val="single" w:sz="4" w:space="0" w:color="auto"/>
              <w:right w:val="nil"/>
            </w:tcBorders>
          </w:tcPr>
          <w:p w:rsidR="007E390E" w:rsidRPr="00283965" w:rsidRDefault="007E390E" w:rsidP="00A6284D">
            <w:pPr>
              <w:pStyle w:val="TableTextLeft-BP410pt"/>
            </w:pPr>
            <w:r w:rsidRPr="00283965">
              <w:t>Percentage of persons aged 12 to17 who are current smokers</w:t>
            </w:r>
          </w:p>
        </w:tc>
        <w:tc>
          <w:tcPr>
            <w:tcW w:w="1194" w:type="dxa"/>
            <w:tcBorders>
              <w:top w:val="single" w:sz="4" w:space="0" w:color="auto"/>
              <w:left w:val="nil"/>
              <w:bottom w:val="single" w:sz="4" w:space="0" w:color="auto"/>
              <w:right w:val="nil"/>
            </w:tcBorders>
          </w:tcPr>
          <w:p w:rsidR="007E390E" w:rsidRPr="00E62665" w:rsidRDefault="007E390E" w:rsidP="00A6284D">
            <w:pPr>
              <w:pStyle w:val="TableTextRight-BP410pt"/>
            </w:pPr>
            <w:r w:rsidRPr="00E62665">
              <w:t>5.8%</w:t>
            </w:r>
          </w:p>
        </w:tc>
        <w:tc>
          <w:tcPr>
            <w:tcW w:w="1194" w:type="dxa"/>
            <w:tcBorders>
              <w:top w:val="single" w:sz="4" w:space="0" w:color="auto"/>
              <w:left w:val="nil"/>
              <w:bottom w:val="single" w:sz="4" w:space="0" w:color="auto"/>
              <w:right w:val="nil"/>
            </w:tcBorders>
          </w:tcPr>
          <w:p w:rsidR="007E390E" w:rsidRPr="00E62665" w:rsidRDefault="007E390E" w:rsidP="00A6284D">
            <w:pPr>
              <w:pStyle w:val="TableTextRight-BP410pt"/>
            </w:pPr>
            <w:r w:rsidRPr="00E62665">
              <w:t>6.7%</w:t>
            </w:r>
          </w:p>
        </w:tc>
        <w:tc>
          <w:tcPr>
            <w:tcW w:w="1194" w:type="dxa"/>
            <w:tcBorders>
              <w:top w:val="single" w:sz="4" w:space="0" w:color="auto"/>
              <w:left w:val="nil"/>
              <w:bottom w:val="single" w:sz="4" w:space="0" w:color="auto"/>
              <w:right w:val="nil"/>
            </w:tcBorders>
          </w:tcPr>
          <w:p w:rsidR="007E390E" w:rsidRPr="00E62665" w:rsidRDefault="007E390E" w:rsidP="00A6284D">
            <w:pPr>
              <w:pStyle w:val="TableTextRight-BP410pt"/>
            </w:pPr>
            <w:r w:rsidRPr="00E62665">
              <w:t>5%</w:t>
            </w:r>
          </w:p>
        </w:tc>
      </w:tr>
    </w:tbl>
    <w:p w:rsidR="007E390E" w:rsidRPr="001D1B37" w:rsidRDefault="007E390E" w:rsidP="001D1B37">
      <w:pPr>
        <w:pStyle w:val="NoteText"/>
        <w:rPr>
          <w:i/>
        </w:rPr>
      </w:pPr>
      <w:r w:rsidRPr="001D1B37">
        <w:rPr>
          <w:i/>
        </w:rPr>
        <w:t xml:space="preserve">Source:  ASSAD </w:t>
      </w:r>
      <w:proofErr w:type="spellStart"/>
      <w:r w:rsidRPr="001D1B37">
        <w:rPr>
          <w:i/>
        </w:rPr>
        <w:t>confidentialised</w:t>
      </w:r>
      <w:proofErr w:type="spellEnd"/>
      <w:r w:rsidRPr="001D1B37">
        <w:rPr>
          <w:i/>
        </w:rPr>
        <w:t xml:space="preserve"> unit record files 2011, ACT Health.  Australian secondary </w:t>
      </w:r>
      <w:proofErr w:type="gramStart"/>
      <w:r w:rsidRPr="001D1B37">
        <w:rPr>
          <w:i/>
        </w:rPr>
        <w:t>students’ use of tobacco, alcohol, and over-the-counter and illicit substances in 2011 report, The</w:t>
      </w:r>
      <w:proofErr w:type="gramEnd"/>
      <w:r w:rsidRPr="001D1B37">
        <w:rPr>
          <w:i/>
        </w:rPr>
        <w:t xml:space="preserve"> Cancer Council Victoria, December 2012. </w:t>
      </w:r>
    </w:p>
    <w:p w:rsidR="007E390E" w:rsidRPr="00E62665" w:rsidRDefault="007E390E" w:rsidP="007E390E">
      <w:pPr>
        <w:pStyle w:val="NoteHeading"/>
      </w:pPr>
    </w:p>
    <w:p w:rsidR="0075638A" w:rsidRDefault="007E390E" w:rsidP="0028593E">
      <w:pPr>
        <w:pStyle w:val="Heading3TopofPage"/>
      </w:pPr>
      <w:r>
        <w:br w:type="page"/>
      </w:r>
    </w:p>
    <w:p w:rsidR="0028593E" w:rsidRPr="0028593E" w:rsidRDefault="0028593E" w:rsidP="0028593E">
      <w:pPr>
        <w:pStyle w:val="Heading3TopofPage"/>
      </w:pPr>
      <w:r w:rsidRPr="0028593E">
        <w:lastRenderedPageBreak/>
        <w:t>Output Class</w:t>
      </w:r>
      <w:r w:rsidR="00BC7008">
        <w:t>es</w:t>
      </w:r>
    </w:p>
    <w:p w:rsidR="0028593E" w:rsidRPr="0028593E" w:rsidRDefault="0028593E" w:rsidP="0028593E">
      <w:pPr>
        <w:pStyle w:val="BodyText"/>
      </w:pPr>
      <w:r w:rsidRPr="0028593E">
        <w:t>The Health Directorate aims to deliver the best possible healthcare and health related services in Australia.  It will do this through its public hospitals and related health services at Canberra Hospital and Health Services; Mental Health, Justice Health and Alcohol and Drug Services; Public Health Services; Cancer Services; and through Rehabilitation, Aged and Community Care.</w:t>
      </w:r>
    </w:p>
    <w:tbl>
      <w:tblPr>
        <w:tblW w:w="9101" w:type="dxa"/>
        <w:tblLayout w:type="fixed"/>
        <w:tblLook w:val="0000"/>
      </w:tblPr>
      <w:tblGrid>
        <w:gridCol w:w="3657"/>
        <w:gridCol w:w="1361"/>
        <w:gridCol w:w="1361"/>
        <w:gridCol w:w="1361"/>
        <w:gridCol w:w="1361"/>
      </w:tblGrid>
      <w:tr w:rsidR="0028593E" w:rsidRPr="00E900E3" w:rsidTr="0028593E">
        <w:tc>
          <w:tcPr>
            <w:tcW w:w="3657" w:type="dxa"/>
            <w:tcBorders>
              <w:top w:val="single" w:sz="4" w:space="0" w:color="auto"/>
              <w:left w:val="nil"/>
              <w:bottom w:val="nil"/>
              <w:right w:val="nil"/>
            </w:tcBorders>
          </w:tcPr>
          <w:p w:rsidR="0028593E" w:rsidRPr="00E900E3"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c>
          <w:tcPr>
            <w:tcW w:w="2722" w:type="dxa"/>
            <w:gridSpan w:val="2"/>
            <w:tcBorders>
              <w:top w:val="single" w:sz="4" w:space="0" w:color="auto"/>
              <w:left w:val="nil"/>
              <w:bottom w:val="single" w:sz="4" w:space="0" w:color="auto"/>
              <w:right w:val="nil"/>
            </w:tcBorders>
          </w:tcPr>
          <w:p w:rsidR="0028593E" w:rsidRPr="00365142" w:rsidRDefault="0028593E" w:rsidP="001E3DB7">
            <w:pPr>
              <w:pStyle w:val="Heading2"/>
            </w:pPr>
            <w:r w:rsidRPr="00365142">
              <w:t>Total Cost</w:t>
            </w:r>
          </w:p>
        </w:tc>
        <w:tc>
          <w:tcPr>
            <w:tcW w:w="2722" w:type="dxa"/>
            <w:gridSpan w:val="2"/>
            <w:tcBorders>
              <w:top w:val="single" w:sz="4" w:space="0" w:color="auto"/>
              <w:left w:val="nil"/>
              <w:bottom w:val="single" w:sz="4" w:space="0" w:color="auto"/>
              <w:right w:val="nil"/>
            </w:tcBorders>
          </w:tcPr>
          <w:p w:rsidR="0028593E" w:rsidRPr="00365142" w:rsidRDefault="0028593E" w:rsidP="001E3DB7">
            <w:pPr>
              <w:pStyle w:val="Heading2"/>
            </w:pPr>
            <w:r w:rsidRPr="00365142">
              <w:t>Government Payment for</w:t>
            </w:r>
          </w:p>
          <w:p w:rsidR="0028593E" w:rsidRPr="00BE2F5F" w:rsidRDefault="0028593E" w:rsidP="001E3DB7">
            <w:pPr>
              <w:pStyle w:val="Heading2"/>
              <w:rPr>
                <w:vertAlign w:val="superscript"/>
              </w:rPr>
            </w:pPr>
            <w:r w:rsidRPr="00365142">
              <w:t>Outputs</w:t>
            </w:r>
          </w:p>
        </w:tc>
      </w:tr>
      <w:tr w:rsidR="0028593E" w:rsidRPr="00E900E3" w:rsidTr="0028593E">
        <w:tc>
          <w:tcPr>
            <w:tcW w:w="3657" w:type="dxa"/>
            <w:tcBorders>
              <w:top w:val="nil"/>
              <w:left w:val="nil"/>
              <w:bottom w:val="single" w:sz="4" w:space="0" w:color="auto"/>
              <w:right w:val="nil"/>
            </w:tcBorders>
          </w:tcPr>
          <w:p w:rsidR="0028593E" w:rsidRPr="00E900E3" w:rsidRDefault="0028593E" w:rsidP="00285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rPr>
            </w:pPr>
          </w:p>
        </w:tc>
        <w:tc>
          <w:tcPr>
            <w:tcW w:w="1361" w:type="dxa"/>
            <w:tcBorders>
              <w:top w:val="single" w:sz="4" w:space="0" w:color="auto"/>
              <w:left w:val="nil"/>
              <w:bottom w:val="single" w:sz="4" w:space="0" w:color="auto"/>
              <w:right w:val="nil"/>
            </w:tcBorders>
          </w:tcPr>
          <w:p w:rsidR="0028593E" w:rsidRDefault="0028593E" w:rsidP="0028593E">
            <w:pPr>
              <w:pStyle w:val="TableTextRightBold-BP410pt"/>
            </w:pPr>
            <w:r w:rsidRPr="00E900E3">
              <w:t>201</w:t>
            </w:r>
            <w:r>
              <w:t>2</w:t>
            </w:r>
            <w:r w:rsidRPr="00E900E3">
              <w:t>-1</w:t>
            </w:r>
            <w:r>
              <w:t>3</w:t>
            </w:r>
          </w:p>
          <w:p w:rsidR="0028593E" w:rsidRDefault="0028593E" w:rsidP="0028593E">
            <w:pPr>
              <w:pStyle w:val="TableTextRightBold-BP410pt"/>
            </w:pPr>
            <w:r w:rsidRPr="00E900E3">
              <w:t>Est. Outcome</w:t>
            </w:r>
          </w:p>
          <w:p w:rsidR="0028593E" w:rsidRPr="00E900E3" w:rsidRDefault="0028593E" w:rsidP="0028593E">
            <w:pPr>
              <w:pStyle w:val="TableTextRightBold-BP410pt"/>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10pt"/>
            </w:pPr>
            <w:r w:rsidRPr="00E900E3">
              <w:t>201</w:t>
            </w:r>
            <w:r>
              <w:t>3</w:t>
            </w:r>
            <w:r w:rsidRPr="00E900E3">
              <w:t>-1</w:t>
            </w:r>
            <w:r>
              <w:t>4</w:t>
            </w:r>
          </w:p>
          <w:p w:rsidR="0028593E" w:rsidRDefault="0028593E" w:rsidP="0028593E">
            <w:pPr>
              <w:pStyle w:val="TableTextRightBold-BP410pt"/>
            </w:pPr>
            <w:r w:rsidRPr="00E900E3">
              <w:t>Budget</w:t>
            </w:r>
          </w:p>
          <w:p w:rsidR="0028593E" w:rsidRPr="00E900E3" w:rsidRDefault="0028593E" w:rsidP="0028593E">
            <w:pPr>
              <w:pStyle w:val="TableTextRightBold-BP410pt"/>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10pt"/>
            </w:pPr>
            <w:r w:rsidRPr="00E900E3">
              <w:t>201</w:t>
            </w:r>
            <w:r>
              <w:t>2</w:t>
            </w:r>
            <w:r w:rsidRPr="00E900E3">
              <w:t>-1</w:t>
            </w:r>
            <w:r>
              <w:t>3</w:t>
            </w:r>
          </w:p>
          <w:p w:rsidR="0028593E" w:rsidRDefault="0028593E" w:rsidP="0028593E">
            <w:pPr>
              <w:pStyle w:val="TableTextRightBold-BP410pt"/>
            </w:pPr>
            <w:r w:rsidRPr="00E900E3">
              <w:t>Est. Outcome</w:t>
            </w:r>
          </w:p>
          <w:p w:rsidR="0028593E" w:rsidRPr="00E900E3" w:rsidRDefault="0028593E" w:rsidP="0028593E">
            <w:pPr>
              <w:pStyle w:val="TableTextRightBold-BP410pt"/>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10pt"/>
            </w:pPr>
            <w:r w:rsidRPr="00E900E3">
              <w:t>201</w:t>
            </w:r>
            <w:r>
              <w:t>3</w:t>
            </w:r>
            <w:r w:rsidRPr="00E900E3">
              <w:t>-1</w:t>
            </w:r>
            <w:r>
              <w:t>4</w:t>
            </w:r>
          </w:p>
          <w:p w:rsidR="0028593E" w:rsidRDefault="0028593E" w:rsidP="0028593E">
            <w:pPr>
              <w:pStyle w:val="TableTextRightBold-BP410pt"/>
            </w:pPr>
            <w:r w:rsidRPr="00E900E3">
              <w:t>Budget</w:t>
            </w:r>
          </w:p>
          <w:p w:rsidR="0028593E" w:rsidRPr="00E900E3" w:rsidRDefault="0028593E" w:rsidP="0028593E">
            <w:pPr>
              <w:pStyle w:val="TableTextRightBold-BP410pt"/>
            </w:pPr>
            <w:r w:rsidRPr="00E900E3">
              <w:t>$’000</w:t>
            </w:r>
          </w:p>
        </w:tc>
      </w:tr>
      <w:tr w:rsidR="0028593E" w:rsidRPr="00E900E3" w:rsidTr="0028593E">
        <w:trPr>
          <w:trHeight w:val="454"/>
        </w:trPr>
        <w:tc>
          <w:tcPr>
            <w:tcW w:w="3657" w:type="dxa"/>
            <w:tcBorders>
              <w:top w:val="single" w:sz="4" w:space="0" w:color="auto"/>
              <w:left w:val="nil"/>
              <w:bottom w:val="single" w:sz="4" w:space="0" w:color="auto"/>
              <w:right w:val="nil"/>
            </w:tcBorders>
          </w:tcPr>
          <w:p w:rsidR="0028593E" w:rsidRPr="001E3DB7" w:rsidRDefault="0028593E" w:rsidP="0028593E">
            <w:pPr>
              <w:pStyle w:val="TableTextLeftBold-BP4"/>
              <w:rPr>
                <w:sz w:val="20"/>
              </w:rPr>
            </w:pPr>
            <w:r w:rsidRPr="001E3DB7">
              <w:rPr>
                <w:sz w:val="20"/>
              </w:rPr>
              <w:t>Output Class 1</w:t>
            </w:r>
            <w:r w:rsidR="00086F74">
              <w:rPr>
                <w:sz w:val="20"/>
              </w:rPr>
              <w:t>:</w:t>
            </w:r>
            <w:r w:rsidRPr="001E3DB7">
              <w:rPr>
                <w:sz w:val="20"/>
              </w:rPr>
              <w:t xml:space="preserve">  </w:t>
            </w:r>
            <w:r w:rsidRPr="001E3DB7">
              <w:rPr>
                <w:sz w:val="20"/>
              </w:rPr>
              <w:tab/>
            </w:r>
          </w:p>
          <w:p w:rsidR="0028593E" w:rsidRPr="001E3DB7" w:rsidRDefault="0028593E" w:rsidP="0028593E">
            <w:pPr>
              <w:pStyle w:val="TableTextLeftBold-BP4"/>
              <w:rPr>
                <w:sz w:val="20"/>
              </w:rPr>
            </w:pPr>
            <w:r w:rsidRPr="001E3DB7">
              <w:rPr>
                <w:sz w:val="20"/>
              </w:rPr>
              <w:t>Health and Community Care</w:t>
            </w:r>
            <w:r w:rsidRPr="001E3DB7">
              <w:rPr>
                <w:sz w:val="20"/>
                <w:vertAlign w:val="superscript"/>
              </w:rPr>
              <w:t>1</w:t>
            </w:r>
          </w:p>
        </w:tc>
        <w:tc>
          <w:tcPr>
            <w:tcW w:w="1361" w:type="dxa"/>
            <w:tcBorders>
              <w:top w:val="single" w:sz="4" w:space="0" w:color="auto"/>
              <w:left w:val="nil"/>
              <w:bottom w:val="single" w:sz="4" w:space="0" w:color="auto"/>
              <w:right w:val="nil"/>
            </w:tcBorders>
            <w:shd w:val="clear" w:color="auto" w:fill="auto"/>
          </w:tcPr>
          <w:p w:rsidR="009A6CAD" w:rsidRPr="001E3DB7" w:rsidRDefault="009A6CAD" w:rsidP="0028593E">
            <w:pPr>
              <w:pStyle w:val="TableTextRight-BP4"/>
              <w:rPr>
                <w:sz w:val="20"/>
              </w:rPr>
            </w:pPr>
          </w:p>
          <w:p w:rsidR="0028593E" w:rsidRPr="001E3DB7" w:rsidRDefault="0028593E" w:rsidP="0028593E">
            <w:pPr>
              <w:pStyle w:val="TableTextRight-BP4"/>
              <w:rPr>
                <w:sz w:val="20"/>
              </w:rPr>
            </w:pPr>
            <w:r w:rsidRPr="001E3DB7">
              <w:rPr>
                <w:sz w:val="20"/>
              </w:rPr>
              <w:t>1,069,733</w:t>
            </w:r>
          </w:p>
        </w:tc>
        <w:tc>
          <w:tcPr>
            <w:tcW w:w="1361" w:type="dxa"/>
            <w:tcBorders>
              <w:top w:val="single" w:sz="4" w:space="0" w:color="auto"/>
              <w:left w:val="nil"/>
              <w:bottom w:val="single" w:sz="4" w:space="0" w:color="auto"/>
              <w:right w:val="nil"/>
            </w:tcBorders>
          </w:tcPr>
          <w:p w:rsidR="009A6CAD" w:rsidRPr="001E3DB7" w:rsidRDefault="009A6CAD" w:rsidP="0028593E">
            <w:pPr>
              <w:pStyle w:val="TableTextRight-BP4"/>
              <w:rPr>
                <w:sz w:val="20"/>
              </w:rPr>
            </w:pPr>
          </w:p>
          <w:p w:rsidR="0028593E" w:rsidRPr="001E3DB7" w:rsidRDefault="0028593E" w:rsidP="0028593E">
            <w:pPr>
              <w:pStyle w:val="TableTextRight-BP4"/>
              <w:rPr>
                <w:sz w:val="20"/>
              </w:rPr>
            </w:pPr>
            <w:r w:rsidRPr="001E3DB7">
              <w:rPr>
                <w:sz w:val="20"/>
              </w:rPr>
              <w:t>1,109,709</w:t>
            </w:r>
          </w:p>
        </w:tc>
        <w:tc>
          <w:tcPr>
            <w:tcW w:w="1361" w:type="dxa"/>
            <w:tcBorders>
              <w:top w:val="single" w:sz="4" w:space="0" w:color="auto"/>
              <w:left w:val="nil"/>
              <w:bottom w:val="single" w:sz="4" w:space="0" w:color="auto"/>
              <w:right w:val="nil"/>
            </w:tcBorders>
          </w:tcPr>
          <w:p w:rsidR="009A6CAD" w:rsidRPr="001E3DB7" w:rsidRDefault="009A6CAD" w:rsidP="0028593E">
            <w:pPr>
              <w:pStyle w:val="TableTextRight-BP4"/>
              <w:rPr>
                <w:sz w:val="20"/>
              </w:rPr>
            </w:pPr>
          </w:p>
          <w:p w:rsidR="0028593E" w:rsidRPr="001E3DB7" w:rsidRDefault="0028593E" w:rsidP="0028593E">
            <w:pPr>
              <w:pStyle w:val="TableTextRight-BP4"/>
              <w:rPr>
                <w:sz w:val="20"/>
              </w:rPr>
            </w:pPr>
            <w:r w:rsidRPr="001E3DB7">
              <w:rPr>
                <w:sz w:val="20"/>
              </w:rPr>
              <w:t>366,337</w:t>
            </w:r>
          </w:p>
        </w:tc>
        <w:tc>
          <w:tcPr>
            <w:tcW w:w="1361" w:type="dxa"/>
            <w:tcBorders>
              <w:top w:val="single" w:sz="4" w:space="0" w:color="auto"/>
              <w:left w:val="nil"/>
              <w:bottom w:val="single" w:sz="4" w:space="0" w:color="auto"/>
              <w:right w:val="nil"/>
            </w:tcBorders>
          </w:tcPr>
          <w:p w:rsidR="009A6CAD" w:rsidRPr="001E3DB7" w:rsidRDefault="009A6CAD" w:rsidP="0028593E">
            <w:pPr>
              <w:pStyle w:val="TableTextRight-BP4"/>
              <w:rPr>
                <w:sz w:val="20"/>
              </w:rPr>
            </w:pPr>
          </w:p>
          <w:p w:rsidR="0028593E" w:rsidRPr="001E3DB7" w:rsidRDefault="0028593E" w:rsidP="0028593E">
            <w:pPr>
              <w:pStyle w:val="TableTextRight-BP4"/>
              <w:rPr>
                <w:sz w:val="20"/>
              </w:rPr>
            </w:pPr>
            <w:r w:rsidRPr="001E3DB7">
              <w:rPr>
                <w:sz w:val="20"/>
              </w:rPr>
              <w:t>231,100</w:t>
            </w:r>
          </w:p>
        </w:tc>
      </w:tr>
      <w:tr w:rsidR="0028593E" w:rsidRPr="00E900E3" w:rsidTr="0028593E">
        <w:trPr>
          <w:trHeight w:val="64"/>
        </w:trPr>
        <w:tc>
          <w:tcPr>
            <w:tcW w:w="3657" w:type="dxa"/>
            <w:tcBorders>
              <w:top w:val="single" w:sz="4" w:space="0" w:color="auto"/>
              <w:left w:val="nil"/>
              <w:bottom w:val="single" w:sz="4" w:space="0" w:color="auto"/>
              <w:right w:val="nil"/>
            </w:tcBorders>
          </w:tcPr>
          <w:p w:rsidR="0028593E" w:rsidRPr="001E3DB7" w:rsidRDefault="0028593E" w:rsidP="0028593E">
            <w:pPr>
              <w:pStyle w:val="TableTextLeftBold-BP4"/>
              <w:rPr>
                <w:sz w:val="20"/>
              </w:rPr>
            </w:pPr>
            <w:r w:rsidRPr="001E3DB7">
              <w:rPr>
                <w:sz w:val="20"/>
              </w:rPr>
              <w:t>Output 1.1:  Acute Services</w:t>
            </w:r>
          </w:p>
        </w:tc>
        <w:tc>
          <w:tcPr>
            <w:tcW w:w="1361" w:type="dxa"/>
            <w:tcBorders>
              <w:top w:val="single" w:sz="4" w:space="0" w:color="auto"/>
              <w:left w:val="nil"/>
              <w:bottom w:val="single" w:sz="4" w:space="0" w:color="auto"/>
              <w:right w:val="nil"/>
            </w:tcBorders>
          </w:tcPr>
          <w:p w:rsidR="0028593E" w:rsidRPr="001E3DB7" w:rsidRDefault="0028593E" w:rsidP="0028593E">
            <w:pPr>
              <w:pStyle w:val="TableTextRight-BP4"/>
              <w:rPr>
                <w:sz w:val="20"/>
              </w:rPr>
            </w:pPr>
            <w:r w:rsidRPr="001E3DB7">
              <w:rPr>
                <w:sz w:val="20"/>
              </w:rPr>
              <w:t>666,264</w:t>
            </w:r>
          </w:p>
        </w:tc>
        <w:tc>
          <w:tcPr>
            <w:tcW w:w="1361" w:type="dxa"/>
            <w:tcBorders>
              <w:top w:val="single" w:sz="4" w:space="0" w:color="auto"/>
              <w:left w:val="nil"/>
              <w:bottom w:val="single" w:sz="4" w:space="0" w:color="auto"/>
              <w:right w:val="nil"/>
            </w:tcBorders>
          </w:tcPr>
          <w:p w:rsidR="0028593E" w:rsidRPr="001E3DB7" w:rsidRDefault="0028593E" w:rsidP="0028593E">
            <w:pPr>
              <w:pStyle w:val="TableTextRight-BP4"/>
              <w:rPr>
                <w:sz w:val="20"/>
              </w:rPr>
            </w:pPr>
            <w:r w:rsidRPr="001E3DB7">
              <w:rPr>
                <w:sz w:val="20"/>
              </w:rPr>
              <w:t>700,337</w:t>
            </w:r>
          </w:p>
        </w:tc>
        <w:tc>
          <w:tcPr>
            <w:tcW w:w="1361" w:type="dxa"/>
            <w:tcBorders>
              <w:top w:val="single" w:sz="4" w:space="0" w:color="auto"/>
              <w:left w:val="nil"/>
              <w:bottom w:val="single" w:sz="4" w:space="0" w:color="auto"/>
              <w:right w:val="nil"/>
            </w:tcBorders>
          </w:tcPr>
          <w:p w:rsidR="0028593E" w:rsidRPr="001E3DB7" w:rsidRDefault="0028593E" w:rsidP="0028593E">
            <w:pPr>
              <w:pStyle w:val="TableTextRight-BP4"/>
              <w:rPr>
                <w:sz w:val="20"/>
              </w:rPr>
            </w:pPr>
            <w:r w:rsidRPr="001E3DB7">
              <w:rPr>
                <w:sz w:val="20"/>
              </w:rPr>
              <w:t>137,698</w:t>
            </w:r>
          </w:p>
        </w:tc>
        <w:tc>
          <w:tcPr>
            <w:tcW w:w="1361" w:type="dxa"/>
            <w:tcBorders>
              <w:top w:val="single" w:sz="4" w:space="0" w:color="auto"/>
              <w:left w:val="nil"/>
              <w:bottom w:val="single" w:sz="4" w:space="0" w:color="auto"/>
              <w:right w:val="nil"/>
            </w:tcBorders>
          </w:tcPr>
          <w:p w:rsidR="0028593E" w:rsidRPr="001E3DB7" w:rsidRDefault="0028593E" w:rsidP="0028593E">
            <w:pPr>
              <w:pStyle w:val="TableTextRight-BP4"/>
              <w:rPr>
                <w:sz w:val="20"/>
              </w:rPr>
            </w:pPr>
            <w:r w:rsidRPr="001E3DB7">
              <w:rPr>
                <w:sz w:val="20"/>
              </w:rPr>
              <w:t>83,832</w:t>
            </w:r>
          </w:p>
        </w:tc>
      </w:tr>
    </w:tbl>
    <w:p w:rsidR="0028593E" w:rsidRPr="00365142" w:rsidRDefault="0028593E" w:rsidP="0028593E">
      <w:pPr>
        <w:pStyle w:val="NoteHeading"/>
      </w:pPr>
      <w:r w:rsidRPr="00365142">
        <w:t>Note:</w:t>
      </w:r>
    </w:p>
    <w:p w:rsidR="0028593E" w:rsidRPr="0028593E" w:rsidRDefault="0028593E" w:rsidP="003D782D">
      <w:pPr>
        <w:pStyle w:val="AINotes"/>
        <w:numPr>
          <w:ilvl w:val="0"/>
          <w:numId w:val="35"/>
        </w:numPr>
      </w:pPr>
      <w:r w:rsidRPr="0028593E">
        <w:t>Total cost includes depreciation and amortisation of $29.882 million in 2012-13 and $35.673 million in 2013-14.</w:t>
      </w:r>
    </w:p>
    <w:p w:rsidR="0028593E" w:rsidRPr="0028593E" w:rsidRDefault="0028593E" w:rsidP="00086F74">
      <w:pPr>
        <w:pStyle w:val="Heading4"/>
      </w:pPr>
      <w:r w:rsidRPr="0028593E">
        <w:t>Output Description</w:t>
      </w:r>
    </w:p>
    <w:p w:rsidR="0028593E" w:rsidRPr="0028593E" w:rsidRDefault="0028593E" w:rsidP="0028593E">
      <w:pPr>
        <w:pStyle w:val="BodyText"/>
      </w:pPr>
      <w:r w:rsidRPr="0028593E">
        <w:t>The Canberra Hospital provides a comprehensive range of acute care, including inpatient, outpatient, and emergency department services.  The key strategic priority for acute services is to deliver timely access to effective and safe hospital care services.</w:t>
      </w:r>
    </w:p>
    <w:p w:rsidR="0028593E" w:rsidRPr="0028593E" w:rsidRDefault="0028593E" w:rsidP="0028593E">
      <w:pPr>
        <w:pStyle w:val="BodyText"/>
      </w:pPr>
      <w:r w:rsidRPr="0028593E">
        <w:t>This means focussing on:</w:t>
      </w:r>
    </w:p>
    <w:p w:rsidR="0028593E" w:rsidRPr="0028593E" w:rsidRDefault="0028593E" w:rsidP="0028593E">
      <w:pPr>
        <w:pStyle w:val="BodyTextIndent"/>
      </w:pPr>
      <w:r w:rsidRPr="0028593E">
        <w:t>implementing work arising from the NHRA which the Commonwealth Government has put into place, that contains a number of national partnerships and agreements, with the aim of improving services to the Australian community;</w:t>
      </w:r>
    </w:p>
    <w:p w:rsidR="0028593E" w:rsidRPr="0028593E" w:rsidRDefault="0028593E" w:rsidP="0028593E">
      <w:pPr>
        <w:pStyle w:val="BodyTextIndent"/>
      </w:pPr>
      <w:r w:rsidRPr="0028593E">
        <w:t>strategies to improve access to emergency services under the NHRA;</w:t>
      </w:r>
    </w:p>
    <w:p w:rsidR="0028593E" w:rsidRPr="0028593E" w:rsidRDefault="0028593E" w:rsidP="0028593E">
      <w:pPr>
        <w:pStyle w:val="BodyTextIndent"/>
      </w:pPr>
      <w:r w:rsidRPr="0028593E">
        <w:t>meeting the increasing demand for elective surgery in the Territory and reducing the number of people waiting longer than the recommended standard waiting times;</w:t>
      </w:r>
    </w:p>
    <w:p w:rsidR="0028593E" w:rsidRPr="0028593E" w:rsidRDefault="0028593E" w:rsidP="0028593E">
      <w:pPr>
        <w:pStyle w:val="BodyTextIndent"/>
      </w:pPr>
      <w:r w:rsidRPr="0028593E">
        <w:t xml:space="preserve">strategies to meet performance targets for the emergency department, elective and emergency surgery; and </w:t>
      </w:r>
    </w:p>
    <w:p w:rsidR="007E2904" w:rsidRDefault="0028593E" w:rsidP="0028593E">
      <w:pPr>
        <w:pStyle w:val="BodyTextIndent"/>
      </w:pPr>
      <w:proofErr w:type="gramStart"/>
      <w:r w:rsidRPr="0028593E">
        <w:t>continuing</w:t>
      </w:r>
      <w:proofErr w:type="gramEnd"/>
      <w:r w:rsidRPr="0028593E">
        <w:t xml:space="preserve"> to increase the capacity of acute care services within the ACT and surrounding region.</w:t>
      </w:r>
    </w:p>
    <w:p w:rsidR="0075638A" w:rsidRDefault="007E2904" w:rsidP="007E2904">
      <w:pPr>
        <w:pStyle w:val="Heading3TopofPage"/>
      </w:pPr>
      <w:r>
        <w:br w:type="page"/>
      </w:r>
    </w:p>
    <w:p w:rsidR="0028593E" w:rsidRPr="00A40C55" w:rsidRDefault="007E2904" w:rsidP="007E2904">
      <w:pPr>
        <w:pStyle w:val="Heading3TopofPage"/>
      </w:pPr>
      <w:proofErr w:type="gramStart"/>
      <w:r w:rsidRPr="007E2904">
        <w:lastRenderedPageBreak/>
        <w:t>Output Classes cont.</w:t>
      </w:r>
      <w:proofErr w:type="gramEnd"/>
    </w:p>
    <w:tbl>
      <w:tblPr>
        <w:tblW w:w="9101" w:type="dxa"/>
        <w:tblLayout w:type="fixed"/>
        <w:tblLook w:val="0000"/>
      </w:tblPr>
      <w:tblGrid>
        <w:gridCol w:w="3657"/>
        <w:gridCol w:w="1361"/>
        <w:gridCol w:w="1361"/>
        <w:gridCol w:w="1361"/>
        <w:gridCol w:w="1361"/>
      </w:tblGrid>
      <w:tr w:rsidR="0028593E" w:rsidRPr="00BF2859" w:rsidTr="0028593E">
        <w:tc>
          <w:tcPr>
            <w:tcW w:w="3657" w:type="dxa"/>
            <w:tcBorders>
              <w:top w:val="single" w:sz="4" w:space="0" w:color="auto"/>
              <w:left w:val="nil"/>
              <w:bottom w:val="nil"/>
              <w:right w:val="nil"/>
            </w:tcBorders>
          </w:tcPr>
          <w:p w:rsidR="0028593E" w:rsidRPr="00BF2859" w:rsidRDefault="0028593E" w:rsidP="0028593E">
            <w:pPr>
              <w:pStyle w:val="Heading6"/>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18"/>
                <w:szCs w:val="18"/>
              </w:rPr>
            </w:pPr>
          </w:p>
        </w:tc>
        <w:tc>
          <w:tcPr>
            <w:tcW w:w="2722" w:type="dxa"/>
            <w:gridSpan w:val="2"/>
            <w:tcBorders>
              <w:top w:val="single" w:sz="4" w:space="0" w:color="auto"/>
              <w:left w:val="nil"/>
              <w:bottom w:val="single" w:sz="4" w:space="0" w:color="auto"/>
              <w:right w:val="nil"/>
            </w:tcBorders>
          </w:tcPr>
          <w:p w:rsidR="0028593E" w:rsidRPr="0009441E" w:rsidRDefault="0028593E" w:rsidP="00086F74">
            <w:pPr>
              <w:pStyle w:val="Heading2"/>
            </w:pPr>
            <w:r w:rsidRPr="0009441E">
              <w:t>Total Cost</w:t>
            </w:r>
          </w:p>
        </w:tc>
        <w:tc>
          <w:tcPr>
            <w:tcW w:w="2722" w:type="dxa"/>
            <w:gridSpan w:val="2"/>
            <w:tcBorders>
              <w:top w:val="single" w:sz="4" w:space="0" w:color="auto"/>
              <w:left w:val="nil"/>
              <w:bottom w:val="single" w:sz="4" w:space="0" w:color="auto"/>
              <w:right w:val="nil"/>
            </w:tcBorders>
          </w:tcPr>
          <w:p w:rsidR="0028593E" w:rsidRPr="0009441E" w:rsidRDefault="0028593E" w:rsidP="00086F74">
            <w:pPr>
              <w:pStyle w:val="Heading2"/>
            </w:pPr>
            <w:r w:rsidRPr="0009441E">
              <w:t>Government Payment for</w:t>
            </w:r>
          </w:p>
          <w:p w:rsidR="0028593E" w:rsidRPr="0009441E" w:rsidRDefault="0028593E" w:rsidP="00086F74">
            <w:pPr>
              <w:pStyle w:val="Heading2"/>
            </w:pPr>
            <w:r w:rsidRPr="0009441E">
              <w:t>Outputs</w:t>
            </w:r>
          </w:p>
        </w:tc>
      </w:tr>
      <w:tr w:rsidR="0028593E" w:rsidRPr="00BF2859" w:rsidTr="0028593E">
        <w:tc>
          <w:tcPr>
            <w:tcW w:w="3657" w:type="dxa"/>
            <w:tcBorders>
              <w:top w:val="nil"/>
              <w:left w:val="nil"/>
              <w:bottom w:val="single" w:sz="4" w:space="0" w:color="auto"/>
              <w:right w:val="nil"/>
            </w:tcBorders>
          </w:tcPr>
          <w:p w:rsidR="0028593E" w:rsidRPr="00E900E3" w:rsidRDefault="0028593E" w:rsidP="0028593E">
            <w:pPr>
              <w:pStyle w:val="MinorHeading"/>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b/>
                <w:bCs/>
                <w:sz w:val="18"/>
                <w:szCs w:val="18"/>
              </w:rPr>
            </w:pPr>
          </w:p>
        </w:tc>
        <w:tc>
          <w:tcPr>
            <w:tcW w:w="1361" w:type="dxa"/>
            <w:tcBorders>
              <w:top w:val="single" w:sz="4" w:space="0" w:color="auto"/>
              <w:left w:val="nil"/>
              <w:bottom w:val="single" w:sz="4" w:space="0" w:color="auto"/>
              <w:right w:val="nil"/>
            </w:tcBorders>
          </w:tcPr>
          <w:p w:rsidR="0028593E" w:rsidRDefault="0028593E" w:rsidP="0028593E">
            <w:pPr>
              <w:pStyle w:val="TableTextRightBold-BP4"/>
            </w:pPr>
            <w:r w:rsidRPr="00E900E3">
              <w:t>201</w:t>
            </w:r>
            <w:r>
              <w:t>2</w:t>
            </w:r>
            <w:r w:rsidRPr="00E900E3">
              <w:t>-1</w:t>
            </w:r>
            <w:r>
              <w:t>3</w:t>
            </w:r>
          </w:p>
          <w:p w:rsidR="0028593E" w:rsidRDefault="0028593E" w:rsidP="0028593E">
            <w:pPr>
              <w:pStyle w:val="TableTextRightBold-BP4"/>
            </w:pPr>
            <w:r w:rsidRPr="00E900E3">
              <w:t>Est. Outcome</w:t>
            </w:r>
          </w:p>
          <w:p w:rsidR="0028593E" w:rsidRPr="00E900E3" w:rsidRDefault="0028593E" w:rsidP="0028593E">
            <w:pPr>
              <w:pStyle w:val="TableTextRightBold-BP4"/>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
            </w:pPr>
            <w:r w:rsidRPr="00E900E3">
              <w:t>201</w:t>
            </w:r>
            <w:r>
              <w:t>3</w:t>
            </w:r>
            <w:r w:rsidRPr="00E900E3">
              <w:t>-1</w:t>
            </w:r>
            <w:r>
              <w:t>4</w:t>
            </w:r>
          </w:p>
          <w:p w:rsidR="0028593E" w:rsidRDefault="0028593E" w:rsidP="0028593E">
            <w:pPr>
              <w:pStyle w:val="TableTextRightBold-BP4"/>
            </w:pPr>
            <w:r w:rsidRPr="00E900E3">
              <w:t>Budget</w:t>
            </w:r>
          </w:p>
          <w:p w:rsidR="0028593E" w:rsidRPr="00E900E3" w:rsidRDefault="0028593E" w:rsidP="0028593E">
            <w:pPr>
              <w:pStyle w:val="TableTextRightBold-BP4"/>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
            </w:pPr>
            <w:r w:rsidRPr="00E900E3">
              <w:t>201</w:t>
            </w:r>
            <w:r>
              <w:t>2</w:t>
            </w:r>
            <w:r w:rsidRPr="00E900E3">
              <w:t>-1</w:t>
            </w:r>
            <w:r>
              <w:t>3</w:t>
            </w:r>
          </w:p>
          <w:p w:rsidR="0028593E" w:rsidRDefault="0028593E" w:rsidP="0028593E">
            <w:pPr>
              <w:pStyle w:val="TableTextRightBold-BP4"/>
            </w:pPr>
            <w:r w:rsidRPr="00E900E3">
              <w:t>Est. Outcome</w:t>
            </w:r>
          </w:p>
          <w:p w:rsidR="0028593E" w:rsidRPr="00E900E3" w:rsidRDefault="0028593E" w:rsidP="0028593E">
            <w:pPr>
              <w:pStyle w:val="TableTextRightBold-BP4"/>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
            </w:pPr>
            <w:r w:rsidRPr="00E900E3">
              <w:t>201</w:t>
            </w:r>
            <w:r>
              <w:t>3</w:t>
            </w:r>
            <w:r w:rsidRPr="00E900E3">
              <w:t>-1</w:t>
            </w:r>
            <w:r>
              <w:t>4</w:t>
            </w:r>
          </w:p>
          <w:p w:rsidR="0028593E" w:rsidRDefault="0028593E" w:rsidP="0028593E">
            <w:pPr>
              <w:pStyle w:val="TableTextRightBold-BP4"/>
            </w:pPr>
            <w:r w:rsidRPr="00E900E3">
              <w:t>Budget</w:t>
            </w:r>
          </w:p>
          <w:p w:rsidR="0028593E" w:rsidRPr="00E900E3" w:rsidRDefault="0028593E" w:rsidP="0028593E">
            <w:pPr>
              <w:pStyle w:val="TableTextRightBold-BP4"/>
            </w:pPr>
            <w:r w:rsidRPr="00E900E3">
              <w:t>$’000</w:t>
            </w:r>
          </w:p>
        </w:tc>
      </w:tr>
      <w:tr w:rsidR="0028593E" w:rsidRPr="00BF2859" w:rsidTr="0028593E">
        <w:trPr>
          <w:trHeight w:val="281"/>
        </w:trPr>
        <w:tc>
          <w:tcPr>
            <w:tcW w:w="3657" w:type="dxa"/>
            <w:tcBorders>
              <w:top w:val="single" w:sz="4" w:space="0" w:color="auto"/>
              <w:left w:val="nil"/>
              <w:bottom w:val="single" w:sz="4" w:space="0" w:color="auto"/>
              <w:right w:val="nil"/>
            </w:tcBorders>
          </w:tcPr>
          <w:p w:rsidR="0028593E" w:rsidRPr="00086F74" w:rsidRDefault="0028593E" w:rsidP="00086F74">
            <w:pPr>
              <w:pStyle w:val="TableTextLeftBold-BP4"/>
              <w:ind w:left="0" w:firstLine="0"/>
              <w:rPr>
                <w:sz w:val="20"/>
              </w:rPr>
            </w:pPr>
            <w:r w:rsidRPr="00086F74">
              <w:rPr>
                <w:sz w:val="20"/>
              </w:rPr>
              <w:t>Output 1.2:  Mental Health, Justice Health and Alcohol and Drug Services</w:t>
            </w:r>
          </w:p>
        </w:tc>
        <w:tc>
          <w:tcPr>
            <w:tcW w:w="1361" w:type="dxa"/>
            <w:tcBorders>
              <w:top w:val="single" w:sz="4" w:space="0" w:color="auto"/>
              <w:left w:val="nil"/>
              <w:bottom w:val="single" w:sz="4" w:space="0" w:color="auto"/>
              <w:right w:val="nil"/>
            </w:tcBorders>
          </w:tcPr>
          <w:p w:rsidR="009561C8" w:rsidRPr="00086F74" w:rsidRDefault="009561C8" w:rsidP="0028593E">
            <w:pPr>
              <w:pStyle w:val="TableTextRight-BP4"/>
              <w:rPr>
                <w:sz w:val="20"/>
              </w:rPr>
            </w:pPr>
          </w:p>
          <w:p w:rsidR="0028593E" w:rsidRPr="00086F74" w:rsidRDefault="0028593E" w:rsidP="0028593E">
            <w:pPr>
              <w:pStyle w:val="TableTextRight-BP4"/>
              <w:rPr>
                <w:sz w:val="20"/>
              </w:rPr>
            </w:pPr>
            <w:r w:rsidRPr="00086F74">
              <w:rPr>
                <w:sz w:val="20"/>
              </w:rPr>
              <w:t>117,324</w:t>
            </w:r>
          </w:p>
        </w:tc>
        <w:tc>
          <w:tcPr>
            <w:tcW w:w="1361" w:type="dxa"/>
            <w:tcBorders>
              <w:top w:val="single" w:sz="4" w:space="0" w:color="auto"/>
              <w:left w:val="nil"/>
              <w:bottom w:val="single" w:sz="4" w:space="0" w:color="auto"/>
              <w:right w:val="nil"/>
            </w:tcBorders>
          </w:tcPr>
          <w:p w:rsidR="009561C8" w:rsidRPr="00086F74" w:rsidRDefault="009561C8" w:rsidP="0028593E">
            <w:pPr>
              <w:pStyle w:val="TableTextRight-BP4"/>
              <w:rPr>
                <w:sz w:val="20"/>
              </w:rPr>
            </w:pPr>
          </w:p>
          <w:p w:rsidR="0028593E" w:rsidRPr="00086F74" w:rsidRDefault="0028593E" w:rsidP="0028593E">
            <w:pPr>
              <w:pStyle w:val="TableTextRight-BP4"/>
              <w:rPr>
                <w:sz w:val="20"/>
              </w:rPr>
            </w:pPr>
            <w:r w:rsidRPr="00086F74">
              <w:rPr>
                <w:sz w:val="20"/>
              </w:rPr>
              <w:t>122,129</w:t>
            </w:r>
          </w:p>
        </w:tc>
        <w:tc>
          <w:tcPr>
            <w:tcW w:w="1361" w:type="dxa"/>
            <w:tcBorders>
              <w:top w:val="single" w:sz="4" w:space="0" w:color="auto"/>
              <w:left w:val="nil"/>
              <w:bottom w:val="single" w:sz="4" w:space="0" w:color="auto"/>
              <w:right w:val="nil"/>
            </w:tcBorders>
          </w:tcPr>
          <w:p w:rsidR="009561C8" w:rsidRPr="00086F74" w:rsidRDefault="009561C8" w:rsidP="0028593E">
            <w:pPr>
              <w:pStyle w:val="TableTextRight-BP4"/>
              <w:rPr>
                <w:sz w:val="20"/>
              </w:rPr>
            </w:pPr>
          </w:p>
          <w:p w:rsidR="0028593E" w:rsidRPr="00086F74" w:rsidRDefault="0028593E" w:rsidP="0028593E">
            <w:pPr>
              <w:pStyle w:val="TableTextRight-BP4"/>
              <w:rPr>
                <w:sz w:val="20"/>
              </w:rPr>
            </w:pPr>
            <w:r w:rsidRPr="00086F74">
              <w:rPr>
                <w:sz w:val="20"/>
              </w:rPr>
              <w:t>54,432</w:t>
            </w:r>
          </w:p>
        </w:tc>
        <w:tc>
          <w:tcPr>
            <w:tcW w:w="1361" w:type="dxa"/>
            <w:tcBorders>
              <w:top w:val="single" w:sz="4" w:space="0" w:color="auto"/>
              <w:left w:val="nil"/>
              <w:bottom w:val="single" w:sz="4" w:space="0" w:color="auto"/>
              <w:right w:val="nil"/>
            </w:tcBorders>
          </w:tcPr>
          <w:p w:rsidR="009561C8" w:rsidRPr="00086F74" w:rsidRDefault="009561C8" w:rsidP="0028593E">
            <w:pPr>
              <w:pStyle w:val="TableTextRight-BP4"/>
              <w:rPr>
                <w:sz w:val="20"/>
              </w:rPr>
            </w:pPr>
          </w:p>
          <w:p w:rsidR="0028593E" w:rsidRPr="00086F74" w:rsidRDefault="0028593E" w:rsidP="0028593E">
            <w:pPr>
              <w:pStyle w:val="TableTextRight-BP4"/>
              <w:rPr>
                <w:sz w:val="20"/>
              </w:rPr>
            </w:pPr>
            <w:r w:rsidRPr="00086F74">
              <w:rPr>
                <w:sz w:val="20"/>
              </w:rPr>
              <w:t>47,419</w:t>
            </w:r>
          </w:p>
        </w:tc>
      </w:tr>
    </w:tbl>
    <w:p w:rsidR="0028593E" w:rsidRPr="0028593E" w:rsidRDefault="0028593E" w:rsidP="00086F74">
      <w:pPr>
        <w:pStyle w:val="Heading4"/>
        <w:spacing w:before="240"/>
      </w:pPr>
      <w:r w:rsidRPr="0028593E">
        <w:t>Output Description</w:t>
      </w:r>
    </w:p>
    <w:p w:rsidR="0028593E" w:rsidRPr="0028593E" w:rsidRDefault="0028593E" w:rsidP="0028593E">
      <w:pPr>
        <w:pStyle w:val="BodyText"/>
      </w:pPr>
      <w:r w:rsidRPr="0028593E">
        <w:t>Mental H</w:t>
      </w:r>
      <w:bookmarkStart w:id="1" w:name="_GoBack"/>
      <w:bookmarkEnd w:id="1"/>
      <w:r w:rsidRPr="0028593E">
        <w:t>ealth, Justice Health and Alcohol and Drug Services provide a range of services in hospitals, community health centres, adult and youth correctional facilities and peoples’ homes across the Territory.  This service works with its community partners to provide integrated and responsive care to a range of services, including hospital based specialist services, supported accommodation services and community based service responses.</w:t>
      </w:r>
    </w:p>
    <w:p w:rsidR="0028593E" w:rsidRPr="0028593E" w:rsidRDefault="0028593E" w:rsidP="0028593E">
      <w:pPr>
        <w:pStyle w:val="BodyText"/>
      </w:pPr>
      <w:r w:rsidRPr="0028593E">
        <w:t>The key strategic priorities for Mental Health, Justice Health and Alcohol and Drug Services are ensuring that clients’ needs are met in a timely fashion, and that care is integrated across hospital, community, and residential support services.</w:t>
      </w:r>
    </w:p>
    <w:p w:rsidR="0028593E" w:rsidRPr="00AF3619" w:rsidRDefault="0028593E" w:rsidP="0028593E">
      <w:pPr>
        <w:pStyle w:val="BodyText"/>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F3619">
        <w:t>This means focussing on:</w:t>
      </w:r>
    </w:p>
    <w:p w:rsidR="0028593E" w:rsidRPr="0028593E" w:rsidRDefault="0028593E" w:rsidP="0028593E">
      <w:pPr>
        <w:pStyle w:val="BodyTextIndent"/>
      </w:pPr>
      <w:r w:rsidRPr="0028593E">
        <w:t>ensuring timely access to emergency mental health care by reducing waiting times for urgent admissions to acute psychiatric units;</w:t>
      </w:r>
    </w:p>
    <w:p w:rsidR="0028593E" w:rsidRPr="0028593E" w:rsidRDefault="0028593E" w:rsidP="0028593E">
      <w:pPr>
        <w:pStyle w:val="BodyTextIndent"/>
      </w:pPr>
      <w:r w:rsidRPr="0028593E">
        <w:t>ensuring that public mental health services in the ACT provide consumers with appropriate assessment, treatment and care that result in improved mental health outcomes; and</w:t>
      </w:r>
    </w:p>
    <w:p w:rsidR="0028593E" w:rsidRPr="0028593E" w:rsidRDefault="0028593E" w:rsidP="0028593E">
      <w:pPr>
        <w:pStyle w:val="BodyTextIndent"/>
      </w:pPr>
      <w:proofErr w:type="gramStart"/>
      <w:r w:rsidRPr="0028593E">
        <w:t>providing</w:t>
      </w:r>
      <w:proofErr w:type="gramEnd"/>
      <w:r w:rsidRPr="0028593E">
        <w:t xml:space="preserve"> hospital and community based alcohol and drug services and health care assessments for people detained in corrective facilities.</w:t>
      </w:r>
    </w:p>
    <w:tbl>
      <w:tblPr>
        <w:tblW w:w="9101" w:type="dxa"/>
        <w:tblLayout w:type="fixed"/>
        <w:tblLook w:val="0000"/>
      </w:tblPr>
      <w:tblGrid>
        <w:gridCol w:w="3657"/>
        <w:gridCol w:w="1361"/>
        <w:gridCol w:w="1361"/>
        <w:gridCol w:w="1361"/>
        <w:gridCol w:w="1361"/>
      </w:tblGrid>
      <w:tr w:rsidR="0028593E" w:rsidRPr="005D6C61" w:rsidTr="0028593E">
        <w:tc>
          <w:tcPr>
            <w:tcW w:w="3657" w:type="dxa"/>
            <w:tcBorders>
              <w:top w:val="single" w:sz="4" w:space="0" w:color="auto"/>
              <w:left w:val="nil"/>
              <w:bottom w:val="nil"/>
              <w:right w:val="nil"/>
            </w:tcBorders>
          </w:tcPr>
          <w:p w:rsidR="0028593E" w:rsidRPr="005D6C61" w:rsidRDefault="0028593E" w:rsidP="0028593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c>
          <w:tcPr>
            <w:tcW w:w="2722" w:type="dxa"/>
            <w:gridSpan w:val="2"/>
            <w:tcBorders>
              <w:top w:val="single" w:sz="4" w:space="0" w:color="auto"/>
              <w:left w:val="nil"/>
              <w:bottom w:val="single" w:sz="4" w:space="0" w:color="auto"/>
              <w:right w:val="nil"/>
            </w:tcBorders>
          </w:tcPr>
          <w:p w:rsidR="0028593E" w:rsidRPr="00602F1D" w:rsidRDefault="0028593E" w:rsidP="0028593E">
            <w:pPr>
              <w:pStyle w:val="Heading2"/>
            </w:pPr>
            <w:r w:rsidRPr="00602F1D">
              <w:t>Total Cost</w:t>
            </w:r>
          </w:p>
        </w:tc>
        <w:tc>
          <w:tcPr>
            <w:tcW w:w="2722" w:type="dxa"/>
            <w:gridSpan w:val="2"/>
            <w:tcBorders>
              <w:top w:val="single" w:sz="4" w:space="0" w:color="auto"/>
              <w:left w:val="nil"/>
              <w:bottom w:val="single" w:sz="4" w:space="0" w:color="auto"/>
              <w:right w:val="nil"/>
            </w:tcBorders>
          </w:tcPr>
          <w:p w:rsidR="0028593E" w:rsidRPr="00602F1D" w:rsidRDefault="0028593E" w:rsidP="0028593E">
            <w:pPr>
              <w:pStyle w:val="Heading2"/>
            </w:pPr>
            <w:r w:rsidRPr="00602F1D">
              <w:t>Government Payment for</w:t>
            </w:r>
            <w:r>
              <w:t xml:space="preserve"> </w:t>
            </w:r>
            <w:r w:rsidRPr="00602F1D">
              <w:t>Outputs</w:t>
            </w:r>
          </w:p>
        </w:tc>
      </w:tr>
      <w:tr w:rsidR="0028593E" w:rsidRPr="005D6C61" w:rsidTr="0028593E">
        <w:tc>
          <w:tcPr>
            <w:tcW w:w="3657" w:type="dxa"/>
            <w:tcBorders>
              <w:top w:val="nil"/>
              <w:left w:val="nil"/>
              <w:bottom w:val="single" w:sz="4" w:space="0" w:color="auto"/>
              <w:right w:val="nil"/>
            </w:tcBorders>
          </w:tcPr>
          <w:p w:rsidR="0028593E" w:rsidRPr="005D6C61" w:rsidRDefault="0028593E" w:rsidP="0028593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c>
          <w:tcPr>
            <w:tcW w:w="1361" w:type="dxa"/>
            <w:tcBorders>
              <w:top w:val="single" w:sz="4" w:space="0" w:color="auto"/>
              <w:left w:val="nil"/>
              <w:bottom w:val="single" w:sz="4" w:space="0" w:color="auto"/>
              <w:right w:val="nil"/>
            </w:tcBorders>
          </w:tcPr>
          <w:p w:rsidR="0028593E" w:rsidRDefault="0028593E" w:rsidP="0028593E">
            <w:pPr>
              <w:pStyle w:val="TableTextRightBold-BP4"/>
            </w:pPr>
            <w:r w:rsidRPr="00E900E3">
              <w:t>201</w:t>
            </w:r>
            <w:r>
              <w:t>2</w:t>
            </w:r>
            <w:r w:rsidRPr="00E900E3">
              <w:t>-1</w:t>
            </w:r>
            <w:r>
              <w:t>3</w:t>
            </w:r>
          </w:p>
          <w:p w:rsidR="0028593E" w:rsidRDefault="0028593E" w:rsidP="0028593E">
            <w:pPr>
              <w:pStyle w:val="TableTextRightBold-BP4"/>
            </w:pPr>
            <w:r w:rsidRPr="00E900E3">
              <w:t>Est. Outcome</w:t>
            </w:r>
          </w:p>
          <w:p w:rsidR="0028593E" w:rsidRPr="00E900E3" w:rsidRDefault="0028593E" w:rsidP="0028593E">
            <w:pPr>
              <w:pStyle w:val="TableTextRightBold-BP4"/>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
            </w:pPr>
            <w:r w:rsidRPr="00E900E3">
              <w:t>201</w:t>
            </w:r>
            <w:r>
              <w:t>3</w:t>
            </w:r>
            <w:r w:rsidRPr="00E900E3">
              <w:t>-1</w:t>
            </w:r>
            <w:r>
              <w:t>4</w:t>
            </w:r>
          </w:p>
          <w:p w:rsidR="0028593E" w:rsidRDefault="0028593E" w:rsidP="0028593E">
            <w:pPr>
              <w:pStyle w:val="TableTextRightBold-BP4"/>
            </w:pPr>
            <w:r w:rsidRPr="00E900E3">
              <w:t>Budget</w:t>
            </w:r>
          </w:p>
          <w:p w:rsidR="0028593E" w:rsidRPr="00E900E3" w:rsidRDefault="0028593E" w:rsidP="0028593E">
            <w:pPr>
              <w:pStyle w:val="TableTextRightBold-BP4"/>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
            </w:pPr>
            <w:r w:rsidRPr="00E900E3">
              <w:t>201</w:t>
            </w:r>
            <w:r>
              <w:t>2</w:t>
            </w:r>
            <w:r w:rsidRPr="00E900E3">
              <w:t>-1</w:t>
            </w:r>
            <w:r>
              <w:t>3</w:t>
            </w:r>
          </w:p>
          <w:p w:rsidR="0028593E" w:rsidRDefault="0028593E" w:rsidP="0028593E">
            <w:pPr>
              <w:pStyle w:val="TableTextRightBold-BP4"/>
            </w:pPr>
            <w:r w:rsidRPr="00E900E3">
              <w:t>Est. Outcome</w:t>
            </w:r>
          </w:p>
          <w:p w:rsidR="0028593E" w:rsidRPr="00E900E3" w:rsidRDefault="0028593E" w:rsidP="0028593E">
            <w:pPr>
              <w:pStyle w:val="TableTextRightBold-BP4"/>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
            </w:pPr>
            <w:r w:rsidRPr="00E900E3">
              <w:t>201</w:t>
            </w:r>
            <w:r>
              <w:t>3</w:t>
            </w:r>
            <w:r w:rsidRPr="00E900E3">
              <w:t>-1</w:t>
            </w:r>
            <w:r>
              <w:t>4</w:t>
            </w:r>
          </w:p>
          <w:p w:rsidR="0028593E" w:rsidRDefault="0028593E" w:rsidP="0028593E">
            <w:pPr>
              <w:pStyle w:val="TableTextRightBold-BP4"/>
            </w:pPr>
            <w:r w:rsidRPr="00E900E3">
              <w:t>Budget</w:t>
            </w:r>
          </w:p>
          <w:p w:rsidR="0028593E" w:rsidRPr="00E900E3" w:rsidRDefault="0028593E" w:rsidP="0028593E">
            <w:pPr>
              <w:pStyle w:val="TableTextRightBold-BP4"/>
            </w:pPr>
            <w:r w:rsidRPr="00E900E3">
              <w:t>$’000</w:t>
            </w:r>
          </w:p>
        </w:tc>
      </w:tr>
      <w:tr w:rsidR="0028593E" w:rsidRPr="005D6C61" w:rsidTr="0028593E">
        <w:trPr>
          <w:trHeight w:val="227"/>
        </w:trPr>
        <w:tc>
          <w:tcPr>
            <w:tcW w:w="3657" w:type="dxa"/>
            <w:tcBorders>
              <w:top w:val="single" w:sz="4" w:space="0" w:color="auto"/>
              <w:left w:val="nil"/>
              <w:bottom w:val="single" w:sz="4" w:space="0" w:color="auto"/>
              <w:right w:val="nil"/>
            </w:tcBorders>
          </w:tcPr>
          <w:p w:rsidR="0028593E" w:rsidRPr="00086F74" w:rsidRDefault="0028593E" w:rsidP="0028593E">
            <w:pPr>
              <w:pStyle w:val="TableTextLeftBold-BP4"/>
              <w:rPr>
                <w:sz w:val="20"/>
              </w:rPr>
            </w:pPr>
            <w:r w:rsidRPr="00086F74">
              <w:rPr>
                <w:sz w:val="20"/>
              </w:rPr>
              <w:t>Output 1.3:  Public Health Services</w:t>
            </w:r>
          </w:p>
        </w:tc>
        <w:tc>
          <w:tcPr>
            <w:tcW w:w="1361" w:type="dxa"/>
            <w:tcBorders>
              <w:top w:val="single" w:sz="4" w:space="0" w:color="auto"/>
              <w:left w:val="nil"/>
              <w:bottom w:val="single" w:sz="4" w:space="0" w:color="auto"/>
              <w:right w:val="nil"/>
            </w:tcBorders>
          </w:tcPr>
          <w:p w:rsidR="0028593E" w:rsidRPr="00086F74" w:rsidRDefault="0028593E" w:rsidP="0028593E">
            <w:pPr>
              <w:pStyle w:val="TableTextRight-BP4"/>
              <w:rPr>
                <w:sz w:val="20"/>
              </w:rPr>
            </w:pPr>
            <w:r w:rsidRPr="00086F74">
              <w:rPr>
                <w:sz w:val="20"/>
              </w:rPr>
              <w:t>40,889</w:t>
            </w:r>
          </w:p>
        </w:tc>
        <w:tc>
          <w:tcPr>
            <w:tcW w:w="1361" w:type="dxa"/>
            <w:tcBorders>
              <w:top w:val="single" w:sz="4" w:space="0" w:color="auto"/>
              <w:left w:val="nil"/>
              <w:bottom w:val="single" w:sz="4" w:space="0" w:color="auto"/>
              <w:right w:val="nil"/>
            </w:tcBorders>
          </w:tcPr>
          <w:p w:rsidR="0028593E" w:rsidRPr="00086F74" w:rsidRDefault="0028593E" w:rsidP="0028593E">
            <w:pPr>
              <w:pStyle w:val="TableTextRight-BP4"/>
              <w:rPr>
                <w:sz w:val="20"/>
              </w:rPr>
            </w:pPr>
            <w:r w:rsidRPr="00086F74">
              <w:rPr>
                <w:sz w:val="20"/>
              </w:rPr>
              <w:t>28,864</w:t>
            </w:r>
          </w:p>
        </w:tc>
        <w:tc>
          <w:tcPr>
            <w:tcW w:w="1361" w:type="dxa"/>
            <w:tcBorders>
              <w:top w:val="single" w:sz="4" w:space="0" w:color="auto"/>
              <w:left w:val="nil"/>
              <w:bottom w:val="single" w:sz="4" w:space="0" w:color="auto"/>
              <w:right w:val="nil"/>
            </w:tcBorders>
          </w:tcPr>
          <w:p w:rsidR="0028593E" w:rsidRPr="00086F74" w:rsidRDefault="0028593E" w:rsidP="0028593E">
            <w:pPr>
              <w:pStyle w:val="TableTextRight-BP4"/>
              <w:rPr>
                <w:sz w:val="20"/>
              </w:rPr>
            </w:pPr>
            <w:r w:rsidRPr="00086F74">
              <w:rPr>
                <w:sz w:val="20"/>
              </w:rPr>
              <w:t>37,417</w:t>
            </w:r>
          </w:p>
        </w:tc>
        <w:tc>
          <w:tcPr>
            <w:tcW w:w="1361" w:type="dxa"/>
            <w:tcBorders>
              <w:top w:val="single" w:sz="4" w:space="0" w:color="auto"/>
              <w:left w:val="nil"/>
              <w:bottom w:val="single" w:sz="4" w:space="0" w:color="auto"/>
              <w:right w:val="nil"/>
            </w:tcBorders>
          </w:tcPr>
          <w:p w:rsidR="0028593E" w:rsidRPr="00086F74" w:rsidRDefault="0028593E" w:rsidP="0028593E">
            <w:pPr>
              <w:pStyle w:val="TableTextRight-BP4"/>
              <w:rPr>
                <w:sz w:val="20"/>
              </w:rPr>
            </w:pPr>
            <w:r w:rsidRPr="00086F74">
              <w:rPr>
                <w:sz w:val="20"/>
              </w:rPr>
              <w:t>25,850</w:t>
            </w:r>
          </w:p>
        </w:tc>
      </w:tr>
    </w:tbl>
    <w:p w:rsidR="0028593E" w:rsidRPr="0028593E" w:rsidRDefault="0028593E" w:rsidP="00616AB3">
      <w:pPr>
        <w:pStyle w:val="Heading4"/>
        <w:spacing w:before="240"/>
      </w:pPr>
      <w:r w:rsidRPr="0028593E">
        <w:t>Output Description</w:t>
      </w:r>
    </w:p>
    <w:p w:rsidR="007E2904" w:rsidRDefault="0028593E" w:rsidP="0028593E">
      <w:pPr>
        <w:pStyle w:val="BodyText"/>
      </w:pPr>
      <w:r w:rsidRPr="0028593E">
        <w:t xml:space="preserve">Improving the health status of the ACT population through interventions which promote behaviour changes to reduce susceptibility to illness, alter the ACT environment to promote the health of the population and promote interventions </w:t>
      </w:r>
      <w:r w:rsidR="00665A8C">
        <w:t>that</w:t>
      </w:r>
      <w:r w:rsidRPr="0028593E">
        <w:t xml:space="preserve"> remove or mitigate population health hazards. </w:t>
      </w:r>
      <w:r w:rsidR="0022780F">
        <w:t xml:space="preserve"> </w:t>
      </w:r>
      <w:r w:rsidRPr="0028593E">
        <w:t xml:space="preserve">This includes programs </w:t>
      </w:r>
      <w:r w:rsidR="00665A8C">
        <w:t>that</w:t>
      </w:r>
      <w:r w:rsidRPr="0028593E">
        <w:t xml:space="preserve"> evaluate and report on the health status of the ACT population, assist in identi</w:t>
      </w:r>
      <w:r w:rsidR="0022780F">
        <w:t xml:space="preserve">fying particular health hazards and </w:t>
      </w:r>
      <w:r w:rsidRPr="0028593E">
        <w:t>measures to reduce the risk to the health of the public from communicable diseases, environmental hazards and the supply of medicines and poisons.</w:t>
      </w:r>
    </w:p>
    <w:p w:rsidR="0075638A" w:rsidRDefault="007E2904" w:rsidP="007E2904">
      <w:pPr>
        <w:pStyle w:val="Heading3TopofPage"/>
      </w:pPr>
      <w:r>
        <w:br w:type="page"/>
      </w:r>
    </w:p>
    <w:p w:rsidR="007E2904" w:rsidRDefault="007E2904" w:rsidP="007E2904">
      <w:pPr>
        <w:pStyle w:val="Heading3TopofPage"/>
      </w:pPr>
      <w:proofErr w:type="gramStart"/>
      <w:r w:rsidRPr="0028593E">
        <w:lastRenderedPageBreak/>
        <w:t>Output Class</w:t>
      </w:r>
      <w:r w:rsidR="00642E53">
        <w:t>es</w:t>
      </w:r>
      <w:r>
        <w:t xml:space="preserve"> </w:t>
      </w:r>
      <w:r w:rsidRPr="002E4C06">
        <w:t>cont.</w:t>
      </w:r>
      <w:proofErr w:type="gramEnd"/>
    </w:p>
    <w:tbl>
      <w:tblPr>
        <w:tblW w:w="9103" w:type="dxa"/>
        <w:tblLayout w:type="fixed"/>
        <w:tblLook w:val="0000"/>
      </w:tblPr>
      <w:tblGrid>
        <w:gridCol w:w="3657"/>
        <w:gridCol w:w="1361"/>
        <w:gridCol w:w="1361"/>
        <w:gridCol w:w="1361"/>
        <w:gridCol w:w="1363"/>
      </w:tblGrid>
      <w:tr w:rsidR="0028593E" w:rsidRPr="005D6C61" w:rsidTr="0028593E">
        <w:tc>
          <w:tcPr>
            <w:tcW w:w="3657" w:type="dxa"/>
            <w:tcBorders>
              <w:top w:val="single" w:sz="4" w:space="0" w:color="auto"/>
              <w:left w:val="nil"/>
              <w:bottom w:val="nil"/>
              <w:right w:val="nil"/>
            </w:tcBorders>
          </w:tcPr>
          <w:p w:rsidR="0028593E" w:rsidRPr="005D6C61" w:rsidRDefault="0028593E" w:rsidP="0028593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c>
          <w:tcPr>
            <w:tcW w:w="2722" w:type="dxa"/>
            <w:gridSpan w:val="2"/>
            <w:tcBorders>
              <w:top w:val="single" w:sz="4" w:space="0" w:color="auto"/>
              <w:left w:val="nil"/>
              <w:bottom w:val="single" w:sz="4" w:space="0" w:color="auto"/>
              <w:right w:val="nil"/>
            </w:tcBorders>
          </w:tcPr>
          <w:p w:rsidR="0028593E" w:rsidRPr="002D31F0" w:rsidRDefault="0028593E" w:rsidP="0028593E">
            <w:pPr>
              <w:pStyle w:val="Heading2"/>
            </w:pPr>
            <w:r w:rsidRPr="002D31F0">
              <w:t>Total Cost</w:t>
            </w:r>
          </w:p>
        </w:tc>
        <w:tc>
          <w:tcPr>
            <w:tcW w:w="2724" w:type="dxa"/>
            <w:gridSpan w:val="2"/>
            <w:tcBorders>
              <w:top w:val="single" w:sz="4" w:space="0" w:color="auto"/>
              <w:left w:val="nil"/>
              <w:bottom w:val="single" w:sz="4" w:space="0" w:color="auto"/>
              <w:right w:val="nil"/>
            </w:tcBorders>
          </w:tcPr>
          <w:p w:rsidR="0028593E" w:rsidRPr="002D31F0" w:rsidRDefault="0028593E" w:rsidP="0028593E">
            <w:pPr>
              <w:pStyle w:val="Heading2"/>
            </w:pPr>
            <w:r w:rsidRPr="002D31F0">
              <w:t>Government Payment for</w:t>
            </w:r>
          </w:p>
          <w:p w:rsidR="0028593E" w:rsidRPr="002D31F0" w:rsidRDefault="0028593E" w:rsidP="0028593E">
            <w:pPr>
              <w:pStyle w:val="Heading2"/>
            </w:pPr>
            <w:r w:rsidRPr="002D31F0">
              <w:t>Outputs</w:t>
            </w:r>
          </w:p>
        </w:tc>
      </w:tr>
      <w:tr w:rsidR="0028593E" w:rsidRPr="005D6C61" w:rsidTr="0028593E">
        <w:tc>
          <w:tcPr>
            <w:tcW w:w="3657" w:type="dxa"/>
            <w:tcBorders>
              <w:top w:val="nil"/>
              <w:left w:val="nil"/>
              <w:bottom w:val="single" w:sz="4" w:space="0" w:color="auto"/>
              <w:right w:val="nil"/>
            </w:tcBorders>
          </w:tcPr>
          <w:p w:rsidR="0028593E" w:rsidRPr="005D6C61" w:rsidRDefault="0028593E" w:rsidP="0028593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c>
          <w:tcPr>
            <w:tcW w:w="1361" w:type="dxa"/>
            <w:tcBorders>
              <w:top w:val="single" w:sz="4" w:space="0" w:color="auto"/>
              <w:left w:val="nil"/>
              <w:bottom w:val="single" w:sz="4" w:space="0" w:color="auto"/>
              <w:right w:val="nil"/>
            </w:tcBorders>
          </w:tcPr>
          <w:p w:rsidR="0028593E"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201</w:t>
            </w:r>
            <w:r>
              <w:rPr>
                <w:sz w:val="18"/>
                <w:szCs w:val="18"/>
              </w:rPr>
              <w:t>2</w:t>
            </w:r>
            <w:r w:rsidRPr="00E900E3">
              <w:rPr>
                <w:sz w:val="18"/>
                <w:szCs w:val="18"/>
              </w:rPr>
              <w:t>-1</w:t>
            </w:r>
            <w:r>
              <w:rPr>
                <w:sz w:val="18"/>
                <w:szCs w:val="18"/>
              </w:rPr>
              <w:t>3</w:t>
            </w:r>
          </w:p>
          <w:p w:rsidR="0028593E"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Est. Outcome</w:t>
            </w:r>
          </w:p>
          <w:p w:rsidR="0028593E" w:rsidRPr="00E900E3"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$’000</w:t>
            </w:r>
          </w:p>
        </w:tc>
        <w:tc>
          <w:tcPr>
            <w:tcW w:w="1361" w:type="dxa"/>
            <w:tcBorders>
              <w:top w:val="single" w:sz="4" w:space="0" w:color="auto"/>
              <w:left w:val="nil"/>
              <w:bottom w:val="single" w:sz="4" w:space="0" w:color="auto"/>
              <w:right w:val="nil"/>
            </w:tcBorders>
          </w:tcPr>
          <w:p w:rsidR="0028593E"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201</w:t>
            </w:r>
            <w:r>
              <w:rPr>
                <w:sz w:val="18"/>
                <w:szCs w:val="18"/>
              </w:rPr>
              <w:t>3</w:t>
            </w:r>
            <w:r w:rsidRPr="00E900E3">
              <w:rPr>
                <w:sz w:val="18"/>
                <w:szCs w:val="18"/>
              </w:rPr>
              <w:t>-1</w:t>
            </w:r>
            <w:r>
              <w:rPr>
                <w:sz w:val="18"/>
                <w:szCs w:val="18"/>
              </w:rPr>
              <w:t>4</w:t>
            </w:r>
          </w:p>
          <w:p w:rsidR="0028593E"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Budget</w:t>
            </w:r>
          </w:p>
          <w:p w:rsidR="0028593E" w:rsidRPr="00E900E3"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$’000</w:t>
            </w:r>
          </w:p>
        </w:tc>
        <w:tc>
          <w:tcPr>
            <w:tcW w:w="1361" w:type="dxa"/>
            <w:tcBorders>
              <w:top w:val="single" w:sz="4" w:space="0" w:color="auto"/>
              <w:left w:val="nil"/>
              <w:bottom w:val="single" w:sz="4" w:space="0" w:color="auto"/>
              <w:right w:val="nil"/>
            </w:tcBorders>
          </w:tcPr>
          <w:p w:rsidR="0028593E"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201</w:t>
            </w:r>
            <w:r>
              <w:rPr>
                <w:sz w:val="18"/>
                <w:szCs w:val="18"/>
              </w:rPr>
              <w:t>2</w:t>
            </w:r>
            <w:r w:rsidRPr="00E900E3">
              <w:rPr>
                <w:sz w:val="18"/>
                <w:szCs w:val="18"/>
              </w:rPr>
              <w:t>-1</w:t>
            </w:r>
            <w:r>
              <w:rPr>
                <w:sz w:val="18"/>
                <w:szCs w:val="18"/>
              </w:rPr>
              <w:t>3</w:t>
            </w:r>
          </w:p>
          <w:p w:rsidR="0028593E"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Est. Outcome</w:t>
            </w:r>
          </w:p>
          <w:p w:rsidR="0028593E" w:rsidRPr="00E900E3"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$’000</w:t>
            </w:r>
          </w:p>
        </w:tc>
        <w:tc>
          <w:tcPr>
            <w:tcW w:w="1363" w:type="dxa"/>
            <w:tcBorders>
              <w:top w:val="single" w:sz="4" w:space="0" w:color="auto"/>
              <w:left w:val="nil"/>
              <w:bottom w:val="single" w:sz="4" w:space="0" w:color="auto"/>
              <w:right w:val="nil"/>
            </w:tcBorders>
          </w:tcPr>
          <w:p w:rsidR="0028593E"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201</w:t>
            </w:r>
            <w:r>
              <w:rPr>
                <w:sz w:val="18"/>
                <w:szCs w:val="18"/>
              </w:rPr>
              <w:t>3</w:t>
            </w:r>
            <w:r w:rsidRPr="00E900E3">
              <w:rPr>
                <w:sz w:val="18"/>
                <w:szCs w:val="18"/>
              </w:rPr>
              <w:t>-1</w:t>
            </w:r>
            <w:r>
              <w:rPr>
                <w:sz w:val="18"/>
                <w:szCs w:val="18"/>
              </w:rPr>
              <w:t>4</w:t>
            </w:r>
          </w:p>
          <w:p w:rsidR="0028593E"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Budget</w:t>
            </w:r>
          </w:p>
          <w:p w:rsidR="0028593E" w:rsidRPr="00E900E3" w:rsidRDefault="0028593E" w:rsidP="0028593E">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900E3">
              <w:rPr>
                <w:sz w:val="18"/>
                <w:szCs w:val="18"/>
              </w:rPr>
              <w:t>$’000</w:t>
            </w:r>
          </w:p>
        </w:tc>
      </w:tr>
      <w:tr w:rsidR="0028593E" w:rsidRPr="005D6C61" w:rsidTr="0028593E">
        <w:trPr>
          <w:trHeight w:val="195"/>
        </w:trPr>
        <w:tc>
          <w:tcPr>
            <w:tcW w:w="3657" w:type="dxa"/>
            <w:tcBorders>
              <w:top w:val="nil"/>
              <w:left w:val="nil"/>
              <w:bottom w:val="single" w:sz="4" w:space="0" w:color="auto"/>
              <w:right w:val="nil"/>
            </w:tcBorders>
          </w:tcPr>
          <w:p w:rsidR="0028593E" w:rsidRPr="005D6C61" w:rsidRDefault="0028593E" w:rsidP="0028593E">
            <w:pPr>
              <w:pStyle w:val="TableTextLeftBold-BP4"/>
            </w:pPr>
            <w:r w:rsidRPr="005D6C61">
              <w:t>Output 1.4:  Cancer Services</w:t>
            </w:r>
          </w:p>
        </w:tc>
        <w:tc>
          <w:tcPr>
            <w:tcW w:w="1361" w:type="dxa"/>
            <w:tcBorders>
              <w:top w:val="nil"/>
              <w:left w:val="nil"/>
              <w:bottom w:val="single" w:sz="4" w:space="0" w:color="auto"/>
              <w:right w:val="nil"/>
            </w:tcBorders>
          </w:tcPr>
          <w:p w:rsidR="0028593E" w:rsidRPr="0076671E" w:rsidRDefault="0028593E" w:rsidP="0028593E">
            <w:pPr>
              <w:pStyle w:val="TableTextRight-BP4"/>
            </w:pPr>
            <w:r w:rsidRPr="0076671E">
              <w:t>64,814</w:t>
            </w:r>
          </w:p>
        </w:tc>
        <w:tc>
          <w:tcPr>
            <w:tcW w:w="1361" w:type="dxa"/>
            <w:tcBorders>
              <w:top w:val="nil"/>
              <w:left w:val="nil"/>
              <w:bottom w:val="single" w:sz="4" w:space="0" w:color="auto"/>
              <w:right w:val="nil"/>
            </w:tcBorders>
          </w:tcPr>
          <w:p w:rsidR="0028593E" w:rsidRPr="0076671E" w:rsidRDefault="0028593E" w:rsidP="0028593E">
            <w:pPr>
              <w:pStyle w:val="TableTextRight-BP4"/>
            </w:pPr>
            <w:r w:rsidRPr="0076671E">
              <w:t>70,609</w:t>
            </w:r>
          </w:p>
        </w:tc>
        <w:tc>
          <w:tcPr>
            <w:tcW w:w="1361" w:type="dxa"/>
            <w:tcBorders>
              <w:top w:val="nil"/>
              <w:left w:val="nil"/>
              <w:bottom w:val="single" w:sz="4" w:space="0" w:color="auto"/>
              <w:right w:val="nil"/>
            </w:tcBorders>
          </w:tcPr>
          <w:p w:rsidR="0028593E" w:rsidRPr="0076671E" w:rsidRDefault="0028593E" w:rsidP="0028593E">
            <w:pPr>
              <w:pStyle w:val="TableTextRight-BP4"/>
            </w:pPr>
            <w:r w:rsidRPr="0076671E">
              <w:t>15,252</w:t>
            </w:r>
          </w:p>
        </w:tc>
        <w:tc>
          <w:tcPr>
            <w:tcW w:w="1363" w:type="dxa"/>
            <w:tcBorders>
              <w:top w:val="nil"/>
              <w:left w:val="nil"/>
              <w:bottom w:val="single" w:sz="4" w:space="0" w:color="auto"/>
              <w:right w:val="nil"/>
            </w:tcBorders>
          </w:tcPr>
          <w:p w:rsidR="0028593E" w:rsidRPr="0076671E" w:rsidRDefault="0028593E" w:rsidP="0028593E">
            <w:pPr>
              <w:pStyle w:val="TableTextRight-BP4"/>
            </w:pPr>
            <w:r w:rsidRPr="0076671E">
              <w:t>7,128</w:t>
            </w:r>
          </w:p>
        </w:tc>
      </w:tr>
    </w:tbl>
    <w:p w:rsidR="0028593E" w:rsidRPr="002E4C06" w:rsidRDefault="0028593E" w:rsidP="00616AB3">
      <w:pPr>
        <w:pStyle w:val="Heading4"/>
        <w:spacing w:before="240"/>
      </w:pPr>
      <w:r w:rsidRPr="002E4C06">
        <w:t>Output Description</w:t>
      </w:r>
    </w:p>
    <w:p w:rsidR="0028593E" w:rsidRPr="0028593E" w:rsidRDefault="0028593E" w:rsidP="0028593E">
      <w:pPr>
        <w:pStyle w:val="BodyText"/>
      </w:pPr>
      <w:r w:rsidRPr="0028593E">
        <w:t>Capital Region Cancer Services provides a comprehensive range of screening, assessment, diagnostic, treatment, and palliative care services.  Services are provided in inpatient, outpatient, and community settings.</w:t>
      </w:r>
    </w:p>
    <w:p w:rsidR="0028593E" w:rsidRPr="0028593E" w:rsidRDefault="0028593E" w:rsidP="0028593E">
      <w:pPr>
        <w:pStyle w:val="BodyText"/>
      </w:pPr>
      <w:r w:rsidRPr="0028593E">
        <w:t xml:space="preserve">The key strategic priorities for cancer care services are early detection and timely access to diagnostic and treatment services.  These include ensuring that population screening rates for breast and cancer meet targets, waiting time for access to essential services such as radiotherapy are consistent with agreed benchmarks, and increasing the proportion of women screened through the </w:t>
      </w:r>
      <w:proofErr w:type="spellStart"/>
      <w:r w:rsidRPr="0028593E">
        <w:t>BreastScreen</w:t>
      </w:r>
      <w:proofErr w:type="spellEnd"/>
      <w:r w:rsidRPr="0028593E">
        <w:t xml:space="preserve"> Australia program for the target population (aged 50 to 69 years) to 70 per cent over time.</w:t>
      </w:r>
    </w:p>
    <w:tbl>
      <w:tblPr>
        <w:tblW w:w="9101" w:type="dxa"/>
        <w:tblLayout w:type="fixed"/>
        <w:tblLook w:val="0000"/>
      </w:tblPr>
      <w:tblGrid>
        <w:gridCol w:w="3657"/>
        <w:gridCol w:w="1361"/>
        <w:gridCol w:w="1361"/>
        <w:gridCol w:w="1361"/>
        <w:gridCol w:w="1361"/>
      </w:tblGrid>
      <w:tr w:rsidR="0028593E" w:rsidRPr="005D6C61" w:rsidTr="0028593E">
        <w:tc>
          <w:tcPr>
            <w:tcW w:w="3657" w:type="dxa"/>
            <w:tcBorders>
              <w:top w:val="single" w:sz="4" w:space="0" w:color="auto"/>
              <w:left w:val="nil"/>
              <w:bottom w:val="nil"/>
              <w:right w:val="nil"/>
            </w:tcBorders>
          </w:tcPr>
          <w:p w:rsidR="0028593E" w:rsidRPr="005D6C61" w:rsidRDefault="0028593E" w:rsidP="0028593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p>
        </w:tc>
        <w:tc>
          <w:tcPr>
            <w:tcW w:w="2722" w:type="dxa"/>
            <w:gridSpan w:val="2"/>
            <w:tcBorders>
              <w:top w:val="single" w:sz="4" w:space="0" w:color="auto"/>
              <w:left w:val="nil"/>
              <w:bottom w:val="single" w:sz="4" w:space="0" w:color="auto"/>
              <w:right w:val="nil"/>
            </w:tcBorders>
          </w:tcPr>
          <w:p w:rsidR="0028593E" w:rsidRPr="002D31F0" w:rsidRDefault="0028593E" w:rsidP="0028593E">
            <w:pPr>
              <w:pStyle w:val="Heading2"/>
            </w:pPr>
            <w:r w:rsidRPr="002D31F0">
              <w:t>Total Cost</w:t>
            </w:r>
          </w:p>
        </w:tc>
        <w:tc>
          <w:tcPr>
            <w:tcW w:w="2722" w:type="dxa"/>
            <w:gridSpan w:val="2"/>
            <w:tcBorders>
              <w:top w:val="single" w:sz="4" w:space="0" w:color="auto"/>
              <w:left w:val="nil"/>
              <w:bottom w:val="single" w:sz="4" w:space="0" w:color="auto"/>
              <w:right w:val="nil"/>
            </w:tcBorders>
          </w:tcPr>
          <w:p w:rsidR="0028593E" w:rsidRPr="002D31F0" w:rsidRDefault="0028593E" w:rsidP="0028593E">
            <w:pPr>
              <w:pStyle w:val="Heading2"/>
            </w:pPr>
            <w:r w:rsidRPr="002D31F0">
              <w:t xml:space="preserve">Government Payment for </w:t>
            </w:r>
          </w:p>
          <w:p w:rsidR="0028593E" w:rsidRPr="002D31F0" w:rsidRDefault="0028593E" w:rsidP="0028593E">
            <w:pPr>
              <w:pStyle w:val="Heading2"/>
            </w:pPr>
            <w:r w:rsidRPr="002D31F0">
              <w:t>Outputs</w:t>
            </w:r>
          </w:p>
        </w:tc>
      </w:tr>
      <w:tr w:rsidR="0028593E" w:rsidRPr="005D6C61" w:rsidTr="0028593E">
        <w:tc>
          <w:tcPr>
            <w:tcW w:w="3657" w:type="dxa"/>
            <w:tcBorders>
              <w:top w:val="nil"/>
              <w:left w:val="nil"/>
              <w:bottom w:val="single" w:sz="4" w:space="0" w:color="auto"/>
              <w:right w:val="nil"/>
            </w:tcBorders>
          </w:tcPr>
          <w:p w:rsidR="0028593E" w:rsidRPr="005D6C61" w:rsidRDefault="0028593E" w:rsidP="0028593E">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c>
          <w:tcPr>
            <w:tcW w:w="1361" w:type="dxa"/>
            <w:tcBorders>
              <w:top w:val="single" w:sz="4" w:space="0" w:color="auto"/>
              <w:left w:val="nil"/>
              <w:bottom w:val="single" w:sz="4" w:space="0" w:color="auto"/>
              <w:right w:val="nil"/>
            </w:tcBorders>
          </w:tcPr>
          <w:p w:rsidR="0028593E" w:rsidRDefault="0028593E" w:rsidP="0028593E">
            <w:pPr>
              <w:pStyle w:val="TableTextRightBold-BP410pt"/>
            </w:pPr>
            <w:r w:rsidRPr="00E900E3">
              <w:t>201</w:t>
            </w:r>
            <w:r>
              <w:t>2</w:t>
            </w:r>
            <w:r w:rsidRPr="00E900E3">
              <w:t>-1</w:t>
            </w:r>
            <w:r>
              <w:t>3</w:t>
            </w:r>
          </w:p>
          <w:p w:rsidR="0028593E" w:rsidRDefault="0028593E" w:rsidP="0028593E">
            <w:pPr>
              <w:pStyle w:val="TableTextRightBold-BP410pt"/>
            </w:pPr>
            <w:r w:rsidRPr="00E900E3">
              <w:t>Est. Outcome</w:t>
            </w:r>
          </w:p>
          <w:p w:rsidR="0028593E" w:rsidRPr="00E900E3" w:rsidRDefault="0028593E" w:rsidP="0028593E">
            <w:pPr>
              <w:pStyle w:val="TableTextRightBold-BP410pt"/>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10pt"/>
            </w:pPr>
            <w:r w:rsidRPr="00E900E3">
              <w:t>201</w:t>
            </w:r>
            <w:r>
              <w:t>3</w:t>
            </w:r>
            <w:r w:rsidRPr="00E900E3">
              <w:t>-1</w:t>
            </w:r>
            <w:r>
              <w:t>4</w:t>
            </w:r>
          </w:p>
          <w:p w:rsidR="0028593E" w:rsidRDefault="0028593E" w:rsidP="0028593E">
            <w:pPr>
              <w:pStyle w:val="TableTextRightBold-BP410pt"/>
            </w:pPr>
            <w:r w:rsidRPr="00E900E3">
              <w:t>Budget</w:t>
            </w:r>
          </w:p>
          <w:p w:rsidR="0028593E" w:rsidRPr="00E900E3" w:rsidRDefault="0028593E" w:rsidP="0028593E">
            <w:pPr>
              <w:pStyle w:val="TableTextRightBold-BP410pt"/>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10pt"/>
            </w:pPr>
            <w:r w:rsidRPr="00E900E3">
              <w:t>201</w:t>
            </w:r>
            <w:r>
              <w:t>2</w:t>
            </w:r>
            <w:r w:rsidRPr="00E900E3">
              <w:t>-1</w:t>
            </w:r>
            <w:r>
              <w:t>3</w:t>
            </w:r>
          </w:p>
          <w:p w:rsidR="0028593E" w:rsidRDefault="0028593E" w:rsidP="0028593E">
            <w:pPr>
              <w:pStyle w:val="TableTextRightBold-BP410pt"/>
            </w:pPr>
            <w:r w:rsidRPr="00E900E3">
              <w:t>Est. Outcome</w:t>
            </w:r>
          </w:p>
          <w:p w:rsidR="0028593E" w:rsidRPr="00E900E3" w:rsidRDefault="0028593E" w:rsidP="0028593E">
            <w:pPr>
              <w:pStyle w:val="TableTextRightBold-BP410pt"/>
            </w:pPr>
            <w:r w:rsidRPr="00E900E3">
              <w:t>$’000</w:t>
            </w:r>
          </w:p>
        </w:tc>
        <w:tc>
          <w:tcPr>
            <w:tcW w:w="1361" w:type="dxa"/>
            <w:tcBorders>
              <w:top w:val="single" w:sz="4" w:space="0" w:color="auto"/>
              <w:left w:val="nil"/>
              <w:bottom w:val="single" w:sz="4" w:space="0" w:color="auto"/>
              <w:right w:val="nil"/>
            </w:tcBorders>
          </w:tcPr>
          <w:p w:rsidR="0028593E" w:rsidRDefault="0028593E" w:rsidP="0028593E">
            <w:pPr>
              <w:pStyle w:val="TableTextRightBold-BP410pt"/>
            </w:pPr>
            <w:r w:rsidRPr="00E900E3">
              <w:t>201</w:t>
            </w:r>
            <w:r>
              <w:t>3</w:t>
            </w:r>
            <w:r w:rsidRPr="00E900E3">
              <w:t>-1</w:t>
            </w:r>
            <w:r>
              <w:t>4</w:t>
            </w:r>
          </w:p>
          <w:p w:rsidR="0028593E" w:rsidRDefault="0028593E" w:rsidP="0028593E">
            <w:pPr>
              <w:pStyle w:val="TableTextRightBold-BP410pt"/>
            </w:pPr>
            <w:r w:rsidRPr="00E900E3">
              <w:t>Budget</w:t>
            </w:r>
          </w:p>
          <w:p w:rsidR="0028593E" w:rsidRPr="00E900E3" w:rsidRDefault="0028593E" w:rsidP="0028593E">
            <w:pPr>
              <w:pStyle w:val="TableTextRightBold-BP410pt"/>
            </w:pPr>
            <w:r w:rsidRPr="00E900E3">
              <w:t>$’000</w:t>
            </w:r>
          </w:p>
        </w:tc>
      </w:tr>
      <w:tr w:rsidR="0028593E" w:rsidRPr="005D6C61" w:rsidTr="0028593E">
        <w:tc>
          <w:tcPr>
            <w:tcW w:w="3657" w:type="dxa"/>
            <w:tcBorders>
              <w:top w:val="single" w:sz="4" w:space="0" w:color="auto"/>
              <w:left w:val="nil"/>
              <w:bottom w:val="single" w:sz="4" w:space="0" w:color="auto"/>
              <w:right w:val="nil"/>
            </w:tcBorders>
          </w:tcPr>
          <w:p w:rsidR="0028593E" w:rsidRPr="005D6C61" w:rsidRDefault="0028593E" w:rsidP="00616AB3">
            <w:pPr>
              <w:pStyle w:val="TableTextLeftBold-BP4"/>
              <w:ind w:left="0" w:firstLine="0"/>
            </w:pPr>
            <w:r w:rsidRPr="005D6C61">
              <w:t xml:space="preserve">Output 1.5:  Rehabilitation, Aged and Community Care </w:t>
            </w:r>
          </w:p>
        </w:tc>
        <w:tc>
          <w:tcPr>
            <w:tcW w:w="1361" w:type="dxa"/>
            <w:tcBorders>
              <w:top w:val="single" w:sz="4" w:space="0" w:color="auto"/>
              <w:left w:val="nil"/>
              <w:bottom w:val="single" w:sz="4" w:space="0" w:color="auto"/>
              <w:right w:val="nil"/>
            </w:tcBorders>
          </w:tcPr>
          <w:p w:rsidR="009A6CAD" w:rsidRDefault="009A6CAD" w:rsidP="0028593E">
            <w:pPr>
              <w:pStyle w:val="TableTextRight-BP4"/>
            </w:pPr>
          </w:p>
          <w:p w:rsidR="0028593E" w:rsidRPr="0076671E" w:rsidRDefault="0028593E" w:rsidP="0028593E">
            <w:pPr>
              <w:pStyle w:val="TableTextRight-BP4"/>
            </w:pPr>
            <w:r w:rsidRPr="0076671E">
              <w:t>101,659</w:t>
            </w:r>
          </w:p>
        </w:tc>
        <w:tc>
          <w:tcPr>
            <w:tcW w:w="1361" w:type="dxa"/>
            <w:tcBorders>
              <w:top w:val="single" w:sz="4" w:space="0" w:color="auto"/>
              <w:left w:val="nil"/>
              <w:bottom w:val="single" w:sz="4" w:space="0" w:color="auto"/>
              <w:right w:val="nil"/>
            </w:tcBorders>
          </w:tcPr>
          <w:p w:rsidR="009A6CAD" w:rsidRDefault="009A6CAD" w:rsidP="0028593E">
            <w:pPr>
              <w:pStyle w:val="TableTextRight-BP4"/>
            </w:pPr>
          </w:p>
          <w:p w:rsidR="0028593E" w:rsidRPr="0076671E" w:rsidRDefault="0028593E" w:rsidP="0028593E">
            <w:pPr>
              <w:pStyle w:val="TableTextRight-BP4"/>
            </w:pPr>
            <w:r w:rsidRPr="0076671E">
              <w:t>106,676</w:t>
            </w:r>
          </w:p>
        </w:tc>
        <w:tc>
          <w:tcPr>
            <w:tcW w:w="1361" w:type="dxa"/>
            <w:tcBorders>
              <w:top w:val="single" w:sz="4" w:space="0" w:color="auto"/>
              <w:left w:val="nil"/>
              <w:bottom w:val="single" w:sz="4" w:space="0" w:color="auto"/>
              <w:right w:val="nil"/>
            </w:tcBorders>
          </w:tcPr>
          <w:p w:rsidR="009A6CAD" w:rsidRDefault="009A6CAD" w:rsidP="0028593E">
            <w:pPr>
              <w:pStyle w:val="TableTextRight-BP4"/>
            </w:pPr>
          </w:p>
          <w:p w:rsidR="0028593E" w:rsidRPr="0076671E" w:rsidRDefault="0028593E" w:rsidP="0028593E">
            <w:pPr>
              <w:pStyle w:val="TableTextRight-BP4"/>
            </w:pPr>
            <w:r w:rsidRPr="0076671E">
              <w:t>69,160</w:t>
            </w:r>
          </w:p>
        </w:tc>
        <w:tc>
          <w:tcPr>
            <w:tcW w:w="1361" w:type="dxa"/>
            <w:tcBorders>
              <w:top w:val="single" w:sz="4" w:space="0" w:color="auto"/>
              <w:left w:val="nil"/>
              <w:bottom w:val="single" w:sz="4" w:space="0" w:color="auto"/>
              <w:right w:val="nil"/>
            </w:tcBorders>
          </w:tcPr>
          <w:p w:rsidR="009A6CAD" w:rsidRDefault="009A6CAD" w:rsidP="0028593E">
            <w:pPr>
              <w:pStyle w:val="TableTextRight-BP4"/>
            </w:pPr>
          </w:p>
          <w:p w:rsidR="0028593E" w:rsidRPr="0076671E" w:rsidRDefault="0028593E" w:rsidP="0028593E">
            <w:pPr>
              <w:pStyle w:val="TableTextRight-BP4"/>
            </w:pPr>
            <w:r w:rsidRPr="0076671E">
              <w:t>36,036</w:t>
            </w:r>
          </w:p>
        </w:tc>
      </w:tr>
    </w:tbl>
    <w:p w:rsidR="0028593E" w:rsidRPr="0028593E" w:rsidRDefault="0028593E" w:rsidP="00616AB3">
      <w:pPr>
        <w:pStyle w:val="Heading4"/>
        <w:spacing w:before="240"/>
      </w:pPr>
      <w:r w:rsidRPr="0028593E">
        <w:t>Output Description</w:t>
      </w:r>
    </w:p>
    <w:p w:rsidR="0028593E" w:rsidRPr="0028593E" w:rsidRDefault="0028593E" w:rsidP="0028593E">
      <w:pPr>
        <w:pStyle w:val="BodyText"/>
      </w:pPr>
      <w:r w:rsidRPr="0028593E">
        <w:t>The provision of an integrated, effective and timely response to rehabilitation, aged care and community care services in inpatient, outpatient, emergency department, sub-acute and community based settings.</w:t>
      </w:r>
    </w:p>
    <w:p w:rsidR="0028593E" w:rsidRPr="008A256A" w:rsidRDefault="0028593E" w:rsidP="0028593E">
      <w:pPr>
        <w:pStyle w:val="BodyText"/>
      </w:pPr>
      <w:r w:rsidRPr="008A256A">
        <w:t>The key strategic priorities for Rehabilitation, Aged and Community Care are:</w:t>
      </w:r>
    </w:p>
    <w:p w:rsidR="0028593E" w:rsidRPr="0028593E" w:rsidRDefault="0028593E" w:rsidP="0028593E">
      <w:pPr>
        <w:pStyle w:val="BodyTextIndent"/>
      </w:pPr>
      <w:proofErr w:type="gramStart"/>
      <w:r w:rsidRPr="0028593E">
        <w:t>ensuring</w:t>
      </w:r>
      <w:proofErr w:type="gramEnd"/>
      <w:r w:rsidRPr="0028593E">
        <w:t xml:space="preserve"> that older persons in hospital wait the least possible time for access to comprehensive assessment by the Aged Care Assessment Team.  This will assist in their safe return home with appropriate support, or access to appropriately supported residential accommodation; </w:t>
      </w:r>
    </w:p>
    <w:p w:rsidR="0028593E" w:rsidRPr="0028593E" w:rsidRDefault="0028593E" w:rsidP="0028593E">
      <w:pPr>
        <w:pStyle w:val="BodyTextIndent"/>
      </w:pPr>
      <w:r w:rsidRPr="0028593E">
        <w:t>improving discharge planning to minimise the likelihood of readmission or inadequate support for independent living, following completion of hospital care; and</w:t>
      </w:r>
    </w:p>
    <w:p w:rsidR="007E2904" w:rsidRDefault="0028593E" w:rsidP="0028593E">
      <w:pPr>
        <w:pStyle w:val="BodyTextIndent"/>
      </w:pPr>
      <w:r w:rsidRPr="0028593E">
        <w:t>ensuring that access is consistent with clinical need, is timely for community based nursing and allied health services and that community based services are in place to better provide for the acute and post acute health care needs of the community.</w:t>
      </w:r>
    </w:p>
    <w:p w:rsidR="0075638A" w:rsidRDefault="007E2904" w:rsidP="007E2904">
      <w:pPr>
        <w:pStyle w:val="Heading3TopofPage"/>
      </w:pPr>
      <w:r>
        <w:br w:type="page"/>
      </w:r>
    </w:p>
    <w:p w:rsidR="0028593E" w:rsidRDefault="007E2904" w:rsidP="007E2904">
      <w:pPr>
        <w:pStyle w:val="Heading3TopofPage"/>
      </w:pPr>
      <w:proofErr w:type="gramStart"/>
      <w:r w:rsidRPr="0028593E">
        <w:lastRenderedPageBreak/>
        <w:t>Output Class</w:t>
      </w:r>
      <w:r w:rsidR="00642E53">
        <w:t>es</w:t>
      </w:r>
      <w:r>
        <w:t xml:space="preserve"> </w:t>
      </w:r>
      <w:r w:rsidRPr="002E4C06">
        <w:t>cont.</w:t>
      </w:r>
      <w:proofErr w:type="gramEnd"/>
    </w:p>
    <w:tbl>
      <w:tblPr>
        <w:tblW w:w="9101" w:type="dxa"/>
        <w:tblLayout w:type="fixed"/>
        <w:tblLook w:val="0000"/>
      </w:tblPr>
      <w:tblGrid>
        <w:gridCol w:w="3657"/>
        <w:gridCol w:w="1361"/>
        <w:gridCol w:w="1361"/>
        <w:gridCol w:w="1361"/>
        <w:gridCol w:w="1361"/>
      </w:tblGrid>
      <w:tr w:rsidR="002822CE" w:rsidRPr="005D6C61" w:rsidTr="003D782D">
        <w:tc>
          <w:tcPr>
            <w:tcW w:w="3657" w:type="dxa"/>
            <w:tcBorders>
              <w:top w:val="single" w:sz="4" w:space="0" w:color="auto"/>
              <w:left w:val="nil"/>
              <w:bottom w:val="nil"/>
              <w:right w:val="nil"/>
            </w:tcBorders>
          </w:tcPr>
          <w:p w:rsidR="002822CE" w:rsidRPr="005D6C61" w:rsidRDefault="002822CE" w:rsidP="003D782D">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18"/>
                <w:szCs w:val="18"/>
              </w:rPr>
            </w:pPr>
          </w:p>
        </w:tc>
        <w:tc>
          <w:tcPr>
            <w:tcW w:w="2722" w:type="dxa"/>
            <w:gridSpan w:val="2"/>
            <w:tcBorders>
              <w:top w:val="single" w:sz="4" w:space="0" w:color="auto"/>
              <w:left w:val="nil"/>
              <w:bottom w:val="single" w:sz="4" w:space="0" w:color="auto"/>
              <w:right w:val="nil"/>
            </w:tcBorders>
          </w:tcPr>
          <w:p w:rsidR="002822CE" w:rsidRPr="002D31F0" w:rsidRDefault="002822CE" w:rsidP="003D782D">
            <w:pPr>
              <w:pStyle w:val="Heading2"/>
            </w:pPr>
            <w:r w:rsidRPr="002D31F0">
              <w:t>Total Cost</w:t>
            </w:r>
          </w:p>
        </w:tc>
        <w:tc>
          <w:tcPr>
            <w:tcW w:w="2722" w:type="dxa"/>
            <w:gridSpan w:val="2"/>
            <w:tcBorders>
              <w:top w:val="single" w:sz="4" w:space="0" w:color="auto"/>
              <w:left w:val="nil"/>
              <w:bottom w:val="single" w:sz="4" w:space="0" w:color="auto"/>
              <w:right w:val="nil"/>
            </w:tcBorders>
          </w:tcPr>
          <w:p w:rsidR="002822CE" w:rsidRPr="002D31F0" w:rsidRDefault="002822CE" w:rsidP="003D782D">
            <w:pPr>
              <w:pStyle w:val="Heading2"/>
            </w:pPr>
            <w:r w:rsidRPr="002D31F0">
              <w:t xml:space="preserve">Government Payment for </w:t>
            </w:r>
          </w:p>
          <w:p w:rsidR="002822CE" w:rsidRPr="002D31F0" w:rsidRDefault="002822CE" w:rsidP="003D782D">
            <w:pPr>
              <w:pStyle w:val="Heading2"/>
            </w:pPr>
            <w:r w:rsidRPr="002D31F0">
              <w:t>Outputs</w:t>
            </w:r>
          </w:p>
        </w:tc>
      </w:tr>
      <w:tr w:rsidR="002822CE" w:rsidRPr="005D6C61" w:rsidTr="003D782D">
        <w:tc>
          <w:tcPr>
            <w:tcW w:w="3657" w:type="dxa"/>
            <w:tcBorders>
              <w:top w:val="nil"/>
              <w:left w:val="nil"/>
              <w:bottom w:val="single" w:sz="4" w:space="0" w:color="auto"/>
              <w:right w:val="nil"/>
            </w:tcBorders>
          </w:tcPr>
          <w:p w:rsidR="002822CE" w:rsidRPr="005D6C61" w:rsidRDefault="002822CE" w:rsidP="003D782D">
            <w:pPr>
              <w:pStyle w:val="Heading7"/>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c>
          <w:tcPr>
            <w:tcW w:w="1361" w:type="dxa"/>
            <w:tcBorders>
              <w:top w:val="single" w:sz="4" w:space="0" w:color="auto"/>
              <w:left w:val="nil"/>
              <w:bottom w:val="single" w:sz="4" w:space="0" w:color="auto"/>
              <w:right w:val="nil"/>
            </w:tcBorders>
          </w:tcPr>
          <w:p w:rsidR="002822CE" w:rsidRDefault="002822CE" w:rsidP="003D782D">
            <w:pPr>
              <w:pStyle w:val="TableTextRightBold-BP410pt"/>
            </w:pPr>
            <w:r w:rsidRPr="00E900E3">
              <w:t>201</w:t>
            </w:r>
            <w:r>
              <w:t>2</w:t>
            </w:r>
            <w:r w:rsidRPr="00E900E3">
              <w:t>-1</w:t>
            </w:r>
            <w:r>
              <w:t>3</w:t>
            </w:r>
          </w:p>
          <w:p w:rsidR="002822CE" w:rsidRDefault="002822CE" w:rsidP="003D782D">
            <w:pPr>
              <w:pStyle w:val="TableTextRightBold-BP410pt"/>
            </w:pPr>
            <w:r w:rsidRPr="00E900E3">
              <w:t>Est. Outcome</w:t>
            </w:r>
          </w:p>
          <w:p w:rsidR="002822CE" w:rsidRPr="00E900E3" w:rsidRDefault="002822CE" w:rsidP="003D782D">
            <w:pPr>
              <w:pStyle w:val="TableTextRightBold-BP410pt"/>
            </w:pPr>
            <w:r w:rsidRPr="00E900E3">
              <w:t>$’000</w:t>
            </w:r>
          </w:p>
        </w:tc>
        <w:tc>
          <w:tcPr>
            <w:tcW w:w="1361" w:type="dxa"/>
            <w:tcBorders>
              <w:top w:val="single" w:sz="4" w:space="0" w:color="auto"/>
              <w:left w:val="nil"/>
              <w:bottom w:val="single" w:sz="4" w:space="0" w:color="auto"/>
              <w:right w:val="nil"/>
            </w:tcBorders>
          </w:tcPr>
          <w:p w:rsidR="002822CE" w:rsidRDefault="002822CE" w:rsidP="003D782D">
            <w:pPr>
              <w:pStyle w:val="TableTextRightBold-BP410pt"/>
            </w:pPr>
            <w:r w:rsidRPr="00E900E3">
              <w:t>201</w:t>
            </w:r>
            <w:r>
              <w:t>3</w:t>
            </w:r>
            <w:r w:rsidRPr="00E900E3">
              <w:t>-1</w:t>
            </w:r>
            <w:r>
              <w:t>4</w:t>
            </w:r>
          </w:p>
          <w:p w:rsidR="002822CE" w:rsidRDefault="002822CE" w:rsidP="003D782D">
            <w:pPr>
              <w:pStyle w:val="TableTextRightBold-BP410pt"/>
            </w:pPr>
            <w:r w:rsidRPr="00E900E3">
              <w:t>Budget</w:t>
            </w:r>
          </w:p>
          <w:p w:rsidR="002822CE" w:rsidRPr="00E900E3" w:rsidRDefault="002822CE" w:rsidP="003D782D">
            <w:pPr>
              <w:pStyle w:val="TableTextRightBold-BP410pt"/>
            </w:pPr>
            <w:r w:rsidRPr="00E900E3">
              <w:t>$’000</w:t>
            </w:r>
          </w:p>
        </w:tc>
        <w:tc>
          <w:tcPr>
            <w:tcW w:w="1361" w:type="dxa"/>
            <w:tcBorders>
              <w:top w:val="single" w:sz="4" w:space="0" w:color="auto"/>
              <w:left w:val="nil"/>
              <w:bottom w:val="single" w:sz="4" w:space="0" w:color="auto"/>
              <w:right w:val="nil"/>
            </w:tcBorders>
          </w:tcPr>
          <w:p w:rsidR="002822CE" w:rsidRDefault="002822CE" w:rsidP="003D782D">
            <w:pPr>
              <w:pStyle w:val="TableTextRightBold-BP410pt"/>
            </w:pPr>
            <w:r w:rsidRPr="00E900E3">
              <w:t>201</w:t>
            </w:r>
            <w:r>
              <w:t>2</w:t>
            </w:r>
            <w:r w:rsidRPr="00E900E3">
              <w:t>-1</w:t>
            </w:r>
            <w:r>
              <w:t>3</w:t>
            </w:r>
          </w:p>
          <w:p w:rsidR="002822CE" w:rsidRDefault="002822CE" w:rsidP="003D782D">
            <w:pPr>
              <w:pStyle w:val="TableTextRightBold-BP410pt"/>
            </w:pPr>
            <w:r w:rsidRPr="00E900E3">
              <w:t>Est. Outcome</w:t>
            </w:r>
          </w:p>
          <w:p w:rsidR="002822CE" w:rsidRPr="00E900E3" w:rsidRDefault="002822CE" w:rsidP="003D782D">
            <w:pPr>
              <w:pStyle w:val="TableTextRightBold-BP410pt"/>
            </w:pPr>
            <w:r w:rsidRPr="00E900E3">
              <w:t>$’000</w:t>
            </w:r>
          </w:p>
        </w:tc>
        <w:tc>
          <w:tcPr>
            <w:tcW w:w="1361" w:type="dxa"/>
            <w:tcBorders>
              <w:top w:val="single" w:sz="4" w:space="0" w:color="auto"/>
              <w:left w:val="nil"/>
              <w:bottom w:val="single" w:sz="4" w:space="0" w:color="auto"/>
              <w:right w:val="nil"/>
            </w:tcBorders>
          </w:tcPr>
          <w:p w:rsidR="002822CE" w:rsidRDefault="002822CE" w:rsidP="003D782D">
            <w:pPr>
              <w:pStyle w:val="TableTextRightBold-BP410pt"/>
            </w:pPr>
            <w:r w:rsidRPr="00E900E3">
              <w:t>201</w:t>
            </w:r>
            <w:r>
              <w:t>3</w:t>
            </w:r>
            <w:r w:rsidRPr="00E900E3">
              <w:t>-1</w:t>
            </w:r>
            <w:r>
              <w:t>4</w:t>
            </w:r>
          </w:p>
          <w:p w:rsidR="002822CE" w:rsidRDefault="002822CE" w:rsidP="003D782D">
            <w:pPr>
              <w:pStyle w:val="TableTextRightBold-BP410pt"/>
            </w:pPr>
            <w:r w:rsidRPr="00E900E3">
              <w:t>Budget</w:t>
            </w:r>
          </w:p>
          <w:p w:rsidR="002822CE" w:rsidRPr="00E900E3" w:rsidRDefault="002822CE" w:rsidP="003D782D">
            <w:pPr>
              <w:pStyle w:val="TableTextRightBold-BP410pt"/>
            </w:pPr>
            <w:r w:rsidRPr="00E900E3">
              <w:t>$’000</w:t>
            </w:r>
          </w:p>
        </w:tc>
      </w:tr>
      <w:tr w:rsidR="002822CE" w:rsidRPr="005D6C61" w:rsidTr="003D782D">
        <w:tc>
          <w:tcPr>
            <w:tcW w:w="3657" w:type="dxa"/>
            <w:tcBorders>
              <w:top w:val="single" w:sz="4" w:space="0" w:color="auto"/>
              <w:left w:val="nil"/>
              <w:bottom w:val="single" w:sz="4" w:space="0" w:color="auto"/>
              <w:right w:val="nil"/>
            </w:tcBorders>
          </w:tcPr>
          <w:p w:rsidR="002822CE" w:rsidRPr="005D6C61" w:rsidRDefault="002822CE" w:rsidP="002822CE">
            <w:pPr>
              <w:pStyle w:val="TableTextLeftBold-BP4"/>
              <w:ind w:left="0" w:firstLine="0"/>
            </w:pPr>
            <w:r w:rsidRPr="005D6C61">
              <w:t>Output 1.</w:t>
            </w:r>
            <w:r>
              <w:t>6</w:t>
            </w:r>
            <w:r w:rsidRPr="005D6C61">
              <w:t xml:space="preserve">:  </w:t>
            </w:r>
            <w:r>
              <w:t>Early Intervention and Prevention</w:t>
            </w:r>
            <w:r w:rsidRPr="005D6C61">
              <w:t xml:space="preserve"> </w:t>
            </w:r>
          </w:p>
        </w:tc>
        <w:tc>
          <w:tcPr>
            <w:tcW w:w="1361" w:type="dxa"/>
            <w:tcBorders>
              <w:top w:val="single" w:sz="4" w:space="0" w:color="auto"/>
              <w:left w:val="nil"/>
              <w:bottom w:val="single" w:sz="4" w:space="0" w:color="auto"/>
              <w:right w:val="nil"/>
            </w:tcBorders>
          </w:tcPr>
          <w:p w:rsidR="002822CE" w:rsidRDefault="002822CE" w:rsidP="003D782D">
            <w:pPr>
              <w:pStyle w:val="TableTextRight-BP4"/>
            </w:pPr>
          </w:p>
          <w:p w:rsidR="002822CE" w:rsidRPr="0076671E" w:rsidRDefault="002822CE" w:rsidP="003D782D">
            <w:pPr>
              <w:pStyle w:val="TableTextRight-BP4"/>
            </w:pPr>
            <w:r>
              <w:t>78,783</w:t>
            </w:r>
          </w:p>
        </w:tc>
        <w:tc>
          <w:tcPr>
            <w:tcW w:w="1361" w:type="dxa"/>
            <w:tcBorders>
              <w:top w:val="single" w:sz="4" w:space="0" w:color="auto"/>
              <w:left w:val="nil"/>
              <w:bottom w:val="single" w:sz="4" w:space="0" w:color="auto"/>
              <w:right w:val="nil"/>
            </w:tcBorders>
          </w:tcPr>
          <w:p w:rsidR="002822CE" w:rsidRDefault="002822CE" w:rsidP="003D782D">
            <w:pPr>
              <w:pStyle w:val="TableTextRight-BP4"/>
            </w:pPr>
          </w:p>
          <w:p w:rsidR="002822CE" w:rsidRPr="0076671E" w:rsidRDefault="002822CE" w:rsidP="003D782D">
            <w:pPr>
              <w:pStyle w:val="TableTextRight-BP4"/>
            </w:pPr>
            <w:r>
              <w:t>81,094</w:t>
            </w:r>
          </w:p>
        </w:tc>
        <w:tc>
          <w:tcPr>
            <w:tcW w:w="1361" w:type="dxa"/>
            <w:tcBorders>
              <w:top w:val="single" w:sz="4" w:space="0" w:color="auto"/>
              <w:left w:val="nil"/>
              <w:bottom w:val="single" w:sz="4" w:space="0" w:color="auto"/>
              <w:right w:val="nil"/>
            </w:tcBorders>
          </w:tcPr>
          <w:p w:rsidR="002822CE" w:rsidRDefault="002822CE" w:rsidP="003D782D">
            <w:pPr>
              <w:pStyle w:val="TableTextRight-BP4"/>
            </w:pPr>
          </w:p>
          <w:p w:rsidR="002822CE" w:rsidRPr="0076671E" w:rsidRDefault="002822CE" w:rsidP="003D782D">
            <w:pPr>
              <w:pStyle w:val="TableTextRight-BP4"/>
            </w:pPr>
            <w:r>
              <w:t>52,378</w:t>
            </w:r>
          </w:p>
        </w:tc>
        <w:tc>
          <w:tcPr>
            <w:tcW w:w="1361" w:type="dxa"/>
            <w:tcBorders>
              <w:top w:val="single" w:sz="4" w:space="0" w:color="auto"/>
              <w:left w:val="nil"/>
              <w:bottom w:val="single" w:sz="4" w:space="0" w:color="auto"/>
              <w:right w:val="nil"/>
            </w:tcBorders>
          </w:tcPr>
          <w:p w:rsidR="002822CE" w:rsidRDefault="002822CE" w:rsidP="003D782D">
            <w:pPr>
              <w:pStyle w:val="TableTextRight-BP4"/>
            </w:pPr>
          </w:p>
          <w:p w:rsidR="002822CE" w:rsidRPr="0076671E" w:rsidRDefault="002822CE" w:rsidP="003D782D">
            <w:pPr>
              <w:pStyle w:val="TableTextRight-BP4"/>
            </w:pPr>
            <w:r>
              <w:t>30,835</w:t>
            </w:r>
          </w:p>
        </w:tc>
      </w:tr>
    </w:tbl>
    <w:p w:rsidR="0028593E" w:rsidRPr="00AF3619" w:rsidRDefault="0028593E" w:rsidP="00616AB3">
      <w:pPr>
        <w:pStyle w:val="Heading4"/>
        <w:spacing w:before="240"/>
      </w:pPr>
      <w:r w:rsidRPr="00AF3619">
        <w:t>Output Description</w:t>
      </w:r>
    </w:p>
    <w:p w:rsidR="0028593E" w:rsidRPr="002E4C06" w:rsidRDefault="0028593E" w:rsidP="002E4C06">
      <w:pPr>
        <w:pStyle w:val="BodyText"/>
      </w:pPr>
      <w:r w:rsidRPr="002E4C06">
        <w:t>Improving the health and wellbeing of the ACT population through a range of programs, services and initiatives, focused on early intervention, prevention and health promotion.  The key strategic priorities for early intervention and prevention include encouraging and promoting healthy lifestyle choices to decrease the rates of conditions like obesity and diabetes and reducing risky health behaviours such as smoking and alcohol consumption and maintaining high levels of immunisation.</w:t>
      </w:r>
    </w:p>
    <w:p w:rsidR="0028593E" w:rsidRDefault="0028593E" w:rsidP="00616AB3">
      <w:pPr>
        <w:pStyle w:val="Heading3"/>
      </w:pPr>
      <w:r w:rsidRPr="00565DB3">
        <w:t>Accountability Indicators</w:t>
      </w:r>
    </w:p>
    <w:p w:rsidR="0028593E" w:rsidRPr="002E4C06" w:rsidRDefault="0028593E" w:rsidP="002E4C06">
      <w:pPr>
        <w:pStyle w:val="BodyText"/>
      </w:pPr>
      <w:r w:rsidRPr="002E4C06">
        <w:t>The following 2013-14 targets apply to Canberra Hospital and Health Services only.</w:t>
      </w:r>
    </w:p>
    <w:tbl>
      <w:tblPr>
        <w:tblW w:w="9100" w:type="dxa"/>
        <w:tblLayout w:type="fixed"/>
        <w:tblLook w:val="01E0"/>
      </w:tblPr>
      <w:tblGrid>
        <w:gridCol w:w="4921"/>
        <w:gridCol w:w="1393"/>
        <w:gridCol w:w="1393"/>
        <w:gridCol w:w="1393"/>
      </w:tblGrid>
      <w:tr w:rsidR="0028593E" w:rsidRPr="004577A9" w:rsidTr="000E208C">
        <w:trPr>
          <w:trHeight w:val="284"/>
          <w:tblHeader/>
        </w:trPr>
        <w:tc>
          <w:tcPr>
            <w:tcW w:w="4921" w:type="dxa"/>
            <w:tcBorders>
              <w:top w:val="single" w:sz="4" w:space="0" w:color="auto"/>
              <w:bottom w:val="single" w:sz="4" w:space="0" w:color="auto"/>
            </w:tcBorders>
          </w:tcPr>
          <w:p w:rsidR="0028593E" w:rsidRPr="00565DB3" w:rsidRDefault="0028593E" w:rsidP="0028593E">
            <w:pPr>
              <w:pStyle w:val="BodyText"/>
              <w:spacing w:before="10" w:after="10"/>
            </w:pPr>
          </w:p>
        </w:tc>
        <w:tc>
          <w:tcPr>
            <w:tcW w:w="1393" w:type="dxa"/>
            <w:tcBorders>
              <w:top w:val="single" w:sz="4" w:space="0" w:color="auto"/>
              <w:bottom w:val="single" w:sz="4" w:space="0" w:color="auto"/>
            </w:tcBorders>
          </w:tcPr>
          <w:p w:rsidR="0028593E" w:rsidRDefault="0028593E" w:rsidP="0028593E">
            <w:pPr>
              <w:pStyle w:val="TableTextRightBold-BP410pt"/>
            </w:pPr>
            <w:r>
              <w:t>2012-13</w:t>
            </w:r>
          </w:p>
          <w:p w:rsidR="0028593E" w:rsidRPr="00565DB3" w:rsidRDefault="0028593E" w:rsidP="0028593E">
            <w:pPr>
              <w:pStyle w:val="TableTextRightBold-BP410pt"/>
            </w:pPr>
            <w:r w:rsidRPr="00565DB3">
              <w:t>Targets</w:t>
            </w:r>
          </w:p>
        </w:tc>
        <w:tc>
          <w:tcPr>
            <w:tcW w:w="1393" w:type="dxa"/>
            <w:tcBorders>
              <w:top w:val="single" w:sz="4" w:space="0" w:color="auto"/>
              <w:bottom w:val="single" w:sz="4" w:space="0" w:color="auto"/>
            </w:tcBorders>
          </w:tcPr>
          <w:p w:rsidR="0028593E" w:rsidRDefault="0028593E" w:rsidP="0028593E">
            <w:pPr>
              <w:pStyle w:val="TableTextRightBold-BP410pt"/>
            </w:pPr>
            <w:r>
              <w:t>2012-13</w:t>
            </w:r>
          </w:p>
          <w:p w:rsidR="0028593E" w:rsidRPr="00565DB3" w:rsidRDefault="0028593E" w:rsidP="0028593E">
            <w:pPr>
              <w:pStyle w:val="TableTextRightBold-BP410pt"/>
            </w:pPr>
            <w:r w:rsidRPr="00565DB3">
              <w:t>Est. Outcome</w:t>
            </w:r>
          </w:p>
        </w:tc>
        <w:tc>
          <w:tcPr>
            <w:tcW w:w="1393" w:type="dxa"/>
            <w:tcBorders>
              <w:top w:val="single" w:sz="4" w:space="0" w:color="auto"/>
              <w:bottom w:val="single" w:sz="4" w:space="0" w:color="auto"/>
            </w:tcBorders>
          </w:tcPr>
          <w:p w:rsidR="0028593E" w:rsidRDefault="0028593E" w:rsidP="0028593E">
            <w:pPr>
              <w:pStyle w:val="TableTextRightBold-BP410pt"/>
            </w:pPr>
            <w:r>
              <w:t>2013-14</w:t>
            </w:r>
          </w:p>
          <w:p w:rsidR="0028593E" w:rsidRPr="00565DB3" w:rsidRDefault="0028593E" w:rsidP="0028593E">
            <w:pPr>
              <w:pStyle w:val="TableTextRightBold-BP410pt"/>
            </w:pPr>
            <w:r w:rsidRPr="00565DB3">
              <w:t>Targets</w:t>
            </w:r>
          </w:p>
        </w:tc>
      </w:tr>
      <w:tr w:rsidR="0028593E" w:rsidRPr="004577A9" w:rsidTr="00616AB3">
        <w:trPr>
          <w:trHeight w:val="284"/>
          <w:tblHeader/>
        </w:trPr>
        <w:tc>
          <w:tcPr>
            <w:tcW w:w="4921" w:type="dxa"/>
            <w:tcBorders>
              <w:top w:val="single" w:sz="4" w:space="0" w:color="auto"/>
              <w:bottom w:val="single" w:sz="4" w:space="0" w:color="auto"/>
            </w:tcBorders>
            <w:vAlign w:val="center"/>
          </w:tcPr>
          <w:p w:rsidR="0028593E" w:rsidRPr="00565DB3" w:rsidRDefault="0028593E" w:rsidP="00616AB3">
            <w:pPr>
              <w:pStyle w:val="Heading7"/>
            </w:pPr>
            <w:r w:rsidRPr="00565DB3">
              <w:t>Output Class 1:  Health and Community Care</w:t>
            </w:r>
          </w:p>
        </w:tc>
        <w:tc>
          <w:tcPr>
            <w:tcW w:w="1393" w:type="dxa"/>
            <w:tcBorders>
              <w:top w:val="single" w:sz="4" w:space="0" w:color="auto"/>
              <w:bottom w:val="single" w:sz="4" w:space="0" w:color="auto"/>
            </w:tcBorders>
            <w:vAlign w:val="center"/>
          </w:tcPr>
          <w:p w:rsidR="0028593E" w:rsidRPr="00565DB3" w:rsidRDefault="0028593E" w:rsidP="00616AB3">
            <w:pPr>
              <w:pStyle w:val="Heading7"/>
            </w:pPr>
          </w:p>
        </w:tc>
        <w:tc>
          <w:tcPr>
            <w:tcW w:w="1393" w:type="dxa"/>
            <w:tcBorders>
              <w:top w:val="single" w:sz="4" w:space="0" w:color="auto"/>
              <w:bottom w:val="single" w:sz="4" w:space="0" w:color="auto"/>
            </w:tcBorders>
            <w:vAlign w:val="center"/>
          </w:tcPr>
          <w:p w:rsidR="0028593E" w:rsidRPr="00565DB3" w:rsidRDefault="0028593E" w:rsidP="00616AB3">
            <w:pPr>
              <w:pStyle w:val="Heading7"/>
            </w:pPr>
          </w:p>
        </w:tc>
        <w:tc>
          <w:tcPr>
            <w:tcW w:w="1393" w:type="dxa"/>
            <w:tcBorders>
              <w:top w:val="single" w:sz="4" w:space="0" w:color="auto"/>
              <w:bottom w:val="single" w:sz="4" w:space="0" w:color="auto"/>
            </w:tcBorders>
            <w:vAlign w:val="center"/>
          </w:tcPr>
          <w:p w:rsidR="0028593E" w:rsidRPr="00565DB3" w:rsidRDefault="0028593E" w:rsidP="00616AB3">
            <w:pPr>
              <w:pStyle w:val="Heading7"/>
            </w:pPr>
          </w:p>
        </w:tc>
      </w:tr>
      <w:tr w:rsidR="0028593E" w:rsidRPr="004577A9" w:rsidTr="00616AB3">
        <w:trPr>
          <w:trHeight w:val="284"/>
          <w:tblHeader/>
        </w:trPr>
        <w:tc>
          <w:tcPr>
            <w:tcW w:w="4921" w:type="dxa"/>
            <w:tcBorders>
              <w:top w:val="single" w:sz="4" w:space="0" w:color="auto"/>
              <w:bottom w:val="single" w:sz="4" w:space="0" w:color="auto"/>
            </w:tcBorders>
            <w:vAlign w:val="center"/>
          </w:tcPr>
          <w:p w:rsidR="0028593E" w:rsidRPr="00565DB3" w:rsidRDefault="0028593E" w:rsidP="00616AB3">
            <w:pPr>
              <w:pStyle w:val="Heading7"/>
            </w:pPr>
            <w:r w:rsidRPr="00565DB3">
              <w:t>Output 1.1:  Acute Services</w:t>
            </w:r>
          </w:p>
        </w:tc>
        <w:tc>
          <w:tcPr>
            <w:tcW w:w="1393" w:type="dxa"/>
            <w:tcBorders>
              <w:top w:val="single" w:sz="4" w:space="0" w:color="auto"/>
              <w:bottom w:val="single" w:sz="4" w:space="0" w:color="auto"/>
            </w:tcBorders>
            <w:vAlign w:val="center"/>
          </w:tcPr>
          <w:p w:rsidR="0028593E" w:rsidRPr="00565DB3" w:rsidRDefault="0028593E" w:rsidP="00616AB3">
            <w:pPr>
              <w:pStyle w:val="Heading7"/>
              <w:ind w:left="0" w:firstLine="0"/>
            </w:pPr>
          </w:p>
        </w:tc>
        <w:tc>
          <w:tcPr>
            <w:tcW w:w="1393" w:type="dxa"/>
            <w:tcBorders>
              <w:top w:val="single" w:sz="4" w:space="0" w:color="auto"/>
              <w:bottom w:val="single" w:sz="4" w:space="0" w:color="auto"/>
            </w:tcBorders>
            <w:vAlign w:val="center"/>
          </w:tcPr>
          <w:p w:rsidR="0028593E" w:rsidRPr="00565DB3" w:rsidRDefault="0028593E" w:rsidP="00616AB3">
            <w:pPr>
              <w:pStyle w:val="Heading7"/>
            </w:pPr>
          </w:p>
        </w:tc>
        <w:tc>
          <w:tcPr>
            <w:tcW w:w="1393" w:type="dxa"/>
            <w:tcBorders>
              <w:top w:val="single" w:sz="4" w:space="0" w:color="auto"/>
              <w:bottom w:val="single" w:sz="4" w:space="0" w:color="auto"/>
            </w:tcBorders>
            <w:vAlign w:val="center"/>
          </w:tcPr>
          <w:p w:rsidR="0028593E" w:rsidRPr="00565DB3" w:rsidRDefault="0028593E" w:rsidP="00616AB3">
            <w:pPr>
              <w:pStyle w:val="Heading7"/>
            </w:pPr>
          </w:p>
        </w:tc>
      </w:tr>
      <w:tr w:rsidR="0028593E" w:rsidRPr="000A3112" w:rsidTr="000E208C">
        <w:trPr>
          <w:trHeight w:val="284"/>
        </w:trPr>
        <w:tc>
          <w:tcPr>
            <w:tcW w:w="4921" w:type="dxa"/>
          </w:tcPr>
          <w:p w:rsidR="0028593E" w:rsidRPr="00565DB3" w:rsidRDefault="0028593E" w:rsidP="00547D64">
            <w:pPr>
              <w:pStyle w:val="AIIndent"/>
              <w:numPr>
                <w:ilvl w:val="0"/>
                <w:numId w:val="31"/>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Admitted – National Weighted Activity Units {13}</w:t>
            </w:r>
            <w:r w:rsidR="00D01625">
              <w:rPr>
                <w:vertAlign w:val="superscript"/>
              </w:rPr>
              <w:t>1,4</w:t>
            </w:r>
          </w:p>
        </w:tc>
        <w:tc>
          <w:tcPr>
            <w:tcW w:w="1393" w:type="dxa"/>
          </w:tcPr>
          <w:p w:rsidR="0028593E" w:rsidRDefault="0028593E" w:rsidP="00547D64">
            <w:pPr>
              <w:pStyle w:val="TableTextRight-BP410pt"/>
              <w:spacing w:before="120"/>
            </w:pPr>
            <w:r>
              <w:t>n/a</w:t>
            </w:r>
          </w:p>
        </w:tc>
        <w:tc>
          <w:tcPr>
            <w:tcW w:w="1393" w:type="dxa"/>
          </w:tcPr>
          <w:p w:rsidR="0028593E" w:rsidRPr="00887241" w:rsidRDefault="0028593E" w:rsidP="00547D64">
            <w:pPr>
              <w:pStyle w:val="TableTextRight-BP410pt"/>
              <w:spacing w:before="120"/>
            </w:pPr>
            <w:r>
              <w:t>n/a</w:t>
            </w:r>
          </w:p>
        </w:tc>
        <w:tc>
          <w:tcPr>
            <w:tcW w:w="1393" w:type="dxa"/>
          </w:tcPr>
          <w:p w:rsidR="0028593E" w:rsidRPr="009666B6" w:rsidRDefault="0028593E" w:rsidP="00547D64">
            <w:pPr>
              <w:pStyle w:val="TableTextRight-BP410pt"/>
              <w:spacing w:before="120"/>
            </w:pPr>
            <w:r w:rsidRPr="009666B6">
              <w:t>78,680</w:t>
            </w:r>
          </w:p>
        </w:tc>
      </w:tr>
      <w:tr w:rsidR="0028593E" w:rsidRPr="000A3112" w:rsidTr="000E208C">
        <w:trPr>
          <w:trHeight w:val="284"/>
        </w:trPr>
        <w:tc>
          <w:tcPr>
            <w:tcW w:w="4921" w:type="dxa"/>
          </w:tcPr>
          <w:p w:rsidR="0028593E" w:rsidRPr="00565DB3" w:rsidRDefault="0028593E" w:rsidP="003D782D">
            <w:pPr>
              <w:pStyle w:val="AIIndent"/>
              <w:numPr>
                <w:ilvl w:val="0"/>
                <w:numId w:val="31"/>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Non-Admitted – National Weighted Activity Units {13}</w:t>
            </w:r>
            <w:r w:rsidR="00D01625">
              <w:rPr>
                <w:vertAlign w:val="superscript"/>
              </w:rPr>
              <w:t>1,4</w:t>
            </w:r>
          </w:p>
        </w:tc>
        <w:tc>
          <w:tcPr>
            <w:tcW w:w="1393" w:type="dxa"/>
          </w:tcPr>
          <w:p w:rsidR="0028593E" w:rsidRDefault="0028593E" w:rsidP="00616AB3">
            <w:pPr>
              <w:pStyle w:val="TableTextRight-BP410pt"/>
            </w:pPr>
            <w:r>
              <w:t>n/a</w:t>
            </w:r>
          </w:p>
        </w:tc>
        <w:tc>
          <w:tcPr>
            <w:tcW w:w="1393" w:type="dxa"/>
          </w:tcPr>
          <w:p w:rsidR="0028593E" w:rsidRPr="00887241" w:rsidRDefault="0028593E" w:rsidP="00616AB3">
            <w:pPr>
              <w:pStyle w:val="TableTextRight-BP410pt"/>
            </w:pPr>
            <w:r>
              <w:t>n/a</w:t>
            </w:r>
          </w:p>
        </w:tc>
        <w:tc>
          <w:tcPr>
            <w:tcW w:w="1393" w:type="dxa"/>
          </w:tcPr>
          <w:p w:rsidR="0028593E" w:rsidRPr="009666B6" w:rsidRDefault="0028593E" w:rsidP="00616AB3">
            <w:pPr>
              <w:pStyle w:val="TableTextRight-BP410pt"/>
            </w:pPr>
            <w:r w:rsidRPr="009666B6">
              <w:t>33,945</w:t>
            </w:r>
          </w:p>
        </w:tc>
      </w:tr>
      <w:tr w:rsidR="0028593E" w:rsidRPr="000A3112" w:rsidTr="000E208C">
        <w:trPr>
          <w:trHeight w:val="284"/>
        </w:trPr>
        <w:tc>
          <w:tcPr>
            <w:tcW w:w="4921" w:type="dxa"/>
          </w:tcPr>
          <w:p w:rsidR="0028593E" w:rsidRPr="00565DB3" w:rsidRDefault="0028593E" w:rsidP="003D782D">
            <w:pPr>
              <w:pStyle w:val="AIIndent"/>
              <w:numPr>
                <w:ilvl w:val="0"/>
                <w:numId w:val="31"/>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Emergency – National Weighted Activity Units {13}</w:t>
            </w:r>
            <w:r w:rsidR="00D01625">
              <w:rPr>
                <w:vertAlign w:val="superscript"/>
              </w:rPr>
              <w:t>1,4</w:t>
            </w:r>
          </w:p>
        </w:tc>
        <w:tc>
          <w:tcPr>
            <w:tcW w:w="1393" w:type="dxa"/>
          </w:tcPr>
          <w:p w:rsidR="0028593E" w:rsidRDefault="0028593E" w:rsidP="00616AB3">
            <w:pPr>
              <w:pStyle w:val="TableTextRight-BP410pt"/>
            </w:pPr>
            <w:r>
              <w:t>n/a</w:t>
            </w:r>
          </w:p>
        </w:tc>
        <w:tc>
          <w:tcPr>
            <w:tcW w:w="1393" w:type="dxa"/>
          </w:tcPr>
          <w:p w:rsidR="0028593E" w:rsidRPr="00887241" w:rsidRDefault="0028593E" w:rsidP="00616AB3">
            <w:pPr>
              <w:pStyle w:val="TableTextRight-BP410pt"/>
            </w:pPr>
            <w:r>
              <w:t>n/a</w:t>
            </w:r>
          </w:p>
        </w:tc>
        <w:tc>
          <w:tcPr>
            <w:tcW w:w="1393" w:type="dxa"/>
          </w:tcPr>
          <w:p w:rsidR="0028593E" w:rsidRPr="009666B6" w:rsidRDefault="0028593E" w:rsidP="00616AB3">
            <w:pPr>
              <w:pStyle w:val="TableTextRight-BP410pt"/>
            </w:pPr>
            <w:r w:rsidRPr="009666B6">
              <w:t>7,534</w:t>
            </w:r>
          </w:p>
        </w:tc>
      </w:tr>
      <w:tr w:rsidR="0028593E" w:rsidRPr="000A3112" w:rsidTr="000E208C">
        <w:trPr>
          <w:trHeight w:val="284"/>
        </w:trPr>
        <w:tc>
          <w:tcPr>
            <w:tcW w:w="4921" w:type="dxa"/>
          </w:tcPr>
          <w:p w:rsidR="0028593E" w:rsidRPr="00565DB3" w:rsidRDefault="0028593E" w:rsidP="003D782D">
            <w:pPr>
              <w:pStyle w:val="AIIndent"/>
              <w:numPr>
                <w:ilvl w:val="0"/>
                <w:numId w:val="31"/>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65DB3">
              <w:t>Mean waiting time for clients on the dental services waiting list</w:t>
            </w:r>
          </w:p>
        </w:tc>
        <w:tc>
          <w:tcPr>
            <w:tcW w:w="1393" w:type="dxa"/>
          </w:tcPr>
          <w:p w:rsidR="0028593E" w:rsidRDefault="0028593E" w:rsidP="00616AB3">
            <w:pPr>
              <w:pStyle w:val="TableTextRight-BP410pt"/>
            </w:pPr>
            <w:r w:rsidRPr="004577A9">
              <w:t>12 months</w:t>
            </w:r>
          </w:p>
        </w:tc>
        <w:tc>
          <w:tcPr>
            <w:tcW w:w="1393" w:type="dxa"/>
          </w:tcPr>
          <w:p w:rsidR="0028593E" w:rsidRPr="00887241" w:rsidRDefault="0028593E" w:rsidP="00616AB3">
            <w:pPr>
              <w:pStyle w:val="TableTextRight-BP410pt"/>
            </w:pPr>
            <w:r>
              <w:t>12 months</w:t>
            </w:r>
          </w:p>
        </w:tc>
        <w:tc>
          <w:tcPr>
            <w:tcW w:w="1393" w:type="dxa"/>
          </w:tcPr>
          <w:p w:rsidR="0028593E" w:rsidRDefault="0028593E" w:rsidP="00616AB3">
            <w:pPr>
              <w:pStyle w:val="TableTextRight-BP410pt"/>
            </w:pPr>
            <w:r w:rsidRPr="004577A9">
              <w:t>12 months</w:t>
            </w:r>
          </w:p>
        </w:tc>
      </w:tr>
      <w:tr w:rsidR="0028593E" w:rsidRPr="009A6CAD" w:rsidTr="000E208C">
        <w:trPr>
          <w:trHeight w:val="284"/>
        </w:trPr>
        <w:tc>
          <w:tcPr>
            <w:tcW w:w="4921" w:type="dxa"/>
          </w:tcPr>
          <w:p w:rsidR="0028593E" w:rsidRPr="009A6CAD" w:rsidRDefault="0028593E" w:rsidP="003D782D">
            <w:pPr>
              <w:pStyle w:val="AIIndent"/>
              <w:numPr>
                <w:ilvl w:val="0"/>
                <w:numId w:val="31"/>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A6CAD">
              <w:t>Percentage of the Women’s Health Service Intake Officer’s clients who receive an intake and assessment service within 14 working days of  their initial referral</w:t>
            </w:r>
          </w:p>
        </w:tc>
        <w:tc>
          <w:tcPr>
            <w:tcW w:w="1393" w:type="dxa"/>
          </w:tcPr>
          <w:p w:rsidR="0028593E" w:rsidRPr="000E208C" w:rsidRDefault="0028593E" w:rsidP="00616AB3">
            <w:pPr>
              <w:pStyle w:val="TableTextRight-BP410pt"/>
            </w:pPr>
            <w:r w:rsidRPr="000E208C">
              <w:t>100%</w:t>
            </w:r>
          </w:p>
        </w:tc>
        <w:tc>
          <w:tcPr>
            <w:tcW w:w="1393" w:type="dxa"/>
          </w:tcPr>
          <w:p w:rsidR="0028593E" w:rsidRPr="000E208C" w:rsidRDefault="0028593E" w:rsidP="00616AB3">
            <w:pPr>
              <w:pStyle w:val="TableTextRight-BP410pt"/>
            </w:pPr>
            <w:r w:rsidRPr="000E208C">
              <w:t>100%</w:t>
            </w:r>
          </w:p>
        </w:tc>
        <w:tc>
          <w:tcPr>
            <w:tcW w:w="1393" w:type="dxa"/>
          </w:tcPr>
          <w:p w:rsidR="0028593E" w:rsidRPr="000E208C" w:rsidRDefault="0028593E" w:rsidP="00616AB3">
            <w:pPr>
              <w:pStyle w:val="TableTextRight-BP410pt"/>
            </w:pPr>
            <w:r w:rsidRPr="000E208C">
              <w:t>100%</w:t>
            </w:r>
          </w:p>
        </w:tc>
      </w:tr>
      <w:tr w:rsidR="000E208C" w:rsidRPr="009A6CAD" w:rsidTr="000E208C">
        <w:trPr>
          <w:trHeight w:val="284"/>
        </w:trPr>
        <w:tc>
          <w:tcPr>
            <w:tcW w:w="4921" w:type="dxa"/>
          </w:tcPr>
          <w:p w:rsidR="000E208C" w:rsidRPr="009A6CAD" w:rsidRDefault="000E208C" w:rsidP="003D782D">
            <w:pPr>
              <w:pStyle w:val="AIIndent"/>
              <w:numPr>
                <w:ilvl w:val="0"/>
                <w:numId w:val="31"/>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65DB3">
              <w:t>Cost weighted patient separations</w:t>
            </w:r>
            <w:r w:rsidR="00D01625">
              <w:rPr>
                <w:vertAlign w:val="superscript"/>
              </w:rPr>
              <w:t>2,5</w:t>
            </w:r>
          </w:p>
        </w:tc>
        <w:tc>
          <w:tcPr>
            <w:tcW w:w="1393" w:type="dxa"/>
          </w:tcPr>
          <w:p w:rsidR="000E208C" w:rsidRPr="000E208C" w:rsidRDefault="000E208C" w:rsidP="00616AB3">
            <w:pPr>
              <w:pStyle w:val="TableTextRight-BP410pt"/>
            </w:pPr>
            <w:r>
              <w:t>63,451</w:t>
            </w:r>
          </w:p>
        </w:tc>
        <w:tc>
          <w:tcPr>
            <w:tcW w:w="1393" w:type="dxa"/>
          </w:tcPr>
          <w:p w:rsidR="000E208C" w:rsidRPr="000E208C" w:rsidRDefault="000E208C" w:rsidP="00616AB3">
            <w:pPr>
              <w:pStyle w:val="TableTextRight-BP410pt"/>
            </w:pPr>
            <w:r>
              <w:t>65,400</w:t>
            </w:r>
          </w:p>
        </w:tc>
        <w:tc>
          <w:tcPr>
            <w:tcW w:w="1393" w:type="dxa"/>
          </w:tcPr>
          <w:p w:rsidR="000E208C" w:rsidRPr="000E208C" w:rsidRDefault="000E208C" w:rsidP="00616AB3">
            <w:pPr>
              <w:pStyle w:val="TableTextRight-BP410pt"/>
            </w:pPr>
            <w:r>
              <w:t>n/a</w:t>
            </w:r>
          </w:p>
        </w:tc>
      </w:tr>
      <w:tr w:rsidR="000E208C" w:rsidRPr="009A6CAD" w:rsidTr="000E208C">
        <w:trPr>
          <w:trHeight w:val="284"/>
        </w:trPr>
        <w:tc>
          <w:tcPr>
            <w:tcW w:w="4921" w:type="dxa"/>
          </w:tcPr>
          <w:p w:rsidR="000E208C" w:rsidRPr="009A6CAD" w:rsidRDefault="000E208C" w:rsidP="003D782D">
            <w:pPr>
              <w:pStyle w:val="AIIndent"/>
              <w:numPr>
                <w:ilvl w:val="0"/>
                <w:numId w:val="31"/>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Non </w:t>
            </w:r>
            <w:r w:rsidRPr="00565DB3">
              <w:t>admitted occasions of service</w:t>
            </w:r>
            <w:r w:rsidR="00D01625">
              <w:rPr>
                <w:vertAlign w:val="superscript"/>
              </w:rPr>
              <w:t>2,5</w:t>
            </w:r>
          </w:p>
        </w:tc>
        <w:tc>
          <w:tcPr>
            <w:tcW w:w="1393" w:type="dxa"/>
          </w:tcPr>
          <w:p w:rsidR="000E208C" w:rsidRPr="000E208C" w:rsidRDefault="000E208C" w:rsidP="00616AB3">
            <w:pPr>
              <w:pStyle w:val="TableTextRight-BP410pt"/>
            </w:pPr>
            <w:r>
              <w:t>268,434</w:t>
            </w:r>
          </w:p>
        </w:tc>
        <w:tc>
          <w:tcPr>
            <w:tcW w:w="1393" w:type="dxa"/>
          </w:tcPr>
          <w:p w:rsidR="000E208C" w:rsidRPr="000E208C" w:rsidRDefault="000E208C" w:rsidP="00616AB3">
            <w:pPr>
              <w:pStyle w:val="TableTextRight-BP410pt"/>
            </w:pPr>
            <w:r>
              <w:t>273,000</w:t>
            </w:r>
          </w:p>
        </w:tc>
        <w:tc>
          <w:tcPr>
            <w:tcW w:w="1393" w:type="dxa"/>
          </w:tcPr>
          <w:p w:rsidR="000E208C" w:rsidRPr="000E208C" w:rsidRDefault="000E208C" w:rsidP="00616AB3">
            <w:pPr>
              <w:pStyle w:val="TableTextRight-BP410pt"/>
            </w:pPr>
            <w:r>
              <w:t>n/a</w:t>
            </w:r>
          </w:p>
        </w:tc>
      </w:tr>
      <w:tr w:rsidR="0028593E" w:rsidRPr="00565DB3" w:rsidTr="000E208C">
        <w:trPr>
          <w:trHeight w:val="284"/>
        </w:trPr>
        <w:tc>
          <w:tcPr>
            <w:tcW w:w="4921" w:type="dxa"/>
          </w:tcPr>
          <w:p w:rsidR="0028593E" w:rsidRPr="00565DB3" w:rsidRDefault="0028593E" w:rsidP="00D01625">
            <w:pPr>
              <w:pStyle w:val="AIIndent"/>
              <w:numPr>
                <w:ilvl w:val="0"/>
                <w:numId w:val="31"/>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65DB3">
              <w:t>Percentage of category one elective surgery patients who receive surgery within 30 days of  listing</w:t>
            </w:r>
            <w:r w:rsidR="00D01625">
              <w:rPr>
                <w:vertAlign w:val="superscript"/>
              </w:rPr>
              <w:t>3,5</w:t>
            </w:r>
          </w:p>
        </w:tc>
        <w:tc>
          <w:tcPr>
            <w:tcW w:w="1393" w:type="dxa"/>
          </w:tcPr>
          <w:p w:rsidR="0028593E" w:rsidRPr="004577A9" w:rsidRDefault="0028593E" w:rsidP="00616AB3">
            <w:pPr>
              <w:pStyle w:val="TableTextRight-BP410pt"/>
            </w:pPr>
            <w:r>
              <w:t>97</w:t>
            </w:r>
            <w:r w:rsidRPr="004577A9">
              <w:t>%</w:t>
            </w:r>
          </w:p>
        </w:tc>
        <w:tc>
          <w:tcPr>
            <w:tcW w:w="1393" w:type="dxa"/>
          </w:tcPr>
          <w:p w:rsidR="0028593E" w:rsidRPr="004577A9" w:rsidRDefault="0028593E" w:rsidP="00616AB3">
            <w:pPr>
              <w:pStyle w:val="TableTextRight-BP410pt"/>
            </w:pPr>
            <w:r>
              <w:t>97%</w:t>
            </w:r>
          </w:p>
        </w:tc>
        <w:tc>
          <w:tcPr>
            <w:tcW w:w="1393" w:type="dxa"/>
          </w:tcPr>
          <w:p w:rsidR="0028593E" w:rsidRPr="004577A9" w:rsidRDefault="0028593E" w:rsidP="00616AB3">
            <w:pPr>
              <w:pStyle w:val="TableTextRight-BP410pt"/>
            </w:pPr>
            <w:r>
              <w:t>n/a</w:t>
            </w:r>
          </w:p>
        </w:tc>
      </w:tr>
      <w:tr w:rsidR="0028593E" w:rsidRPr="00565DB3" w:rsidTr="000E208C">
        <w:trPr>
          <w:trHeight w:val="284"/>
        </w:trPr>
        <w:tc>
          <w:tcPr>
            <w:tcW w:w="4921" w:type="dxa"/>
            <w:tcBorders>
              <w:bottom w:val="single" w:sz="4" w:space="0" w:color="auto"/>
            </w:tcBorders>
          </w:tcPr>
          <w:p w:rsidR="0028593E" w:rsidRPr="00565DB3" w:rsidRDefault="0028593E" w:rsidP="00547D64">
            <w:pPr>
              <w:pStyle w:val="AIIndent"/>
              <w:numPr>
                <w:ilvl w:val="0"/>
                <w:numId w:val="31"/>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565DB3">
              <w:t>Number of allied health care services provided for acute care patients in ACT Public Hospitals</w:t>
            </w:r>
            <w:r w:rsidR="00D01625">
              <w:rPr>
                <w:vertAlign w:val="superscript"/>
              </w:rPr>
              <w:t>3,5</w:t>
            </w:r>
          </w:p>
        </w:tc>
        <w:tc>
          <w:tcPr>
            <w:tcW w:w="1393" w:type="dxa"/>
            <w:tcBorders>
              <w:bottom w:val="single" w:sz="4" w:space="0" w:color="auto"/>
            </w:tcBorders>
          </w:tcPr>
          <w:p w:rsidR="0028593E" w:rsidRPr="004577A9" w:rsidRDefault="0028593E" w:rsidP="00547D64">
            <w:pPr>
              <w:pStyle w:val="TableTextRight-BP410pt"/>
              <w:spacing w:after="120"/>
            </w:pPr>
            <w:r>
              <w:t>101,400</w:t>
            </w:r>
          </w:p>
        </w:tc>
        <w:tc>
          <w:tcPr>
            <w:tcW w:w="1393" w:type="dxa"/>
            <w:tcBorders>
              <w:bottom w:val="single" w:sz="4" w:space="0" w:color="auto"/>
            </w:tcBorders>
          </w:tcPr>
          <w:p w:rsidR="0028593E" w:rsidRPr="004577A9" w:rsidRDefault="0028593E" w:rsidP="00547D64">
            <w:pPr>
              <w:pStyle w:val="TableTextRight-BP410pt"/>
              <w:spacing w:after="120"/>
            </w:pPr>
            <w:r>
              <w:t>104,400</w:t>
            </w:r>
          </w:p>
        </w:tc>
        <w:tc>
          <w:tcPr>
            <w:tcW w:w="1393" w:type="dxa"/>
            <w:tcBorders>
              <w:bottom w:val="single" w:sz="4" w:space="0" w:color="auto"/>
            </w:tcBorders>
          </w:tcPr>
          <w:p w:rsidR="0028593E" w:rsidRPr="004577A9" w:rsidRDefault="0028593E" w:rsidP="00547D64">
            <w:pPr>
              <w:pStyle w:val="TableTextRight-BP410pt"/>
              <w:spacing w:after="120"/>
            </w:pPr>
            <w:r>
              <w:t>n/a</w:t>
            </w:r>
          </w:p>
        </w:tc>
      </w:tr>
    </w:tbl>
    <w:p w:rsidR="0028593E" w:rsidRPr="002E4C06" w:rsidRDefault="0028593E" w:rsidP="002E4C06">
      <w:pPr>
        <w:pStyle w:val="NoteHeading"/>
      </w:pPr>
      <w:r w:rsidRPr="002E4C06">
        <w:t>Notes:</w:t>
      </w:r>
    </w:p>
    <w:p w:rsidR="0028593E" w:rsidRPr="002E4C06" w:rsidRDefault="0028593E" w:rsidP="003D782D">
      <w:pPr>
        <w:pStyle w:val="AINotes"/>
        <w:numPr>
          <w:ilvl w:val="0"/>
          <w:numId w:val="33"/>
        </w:numPr>
        <w:ind w:left="284" w:hanging="284"/>
      </w:pPr>
      <w:r w:rsidRPr="002E4C06">
        <w:t>National Weighted Activity Unit (NWAU) has replaced cost weighted separation and occasions of service as the activity measure following the implementation of the NHRA. NWAU {13} is the currency as defined by the Independent Hospital Pricing Authority in the National Price Determination 2013-14.</w:t>
      </w:r>
    </w:p>
    <w:p w:rsidR="0028593E" w:rsidRPr="002E4C06" w:rsidRDefault="0028593E" w:rsidP="003D782D">
      <w:pPr>
        <w:pStyle w:val="AINotes"/>
        <w:numPr>
          <w:ilvl w:val="0"/>
          <w:numId w:val="33"/>
        </w:numPr>
        <w:ind w:left="284" w:hanging="284"/>
      </w:pPr>
      <w:r w:rsidRPr="002E4C06">
        <w:t>These services are included in the total National Weighted Activity Units.</w:t>
      </w:r>
    </w:p>
    <w:p w:rsidR="0028593E" w:rsidRPr="002E4C06" w:rsidRDefault="0028593E" w:rsidP="003D782D">
      <w:pPr>
        <w:pStyle w:val="AINotes"/>
        <w:numPr>
          <w:ilvl w:val="0"/>
          <w:numId w:val="33"/>
        </w:numPr>
        <w:ind w:left="284" w:hanging="284"/>
      </w:pPr>
      <w:r w:rsidRPr="002E4C06">
        <w:t>This measure is now reported in the ACT LHN under Strategic Indicator 1.</w:t>
      </w:r>
    </w:p>
    <w:p w:rsidR="0028593E" w:rsidRPr="002E4C06" w:rsidRDefault="0028593E" w:rsidP="003D782D">
      <w:pPr>
        <w:pStyle w:val="AINotes"/>
        <w:numPr>
          <w:ilvl w:val="0"/>
          <w:numId w:val="33"/>
        </w:numPr>
        <w:ind w:left="284" w:hanging="284"/>
      </w:pPr>
      <w:r w:rsidRPr="002E4C06">
        <w:t>New measure.</w:t>
      </w:r>
    </w:p>
    <w:p w:rsidR="0028593E" w:rsidRPr="002E4C06" w:rsidRDefault="0028593E" w:rsidP="003D782D">
      <w:pPr>
        <w:pStyle w:val="AINotes"/>
        <w:numPr>
          <w:ilvl w:val="0"/>
          <w:numId w:val="33"/>
        </w:numPr>
        <w:ind w:left="284" w:hanging="284"/>
      </w:pPr>
      <w:r w:rsidRPr="002E4C06">
        <w:t>Discontinuing measure.</w:t>
      </w:r>
    </w:p>
    <w:p w:rsidR="0075638A" w:rsidRDefault="0028593E" w:rsidP="002E4C06">
      <w:pPr>
        <w:pStyle w:val="Heading3TopofPage"/>
      </w:pPr>
      <w:r>
        <w:br w:type="page"/>
      </w:r>
    </w:p>
    <w:p w:rsidR="002E4C06" w:rsidRPr="002E4C06" w:rsidRDefault="00723135" w:rsidP="002E4C06">
      <w:pPr>
        <w:pStyle w:val="Heading3TopofPage"/>
      </w:pPr>
      <w:proofErr w:type="gramStart"/>
      <w:r w:rsidRPr="00565DB3">
        <w:lastRenderedPageBreak/>
        <w:t>Accountability Indicators</w:t>
      </w:r>
      <w:r>
        <w:t xml:space="preserve"> cont.</w:t>
      </w:r>
      <w:proofErr w:type="gramEnd"/>
    </w:p>
    <w:tbl>
      <w:tblPr>
        <w:tblpPr w:leftFromText="180" w:rightFromText="180" w:vertAnchor="text" w:tblpY="1"/>
        <w:tblOverlap w:val="never"/>
        <w:tblW w:w="9100" w:type="dxa"/>
        <w:tblLayout w:type="fixed"/>
        <w:tblLook w:val="0000"/>
      </w:tblPr>
      <w:tblGrid>
        <w:gridCol w:w="4918"/>
        <w:gridCol w:w="1394"/>
        <w:gridCol w:w="1394"/>
        <w:gridCol w:w="1394"/>
      </w:tblGrid>
      <w:tr w:rsidR="0028593E" w:rsidRPr="00565DB3" w:rsidTr="004A7B5D">
        <w:trPr>
          <w:trHeight w:val="312"/>
          <w:tblHeader/>
        </w:trPr>
        <w:tc>
          <w:tcPr>
            <w:tcW w:w="5063" w:type="dxa"/>
            <w:tcBorders>
              <w:top w:val="single" w:sz="4" w:space="0" w:color="auto"/>
              <w:left w:val="nil"/>
              <w:bottom w:val="single" w:sz="4" w:space="0" w:color="auto"/>
              <w:right w:val="nil"/>
            </w:tcBorders>
          </w:tcPr>
          <w:p w:rsidR="0028593E" w:rsidRPr="00565DB3" w:rsidRDefault="0028593E" w:rsidP="004A7B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p>
        </w:tc>
        <w:tc>
          <w:tcPr>
            <w:tcW w:w="1429" w:type="dxa"/>
            <w:tcBorders>
              <w:top w:val="single" w:sz="4" w:space="0" w:color="auto"/>
              <w:left w:val="nil"/>
              <w:bottom w:val="single" w:sz="4" w:space="0" w:color="auto"/>
              <w:right w:val="nil"/>
            </w:tcBorders>
          </w:tcPr>
          <w:p w:rsidR="0028593E" w:rsidRDefault="0028593E" w:rsidP="004A7B5D">
            <w:pPr>
              <w:pStyle w:val="TableTextRightBold-BP410pt"/>
            </w:pPr>
            <w:r>
              <w:t>2012-13</w:t>
            </w:r>
          </w:p>
          <w:p w:rsidR="0028593E" w:rsidRPr="00565DB3" w:rsidRDefault="0028593E" w:rsidP="004A7B5D">
            <w:pPr>
              <w:pStyle w:val="TableTextRightBold-BP410pt"/>
            </w:pPr>
            <w:r w:rsidRPr="00565DB3">
              <w:t>Targets</w:t>
            </w:r>
          </w:p>
        </w:tc>
        <w:tc>
          <w:tcPr>
            <w:tcW w:w="1429" w:type="dxa"/>
            <w:tcBorders>
              <w:top w:val="single" w:sz="4" w:space="0" w:color="auto"/>
              <w:left w:val="nil"/>
              <w:bottom w:val="single" w:sz="4" w:space="0" w:color="auto"/>
              <w:right w:val="nil"/>
            </w:tcBorders>
          </w:tcPr>
          <w:p w:rsidR="0028593E" w:rsidRDefault="0028593E" w:rsidP="004A7B5D">
            <w:pPr>
              <w:pStyle w:val="TableTextRightBold-BP410pt"/>
            </w:pPr>
            <w:r>
              <w:t>2012-13</w:t>
            </w:r>
          </w:p>
          <w:p w:rsidR="0028593E" w:rsidRPr="00565DB3" w:rsidRDefault="0028593E" w:rsidP="004A7B5D">
            <w:pPr>
              <w:pStyle w:val="TableTextRightBold-BP410pt"/>
            </w:pPr>
            <w:r w:rsidRPr="00565DB3">
              <w:t>Est. Outcome</w:t>
            </w:r>
          </w:p>
        </w:tc>
        <w:tc>
          <w:tcPr>
            <w:tcW w:w="1429" w:type="dxa"/>
            <w:tcBorders>
              <w:top w:val="single" w:sz="4" w:space="0" w:color="auto"/>
              <w:left w:val="nil"/>
              <w:bottom w:val="single" w:sz="4" w:space="0" w:color="auto"/>
              <w:right w:val="nil"/>
            </w:tcBorders>
          </w:tcPr>
          <w:p w:rsidR="0028593E" w:rsidRDefault="0028593E" w:rsidP="004A7B5D">
            <w:pPr>
              <w:pStyle w:val="TableTextRightBold-BP410pt"/>
            </w:pPr>
            <w:r>
              <w:t>2013-14</w:t>
            </w:r>
          </w:p>
          <w:p w:rsidR="0028593E" w:rsidRPr="00565DB3" w:rsidRDefault="0028593E" w:rsidP="004A7B5D">
            <w:pPr>
              <w:pStyle w:val="TableTextRightBold-BP410pt"/>
            </w:pPr>
            <w:r w:rsidRPr="00565DB3">
              <w:t>Targets</w:t>
            </w:r>
          </w:p>
        </w:tc>
      </w:tr>
      <w:tr w:rsidR="004A7B5D" w:rsidRPr="0004747E" w:rsidTr="004A7B5D">
        <w:trPr>
          <w:trHeight w:val="312"/>
        </w:trPr>
        <w:tc>
          <w:tcPr>
            <w:tcW w:w="5063" w:type="dxa"/>
            <w:gridSpan w:val="4"/>
            <w:tcBorders>
              <w:top w:val="single" w:sz="4" w:space="0" w:color="auto"/>
              <w:left w:val="nil"/>
              <w:bottom w:val="single" w:sz="4" w:space="0" w:color="auto"/>
              <w:right w:val="nil"/>
            </w:tcBorders>
            <w:vAlign w:val="center"/>
          </w:tcPr>
          <w:p w:rsidR="004A7B5D" w:rsidRPr="004A7B5D" w:rsidRDefault="004A7B5D" w:rsidP="004A7B5D">
            <w:pPr>
              <w:pStyle w:val="TableTextRight-BP410pt"/>
              <w:jc w:val="left"/>
              <w:rPr>
                <w:b/>
              </w:rPr>
            </w:pPr>
            <w:r w:rsidRPr="004A7B5D">
              <w:rPr>
                <w:b/>
              </w:rPr>
              <w:t>Output 1.2:  Mental Health, Justice Health and Alcohol and Drug Services</w:t>
            </w:r>
          </w:p>
        </w:tc>
      </w:tr>
      <w:tr w:rsidR="0028593E" w:rsidRPr="0004747E" w:rsidTr="004A7B5D">
        <w:trPr>
          <w:trHeight w:val="155"/>
        </w:trPr>
        <w:tc>
          <w:tcPr>
            <w:tcW w:w="5063" w:type="dxa"/>
            <w:tcBorders>
              <w:top w:val="single" w:sz="4" w:space="0" w:color="auto"/>
              <w:left w:val="nil"/>
              <w:bottom w:val="nil"/>
              <w:right w:val="nil"/>
            </w:tcBorders>
          </w:tcPr>
          <w:p w:rsidR="0028593E" w:rsidRPr="00565DB3"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Admitted – National Weighted Activity Units {13}</w:t>
            </w:r>
            <w:r>
              <w:rPr>
                <w:vertAlign w:val="superscript"/>
              </w:rPr>
              <w:t>1,8</w:t>
            </w:r>
          </w:p>
        </w:tc>
        <w:tc>
          <w:tcPr>
            <w:tcW w:w="1429" w:type="dxa"/>
            <w:tcBorders>
              <w:top w:val="single" w:sz="4" w:space="0" w:color="auto"/>
              <w:left w:val="nil"/>
              <w:bottom w:val="nil"/>
              <w:right w:val="nil"/>
            </w:tcBorders>
            <w:vAlign w:val="bottom"/>
          </w:tcPr>
          <w:p w:rsidR="0028593E" w:rsidRPr="002E4C06" w:rsidRDefault="0028593E" w:rsidP="004A7B5D">
            <w:pPr>
              <w:pStyle w:val="TableTextRight-BP410pt"/>
              <w:spacing w:before="120"/>
            </w:pPr>
            <w:r w:rsidRPr="002E4C06">
              <w:t>n/a</w:t>
            </w:r>
          </w:p>
        </w:tc>
        <w:tc>
          <w:tcPr>
            <w:tcW w:w="1429" w:type="dxa"/>
            <w:tcBorders>
              <w:top w:val="single" w:sz="4" w:space="0" w:color="auto"/>
              <w:left w:val="nil"/>
              <w:bottom w:val="nil"/>
              <w:right w:val="nil"/>
            </w:tcBorders>
            <w:vAlign w:val="bottom"/>
          </w:tcPr>
          <w:p w:rsidR="0028593E" w:rsidRPr="002E4C06" w:rsidRDefault="0028593E" w:rsidP="004A7B5D">
            <w:pPr>
              <w:pStyle w:val="TableTextRight-BP410pt"/>
              <w:spacing w:before="120"/>
            </w:pPr>
            <w:r w:rsidRPr="002E4C06">
              <w:t>n/a</w:t>
            </w:r>
          </w:p>
        </w:tc>
        <w:tc>
          <w:tcPr>
            <w:tcW w:w="1429" w:type="dxa"/>
            <w:tcBorders>
              <w:top w:val="single" w:sz="4" w:space="0" w:color="auto"/>
              <w:left w:val="nil"/>
              <w:bottom w:val="nil"/>
              <w:right w:val="nil"/>
            </w:tcBorders>
            <w:vAlign w:val="bottom"/>
          </w:tcPr>
          <w:p w:rsidR="0028593E" w:rsidRPr="002E4C06" w:rsidRDefault="0028593E" w:rsidP="004A7B5D">
            <w:pPr>
              <w:pStyle w:val="TableTextRight-BP410pt"/>
              <w:spacing w:before="120"/>
            </w:pPr>
            <w:r w:rsidRPr="002E4C06">
              <w:t>3,507</w:t>
            </w:r>
          </w:p>
        </w:tc>
      </w:tr>
      <w:tr w:rsidR="0028593E" w:rsidRPr="0004747E" w:rsidTr="004A7B5D">
        <w:trPr>
          <w:trHeight w:val="312"/>
        </w:trPr>
        <w:tc>
          <w:tcPr>
            <w:tcW w:w="5063" w:type="dxa"/>
            <w:tcBorders>
              <w:top w:val="nil"/>
              <w:left w:val="nil"/>
              <w:bottom w:val="nil"/>
              <w:right w:val="nil"/>
            </w:tcBorders>
          </w:tcPr>
          <w:p w:rsidR="0028593E" w:rsidRPr="00565DB3"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Non-Admitted – National Weighted Activity Units {13}</w:t>
            </w:r>
            <w:r>
              <w:rPr>
                <w:vertAlign w:val="superscript"/>
              </w:rPr>
              <w:t>1,8</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1,507</w:t>
            </w:r>
          </w:p>
        </w:tc>
      </w:tr>
      <w:tr w:rsidR="0028593E" w:rsidRPr="00565DB3" w:rsidTr="004A7B5D">
        <w:trPr>
          <w:trHeight w:val="312"/>
        </w:trPr>
        <w:tc>
          <w:tcPr>
            <w:tcW w:w="5063" w:type="dxa"/>
            <w:tcBorders>
              <w:top w:val="nil"/>
              <w:left w:val="nil"/>
              <w:bottom w:val="nil"/>
              <w:right w:val="nil"/>
            </w:tcBorders>
          </w:tcPr>
          <w:p w:rsidR="0028593E"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Adult mental health program community service contacts</w:t>
            </w:r>
            <w:r>
              <w:rPr>
                <w:vertAlign w:val="superscript"/>
              </w:rPr>
              <w:t>2,8</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100,000</w:t>
            </w:r>
          </w:p>
        </w:tc>
      </w:tr>
      <w:tr w:rsidR="0028593E" w:rsidRPr="00565DB3" w:rsidTr="004A7B5D">
        <w:trPr>
          <w:trHeight w:val="312"/>
        </w:trPr>
        <w:tc>
          <w:tcPr>
            <w:tcW w:w="5063" w:type="dxa"/>
            <w:tcBorders>
              <w:top w:val="nil"/>
              <w:left w:val="nil"/>
              <w:bottom w:val="nil"/>
              <w:right w:val="nil"/>
            </w:tcBorders>
          </w:tcPr>
          <w:p w:rsidR="0028593E"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Children and youth mental health program community service contacts</w:t>
            </w:r>
            <w:r>
              <w:rPr>
                <w:vertAlign w:val="superscript"/>
              </w:rPr>
              <w:t>3,8</w:t>
            </w:r>
          </w:p>
        </w:tc>
        <w:tc>
          <w:tcPr>
            <w:tcW w:w="1429" w:type="dxa"/>
            <w:tcBorders>
              <w:top w:val="nil"/>
              <w:left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top w:val="nil"/>
              <w:left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top w:val="nil"/>
              <w:left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65,000</w:t>
            </w:r>
          </w:p>
        </w:tc>
      </w:tr>
      <w:tr w:rsidR="0028593E" w:rsidRPr="00565DB3" w:rsidTr="004A7B5D">
        <w:tc>
          <w:tcPr>
            <w:tcW w:w="5063" w:type="dxa"/>
            <w:tcBorders>
              <w:top w:val="nil"/>
              <w:left w:val="nil"/>
              <w:bottom w:val="nil"/>
              <w:right w:val="nil"/>
            </w:tcBorders>
          </w:tcPr>
          <w:p w:rsidR="0028593E"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ACT wide mental health program community service contacts</w:t>
            </w:r>
            <w:r>
              <w:rPr>
                <w:vertAlign w:val="superscript"/>
              </w:rPr>
              <w:t>4,8</w:t>
            </w:r>
          </w:p>
        </w:tc>
        <w:tc>
          <w:tcPr>
            <w:tcW w:w="1429" w:type="dxa"/>
            <w:tcBorders>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97,000</w:t>
            </w:r>
          </w:p>
        </w:tc>
      </w:tr>
      <w:tr w:rsidR="0028593E" w:rsidRPr="00AF3619" w:rsidTr="004A7B5D">
        <w:trPr>
          <w:trHeight w:val="312"/>
        </w:trPr>
        <w:tc>
          <w:tcPr>
            <w:tcW w:w="5063" w:type="dxa"/>
            <w:tcBorders>
              <w:top w:val="nil"/>
              <w:left w:val="nil"/>
              <w:bottom w:val="nil"/>
              <w:right w:val="nil"/>
            </w:tcBorders>
          </w:tcPr>
          <w:p w:rsidR="0028593E" w:rsidRPr="00565DB3"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Proportion of detainees at the Alexander </w:t>
            </w:r>
            <w:proofErr w:type="spellStart"/>
            <w:r>
              <w:t>Maconochie</w:t>
            </w:r>
            <w:proofErr w:type="spellEnd"/>
            <w:r>
              <w:t xml:space="preserve"> Centre with a completed health assessment within 24 hours of detention</w:t>
            </w:r>
          </w:p>
        </w:tc>
        <w:tc>
          <w:tcPr>
            <w:tcW w:w="1429" w:type="dxa"/>
            <w:tcBorders>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100%</w:t>
            </w:r>
          </w:p>
        </w:tc>
        <w:tc>
          <w:tcPr>
            <w:tcW w:w="1429" w:type="dxa"/>
            <w:tcBorders>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100%</w:t>
            </w:r>
          </w:p>
        </w:tc>
        <w:tc>
          <w:tcPr>
            <w:tcW w:w="1429" w:type="dxa"/>
            <w:tcBorders>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100%</w:t>
            </w:r>
          </w:p>
        </w:tc>
      </w:tr>
      <w:tr w:rsidR="0028593E" w:rsidRPr="00AF3619" w:rsidTr="004A7B5D">
        <w:trPr>
          <w:trHeight w:val="312"/>
        </w:trPr>
        <w:tc>
          <w:tcPr>
            <w:tcW w:w="5063" w:type="dxa"/>
            <w:tcBorders>
              <w:top w:val="nil"/>
              <w:left w:val="nil"/>
              <w:bottom w:val="nil"/>
              <w:right w:val="nil"/>
            </w:tcBorders>
          </w:tcPr>
          <w:p w:rsidR="0028593E" w:rsidRPr="00565DB3"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Proportion of detainees in the </w:t>
            </w:r>
            <w:proofErr w:type="spellStart"/>
            <w:r>
              <w:t>Bimberi</w:t>
            </w:r>
            <w:proofErr w:type="spellEnd"/>
            <w:r>
              <w:t xml:space="preserve"> Youth Detention Centre with a completed health assessment within 24 hours of detention</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100%</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96%</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100%</w:t>
            </w:r>
          </w:p>
        </w:tc>
      </w:tr>
      <w:tr w:rsidR="0028593E" w:rsidRPr="00AF3619" w:rsidTr="004A7B5D">
        <w:trPr>
          <w:trHeight w:val="174"/>
        </w:trPr>
        <w:tc>
          <w:tcPr>
            <w:tcW w:w="5063" w:type="dxa"/>
            <w:tcBorders>
              <w:top w:val="nil"/>
              <w:left w:val="nil"/>
              <w:bottom w:val="nil"/>
              <w:right w:val="nil"/>
            </w:tcBorders>
          </w:tcPr>
          <w:p w:rsidR="0028593E" w:rsidRPr="00565DB3"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Justice Health Services community contacts</w:t>
            </w:r>
            <w:r>
              <w:rPr>
                <w:vertAlign w:val="superscript"/>
              </w:rPr>
              <w:t>8</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103,000</w:t>
            </w:r>
          </w:p>
        </w:tc>
      </w:tr>
      <w:tr w:rsidR="0028593E" w:rsidRPr="00AF3619" w:rsidTr="004A7B5D">
        <w:trPr>
          <w:trHeight w:val="312"/>
        </w:trPr>
        <w:tc>
          <w:tcPr>
            <w:tcW w:w="5063" w:type="dxa"/>
            <w:tcBorders>
              <w:top w:val="nil"/>
              <w:left w:val="nil"/>
              <w:bottom w:val="nil"/>
              <w:right w:val="nil"/>
            </w:tcBorders>
          </w:tcPr>
          <w:p w:rsidR="0028593E" w:rsidRPr="00565DB3"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Percentage of current clients on </w:t>
            </w:r>
            <w:proofErr w:type="spellStart"/>
            <w:r>
              <w:t>opioid</w:t>
            </w:r>
            <w:proofErr w:type="spellEnd"/>
            <w:r>
              <w:t xml:space="preserve"> treatment with management plans</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98%</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98%</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98%</w:t>
            </w:r>
          </w:p>
        </w:tc>
      </w:tr>
      <w:tr w:rsidR="0028593E" w:rsidRPr="00AF3619" w:rsidTr="004A7B5D">
        <w:trPr>
          <w:trHeight w:val="228"/>
        </w:trPr>
        <w:tc>
          <w:tcPr>
            <w:tcW w:w="5063" w:type="dxa"/>
            <w:tcBorders>
              <w:top w:val="nil"/>
              <w:left w:val="nil"/>
              <w:bottom w:val="nil"/>
              <w:right w:val="nil"/>
            </w:tcBorders>
          </w:tcPr>
          <w:p w:rsidR="0028593E"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Alcohol and Drug Services community contact</w:t>
            </w:r>
            <w:r>
              <w:rPr>
                <w:vertAlign w:val="superscript"/>
              </w:rPr>
              <w:t>8</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70,000</w:t>
            </w:r>
          </w:p>
        </w:tc>
      </w:tr>
      <w:tr w:rsidR="0028593E" w:rsidRPr="00565DB3" w:rsidTr="004A7B5D">
        <w:tc>
          <w:tcPr>
            <w:tcW w:w="5063" w:type="dxa"/>
            <w:tcBorders>
              <w:top w:val="nil"/>
              <w:left w:val="nil"/>
              <w:right w:val="nil"/>
            </w:tcBorders>
          </w:tcPr>
          <w:p w:rsidR="0028593E" w:rsidRPr="00672E16"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72E16">
              <w:t>Proportion of clients contacted by a public mental health service within seven days post discharge into the community from a Health Directorate mental health inpatient unit</w:t>
            </w:r>
            <w:r w:rsidRPr="000D0ABB">
              <w:rPr>
                <w:vertAlign w:val="superscript"/>
              </w:rPr>
              <w:t>5</w:t>
            </w:r>
            <w:r>
              <w:rPr>
                <w:vertAlign w:val="superscript"/>
              </w:rPr>
              <w:t>,7</w:t>
            </w:r>
          </w:p>
        </w:tc>
        <w:tc>
          <w:tcPr>
            <w:tcW w:w="1429" w:type="dxa"/>
            <w:tcBorders>
              <w:top w:val="nil"/>
              <w:left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75%</w:t>
            </w:r>
          </w:p>
        </w:tc>
        <w:tc>
          <w:tcPr>
            <w:tcW w:w="1429" w:type="dxa"/>
            <w:tcBorders>
              <w:top w:val="nil"/>
              <w:left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85%</w:t>
            </w:r>
          </w:p>
        </w:tc>
        <w:tc>
          <w:tcPr>
            <w:tcW w:w="1429" w:type="dxa"/>
            <w:tcBorders>
              <w:top w:val="nil"/>
              <w:left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r>
      <w:tr w:rsidR="0028593E" w:rsidRPr="00565DB3" w:rsidTr="004A7B5D">
        <w:tc>
          <w:tcPr>
            <w:tcW w:w="5063" w:type="dxa"/>
            <w:tcBorders>
              <w:top w:val="nil"/>
              <w:left w:val="nil"/>
              <w:bottom w:val="nil"/>
              <w:right w:val="nil"/>
            </w:tcBorders>
          </w:tcPr>
          <w:p w:rsidR="0028593E"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Percentage of clients with outcome measures completed</w:t>
            </w:r>
            <w:r w:rsidRPr="000D0ABB">
              <w:rPr>
                <w:vertAlign w:val="superscript"/>
              </w:rPr>
              <w:t>5</w:t>
            </w:r>
            <w:r>
              <w:rPr>
                <w:vertAlign w:val="superscript"/>
              </w:rPr>
              <w:t>,7</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65%</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60%</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r>
      <w:tr w:rsidR="0028593E" w:rsidRPr="00AF3619" w:rsidTr="004A7B5D">
        <w:trPr>
          <w:trHeight w:val="224"/>
        </w:trPr>
        <w:tc>
          <w:tcPr>
            <w:tcW w:w="5063" w:type="dxa"/>
            <w:tcBorders>
              <w:top w:val="nil"/>
              <w:left w:val="nil"/>
              <w:bottom w:val="nil"/>
              <w:right w:val="nil"/>
            </w:tcBorders>
          </w:tcPr>
          <w:p w:rsidR="0028593E"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65DB3">
              <w:t>Cost weighted separations</w:t>
            </w:r>
            <w:r>
              <w:rPr>
                <w:vertAlign w:val="superscript"/>
              </w:rPr>
              <w:t>7</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3,004</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3,004</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r>
      <w:tr w:rsidR="0028593E" w:rsidRPr="00AF3619" w:rsidTr="004A7B5D">
        <w:trPr>
          <w:trHeight w:val="270"/>
        </w:trPr>
        <w:tc>
          <w:tcPr>
            <w:tcW w:w="5063" w:type="dxa"/>
            <w:tcBorders>
              <w:top w:val="nil"/>
              <w:left w:val="nil"/>
              <w:right w:val="nil"/>
            </w:tcBorders>
          </w:tcPr>
          <w:p w:rsidR="0028593E" w:rsidRPr="00565DB3"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Admitted patient separations</w:t>
            </w:r>
            <w:r>
              <w:rPr>
                <w:vertAlign w:val="superscript"/>
              </w:rPr>
              <w:t>7</w:t>
            </w:r>
          </w:p>
        </w:tc>
        <w:tc>
          <w:tcPr>
            <w:tcW w:w="1429" w:type="dxa"/>
            <w:tcBorders>
              <w:top w:val="nil"/>
              <w:left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830</w:t>
            </w:r>
          </w:p>
        </w:tc>
        <w:tc>
          <w:tcPr>
            <w:tcW w:w="1429" w:type="dxa"/>
            <w:tcBorders>
              <w:top w:val="nil"/>
              <w:left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950</w:t>
            </w:r>
          </w:p>
        </w:tc>
        <w:tc>
          <w:tcPr>
            <w:tcW w:w="1429" w:type="dxa"/>
            <w:tcBorders>
              <w:top w:val="nil"/>
              <w:left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r>
      <w:tr w:rsidR="0028593E" w:rsidRPr="00AF3619" w:rsidTr="004A7B5D">
        <w:trPr>
          <w:trHeight w:val="232"/>
        </w:trPr>
        <w:tc>
          <w:tcPr>
            <w:tcW w:w="5063" w:type="dxa"/>
            <w:tcBorders>
              <w:top w:val="nil"/>
              <w:left w:val="nil"/>
              <w:bottom w:val="nil"/>
              <w:right w:val="nil"/>
            </w:tcBorders>
          </w:tcPr>
          <w:p w:rsidR="0028593E" w:rsidRPr="00565DB3"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65DB3">
              <w:t>Children and youth services (0 - 17 years)</w:t>
            </w:r>
            <w:r>
              <w:rPr>
                <w:vertAlign w:val="superscript"/>
              </w:rPr>
              <w:t>3,7</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52,000</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48,000</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r>
      <w:tr w:rsidR="0028593E" w:rsidRPr="00AF3619" w:rsidTr="004A7B5D">
        <w:trPr>
          <w:trHeight w:val="208"/>
        </w:trPr>
        <w:tc>
          <w:tcPr>
            <w:tcW w:w="5063" w:type="dxa"/>
            <w:tcBorders>
              <w:top w:val="nil"/>
              <w:left w:val="nil"/>
              <w:bottom w:val="nil"/>
              <w:right w:val="nil"/>
            </w:tcBorders>
          </w:tcPr>
          <w:p w:rsidR="0028593E" w:rsidRPr="00565DB3"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65DB3">
              <w:t>Older persons’ services (65+ years)</w:t>
            </w:r>
            <w:r>
              <w:rPr>
                <w:vertAlign w:val="superscript"/>
              </w:rPr>
              <w:t>4,7</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17,000</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15,000</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r>
      <w:tr w:rsidR="0028593E" w:rsidRPr="00AF3619" w:rsidTr="004A7B5D">
        <w:trPr>
          <w:trHeight w:val="170"/>
        </w:trPr>
        <w:tc>
          <w:tcPr>
            <w:tcW w:w="5063" w:type="dxa"/>
            <w:tcBorders>
              <w:top w:val="nil"/>
              <w:left w:val="nil"/>
              <w:bottom w:val="nil"/>
              <w:right w:val="nil"/>
            </w:tcBorders>
          </w:tcPr>
          <w:p w:rsidR="0028593E" w:rsidRPr="00565DB3"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565DB3">
              <w:t xml:space="preserve">Older persons’ services </w:t>
            </w:r>
            <w:r>
              <w:t>bed days</w:t>
            </w:r>
            <w:r>
              <w:rPr>
                <w:vertAlign w:val="superscript"/>
              </w:rPr>
              <w:t>4,7</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4,928</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5,400</w:t>
            </w:r>
          </w:p>
        </w:tc>
        <w:tc>
          <w:tcPr>
            <w:tcW w:w="1429" w:type="dxa"/>
            <w:tcBorders>
              <w:top w:val="nil"/>
              <w:left w:val="nil"/>
              <w:bottom w:val="nil"/>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firstLine="0"/>
              <w:jc w:val="right"/>
            </w:pPr>
            <w:r w:rsidRPr="002E4C06">
              <w:t>n/a</w:t>
            </w:r>
          </w:p>
        </w:tc>
      </w:tr>
      <w:tr w:rsidR="0028593E" w:rsidRPr="00AF3619" w:rsidTr="004A7B5D">
        <w:trPr>
          <w:trHeight w:val="312"/>
        </w:trPr>
        <w:tc>
          <w:tcPr>
            <w:tcW w:w="5063" w:type="dxa"/>
            <w:tcBorders>
              <w:top w:val="nil"/>
              <w:left w:val="nil"/>
              <w:bottom w:val="single" w:sz="4" w:space="0" w:color="auto"/>
              <w:right w:val="nil"/>
            </w:tcBorders>
          </w:tcPr>
          <w:p w:rsidR="0028593E" w:rsidRDefault="0028593E" w:rsidP="003D782D">
            <w:pPr>
              <w:pStyle w:val="AIIndent"/>
              <w:numPr>
                <w:ilvl w:val="0"/>
                <w:numId w:val="43"/>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pPr>
            <w:r>
              <w:t>Supported accommodation bed occupancy rate</w:t>
            </w:r>
            <w:r w:rsidRPr="00F945FD">
              <w:rPr>
                <w:vertAlign w:val="superscript"/>
              </w:rPr>
              <w:t>6,7</w:t>
            </w:r>
          </w:p>
        </w:tc>
        <w:tc>
          <w:tcPr>
            <w:tcW w:w="1429" w:type="dxa"/>
            <w:tcBorders>
              <w:top w:val="nil"/>
              <w:left w:val="nil"/>
              <w:bottom w:val="single" w:sz="4" w:space="0" w:color="auto"/>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18" w:firstLine="0"/>
              <w:jc w:val="right"/>
            </w:pPr>
            <w:r w:rsidRPr="002E4C06">
              <w:t>95%</w:t>
            </w:r>
          </w:p>
        </w:tc>
        <w:tc>
          <w:tcPr>
            <w:tcW w:w="1429" w:type="dxa"/>
            <w:tcBorders>
              <w:top w:val="nil"/>
              <w:left w:val="nil"/>
              <w:bottom w:val="single" w:sz="4" w:space="0" w:color="auto"/>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18" w:firstLine="0"/>
              <w:jc w:val="right"/>
            </w:pPr>
            <w:r w:rsidRPr="002E4C06">
              <w:t>95%</w:t>
            </w:r>
          </w:p>
        </w:tc>
        <w:tc>
          <w:tcPr>
            <w:tcW w:w="1429" w:type="dxa"/>
            <w:tcBorders>
              <w:top w:val="nil"/>
              <w:left w:val="nil"/>
              <w:bottom w:val="single" w:sz="4" w:space="0" w:color="auto"/>
              <w:right w:val="nil"/>
            </w:tcBorders>
          </w:tcPr>
          <w:p w:rsidR="0028593E" w:rsidRPr="002E4C06" w:rsidRDefault="0028593E" w:rsidP="004A7B5D">
            <w:pPr>
              <w:pStyle w:val="AIIndent"/>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18" w:firstLine="0"/>
              <w:jc w:val="right"/>
            </w:pPr>
            <w:r w:rsidRPr="002E4C06">
              <w:t>n/a</w:t>
            </w:r>
          </w:p>
        </w:tc>
      </w:tr>
    </w:tbl>
    <w:p w:rsidR="0028593E" w:rsidRPr="002E4C06" w:rsidRDefault="0028593E" w:rsidP="002E4C06">
      <w:pPr>
        <w:pStyle w:val="NoteHeading"/>
      </w:pPr>
      <w:r w:rsidRPr="002E4C06">
        <w:t>Notes:</w:t>
      </w:r>
    </w:p>
    <w:p w:rsidR="0028593E" w:rsidRPr="0053036A" w:rsidRDefault="007E2904" w:rsidP="003D782D">
      <w:pPr>
        <w:pStyle w:val="AINotes"/>
        <w:numPr>
          <w:ilvl w:val="0"/>
          <w:numId w:val="32"/>
        </w:numPr>
        <w:tabs>
          <w:tab w:val="clear" w:pos="357"/>
          <w:tab w:val="num" w:pos="284"/>
        </w:tabs>
        <w:ind w:left="284" w:hanging="284"/>
      </w:pPr>
      <w:r>
        <w:t>NWAU</w:t>
      </w:r>
      <w:r w:rsidR="0028593E" w:rsidRPr="0053036A">
        <w:t xml:space="preserve"> has replaced cost weighted separation and occasions of service as the activity measure </w:t>
      </w:r>
      <w:r w:rsidR="0028593E">
        <w:t xml:space="preserve">following </w:t>
      </w:r>
      <w:r w:rsidR="0028593E" w:rsidRPr="0053036A">
        <w:t xml:space="preserve">the implementation of the </w:t>
      </w:r>
      <w:r w:rsidR="0028593E">
        <w:t>NHRA</w:t>
      </w:r>
      <w:r w:rsidR="0028593E" w:rsidRPr="0053036A">
        <w:t>.</w:t>
      </w:r>
      <w:r w:rsidR="0028593E">
        <w:t xml:space="preserve">  </w:t>
      </w:r>
      <w:r w:rsidR="0028593E" w:rsidRPr="0017487D">
        <w:t>NWAU {13} is the currency as defined by the Independent Hospital Pricing Authority in the Na</w:t>
      </w:r>
      <w:r w:rsidR="00064D48">
        <w:t>tional Price Determination 2013</w:t>
      </w:r>
      <w:r w:rsidR="00064D48">
        <w:noBreakHyphen/>
      </w:r>
      <w:r w:rsidR="0028593E" w:rsidRPr="0017487D">
        <w:t>14.</w:t>
      </w:r>
    </w:p>
    <w:p w:rsidR="0028593E" w:rsidRPr="00B8723E" w:rsidRDefault="0028593E" w:rsidP="003D782D">
      <w:pPr>
        <w:pStyle w:val="AINotes"/>
        <w:numPr>
          <w:ilvl w:val="0"/>
          <w:numId w:val="32"/>
        </w:numPr>
        <w:tabs>
          <w:tab w:val="clear" w:pos="357"/>
          <w:tab w:val="num" w:pos="284"/>
        </w:tabs>
        <w:ind w:left="284" w:hanging="284"/>
      </w:pPr>
      <w:r w:rsidRPr="00B8723E">
        <w:t xml:space="preserve">Reflects </w:t>
      </w:r>
      <w:r w:rsidR="007E2904">
        <w:t xml:space="preserve">the </w:t>
      </w:r>
      <w:r w:rsidRPr="00B8723E">
        <w:t xml:space="preserve">community component of adult mental health services. Includes all community mental health services included in program area. This consists of Belconnen, City, Tuggeranong, Woden, Gungahlin, </w:t>
      </w:r>
      <w:proofErr w:type="gramStart"/>
      <w:r>
        <w:t>Children</w:t>
      </w:r>
      <w:proofErr w:type="gramEnd"/>
      <w:r>
        <w:t xml:space="preserve"> of Parents with a Mental Illness (</w:t>
      </w:r>
      <w:r w:rsidRPr="00B8723E">
        <w:t>COPMI</w:t>
      </w:r>
      <w:r>
        <w:t>)</w:t>
      </w:r>
      <w:r w:rsidRPr="00B8723E">
        <w:t xml:space="preserve"> community mental health services.</w:t>
      </w:r>
    </w:p>
    <w:p w:rsidR="0028593E" w:rsidRPr="00B8723E" w:rsidRDefault="0028593E" w:rsidP="003D782D">
      <w:pPr>
        <w:pStyle w:val="AINotes"/>
        <w:numPr>
          <w:ilvl w:val="0"/>
          <w:numId w:val="32"/>
        </w:numPr>
        <w:tabs>
          <w:tab w:val="clear" w:pos="357"/>
          <w:tab w:val="num" w:pos="284"/>
        </w:tabs>
        <w:ind w:left="284" w:hanging="284"/>
      </w:pPr>
      <w:r w:rsidRPr="00B8723E">
        <w:t xml:space="preserve">Reflects community program of Child and Adolescent Mental Health Services (CAMHS) and youth services. Includes CAMHS North and South, The Cottage, </w:t>
      </w:r>
      <w:r w:rsidR="008F3EE2">
        <w:t xml:space="preserve">Dialectical Behaviour Therapy (DBT) </w:t>
      </w:r>
      <w:r w:rsidRPr="00B8723E">
        <w:t xml:space="preserve">Program, CAMHS Early Intervention, </w:t>
      </w:r>
      <w:proofErr w:type="spellStart"/>
      <w:r w:rsidRPr="00B8723E">
        <w:t>Perinatal</w:t>
      </w:r>
      <w:proofErr w:type="spellEnd"/>
      <w:r w:rsidRPr="00B8723E">
        <w:t xml:space="preserve"> M</w:t>
      </w:r>
      <w:r>
        <w:t xml:space="preserve">ental </w:t>
      </w:r>
      <w:r w:rsidRPr="00B8723E">
        <w:t>H</w:t>
      </w:r>
      <w:r>
        <w:t>ealth</w:t>
      </w:r>
      <w:r w:rsidRPr="00B8723E">
        <w:t xml:space="preserve"> Consultation and Eating Disorders Program (EDP).</w:t>
      </w:r>
    </w:p>
    <w:p w:rsidR="0028593E" w:rsidRDefault="0028593E" w:rsidP="003D782D">
      <w:pPr>
        <w:pStyle w:val="AINotes"/>
        <w:numPr>
          <w:ilvl w:val="0"/>
          <w:numId w:val="32"/>
        </w:numPr>
        <w:tabs>
          <w:tab w:val="clear" w:pos="357"/>
          <w:tab w:val="num" w:pos="284"/>
        </w:tabs>
        <w:ind w:left="284" w:hanging="284"/>
      </w:pPr>
      <w:r w:rsidRPr="00B8723E">
        <w:t xml:space="preserve">To replace “Older Persons’ services”. </w:t>
      </w:r>
      <w:r w:rsidR="002E4C06">
        <w:t xml:space="preserve"> </w:t>
      </w:r>
      <w:r w:rsidRPr="00B8723E">
        <w:t xml:space="preserve">Indicator reflects community program of ACT wide Mental Health Services. This program includes Aboriginal and Torres Strait Islander Services, </w:t>
      </w:r>
      <w:r>
        <w:t>Mobile Intensive Treatment Team (</w:t>
      </w:r>
      <w:r w:rsidRPr="00B8723E">
        <w:t>MITT</w:t>
      </w:r>
      <w:r>
        <w:t>)</w:t>
      </w:r>
      <w:r w:rsidRPr="00B8723E">
        <w:t xml:space="preserve"> North, M</w:t>
      </w:r>
      <w:r>
        <w:t xml:space="preserve">ental </w:t>
      </w:r>
      <w:r w:rsidRPr="00B8723E">
        <w:t>H</w:t>
      </w:r>
      <w:r>
        <w:t xml:space="preserve">ealth </w:t>
      </w:r>
      <w:r w:rsidRPr="00B8723E">
        <w:t>S</w:t>
      </w:r>
      <w:r>
        <w:t>ervice</w:t>
      </w:r>
      <w:r w:rsidRPr="00B8723E">
        <w:t xml:space="preserve"> Intellectual Disability, Neuropsychology, Mental Health Dual Diagnosis, </w:t>
      </w:r>
      <w:r>
        <w:t>Crisis Assessment and Treatment Team (</w:t>
      </w:r>
      <w:r w:rsidRPr="00B8723E">
        <w:t>CATT</w:t>
      </w:r>
      <w:r>
        <w:t>)</w:t>
      </w:r>
      <w:r w:rsidRPr="00B8723E">
        <w:t>, Older Persons M</w:t>
      </w:r>
      <w:r>
        <w:t xml:space="preserve">ental </w:t>
      </w:r>
      <w:r w:rsidRPr="00B8723E">
        <w:t>H</w:t>
      </w:r>
      <w:r>
        <w:t>ealth</w:t>
      </w:r>
      <w:r w:rsidRPr="00B8723E">
        <w:t xml:space="preserve"> community team.</w:t>
      </w:r>
    </w:p>
    <w:p w:rsidR="0028593E" w:rsidRDefault="0028593E" w:rsidP="003D782D">
      <w:pPr>
        <w:pStyle w:val="AINotes"/>
        <w:numPr>
          <w:ilvl w:val="0"/>
          <w:numId w:val="32"/>
        </w:numPr>
        <w:tabs>
          <w:tab w:val="clear" w:pos="357"/>
          <w:tab w:val="num" w:pos="284"/>
        </w:tabs>
        <w:ind w:left="284" w:hanging="284"/>
      </w:pPr>
      <w:r>
        <w:t>These measures have moved to the ACT LHN (accountability indicator 1. e and f).</w:t>
      </w:r>
    </w:p>
    <w:p w:rsidR="0028593E" w:rsidRDefault="0028593E" w:rsidP="003D782D">
      <w:pPr>
        <w:pStyle w:val="AINotes"/>
        <w:numPr>
          <w:ilvl w:val="0"/>
          <w:numId w:val="32"/>
        </w:numPr>
        <w:tabs>
          <w:tab w:val="clear" w:pos="357"/>
          <w:tab w:val="num" w:pos="284"/>
        </w:tabs>
        <w:ind w:left="284" w:hanging="284"/>
      </w:pPr>
      <w:r>
        <w:t xml:space="preserve">This </w:t>
      </w:r>
      <w:r w:rsidRPr="00553316">
        <w:t xml:space="preserve">will be in transition through </w:t>
      </w:r>
      <w:proofErr w:type="spellStart"/>
      <w:r w:rsidRPr="00553316">
        <w:t>Disability</w:t>
      </w:r>
      <w:r w:rsidR="007E2904">
        <w:t>Care</w:t>
      </w:r>
      <w:proofErr w:type="spellEnd"/>
      <w:r w:rsidR="007E2904">
        <w:t xml:space="preserve">, </w:t>
      </w:r>
      <w:r w:rsidRPr="00553316">
        <w:t xml:space="preserve">and under the </w:t>
      </w:r>
      <w:r w:rsidR="00D0581E">
        <w:t>operational</w:t>
      </w:r>
      <w:r w:rsidRPr="00553316">
        <w:t xml:space="preserve"> responsibility of </w:t>
      </w:r>
      <w:proofErr w:type="spellStart"/>
      <w:r w:rsidRPr="00553316">
        <w:t>DisabilityCare</w:t>
      </w:r>
      <w:proofErr w:type="spellEnd"/>
      <w:r w:rsidRPr="00553316">
        <w:t xml:space="preserve"> </w:t>
      </w:r>
      <w:r>
        <w:t>starting 1 July 2014.</w:t>
      </w:r>
    </w:p>
    <w:p w:rsidR="0028593E" w:rsidRDefault="0028593E" w:rsidP="003D782D">
      <w:pPr>
        <w:pStyle w:val="AINotes"/>
        <w:numPr>
          <w:ilvl w:val="0"/>
          <w:numId w:val="32"/>
        </w:numPr>
        <w:tabs>
          <w:tab w:val="clear" w:pos="357"/>
          <w:tab w:val="num" w:pos="284"/>
        </w:tabs>
        <w:ind w:left="284" w:hanging="284"/>
      </w:pPr>
      <w:r>
        <w:t>Discontinued measure.</w:t>
      </w:r>
    </w:p>
    <w:p w:rsidR="0028593E" w:rsidRDefault="0028593E" w:rsidP="003D782D">
      <w:pPr>
        <w:pStyle w:val="AINotes"/>
        <w:numPr>
          <w:ilvl w:val="0"/>
          <w:numId w:val="32"/>
        </w:numPr>
        <w:tabs>
          <w:tab w:val="clear" w:pos="357"/>
          <w:tab w:val="num" w:pos="284"/>
        </w:tabs>
        <w:ind w:left="284" w:hanging="284"/>
      </w:pPr>
      <w:r>
        <w:t>New measure.</w:t>
      </w:r>
    </w:p>
    <w:p w:rsidR="004A7B5D" w:rsidRDefault="004A7B5D" w:rsidP="002E4C06">
      <w:pPr>
        <w:pStyle w:val="Heading3TopofPage"/>
        <w:sectPr w:rsidR="004A7B5D" w:rsidSect="00EA506D">
          <w:footerReference w:type="default" r:id="rId8"/>
          <w:pgSz w:w="11907" w:h="16840" w:code="9"/>
          <w:pgMar w:top="1151" w:right="1440" w:bottom="1729" w:left="1440" w:header="720" w:footer="720" w:gutter="0"/>
          <w:pgNumType w:start="85"/>
          <w:cols w:space="720"/>
        </w:sectPr>
      </w:pPr>
    </w:p>
    <w:p w:rsidR="00723135" w:rsidRDefault="00723135" w:rsidP="002E4C06">
      <w:pPr>
        <w:pStyle w:val="Heading3TopofPage"/>
      </w:pPr>
      <w:proofErr w:type="gramStart"/>
      <w:r w:rsidRPr="00565DB3">
        <w:lastRenderedPageBreak/>
        <w:t>Accountability Indicators</w:t>
      </w:r>
      <w:r>
        <w:t xml:space="preserve"> cont.</w:t>
      </w:r>
      <w:proofErr w:type="gramEnd"/>
    </w:p>
    <w:tbl>
      <w:tblPr>
        <w:tblW w:w="9100" w:type="dxa"/>
        <w:tblLayout w:type="fixed"/>
        <w:tblLook w:val="0000"/>
      </w:tblPr>
      <w:tblGrid>
        <w:gridCol w:w="4918"/>
        <w:gridCol w:w="1394"/>
        <w:gridCol w:w="1394"/>
        <w:gridCol w:w="1394"/>
      </w:tblGrid>
      <w:tr w:rsidR="0028593E" w:rsidRPr="00565DB3" w:rsidTr="004A7B5D">
        <w:trPr>
          <w:trHeight w:val="284"/>
        </w:trPr>
        <w:tc>
          <w:tcPr>
            <w:tcW w:w="5063" w:type="dxa"/>
            <w:tcBorders>
              <w:top w:val="single" w:sz="4" w:space="0" w:color="auto"/>
              <w:left w:val="nil"/>
              <w:bottom w:val="single" w:sz="4" w:space="0" w:color="auto"/>
              <w:right w:val="nil"/>
            </w:tcBorders>
          </w:tcPr>
          <w:p w:rsidR="0028593E" w:rsidRPr="00565DB3" w:rsidRDefault="0028593E" w:rsidP="00285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2012-13</w:t>
            </w:r>
          </w:p>
          <w:p w:rsidR="0028593E" w:rsidRPr="00565DB3" w:rsidRDefault="0028593E" w:rsidP="0028593E">
            <w:pPr>
              <w:pStyle w:val="TableTextRightBold-BP410pt"/>
            </w:pPr>
            <w:r w:rsidRPr="00565DB3">
              <w:t>Targets</w:t>
            </w: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2012-13</w:t>
            </w:r>
          </w:p>
          <w:p w:rsidR="0028593E" w:rsidRPr="00565DB3" w:rsidRDefault="0028593E" w:rsidP="0028593E">
            <w:pPr>
              <w:pStyle w:val="TableTextRightBold-BP410pt"/>
            </w:pPr>
            <w:r w:rsidRPr="00565DB3">
              <w:t>Est. Outcome</w:t>
            </w: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2013-14</w:t>
            </w:r>
          </w:p>
          <w:p w:rsidR="0028593E" w:rsidRPr="00565DB3" w:rsidRDefault="0028593E" w:rsidP="0028593E">
            <w:pPr>
              <w:pStyle w:val="TableTextRightBold-BP410pt"/>
            </w:pPr>
            <w:r w:rsidRPr="00565DB3">
              <w:t>Targets</w:t>
            </w:r>
          </w:p>
        </w:tc>
      </w:tr>
      <w:tr w:rsidR="0028593E" w:rsidRPr="000E0648" w:rsidTr="000E0648">
        <w:trPr>
          <w:gridAfter w:val="3"/>
          <w:wAfter w:w="4179" w:type="dxa"/>
          <w:trHeight w:val="284"/>
        </w:trPr>
        <w:tc>
          <w:tcPr>
            <w:tcW w:w="5063" w:type="dxa"/>
            <w:tcBorders>
              <w:top w:val="single" w:sz="4" w:space="0" w:color="auto"/>
              <w:left w:val="nil"/>
              <w:bottom w:val="single" w:sz="4" w:space="0" w:color="auto"/>
              <w:right w:val="nil"/>
            </w:tcBorders>
            <w:vAlign w:val="center"/>
          </w:tcPr>
          <w:p w:rsidR="0028593E" w:rsidRPr="000E0648" w:rsidRDefault="0028593E" w:rsidP="000E0648">
            <w:pPr>
              <w:pStyle w:val="TableTextRight-BP410pt"/>
              <w:jc w:val="left"/>
              <w:rPr>
                <w:b/>
              </w:rPr>
            </w:pPr>
            <w:r w:rsidRPr="000E0648">
              <w:rPr>
                <w:b/>
              </w:rPr>
              <w:t>Output 1.3:  Public Health Services</w:t>
            </w:r>
          </w:p>
        </w:tc>
      </w:tr>
      <w:tr w:rsidR="0028593E" w:rsidRPr="008E146D" w:rsidTr="004A7B5D">
        <w:trPr>
          <w:trHeight w:val="284"/>
        </w:trPr>
        <w:tc>
          <w:tcPr>
            <w:tcW w:w="5063" w:type="dxa"/>
            <w:tcBorders>
              <w:top w:val="nil"/>
              <w:left w:val="nil"/>
              <w:bottom w:val="nil"/>
              <w:right w:val="nil"/>
            </w:tcBorders>
          </w:tcPr>
          <w:p w:rsidR="0028593E" w:rsidRPr="00565DB3" w:rsidRDefault="0028593E" w:rsidP="003D782D">
            <w:pPr>
              <w:pStyle w:val="AIIndent"/>
              <w:numPr>
                <w:ilvl w:val="0"/>
                <w:numId w:val="28"/>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565DB3">
              <w:t>Samples analysed</w:t>
            </w:r>
          </w:p>
        </w:tc>
        <w:tc>
          <w:tcPr>
            <w:tcW w:w="1429" w:type="dxa"/>
            <w:tcBorders>
              <w:top w:val="single" w:sz="4" w:space="0" w:color="auto"/>
              <w:left w:val="nil"/>
              <w:bottom w:val="nil"/>
              <w:right w:val="nil"/>
            </w:tcBorders>
          </w:tcPr>
          <w:p w:rsidR="0028593E" w:rsidRPr="002E4C06" w:rsidRDefault="0028593E" w:rsidP="004A7B5D">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18" w:firstLine="0"/>
              <w:jc w:val="right"/>
            </w:pPr>
            <w:r w:rsidRPr="002E4C06">
              <w:t>7,600</w:t>
            </w:r>
          </w:p>
        </w:tc>
        <w:tc>
          <w:tcPr>
            <w:tcW w:w="1429" w:type="dxa"/>
            <w:tcBorders>
              <w:top w:val="single" w:sz="4" w:space="0" w:color="auto"/>
              <w:left w:val="nil"/>
              <w:bottom w:val="nil"/>
              <w:right w:val="nil"/>
            </w:tcBorders>
          </w:tcPr>
          <w:p w:rsidR="0028593E" w:rsidRPr="002E4C06" w:rsidRDefault="0028593E" w:rsidP="004A7B5D">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18" w:firstLine="0"/>
              <w:jc w:val="right"/>
            </w:pPr>
            <w:r w:rsidRPr="002E4C06">
              <w:t>7,600</w:t>
            </w:r>
          </w:p>
        </w:tc>
        <w:tc>
          <w:tcPr>
            <w:tcW w:w="1429" w:type="dxa"/>
            <w:tcBorders>
              <w:top w:val="single" w:sz="4" w:space="0" w:color="auto"/>
              <w:left w:val="nil"/>
              <w:bottom w:val="nil"/>
              <w:right w:val="nil"/>
            </w:tcBorders>
          </w:tcPr>
          <w:p w:rsidR="0028593E" w:rsidRPr="002E4C06" w:rsidRDefault="0028593E" w:rsidP="004A7B5D">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18" w:firstLine="0"/>
              <w:jc w:val="right"/>
            </w:pPr>
            <w:r w:rsidRPr="002E4C06">
              <w:t>7,800</w:t>
            </w:r>
          </w:p>
        </w:tc>
      </w:tr>
      <w:tr w:rsidR="0028593E" w:rsidRPr="008E146D" w:rsidTr="004A7B5D">
        <w:trPr>
          <w:trHeight w:val="284"/>
        </w:trPr>
        <w:tc>
          <w:tcPr>
            <w:tcW w:w="5063" w:type="dxa"/>
            <w:tcBorders>
              <w:top w:val="nil"/>
              <w:left w:val="nil"/>
              <w:bottom w:val="nil"/>
              <w:right w:val="nil"/>
            </w:tcBorders>
          </w:tcPr>
          <w:p w:rsidR="0028593E" w:rsidRPr="00565DB3" w:rsidRDefault="0028593E" w:rsidP="003D782D">
            <w:pPr>
              <w:pStyle w:val="AIIndent"/>
              <w:numPr>
                <w:ilvl w:val="0"/>
                <w:numId w:val="28"/>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w:t>
            </w:r>
            <w:r w:rsidRPr="00565DB3">
              <w:t>ompliance of licensable, registrable and non</w:t>
            </w:r>
            <w:r>
              <w:t> licens</w:t>
            </w:r>
            <w:r w:rsidRPr="00565DB3">
              <w:t>able activities</w:t>
            </w:r>
            <w:r>
              <w:t xml:space="preserve"> at time of inspection</w:t>
            </w:r>
          </w:p>
        </w:tc>
        <w:tc>
          <w:tcPr>
            <w:tcW w:w="1429" w:type="dxa"/>
            <w:tcBorders>
              <w:top w:val="nil"/>
              <w:left w:val="nil"/>
              <w:bottom w:val="nil"/>
              <w:right w:val="nil"/>
            </w:tcBorders>
          </w:tcPr>
          <w:p w:rsidR="0028593E" w:rsidRPr="002E4C06" w:rsidRDefault="0028593E" w:rsidP="004A7B5D">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2E4C06">
              <w:t>85%</w:t>
            </w:r>
          </w:p>
        </w:tc>
        <w:tc>
          <w:tcPr>
            <w:tcW w:w="1429" w:type="dxa"/>
            <w:tcBorders>
              <w:top w:val="nil"/>
              <w:left w:val="nil"/>
              <w:bottom w:val="nil"/>
              <w:right w:val="nil"/>
            </w:tcBorders>
          </w:tcPr>
          <w:p w:rsidR="0028593E" w:rsidRPr="002E4C06" w:rsidRDefault="0028593E" w:rsidP="004A7B5D">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2E4C06">
              <w:t>80%</w:t>
            </w:r>
            <w:r w:rsidR="000F0628">
              <w:rPr>
                <w:vertAlign w:val="superscript"/>
              </w:rPr>
              <w:t>1</w:t>
            </w:r>
          </w:p>
        </w:tc>
        <w:tc>
          <w:tcPr>
            <w:tcW w:w="1429" w:type="dxa"/>
            <w:tcBorders>
              <w:top w:val="nil"/>
              <w:left w:val="nil"/>
              <w:bottom w:val="nil"/>
              <w:right w:val="nil"/>
            </w:tcBorders>
          </w:tcPr>
          <w:p w:rsidR="0028593E" w:rsidRPr="002E4C06" w:rsidRDefault="0028593E" w:rsidP="004A7B5D">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2E4C06">
              <w:t>85%</w:t>
            </w:r>
          </w:p>
        </w:tc>
      </w:tr>
      <w:tr w:rsidR="0028593E" w:rsidRPr="008E146D" w:rsidTr="004A7B5D">
        <w:trPr>
          <w:trHeight w:val="284"/>
        </w:trPr>
        <w:tc>
          <w:tcPr>
            <w:tcW w:w="5063" w:type="dxa"/>
            <w:tcBorders>
              <w:top w:val="nil"/>
              <w:left w:val="nil"/>
              <w:bottom w:val="single" w:sz="4" w:space="0" w:color="auto"/>
              <w:right w:val="nil"/>
            </w:tcBorders>
          </w:tcPr>
          <w:p w:rsidR="0028593E" w:rsidRPr="00565DB3" w:rsidRDefault="0028593E" w:rsidP="003D782D">
            <w:pPr>
              <w:pStyle w:val="AIIndent"/>
              <w:numPr>
                <w:ilvl w:val="0"/>
                <w:numId w:val="28"/>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565DB3">
              <w:t>Response time to environmental health hazards, communicable disease hazards relating to measles and meningococcal infections and food poisoning outbreaks is less than 24 hours</w:t>
            </w:r>
          </w:p>
        </w:tc>
        <w:tc>
          <w:tcPr>
            <w:tcW w:w="1429" w:type="dxa"/>
            <w:tcBorders>
              <w:top w:val="nil"/>
              <w:left w:val="nil"/>
              <w:bottom w:val="single" w:sz="4" w:space="0" w:color="auto"/>
              <w:right w:val="nil"/>
            </w:tcBorders>
          </w:tcPr>
          <w:p w:rsidR="0028593E" w:rsidRPr="002E4C06" w:rsidRDefault="0028593E" w:rsidP="004A7B5D">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8" w:firstLine="0"/>
              <w:jc w:val="right"/>
            </w:pPr>
            <w:r w:rsidRPr="002E4C06">
              <w:t>100%</w:t>
            </w:r>
          </w:p>
        </w:tc>
        <w:tc>
          <w:tcPr>
            <w:tcW w:w="1429" w:type="dxa"/>
            <w:tcBorders>
              <w:top w:val="nil"/>
              <w:left w:val="nil"/>
              <w:bottom w:val="single" w:sz="4" w:space="0" w:color="auto"/>
              <w:right w:val="nil"/>
            </w:tcBorders>
          </w:tcPr>
          <w:p w:rsidR="0028593E" w:rsidRPr="002E4C06" w:rsidRDefault="0028593E" w:rsidP="004A7B5D">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8" w:firstLine="0"/>
              <w:jc w:val="right"/>
            </w:pPr>
            <w:r w:rsidRPr="002E4C06">
              <w:t>100%</w:t>
            </w:r>
          </w:p>
        </w:tc>
        <w:tc>
          <w:tcPr>
            <w:tcW w:w="1429" w:type="dxa"/>
            <w:tcBorders>
              <w:top w:val="nil"/>
              <w:left w:val="nil"/>
              <w:bottom w:val="single" w:sz="4" w:space="0" w:color="auto"/>
              <w:right w:val="nil"/>
            </w:tcBorders>
          </w:tcPr>
          <w:p w:rsidR="0028593E" w:rsidRPr="002E4C06" w:rsidRDefault="0028593E" w:rsidP="004A7B5D">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8" w:firstLine="0"/>
              <w:jc w:val="right"/>
            </w:pPr>
            <w:r w:rsidRPr="002E4C06">
              <w:t>100%</w:t>
            </w:r>
          </w:p>
        </w:tc>
      </w:tr>
    </w:tbl>
    <w:p w:rsidR="0028593E" w:rsidRPr="002E4C06" w:rsidRDefault="0028593E" w:rsidP="002E4C06">
      <w:pPr>
        <w:pStyle w:val="NoteHeading"/>
      </w:pPr>
      <w:r w:rsidRPr="002E4C06">
        <w:t>Note:</w:t>
      </w:r>
    </w:p>
    <w:p w:rsidR="0028593E" w:rsidRDefault="0028593E" w:rsidP="003D782D">
      <w:pPr>
        <w:pStyle w:val="AINotes"/>
        <w:numPr>
          <w:ilvl w:val="0"/>
          <w:numId w:val="34"/>
        </w:numPr>
        <w:ind w:left="284" w:hanging="284"/>
      </w:pPr>
      <w:r w:rsidRPr="002E4C06">
        <w:t>An increase in non compliant premises identified through routine inspections, complaint based inspections and re-inspections of non compliant premises.</w:t>
      </w:r>
    </w:p>
    <w:p w:rsidR="004A7B5D" w:rsidRPr="002F5569" w:rsidRDefault="004A7B5D" w:rsidP="004A7B5D">
      <w:pPr>
        <w:pStyle w:val="AINotes"/>
        <w:numPr>
          <w:ilvl w:val="0"/>
          <w:numId w:val="0"/>
        </w:numPr>
        <w:ind w:left="357"/>
        <w:rPr>
          <w:sz w:val="24"/>
          <w:szCs w:val="24"/>
        </w:rPr>
      </w:pPr>
    </w:p>
    <w:tbl>
      <w:tblPr>
        <w:tblW w:w="9100" w:type="dxa"/>
        <w:tblLayout w:type="fixed"/>
        <w:tblLook w:val="0000"/>
      </w:tblPr>
      <w:tblGrid>
        <w:gridCol w:w="4921"/>
        <w:gridCol w:w="1393"/>
        <w:gridCol w:w="1393"/>
        <w:gridCol w:w="1393"/>
      </w:tblGrid>
      <w:tr w:rsidR="0028593E" w:rsidRPr="00DB4660" w:rsidTr="002E4C06">
        <w:trPr>
          <w:trHeight w:val="284"/>
        </w:trPr>
        <w:tc>
          <w:tcPr>
            <w:tcW w:w="5068" w:type="dxa"/>
            <w:tcBorders>
              <w:top w:val="single" w:sz="4" w:space="0" w:color="auto"/>
              <w:left w:val="nil"/>
              <w:bottom w:val="single" w:sz="4" w:space="0" w:color="auto"/>
              <w:right w:val="nil"/>
            </w:tcBorders>
          </w:tcPr>
          <w:p w:rsidR="0028593E" w:rsidRPr="00DB4660" w:rsidRDefault="0028593E" w:rsidP="00285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rPr>
            </w:pP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2012-13</w:t>
            </w:r>
          </w:p>
          <w:p w:rsidR="0028593E" w:rsidRPr="00565DB3" w:rsidRDefault="0028593E" w:rsidP="0028593E">
            <w:pPr>
              <w:pStyle w:val="TableTextRightBold-BP410pt"/>
            </w:pPr>
            <w:r w:rsidRPr="00565DB3">
              <w:t>Targets</w:t>
            </w: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2012-13</w:t>
            </w:r>
          </w:p>
          <w:p w:rsidR="0028593E" w:rsidRPr="00565DB3" w:rsidRDefault="0028593E" w:rsidP="0028593E">
            <w:pPr>
              <w:pStyle w:val="TableTextRightBold-BP410pt"/>
            </w:pPr>
            <w:r w:rsidRPr="00565DB3">
              <w:t>Est. Outcome</w:t>
            </w: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2013-14</w:t>
            </w:r>
          </w:p>
          <w:p w:rsidR="0028593E" w:rsidRPr="00565DB3" w:rsidRDefault="0028593E" w:rsidP="0028593E">
            <w:pPr>
              <w:pStyle w:val="TableTextRightBold-BP410pt"/>
            </w:pPr>
            <w:r w:rsidRPr="00565DB3">
              <w:t>Targets</w:t>
            </w:r>
          </w:p>
        </w:tc>
      </w:tr>
      <w:tr w:rsidR="0028593E" w:rsidRPr="000E0648" w:rsidTr="000E0648">
        <w:trPr>
          <w:gridAfter w:val="3"/>
          <w:wAfter w:w="4287" w:type="dxa"/>
          <w:trHeight w:val="284"/>
        </w:trPr>
        <w:tc>
          <w:tcPr>
            <w:tcW w:w="5068" w:type="dxa"/>
            <w:tcBorders>
              <w:top w:val="single" w:sz="4" w:space="0" w:color="auto"/>
              <w:left w:val="nil"/>
              <w:bottom w:val="single" w:sz="4" w:space="0" w:color="auto"/>
              <w:right w:val="nil"/>
            </w:tcBorders>
            <w:vAlign w:val="center"/>
          </w:tcPr>
          <w:p w:rsidR="0028593E" w:rsidRPr="000E0648" w:rsidRDefault="0028593E" w:rsidP="000E0648">
            <w:pPr>
              <w:pStyle w:val="TableTextRight-BP410pt"/>
              <w:jc w:val="left"/>
              <w:rPr>
                <w:b/>
              </w:rPr>
            </w:pPr>
            <w:r w:rsidRPr="000E0648">
              <w:rPr>
                <w:b/>
              </w:rPr>
              <w:t>Output 1.4:  Cancer Services</w:t>
            </w:r>
          </w:p>
        </w:tc>
      </w:tr>
      <w:tr w:rsidR="0028593E" w:rsidRPr="00DB4660" w:rsidTr="002917F4">
        <w:trPr>
          <w:trHeight w:val="167"/>
        </w:trPr>
        <w:tc>
          <w:tcPr>
            <w:tcW w:w="5068" w:type="dxa"/>
            <w:tcBorders>
              <w:top w:val="nil"/>
              <w:left w:val="nil"/>
              <w:bottom w:val="nil"/>
              <w:right w:val="nil"/>
            </w:tcBorders>
          </w:tcPr>
          <w:p w:rsidR="0028593E" w:rsidRPr="002917F4" w:rsidRDefault="0028593E" w:rsidP="003D782D">
            <w:pPr>
              <w:pStyle w:val="AIIndent"/>
              <w:numPr>
                <w:ilvl w:val="0"/>
                <w:numId w:val="3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Admitted – National Weighted Activity Units {13}</w:t>
            </w:r>
            <w:r w:rsidRPr="00DB717E">
              <w:rPr>
                <w:vertAlign w:val="superscript"/>
              </w:rPr>
              <w:t>1,3</w:t>
            </w:r>
          </w:p>
        </w:tc>
        <w:tc>
          <w:tcPr>
            <w:tcW w:w="1429" w:type="dxa"/>
            <w:tcBorders>
              <w:top w:val="single" w:sz="4" w:space="0" w:color="auto"/>
              <w:left w:val="nil"/>
              <w:bottom w:val="nil"/>
              <w:right w:val="nil"/>
            </w:tcBorders>
          </w:tcPr>
          <w:p w:rsidR="0028593E" w:rsidRDefault="0028593E" w:rsidP="002F5569">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18" w:firstLine="0"/>
              <w:jc w:val="right"/>
            </w:pPr>
            <w:r>
              <w:t>n/a</w:t>
            </w:r>
          </w:p>
        </w:tc>
        <w:tc>
          <w:tcPr>
            <w:tcW w:w="1429" w:type="dxa"/>
            <w:tcBorders>
              <w:top w:val="single" w:sz="4" w:space="0" w:color="auto"/>
              <w:left w:val="nil"/>
              <w:bottom w:val="nil"/>
              <w:right w:val="nil"/>
            </w:tcBorders>
          </w:tcPr>
          <w:p w:rsidR="0028593E" w:rsidRDefault="0028593E" w:rsidP="002F5569">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18" w:firstLine="0"/>
              <w:jc w:val="right"/>
            </w:pPr>
            <w:r>
              <w:t>n/a</w:t>
            </w:r>
          </w:p>
        </w:tc>
        <w:tc>
          <w:tcPr>
            <w:tcW w:w="1429" w:type="dxa"/>
            <w:tcBorders>
              <w:top w:val="single" w:sz="4" w:space="0" w:color="auto"/>
              <w:left w:val="nil"/>
              <w:bottom w:val="nil"/>
              <w:right w:val="nil"/>
            </w:tcBorders>
          </w:tcPr>
          <w:p w:rsidR="0028593E" w:rsidRPr="00DB4660" w:rsidRDefault="0028593E" w:rsidP="002F5569">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18" w:firstLine="0"/>
              <w:jc w:val="right"/>
            </w:pPr>
            <w:r>
              <w:t>4,570</w:t>
            </w:r>
          </w:p>
        </w:tc>
      </w:tr>
      <w:tr w:rsidR="0028593E" w:rsidRPr="00DB4660" w:rsidTr="00D0581E">
        <w:trPr>
          <w:trHeight w:val="284"/>
        </w:trPr>
        <w:tc>
          <w:tcPr>
            <w:tcW w:w="5068" w:type="dxa"/>
            <w:tcBorders>
              <w:top w:val="nil"/>
              <w:left w:val="nil"/>
              <w:bottom w:val="nil"/>
              <w:right w:val="nil"/>
            </w:tcBorders>
          </w:tcPr>
          <w:p w:rsidR="0028593E" w:rsidRPr="002917F4" w:rsidRDefault="0028593E" w:rsidP="003D782D">
            <w:pPr>
              <w:pStyle w:val="AIIndent"/>
              <w:numPr>
                <w:ilvl w:val="0"/>
                <w:numId w:val="3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Non-Admitted – National Weighted Activity Units {13}</w:t>
            </w:r>
            <w:r w:rsidRPr="00DB717E">
              <w:rPr>
                <w:vertAlign w:val="superscript"/>
              </w:rPr>
              <w:t>1,3</w:t>
            </w:r>
          </w:p>
        </w:tc>
        <w:tc>
          <w:tcPr>
            <w:tcW w:w="1429" w:type="dxa"/>
            <w:tcBorders>
              <w:top w:val="nil"/>
              <w:left w:val="nil"/>
              <w:bottom w:val="nil"/>
              <w:right w:val="nil"/>
            </w:tcBorders>
          </w:tcPr>
          <w:p w:rsidR="0028593E"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t>n/a</w:t>
            </w:r>
          </w:p>
        </w:tc>
        <w:tc>
          <w:tcPr>
            <w:tcW w:w="1429" w:type="dxa"/>
            <w:tcBorders>
              <w:top w:val="nil"/>
              <w:left w:val="nil"/>
              <w:bottom w:val="nil"/>
              <w:right w:val="nil"/>
            </w:tcBorders>
          </w:tcPr>
          <w:p w:rsidR="0028593E"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t>n/a</w:t>
            </w:r>
          </w:p>
        </w:tc>
        <w:tc>
          <w:tcPr>
            <w:tcW w:w="1429" w:type="dxa"/>
            <w:tcBorders>
              <w:top w:val="nil"/>
              <w:left w:val="nil"/>
              <w:bottom w:val="nil"/>
              <w:right w:val="nil"/>
            </w:tcBorders>
          </w:tcPr>
          <w:p w:rsidR="0028593E" w:rsidRPr="00DB4660"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t>1,963</w:t>
            </w:r>
          </w:p>
        </w:tc>
      </w:tr>
      <w:tr w:rsidR="0028593E" w:rsidRPr="00DB4660" w:rsidTr="002917F4">
        <w:trPr>
          <w:trHeight w:val="146"/>
        </w:trPr>
        <w:tc>
          <w:tcPr>
            <w:tcW w:w="5068" w:type="dxa"/>
            <w:tcBorders>
              <w:top w:val="nil"/>
              <w:left w:val="nil"/>
              <w:bottom w:val="nil"/>
              <w:right w:val="nil"/>
            </w:tcBorders>
          </w:tcPr>
          <w:p w:rsidR="0028593E" w:rsidRPr="00C8670B" w:rsidRDefault="0028593E" w:rsidP="003D782D">
            <w:pPr>
              <w:pStyle w:val="AIIndent"/>
              <w:numPr>
                <w:ilvl w:val="0"/>
                <w:numId w:val="3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8670B">
              <w:t>Total breast screens</w:t>
            </w:r>
          </w:p>
        </w:tc>
        <w:tc>
          <w:tcPr>
            <w:tcW w:w="1429" w:type="dxa"/>
            <w:tcBorders>
              <w:top w:val="nil"/>
              <w:left w:val="nil"/>
              <w:bottom w:val="nil"/>
              <w:right w:val="nil"/>
            </w:tcBorders>
          </w:tcPr>
          <w:p w:rsidR="0028593E" w:rsidRPr="00DB4660"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DB4660">
              <w:t>14,907</w:t>
            </w:r>
          </w:p>
        </w:tc>
        <w:tc>
          <w:tcPr>
            <w:tcW w:w="1429" w:type="dxa"/>
            <w:tcBorders>
              <w:top w:val="nil"/>
              <w:left w:val="nil"/>
              <w:bottom w:val="nil"/>
              <w:right w:val="nil"/>
            </w:tcBorders>
          </w:tcPr>
          <w:p w:rsidR="0028593E" w:rsidRPr="00D0581E" w:rsidRDefault="0028593E" w:rsidP="00190E45">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C8670B">
              <w:t>13,844</w:t>
            </w:r>
            <w:r w:rsidR="00190E45">
              <w:rPr>
                <w:vertAlign w:val="superscript"/>
              </w:rPr>
              <w:t>5</w:t>
            </w:r>
          </w:p>
        </w:tc>
        <w:tc>
          <w:tcPr>
            <w:tcW w:w="1429" w:type="dxa"/>
            <w:tcBorders>
              <w:top w:val="nil"/>
              <w:left w:val="nil"/>
              <w:bottom w:val="nil"/>
              <w:right w:val="nil"/>
            </w:tcBorders>
          </w:tcPr>
          <w:p w:rsidR="0028593E" w:rsidRPr="003A207C"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3A207C">
              <w:t>14,907</w:t>
            </w:r>
          </w:p>
        </w:tc>
      </w:tr>
      <w:tr w:rsidR="0028593E" w:rsidRPr="00DB4660" w:rsidTr="002917F4">
        <w:trPr>
          <w:trHeight w:val="193"/>
        </w:trPr>
        <w:tc>
          <w:tcPr>
            <w:tcW w:w="5068" w:type="dxa"/>
            <w:tcBorders>
              <w:top w:val="nil"/>
              <w:left w:val="nil"/>
              <w:bottom w:val="nil"/>
              <w:right w:val="nil"/>
            </w:tcBorders>
          </w:tcPr>
          <w:p w:rsidR="0028593E" w:rsidRPr="002917F4" w:rsidRDefault="0028593E" w:rsidP="003D782D">
            <w:pPr>
              <w:pStyle w:val="AIIndent"/>
              <w:numPr>
                <w:ilvl w:val="0"/>
                <w:numId w:val="3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917F4">
              <w:t>Number of breast screens for women aged 50 to 69</w:t>
            </w:r>
          </w:p>
        </w:tc>
        <w:tc>
          <w:tcPr>
            <w:tcW w:w="1429" w:type="dxa"/>
            <w:tcBorders>
              <w:top w:val="nil"/>
              <w:left w:val="nil"/>
              <w:bottom w:val="nil"/>
              <w:right w:val="nil"/>
            </w:tcBorders>
          </w:tcPr>
          <w:p w:rsidR="0028593E" w:rsidRPr="00D0581E"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DB4660">
              <w:t>12,552</w:t>
            </w:r>
          </w:p>
        </w:tc>
        <w:tc>
          <w:tcPr>
            <w:tcW w:w="1429" w:type="dxa"/>
            <w:tcBorders>
              <w:top w:val="nil"/>
              <w:left w:val="nil"/>
              <w:bottom w:val="nil"/>
              <w:right w:val="nil"/>
            </w:tcBorders>
          </w:tcPr>
          <w:p w:rsidR="0028593E" w:rsidRPr="00D0581E"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C8670B">
              <w:t>11,413</w:t>
            </w:r>
            <w:r w:rsidR="00190E45">
              <w:rPr>
                <w:vertAlign w:val="superscript"/>
              </w:rPr>
              <w:t>5</w:t>
            </w:r>
          </w:p>
        </w:tc>
        <w:tc>
          <w:tcPr>
            <w:tcW w:w="1429" w:type="dxa"/>
            <w:tcBorders>
              <w:top w:val="nil"/>
              <w:left w:val="nil"/>
              <w:bottom w:val="nil"/>
              <w:right w:val="nil"/>
            </w:tcBorders>
          </w:tcPr>
          <w:p w:rsidR="0028593E" w:rsidRPr="00D0581E"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3A207C">
              <w:t>12,552</w:t>
            </w:r>
          </w:p>
        </w:tc>
      </w:tr>
      <w:tr w:rsidR="0028593E" w:rsidRPr="00DB4660" w:rsidTr="00D0581E">
        <w:trPr>
          <w:trHeight w:val="284"/>
        </w:trPr>
        <w:tc>
          <w:tcPr>
            <w:tcW w:w="5068" w:type="dxa"/>
            <w:tcBorders>
              <w:top w:val="nil"/>
              <w:left w:val="nil"/>
              <w:right w:val="nil"/>
            </w:tcBorders>
          </w:tcPr>
          <w:p w:rsidR="0028593E" w:rsidRPr="002917F4" w:rsidRDefault="0028593E" w:rsidP="003D782D">
            <w:pPr>
              <w:pStyle w:val="AIIndent"/>
              <w:numPr>
                <w:ilvl w:val="0"/>
                <w:numId w:val="3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917F4">
              <w:t>Percentage of women who receive results of screen  within 28 days</w:t>
            </w:r>
          </w:p>
        </w:tc>
        <w:tc>
          <w:tcPr>
            <w:tcW w:w="1429" w:type="dxa"/>
            <w:tcBorders>
              <w:top w:val="nil"/>
              <w:left w:val="nil"/>
              <w:right w:val="nil"/>
            </w:tcBorders>
          </w:tcPr>
          <w:p w:rsidR="0028593E" w:rsidRPr="00DB4660"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DB4660">
              <w:t>100%</w:t>
            </w:r>
          </w:p>
        </w:tc>
        <w:tc>
          <w:tcPr>
            <w:tcW w:w="1429" w:type="dxa"/>
            <w:tcBorders>
              <w:top w:val="nil"/>
              <w:left w:val="nil"/>
              <w:right w:val="nil"/>
            </w:tcBorders>
          </w:tcPr>
          <w:p w:rsidR="0028593E" w:rsidRPr="003A207C"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3A207C">
              <w:t>100%</w:t>
            </w:r>
          </w:p>
        </w:tc>
        <w:tc>
          <w:tcPr>
            <w:tcW w:w="1429" w:type="dxa"/>
            <w:tcBorders>
              <w:top w:val="nil"/>
              <w:left w:val="nil"/>
              <w:right w:val="nil"/>
            </w:tcBorders>
          </w:tcPr>
          <w:p w:rsidR="0028593E" w:rsidRPr="003A207C"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3A207C">
              <w:t>100%</w:t>
            </w:r>
          </w:p>
        </w:tc>
      </w:tr>
      <w:tr w:rsidR="0028593E" w:rsidRPr="00DB4660" w:rsidTr="00D0581E">
        <w:trPr>
          <w:trHeight w:val="284"/>
        </w:trPr>
        <w:tc>
          <w:tcPr>
            <w:tcW w:w="5068" w:type="dxa"/>
            <w:tcBorders>
              <w:top w:val="nil"/>
              <w:left w:val="nil"/>
              <w:bottom w:val="nil"/>
              <w:right w:val="nil"/>
            </w:tcBorders>
          </w:tcPr>
          <w:p w:rsidR="0028593E" w:rsidRPr="002917F4" w:rsidRDefault="0028593E" w:rsidP="003D782D">
            <w:pPr>
              <w:pStyle w:val="AIIndent"/>
              <w:numPr>
                <w:ilvl w:val="0"/>
                <w:numId w:val="3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917F4">
              <w:t xml:space="preserve">Percentage of screened </w:t>
            </w:r>
            <w:r w:rsidR="00665A8C" w:rsidRPr="002917F4">
              <w:t xml:space="preserve">patients </w:t>
            </w:r>
            <w:r w:rsidRPr="002917F4">
              <w:t>who are assessed within 28 days</w:t>
            </w:r>
          </w:p>
        </w:tc>
        <w:tc>
          <w:tcPr>
            <w:tcW w:w="1429" w:type="dxa"/>
            <w:tcBorders>
              <w:top w:val="nil"/>
              <w:left w:val="nil"/>
              <w:bottom w:val="nil"/>
              <w:right w:val="nil"/>
            </w:tcBorders>
          </w:tcPr>
          <w:p w:rsidR="0028593E" w:rsidRPr="00DB4660"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DB4660">
              <w:t>90%</w:t>
            </w:r>
          </w:p>
        </w:tc>
        <w:tc>
          <w:tcPr>
            <w:tcW w:w="1429" w:type="dxa"/>
            <w:tcBorders>
              <w:top w:val="nil"/>
              <w:left w:val="nil"/>
              <w:bottom w:val="nil"/>
              <w:right w:val="nil"/>
            </w:tcBorders>
          </w:tcPr>
          <w:p w:rsidR="0028593E" w:rsidRPr="003A207C"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3A207C">
              <w:t>94%</w:t>
            </w:r>
          </w:p>
        </w:tc>
        <w:tc>
          <w:tcPr>
            <w:tcW w:w="1429" w:type="dxa"/>
            <w:tcBorders>
              <w:top w:val="nil"/>
              <w:left w:val="nil"/>
              <w:bottom w:val="nil"/>
              <w:right w:val="nil"/>
            </w:tcBorders>
          </w:tcPr>
          <w:p w:rsidR="0028593E" w:rsidRPr="003A207C"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3A207C">
              <w:t>90%</w:t>
            </w:r>
          </w:p>
        </w:tc>
      </w:tr>
      <w:tr w:rsidR="0028593E" w:rsidRPr="00DB4660" w:rsidTr="002917F4">
        <w:trPr>
          <w:trHeight w:val="211"/>
        </w:trPr>
        <w:tc>
          <w:tcPr>
            <w:tcW w:w="5068" w:type="dxa"/>
            <w:tcBorders>
              <w:top w:val="nil"/>
              <w:left w:val="nil"/>
              <w:bottom w:val="nil"/>
              <w:right w:val="nil"/>
            </w:tcBorders>
          </w:tcPr>
          <w:p w:rsidR="0028593E" w:rsidRPr="002917F4" w:rsidRDefault="0028593E" w:rsidP="003D782D">
            <w:pPr>
              <w:pStyle w:val="AIIndent"/>
              <w:numPr>
                <w:ilvl w:val="0"/>
                <w:numId w:val="3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917F4">
              <w:t>Cost weighted admitted patient separations</w:t>
            </w:r>
            <w:r w:rsidRPr="00DB717E">
              <w:rPr>
                <w:vertAlign w:val="superscript"/>
              </w:rPr>
              <w:t>2,4</w:t>
            </w:r>
          </w:p>
        </w:tc>
        <w:tc>
          <w:tcPr>
            <w:tcW w:w="1429" w:type="dxa"/>
            <w:tcBorders>
              <w:top w:val="nil"/>
              <w:left w:val="nil"/>
              <w:bottom w:val="nil"/>
              <w:right w:val="nil"/>
            </w:tcBorders>
          </w:tcPr>
          <w:p w:rsidR="0028593E" w:rsidRPr="00DB4660"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t>4,142</w:t>
            </w:r>
          </w:p>
        </w:tc>
        <w:tc>
          <w:tcPr>
            <w:tcW w:w="1429" w:type="dxa"/>
            <w:tcBorders>
              <w:top w:val="nil"/>
              <w:left w:val="nil"/>
              <w:bottom w:val="nil"/>
              <w:right w:val="nil"/>
            </w:tcBorders>
          </w:tcPr>
          <w:p w:rsidR="0028593E" w:rsidRPr="003A207C"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rsidRPr="003A207C">
              <w:t>4,098</w:t>
            </w:r>
          </w:p>
        </w:tc>
        <w:tc>
          <w:tcPr>
            <w:tcW w:w="1429" w:type="dxa"/>
            <w:tcBorders>
              <w:top w:val="nil"/>
              <w:left w:val="nil"/>
              <w:bottom w:val="nil"/>
              <w:right w:val="nil"/>
            </w:tcBorders>
          </w:tcPr>
          <w:p w:rsidR="0028593E" w:rsidRPr="003A207C" w:rsidRDefault="0028593E" w:rsidP="002917F4">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8" w:firstLine="0"/>
              <w:jc w:val="right"/>
            </w:pPr>
            <w:r>
              <w:t>n/a</w:t>
            </w:r>
          </w:p>
        </w:tc>
      </w:tr>
      <w:tr w:rsidR="0028593E" w:rsidRPr="00DB4660" w:rsidTr="00D0581E">
        <w:trPr>
          <w:trHeight w:val="284"/>
        </w:trPr>
        <w:tc>
          <w:tcPr>
            <w:tcW w:w="5068" w:type="dxa"/>
            <w:tcBorders>
              <w:top w:val="nil"/>
              <w:left w:val="nil"/>
              <w:bottom w:val="single" w:sz="4" w:space="0" w:color="auto"/>
              <w:right w:val="nil"/>
            </w:tcBorders>
          </w:tcPr>
          <w:p w:rsidR="0028593E" w:rsidRPr="002917F4" w:rsidRDefault="0028593E" w:rsidP="003D782D">
            <w:pPr>
              <w:pStyle w:val="AIIndent"/>
              <w:numPr>
                <w:ilvl w:val="0"/>
                <w:numId w:val="3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2917F4">
              <w:t>Non admitted occasions of service</w:t>
            </w:r>
            <w:r w:rsidRPr="00DB717E">
              <w:rPr>
                <w:vertAlign w:val="superscript"/>
              </w:rPr>
              <w:t>2,4</w:t>
            </w:r>
          </w:p>
        </w:tc>
        <w:tc>
          <w:tcPr>
            <w:tcW w:w="1429" w:type="dxa"/>
            <w:tcBorders>
              <w:top w:val="nil"/>
              <w:left w:val="nil"/>
              <w:bottom w:val="single" w:sz="4" w:space="0" w:color="auto"/>
              <w:right w:val="nil"/>
            </w:tcBorders>
          </w:tcPr>
          <w:p w:rsidR="0028593E" w:rsidRPr="00D0581E" w:rsidRDefault="0028593E" w:rsidP="002F5569">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8" w:firstLine="0"/>
              <w:jc w:val="right"/>
            </w:pPr>
            <w:r>
              <w:t>59,260</w:t>
            </w:r>
          </w:p>
        </w:tc>
        <w:tc>
          <w:tcPr>
            <w:tcW w:w="1429" w:type="dxa"/>
            <w:tcBorders>
              <w:top w:val="nil"/>
              <w:left w:val="nil"/>
              <w:bottom w:val="single" w:sz="4" w:space="0" w:color="auto"/>
              <w:right w:val="nil"/>
            </w:tcBorders>
          </w:tcPr>
          <w:p w:rsidR="0028593E" w:rsidRPr="003A207C" w:rsidRDefault="0028593E" w:rsidP="002F5569">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8" w:firstLine="0"/>
              <w:jc w:val="right"/>
            </w:pPr>
            <w:r w:rsidRPr="003A207C">
              <w:t>63</w:t>
            </w:r>
            <w:r>
              <w:t>,</w:t>
            </w:r>
            <w:r w:rsidRPr="003A207C">
              <w:t>663</w:t>
            </w:r>
          </w:p>
        </w:tc>
        <w:tc>
          <w:tcPr>
            <w:tcW w:w="1429" w:type="dxa"/>
            <w:tcBorders>
              <w:top w:val="nil"/>
              <w:left w:val="nil"/>
              <w:bottom w:val="single" w:sz="4" w:space="0" w:color="auto"/>
              <w:right w:val="nil"/>
            </w:tcBorders>
          </w:tcPr>
          <w:p w:rsidR="0028593E" w:rsidRPr="00D0581E" w:rsidRDefault="0028593E" w:rsidP="002F5569">
            <w:pPr>
              <w:pStyle w:val="AIIndent"/>
              <w:tabs>
                <w:tab w:val="clear" w:pos="360"/>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8" w:firstLine="0"/>
              <w:jc w:val="right"/>
            </w:pPr>
            <w:r>
              <w:t>n/a</w:t>
            </w:r>
          </w:p>
        </w:tc>
      </w:tr>
    </w:tbl>
    <w:p w:rsidR="0028593E" w:rsidRPr="00512CF8" w:rsidRDefault="0028593E" w:rsidP="0028593E">
      <w:pPr>
        <w:pStyle w:val="NoteHeading"/>
      </w:pPr>
      <w:r w:rsidRPr="00512CF8">
        <w:t>Note</w:t>
      </w:r>
      <w:r>
        <w:t>s</w:t>
      </w:r>
      <w:r w:rsidRPr="00512CF8">
        <w:t>:</w:t>
      </w:r>
    </w:p>
    <w:p w:rsidR="0028593E" w:rsidRDefault="00642E53" w:rsidP="003D782D">
      <w:pPr>
        <w:pStyle w:val="AINotes"/>
        <w:numPr>
          <w:ilvl w:val="0"/>
          <w:numId w:val="42"/>
        </w:numPr>
        <w:ind w:left="284" w:hanging="284"/>
      </w:pPr>
      <w:r>
        <w:t>NWAU</w:t>
      </w:r>
      <w:r w:rsidR="0028593E" w:rsidRPr="0017487D">
        <w:t xml:space="preserve"> has replaced cost weighted separation and occasions of service as the activity measure following the implementation of the </w:t>
      </w:r>
      <w:r w:rsidR="0028593E" w:rsidRPr="00553316">
        <w:t>NHRA</w:t>
      </w:r>
      <w:r w:rsidR="0028593E" w:rsidRPr="0017487D">
        <w:t>.</w:t>
      </w:r>
      <w:r w:rsidR="0028593E">
        <w:t xml:space="preserve"> </w:t>
      </w:r>
      <w:r w:rsidR="0028593E" w:rsidRPr="0017487D">
        <w:t xml:space="preserve"> NWAU {13} is the currency as defined by the Independent Hospital Pricing Authority in the National Price Determination 2013</w:t>
      </w:r>
      <w:r w:rsidR="00D0581E">
        <w:noBreakHyphen/>
      </w:r>
      <w:r w:rsidR="0028593E" w:rsidRPr="0017487D">
        <w:t>14.</w:t>
      </w:r>
    </w:p>
    <w:p w:rsidR="0028593E" w:rsidRDefault="0028593E" w:rsidP="003D782D">
      <w:pPr>
        <w:pStyle w:val="AINotes"/>
        <w:numPr>
          <w:ilvl w:val="0"/>
          <w:numId w:val="42"/>
        </w:numPr>
        <w:ind w:left="284" w:hanging="284"/>
      </w:pPr>
      <w:r>
        <w:t xml:space="preserve">These services are included in the </w:t>
      </w:r>
      <w:r w:rsidR="00642E53">
        <w:t>NWAU.</w:t>
      </w:r>
    </w:p>
    <w:p w:rsidR="0028593E" w:rsidRDefault="0028593E" w:rsidP="003D782D">
      <w:pPr>
        <w:pStyle w:val="AINotes"/>
        <w:numPr>
          <w:ilvl w:val="0"/>
          <w:numId w:val="42"/>
        </w:numPr>
        <w:ind w:left="284" w:hanging="284"/>
      </w:pPr>
      <w:r>
        <w:t>New measure.</w:t>
      </w:r>
    </w:p>
    <w:p w:rsidR="0028593E" w:rsidRDefault="0028593E" w:rsidP="003D782D">
      <w:pPr>
        <w:pStyle w:val="AINotes"/>
        <w:numPr>
          <w:ilvl w:val="0"/>
          <w:numId w:val="42"/>
        </w:numPr>
        <w:ind w:left="284" w:hanging="284"/>
      </w:pPr>
      <w:r>
        <w:t>Discontinued measure.</w:t>
      </w:r>
    </w:p>
    <w:p w:rsidR="0028593E" w:rsidRDefault="0028593E" w:rsidP="003D782D">
      <w:pPr>
        <w:pStyle w:val="AINotes"/>
        <w:numPr>
          <w:ilvl w:val="0"/>
          <w:numId w:val="42"/>
        </w:numPr>
        <w:ind w:left="284" w:hanging="284"/>
      </w:pPr>
      <w:proofErr w:type="spellStart"/>
      <w:r w:rsidRPr="00C8670B">
        <w:t>BreastScreen</w:t>
      </w:r>
      <w:proofErr w:type="spellEnd"/>
      <w:r w:rsidRPr="00C8670B">
        <w:t xml:space="preserve"> ACT has readily available appointments</w:t>
      </w:r>
      <w:r w:rsidR="00642E53">
        <w:t>,</w:t>
      </w:r>
      <w:r w:rsidRPr="00C8670B">
        <w:t xml:space="preserve"> but is experiencing difficulty filling them. </w:t>
      </w:r>
      <w:r w:rsidR="00642E53">
        <w:t xml:space="preserve"> </w:t>
      </w:r>
      <w:r w:rsidRPr="00C8670B">
        <w:t>A number of initiatives are underway to raise awareness and profile of the service, particularly within the target</w:t>
      </w:r>
      <w:r>
        <w:t xml:space="preserve"> group of women aged 50-69.</w:t>
      </w:r>
    </w:p>
    <w:p w:rsidR="0075638A" w:rsidRDefault="0028593E" w:rsidP="00723135">
      <w:pPr>
        <w:pStyle w:val="Heading3TopofPage"/>
      </w:pPr>
      <w:r>
        <w:br w:type="page"/>
      </w:r>
    </w:p>
    <w:p w:rsidR="0028593E" w:rsidRPr="00512CF8" w:rsidRDefault="00723135" w:rsidP="00723135">
      <w:pPr>
        <w:pStyle w:val="Heading3TopofPage"/>
      </w:pPr>
      <w:proofErr w:type="gramStart"/>
      <w:r w:rsidRPr="00565DB3">
        <w:lastRenderedPageBreak/>
        <w:t>Accountability Indicators</w:t>
      </w:r>
      <w:r>
        <w:t xml:space="preserve"> cont.</w:t>
      </w:r>
      <w:proofErr w:type="gramEnd"/>
    </w:p>
    <w:tbl>
      <w:tblPr>
        <w:tblW w:w="9100" w:type="dxa"/>
        <w:tblLayout w:type="fixed"/>
        <w:tblLook w:val="0000"/>
      </w:tblPr>
      <w:tblGrid>
        <w:gridCol w:w="4921"/>
        <w:gridCol w:w="1393"/>
        <w:gridCol w:w="1393"/>
        <w:gridCol w:w="1393"/>
      </w:tblGrid>
      <w:tr w:rsidR="0028593E" w:rsidRPr="00565DB3" w:rsidTr="00723135">
        <w:trPr>
          <w:trHeight w:val="284"/>
        </w:trPr>
        <w:tc>
          <w:tcPr>
            <w:tcW w:w="5068" w:type="dxa"/>
            <w:tcBorders>
              <w:top w:val="single" w:sz="4" w:space="0" w:color="auto"/>
              <w:left w:val="nil"/>
              <w:bottom w:val="single" w:sz="4" w:space="0" w:color="auto"/>
              <w:right w:val="nil"/>
            </w:tcBorders>
          </w:tcPr>
          <w:p w:rsidR="0028593E" w:rsidRPr="00565DB3" w:rsidRDefault="0028593E" w:rsidP="0028593E">
            <w:pPr>
              <w:pStyle w:val="BodyText3"/>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709" w:hanging="284"/>
            </w:pP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2012-13</w:t>
            </w:r>
          </w:p>
          <w:p w:rsidR="0028593E" w:rsidRPr="00565DB3" w:rsidRDefault="0028593E" w:rsidP="0028593E">
            <w:pPr>
              <w:pStyle w:val="TableTextRightBold-BP410pt"/>
            </w:pPr>
            <w:r w:rsidRPr="00565DB3">
              <w:t>Targets</w:t>
            </w: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2012-13</w:t>
            </w:r>
          </w:p>
          <w:p w:rsidR="0028593E" w:rsidRPr="00565DB3" w:rsidRDefault="0028593E" w:rsidP="0028593E">
            <w:pPr>
              <w:pStyle w:val="TableTextRightBold-BP410pt"/>
            </w:pPr>
            <w:r w:rsidRPr="00565DB3">
              <w:t>Est. Outcome</w:t>
            </w: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2013-14</w:t>
            </w:r>
          </w:p>
          <w:p w:rsidR="0028593E" w:rsidRPr="00565DB3" w:rsidRDefault="0028593E" w:rsidP="0028593E">
            <w:pPr>
              <w:pStyle w:val="TableTextRightBold-BP410pt"/>
            </w:pPr>
            <w:r w:rsidRPr="00565DB3">
              <w:t>Targets</w:t>
            </w:r>
          </w:p>
        </w:tc>
      </w:tr>
      <w:tr w:rsidR="0028593E" w:rsidRPr="000E0648" w:rsidTr="000E0648">
        <w:trPr>
          <w:gridAfter w:val="3"/>
          <w:wAfter w:w="4287" w:type="dxa"/>
          <w:trHeight w:val="284"/>
        </w:trPr>
        <w:tc>
          <w:tcPr>
            <w:tcW w:w="5068" w:type="dxa"/>
            <w:tcBorders>
              <w:top w:val="single" w:sz="4" w:space="0" w:color="auto"/>
              <w:left w:val="nil"/>
              <w:bottom w:val="single" w:sz="4" w:space="0" w:color="auto"/>
              <w:right w:val="nil"/>
            </w:tcBorders>
            <w:vAlign w:val="center"/>
          </w:tcPr>
          <w:p w:rsidR="0028593E" w:rsidRPr="000E0648" w:rsidRDefault="0028593E" w:rsidP="000E0648">
            <w:pPr>
              <w:pStyle w:val="TableTextRight-BP410pt"/>
              <w:jc w:val="left"/>
              <w:rPr>
                <w:b/>
              </w:rPr>
            </w:pPr>
            <w:r w:rsidRPr="000E0648">
              <w:rPr>
                <w:b/>
              </w:rPr>
              <w:t xml:space="preserve">Output 1.5:  Rehabilitation, Aged and Community Care </w:t>
            </w:r>
          </w:p>
        </w:tc>
      </w:tr>
      <w:tr w:rsidR="0028593E" w:rsidRPr="00565DB3" w:rsidTr="00723135">
        <w:trPr>
          <w:trHeight w:val="284"/>
        </w:trPr>
        <w:tc>
          <w:tcPr>
            <w:tcW w:w="5068" w:type="dxa"/>
            <w:tcBorders>
              <w:top w:val="nil"/>
              <w:left w:val="nil"/>
              <w:bottom w:val="nil"/>
              <w:right w:val="nil"/>
            </w:tcBorders>
          </w:tcPr>
          <w:p w:rsidR="0028593E" w:rsidRPr="00565DB3" w:rsidRDefault="0028593E" w:rsidP="00547D64">
            <w:pPr>
              <w:pStyle w:val="TableHeadingLeft-BP410pt"/>
              <w:spacing w:before="120"/>
            </w:pPr>
            <w:r w:rsidRPr="00565DB3">
              <w:t>Patient activity</w:t>
            </w:r>
          </w:p>
        </w:tc>
        <w:tc>
          <w:tcPr>
            <w:tcW w:w="1429" w:type="dxa"/>
            <w:tcBorders>
              <w:top w:val="single" w:sz="4" w:space="0" w:color="auto"/>
              <w:left w:val="nil"/>
              <w:bottom w:val="nil"/>
              <w:right w:val="nil"/>
            </w:tcBorders>
          </w:tcPr>
          <w:p w:rsidR="0028593E" w:rsidRPr="00565DB3" w:rsidRDefault="0028593E" w:rsidP="00547D64">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p>
        </w:tc>
        <w:tc>
          <w:tcPr>
            <w:tcW w:w="1429" w:type="dxa"/>
            <w:tcBorders>
              <w:top w:val="single" w:sz="4" w:space="0" w:color="auto"/>
              <w:left w:val="nil"/>
              <w:bottom w:val="nil"/>
              <w:right w:val="nil"/>
            </w:tcBorders>
          </w:tcPr>
          <w:p w:rsidR="0028593E" w:rsidRPr="00565DB3" w:rsidRDefault="0028593E" w:rsidP="002F556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29" w:type="dxa"/>
            <w:tcBorders>
              <w:top w:val="single" w:sz="4" w:space="0" w:color="auto"/>
              <w:left w:val="nil"/>
              <w:bottom w:val="nil"/>
              <w:right w:val="nil"/>
            </w:tcBorders>
          </w:tcPr>
          <w:p w:rsidR="0028593E" w:rsidRPr="00565DB3" w:rsidRDefault="0028593E" w:rsidP="002F5569">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28593E" w:rsidRPr="00166E59" w:rsidTr="00723135">
        <w:trPr>
          <w:trHeight w:val="284"/>
        </w:trPr>
        <w:tc>
          <w:tcPr>
            <w:tcW w:w="5068" w:type="dxa"/>
            <w:tcBorders>
              <w:top w:val="nil"/>
              <w:left w:val="nil"/>
              <w:bottom w:val="nil"/>
              <w:right w:val="nil"/>
            </w:tcBorders>
          </w:tcPr>
          <w:p w:rsidR="0028593E" w:rsidRPr="00565DB3" w:rsidRDefault="0028593E" w:rsidP="003D782D">
            <w:pPr>
              <w:pStyle w:val="AIIndent"/>
              <w:numPr>
                <w:ilvl w:val="0"/>
                <w:numId w:val="2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Admitted – National Weighted Activity Units {13}</w:t>
            </w:r>
            <w:r>
              <w:rPr>
                <w:color w:val="000000"/>
                <w:vertAlign w:val="superscript"/>
              </w:rPr>
              <w:t>1,5</w:t>
            </w:r>
          </w:p>
        </w:tc>
        <w:tc>
          <w:tcPr>
            <w:tcW w:w="1429" w:type="dxa"/>
            <w:tcBorders>
              <w:top w:val="nil"/>
              <w:left w:val="nil"/>
              <w:bottom w:val="nil"/>
              <w:right w:val="nil"/>
            </w:tcBorders>
          </w:tcPr>
          <w:p w:rsidR="0028593E" w:rsidRDefault="0028593E" w:rsidP="002F5569">
            <w:pPr>
              <w:pStyle w:val="TableTextRight-BP410pt"/>
            </w:pPr>
            <w:r>
              <w:t>n/a</w:t>
            </w:r>
          </w:p>
        </w:tc>
        <w:tc>
          <w:tcPr>
            <w:tcW w:w="1429" w:type="dxa"/>
            <w:tcBorders>
              <w:top w:val="nil"/>
              <w:left w:val="nil"/>
              <w:bottom w:val="nil"/>
              <w:right w:val="nil"/>
            </w:tcBorders>
          </w:tcPr>
          <w:p w:rsidR="0028593E" w:rsidRPr="00166E59" w:rsidRDefault="0028593E" w:rsidP="002F5569">
            <w:pPr>
              <w:pStyle w:val="TableTextRight-BP410pt"/>
            </w:pPr>
            <w:r>
              <w:t>n/a</w:t>
            </w:r>
          </w:p>
        </w:tc>
        <w:tc>
          <w:tcPr>
            <w:tcW w:w="1429" w:type="dxa"/>
            <w:tcBorders>
              <w:top w:val="nil"/>
              <w:left w:val="nil"/>
              <w:bottom w:val="nil"/>
              <w:right w:val="nil"/>
            </w:tcBorders>
            <w:shd w:val="clear" w:color="auto" w:fill="auto"/>
          </w:tcPr>
          <w:p w:rsidR="0028593E" w:rsidRPr="006A7E9E" w:rsidRDefault="0028593E" w:rsidP="002F5569">
            <w:pPr>
              <w:pStyle w:val="TableTextRight-BP410pt"/>
            </w:pPr>
            <w:r>
              <w:t>5,764</w:t>
            </w:r>
          </w:p>
        </w:tc>
      </w:tr>
      <w:tr w:rsidR="0028593E" w:rsidRPr="00166E59" w:rsidTr="00723135">
        <w:trPr>
          <w:trHeight w:val="284"/>
        </w:trPr>
        <w:tc>
          <w:tcPr>
            <w:tcW w:w="5068" w:type="dxa"/>
            <w:tcBorders>
              <w:top w:val="nil"/>
              <w:left w:val="nil"/>
              <w:bottom w:val="nil"/>
              <w:right w:val="nil"/>
            </w:tcBorders>
          </w:tcPr>
          <w:p w:rsidR="0028593E" w:rsidRPr="00565DB3" w:rsidRDefault="0028593E" w:rsidP="003D782D">
            <w:pPr>
              <w:pStyle w:val="AIIndent"/>
              <w:numPr>
                <w:ilvl w:val="0"/>
                <w:numId w:val="2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Non-Admitted – National Weighted Activity Units {13}</w:t>
            </w:r>
            <w:r>
              <w:rPr>
                <w:color w:val="000000"/>
                <w:vertAlign w:val="superscript"/>
              </w:rPr>
              <w:t>1,5</w:t>
            </w:r>
          </w:p>
        </w:tc>
        <w:tc>
          <w:tcPr>
            <w:tcW w:w="1429" w:type="dxa"/>
            <w:tcBorders>
              <w:top w:val="nil"/>
              <w:left w:val="nil"/>
              <w:bottom w:val="nil"/>
              <w:right w:val="nil"/>
            </w:tcBorders>
          </w:tcPr>
          <w:p w:rsidR="0028593E" w:rsidRDefault="0028593E" w:rsidP="002F5569">
            <w:pPr>
              <w:pStyle w:val="TableTextRight-BP410pt"/>
            </w:pPr>
            <w:r>
              <w:t>n/a</w:t>
            </w:r>
          </w:p>
        </w:tc>
        <w:tc>
          <w:tcPr>
            <w:tcW w:w="1429" w:type="dxa"/>
            <w:tcBorders>
              <w:top w:val="nil"/>
              <w:left w:val="nil"/>
              <w:bottom w:val="nil"/>
              <w:right w:val="nil"/>
            </w:tcBorders>
          </w:tcPr>
          <w:p w:rsidR="0028593E" w:rsidRPr="00166E59" w:rsidRDefault="0028593E" w:rsidP="002F5569">
            <w:pPr>
              <w:pStyle w:val="TableTextRight-BP410pt"/>
            </w:pPr>
            <w:r>
              <w:t>n/a</w:t>
            </w:r>
          </w:p>
        </w:tc>
        <w:tc>
          <w:tcPr>
            <w:tcW w:w="1429" w:type="dxa"/>
            <w:tcBorders>
              <w:top w:val="nil"/>
              <w:left w:val="nil"/>
              <w:bottom w:val="nil"/>
              <w:right w:val="nil"/>
            </w:tcBorders>
            <w:shd w:val="clear" w:color="auto" w:fill="auto"/>
          </w:tcPr>
          <w:p w:rsidR="0028593E" w:rsidRPr="006A7E9E" w:rsidRDefault="0028593E" w:rsidP="002F5569">
            <w:pPr>
              <w:pStyle w:val="TableTextRight-BP410pt"/>
            </w:pPr>
            <w:r>
              <w:t>2,476</w:t>
            </w:r>
          </w:p>
        </w:tc>
      </w:tr>
      <w:tr w:rsidR="0028593E" w:rsidRPr="00166E59" w:rsidTr="002F5569">
        <w:trPr>
          <w:trHeight w:val="210"/>
        </w:trPr>
        <w:tc>
          <w:tcPr>
            <w:tcW w:w="5068" w:type="dxa"/>
            <w:tcBorders>
              <w:top w:val="nil"/>
              <w:left w:val="nil"/>
              <w:bottom w:val="nil"/>
              <w:right w:val="nil"/>
            </w:tcBorders>
          </w:tcPr>
          <w:p w:rsidR="0028593E" w:rsidRPr="00565DB3" w:rsidRDefault="0028593E" w:rsidP="003D782D">
            <w:pPr>
              <w:pStyle w:val="AIIndent"/>
              <w:numPr>
                <w:ilvl w:val="0"/>
                <w:numId w:val="2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65DB3">
              <w:t>Cost weighted admitted patient separations</w:t>
            </w:r>
            <w:r>
              <w:rPr>
                <w:color w:val="000000"/>
                <w:vertAlign w:val="superscript"/>
              </w:rPr>
              <w:t>2,6</w:t>
            </w:r>
          </w:p>
        </w:tc>
        <w:tc>
          <w:tcPr>
            <w:tcW w:w="1429" w:type="dxa"/>
            <w:tcBorders>
              <w:top w:val="nil"/>
              <w:left w:val="nil"/>
              <w:bottom w:val="nil"/>
              <w:right w:val="nil"/>
            </w:tcBorders>
          </w:tcPr>
          <w:p w:rsidR="0028593E" w:rsidRPr="00166E59" w:rsidRDefault="0028593E" w:rsidP="002F5569">
            <w:pPr>
              <w:pStyle w:val="TableTextRight-BP410pt"/>
              <w:rPr>
                <w:highlight w:val="yellow"/>
                <w:shd w:val="clear" w:color="auto" w:fill="FF0000"/>
              </w:rPr>
            </w:pPr>
            <w:r>
              <w:t>3,541</w:t>
            </w:r>
          </w:p>
        </w:tc>
        <w:tc>
          <w:tcPr>
            <w:tcW w:w="1429" w:type="dxa"/>
            <w:tcBorders>
              <w:top w:val="nil"/>
              <w:left w:val="nil"/>
              <w:bottom w:val="nil"/>
              <w:right w:val="nil"/>
            </w:tcBorders>
          </w:tcPr>
          <w:p w:rsidR="0028593E" w:rsidRPr="005B1359" w:rsidRDefault="0028593E" w:rsidP="002F5569">
            <w:pPr>
              <w:pStyle w:val="TableTextRight-BP410pt"/>
            </w:pPr>
            <w:r w:rsidRPr="005B1359">
              <w:t>3,506</w:t>
            </w:r>
          </w:p>
        </w:tc>
        <w:tc>
          <w:tcPr>
            <w:tcW w:w="1429" w:type="dxa"/>
            <w:tcBorders>
              <w:top w:val="nil"/>
              <w:left w:val="nil"/>
              <w:bottom w:val="nil"/>
              <w:right w:val="nil"/>
            </w:tcBorders>
            <w:shd w:val="clear" w:color="auto" w:fill="auto"/>
          </w:tcPr>
          <w:p w:rsidR="0028593E" w:rsidRPr="006A7E9E" w:rsidRDefault="0028593E" w:rsidP="002F5569">
            <w:pPr>
              <w:pStyle w:val="TableTextRight-BP410pt"/>
            </w:pPr>
            <w:r>
              <w:t>n/a</w:t>
            </w:r>
          </w:p>
        </w:tc>
      </w:tr>
      <w:tr w:rsidR="0028593E" w:rsidRPr="00166E59" w:rsidTr="00723135">
        <w:trPr>
          <w:trHeight w:val="284"/>
        </w:trPr>
        <w:tc>
          <w:tcPr>
            <w:tcW w:w="5068" w:type="dxa"/>
            <w:tcBorders>
              <w:top w:val="nil"/>
              <w:left w:val="nil"/>
              <w:bottom w:val="nil"/>
              <w:right w:val="nil"/>
            </w:tcBorders>
          </w:tcPr>
          <w:p w:rsidR="0028593E" w:rsidRPr="00565DB3" w:rsidRDefault="0028593E" w:rsidP="003D782D">
            <w:pPr>
              <w:pStyle w:val="AIIndent"/>
              <w:numPr>
                <w:ilvl w:val="0"/>
                <w:numId w:val="2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65DB3">
              <w:t>Non-admitted occasions of service</w:t>
            </w:r>
            <w:r>
              <w:rPr>
                <w:color w:val="000000"/>
                <w:vertAlign w:val="superscript"/>
              </w:rPr>
              <w:t>2,3,6</w:t>
            </w:r>
          </w:p>
        </w:tc>
        <w:tc>
          <w:tcPr>
            <w:tcW w:w="1429" w:type="dxa"/>
            <w:tcBorders>
              <w:top w:val="nil"/>
              <w:left w:val="nil"/>
              <w:bottom w:val="nil"/>
              <w:right w:val="nil"/>
            </w:tcBorders>
          </w:tcPr>
          <w:p w:rsidR="0028593E" w:rsidRPr="00166E59" w:rsidRDefault="0028593E" w:rsidP="002F5569">
            <w:pPr>
              <w:pStyle w:val="TableTextRight-BP410pt"/>
              <w:rPr>
                <w:highlight w:val="yellow"/>
              </w:rPr>
            </w:pPr>
            <w:r w:rsidRPr="00166E59">
              <w:t>2,230</w:t>
            </w:r>
          </w:p>
        </w:tc>
        <w:tc>
          <w:tcPr>
            <w:tcW w:w="1429" w:type="dxa"/>
            <w:tcBorders>
              <w:top w:val="nil"/>
              <w:left w:val="nil"/>
              <w:bottom w:val="nil"/>
              <w:right w:val="nil"/>
            </w:tcBorders>
          </w:tcPr>
          <w:p w:rsidR="0028593E" w:rsidRPr="005B1359" w:rsidRDefault="0028593E" w:rsidP="002F5569">
            <w:pPr>
              <w:pStyle w:val="TableTextRight-BP410pt"/>
            </w:pPr>
            <w:r w:rsidRPr="005B1359">
              <w:t>1,494</w:t>
            </w:r>
          </w:p>
        </w:tc>
        <w:tc>
          <w:tcPr>
            <w:tcW w:w="1429" w:type="dxa"/>
            <w:tcBorders>
              <w:top w:val="nil"/>
              <w:left w:val="nil"/>
              <w:bottom w:val="nil"/>
              <w:right w:val="nil"/>
            </w:tcBorders>
          </w:tcPr>
          <w:p w:rsidR="0028593E" w:rsidRPr="006A7E9E" w:rsidRDefault="0028593E" w:rsidP="002F5569">
            <w:pPr>
              <w:pStyle w:val="TableTextRight-BP410pt"/>
            </w:pPr>
            <w:r>
              <w:t>n/a</w:t>
            </w:r>
          </w:p>
        </w:tc>
      </w:tr>
      <w:tr w:rsidR="0028593E" w:rsidRPr="00166E59" w:rsidTr="002F5569">
        <w:trPr>
          <w:trHeight w:val="260"/>
        </w:trPr>
        <w:tc>
          <w:tcPr>
            <w:tcW w:w="5068" w:type="dxa"/>
            <w:tcBorders>
              <w:top w:val="nil"/>
              <w:left w:val="nil"/>
              <w:bottom w:val="nil"/>
              <w:right w:val="nil"/>
            </w:tcBorders>
          </w:tcPr>
          <w:p w:rsidR="0028593E" w:rsidRPr="00565DB3" w:rsidRDefault="0028593E" w:rsidP="003D782D">
            <w:pPr>
              <w:pStyle w:val="AIIndent"/>
              <w:numPr>
                <w:ilvl w:val="0"/>
                <w:numId w:val="2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65DB3">
              <w:t xml:space="preserve">Sub-acute service </w:t>
            </w:r>
            <w:r>
              <w:t xml:space="preserve">— </w:t>
            </w:r>
            <w:r w:rsidRPr="00565DB3">
              <w:t>episodes of care</w:t>
            </w:r>
            <w:r>
              <w:rPr>
                <w:color w:val="000000"/>
                <w:vertAlign w:val="superscript"/>
              </w:rPr>
              <w:t>2,6</w:t>
            </w:r>
          </w:p>
        </w:tc>
        <w:tc>
          <w:tcPr>
            <w:tcW w:w="1429" w:type="dxa"/>
            <w:tcBorders>
              <w:top w:val="nil"/>
              <w:left w:val="nil"/>
              <w:bottom w:val="nil"/>
              <w:right w:val="nil"/>
            </w:tcBorders>
          </w:tcPr>
          <w:p w:rsidR="0028593E" w:rsidRPr="00FE377A" w:rsidRDefault="0028593E" w:rsidP="002F5569">
            <w:pPr>
              <w:pStyle w:val="TableTextRight-BP410pt"/>
            </w:pPr>
            <w:r>
              <w:t>1,384</w:t>
            </w:r>
          </w:p>
        </w:tc>
        <w:tc>
          <w:tcPr>
            <w:tcW w:w="1429" w:type="dxa"/>
            <w:tcBorders>
              <w:top w:val="nil"/>
              <w:left w:val="nil"/>
              <w:bottom w:val="nil"/>
              <w:right w:val="nil"/>
            </w:tcBorders>
          </w:tcPr>
          <w:p w:rsidR="0028593E" w:rsidRPr="005B1359" w:rsidRDefault="0028593E" w:rsidP="002F5569">
            <w:pPr>
              <w:pStyle w:val="TableTextRight-BP410pt"/>
            </w:pPr>
            <w:r w:rsidRPr="005B1359">
              <w:t>1,273</w:t>
            </w:r>
          </w:p>
        </w:tc>
        <w:tc>
          <w:tcPr>
            <w:tcW w:w="1429" w:type="dxa"/>
            <w:tcBorders>
              <w:top w:val="nil"/>
              <w:left w:val="nil"/>
              <w:bottom w:val="nil"/>
              <w:right w:val="nil"/>
            </w:tcBorders>
          </w:tcPr>
          <w:p w:rsidR="0028593E" w:rsidRPr="00FE377A" w:rsidRDefault="0028593E" w:rsidP="002F5569">
            <w:pPr>
              <w:pStyle w:val="TableTextRight-BP410pt"/>
            </w:pPr>
            <w:r>
              <w:t>n/a</w:t>
            </w:r>
          </w:p>
        </w:tc>
      </w:tr>
      <w:tr w:rsidR="0028593E" w:rsidRPr="00166E59" w:rsidTr="00723135">
        <w:trPr>
          <w:trHeight w:val="284"/>
        </w:trPr>
        <w:tc>
          <w:tcPr>
            <w:tcW w:w="5068" w:type="dxa"/>
            <w:tcBorders>
              <w:top w:val="nil"/>
              <w:left w:val="nil"/>
              <w:bottom w:val="nil"/>
              <w:right w:val="nil"/>
            </w:tcBorders>
          </w:tcPr>
          <w:p w:rsidR="0028593E" w:rsidRPr="00565DB3" w:rsidRDefault="0028593E" w:rsidP="003D782D">
            <w:pPr>
              <w:pStyle w:val="AIIndent"/>
              <w:numPr>
                <w:ilvl w:val="0"/>
                <w:numId w:val="2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65DB3">
              <w:t xml:space="preserve">Sub-acute service </w:t>
            </w:r>
            <w:r>
              <w:t xml:space="preserve">— </w:t>
            </w:r>
            <w:r w:rsidRPr="00565DB3">
              <w:t>occupied bed days</w:t>
            </w:r>
            <w:r>
              <w:rPr>
                <w:vertAlign w:val="superscript"/>
              </w:rPr>
              <w:t>2,6</w:t>
            </w:r>
          </w:p>
        </w:tc>
        <w:tc>
          <w:tcPr>
            <w:tcW w:w="1429" w:type="dxa"/>
            <w:tcBorders>
              <w:top w:val="nil"/>
              <w:left w:val="nil"/>
              <w:bottom w:val="nil"/>
              <w:right w:val="nil"/>
            </w:tcBorders>
          </w:tcPr>
          <w:p w:rsidR="0028593E" w:rsidRPr="00FE377A" w:rsidRDefault="0028593E" w:rsidP="002F5569">
            <w:pPr>
              <w:pStyle w:val="TableTextRight-BP410pt"/>
              <w:rPr>
                <w:highlight w:val="yellow"/>
              </w:rPr>
            </w:pPr>
            <w:r>
              <w:t>13,349</w:t>
            </w:r>
          </w:p>
        </w:tc>
        <w:tc>
          <w:tcPr>
            <w:tcW w:w="1429" w:type="dxa"/>
            <w:tcBorders>
              <w:top w:val="nil"/>
              <w:left w:val="nil"/>
              <w:bottom w:val="nil"/>
              <w:right w:val="nil"/>
            </w:tcBorders>
          </w:tcPr>
          <w:p w:rsidR="0028593E" w:rsidRPr="005B1359" w:rsidRDefault="0028593E" w:rsidP="002F5569">
            <w:pPr>
              <w:pStyle w:val="TableTextRight-BP410pt"/>
            </w:pPr>
            <w:r w:rsidRPr="005B1359">
              <w:t>11,765</w:t>
            </w:r>
          </w:p>
        </w:tc>
        <w:tc>
          <w:tcPr>
            <w:tcW w:w="1429" w:type="dxa"/>
            <w:tcBorders>
              <w:top w:val="nil"/>
              <w:left w:val="nil"/>
              <w:bottom w:val="nil"/>
              <w:right w:val="nil"/>
            </w:tcBorders>
          </w:tcPr>
          <w:p w:rsidR="0028593E" w:rsidRPr="006A7E9E" w:rsidRDefault="0028593E" w:rsidP="002F5569">
            <w:pPr>
              <w:pStyle w:val="TableTextRight-BP410pt"/>
            </w:pPr>
            <w:r>
              <w:t>n/a</w:t>
            </w:r>
          </w:p>
        </w:tc>
      </w:tr>
      <w:tr w:rsidR="0028593E" w:rsidRPr="00166E59" w:rsidTr="00723135">
        <w:trPr>
          <w:trHeight w:val="284"/>
        </w:trPr>
        <w:tc>
          <w:tcPr>
            <w:tcW w:w="5068" w:type="dxa"/>
            <w:tcBorders>
              <w:top w:val="nil"/>
              <w:left w:val="nil"/>
              <w:bottom w:val="nil"/>
              <w:right w:val="nil"/>
            </w:tcBorders>
          </w:tcPr>
          <w:p w:rsidR="0028593E" w:rsidRPr="00565DB3" w:rsidRDefault="0028593E" w:rsidP="003D782D">
            <w:pPr>
              <w:pStyle w:val="AIIndent"/>
              <w:numPr>
                <w:ilvl w:val="0"/>
                <w:numId w:val="29"/>
              </w:numPr>
              <w:tabs>
                <w:tab w:val="left" w:pos="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Number</w:t>
            </w:r>
            <w:r w:rsidRPr="00565DB3">
              <w:t xml:space="preserve"> of people assessed in falls clinics</w:t>
            </w:r>
            <w:r w:rsidRPr="001C33A9">
              <w:rPr>
                <w:vertAlign w:val="superscript"/>
              </w:rPr>
              <w:t>2,</w:t>
            </w:r>
            <w:r>
              <w:rPr>
                <w:color w:val="000000"/>
                <w:vertAlign w:val="superscript"/>
              </w:rPr>
              <w:t>4,6</w:t>
            </w:r>
          </w:p>
        </w:tc>
        <w:tc>
          <w:tcPr>
            <w:tcW w:w="1429" w:type="dxa"/>
            <w:tcBorders>
              <w:top w:val="nil"/>
              <w:left w:val="nil"/>
              <w:bottom w:val="nil"/>
              <w:right w:val="nil"/>
            </w:tcBorders>
          </w:tcPr>
          <w:p w:rsidR="0028593E" w:rsidRPr="00166E59" w:rsidRDefault="0028593E" w:rsidP="002F5569">
            <w:pPr>
              <w:pStyle w:val="TableTextRight-BP410pt"/>
            </w:pPr>
            <w:r w:rsidRPr="00166E59">
              <w:t>420</w:t>
            </w:r>
          </w:p>
        </w:tc>
        <w:tc>
          <w:tcPr>
            <w:tcW w:w="1429" w:type="dxa"/>
            <w:tcBorders>
              <w:top w:val="nil"/>
              <w:left w:val="nil"/>
              <w:bottom w:val="nil"/>
              <w:right w:val="nil"/>
            </w:tcBorders>
          </w:tcPr>
          <w:p w:rsidR="0028593E" w:rsidRPr="005B1359" w:rsidRDefault="0028593E" w:rsidP="002F5569">
            <w:pPr>
              <w:pStyle w:val="TableTextRight-BP410pt"/>
            </w:pPr>
            <w:r w:rsidRPr="005B1359">
              <w:t>420</w:t>
            </w:r>
          </w:p>
        </w:tc>
        <w:tc>
          <w:tcPr>
            <w:tcW w:w="1429" w:type="dxa"/>
            <w:tcBorders>
              <w:top w:val="nil"/>
              <w:left w:val="nil"/>
              <w:bottom w:val="nil"/>
              <w:right w:val="nil"/>
            </w:tcBorders>
          </w:tcPr>
          <w:p w:rsidR="0028593E" w:rsidRPr="00166E59" w:rsidRDefault="0028593E" w:rsidP="002F5569">
            <w:pPr>
              <w:pStyle w:val="TableTextRight-BP410pt"/>
            </w:pPr>
            <w:r>
              <w:t>n/a</w:t>
            </w:r>
          </w:p>
        </w:tc>
      </w:tr>
      <w:tr w:rsidR="0028593E" w:rsidRPr="00166E59" w:rsidTr="00723135">
        <w:trPr>
          <w:trHeight w:val="284"/>
        </w:trPr>
        <w:tc>
          <w:tcPr>
            <w:tcW w:w="5068" w:type="dxa"/>
            <w:tcBorders>
              <w:top w:val="nil"/>
              <w:left w:val="nil"/>
              <w:right w:val="nil"/>
            </w:tcBorders>
          </w:tcPr>
          <w:p w:rsidR="0028593E" w:rsidRPr="00565DB3" w:rsidRDefault="0028593E" w:rsidP="003D782D">
            <w:pPr>
              <w:pStyle w:val="AIIndent"/>
              <w:numPr>
                <w:ilvl w:val="0"/>
                <w:numId w:val="29"/>
              </w:numPr>
              <w:tabs>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Number</w:t>
            </w:r>
            <w:r w:rsidRPr="00565DB3">
              <w:t xml:space="preserve"> of nursing (domiciliary and clinic based) occasions of service</w:t>
            </w:r>
          </w:p>
        </w:tc>
        <w:tc>
          <w:tcPr>
            <w:tcW w:w="1429" w:type="dxa"/>
            <w:tcBorders>
              <w:top w:val="nil"/>
              <w:left w:val="nil"/>
              <w:right w:val="nil"/>
            </w:tcBorders>
          </w:tcPr>
          <w:p w:rsidR="0028593E" w:rsidRPr="00166E59" w:rsidRDefault="0028593E" w:rsidP="00DB717E">
            <w:pPr>
              <w:pStyle w:val="TableTextRight-BP410pt"/>
              <w:spacing w:after="120"/>
            </w:pPr>
            <w:r w:rsidRPr="00166E59">
              <w:t>80,000</w:t>
            </w:r>
          </w:p>
        </w:tc>
        <w:tc>
          <w:tcPr>
            <w:tcW w:w="1429" w:type="dxa"/>
            <w:tcBorders>
              <w:top w:val="nil"/>
              <w:left w:val="nil"/>
              <w:right w:val="nil"/>
            </w:tcBorders>
          </w:tcPr>
          <w:p w:rsidR="0028593E" w:rsidRPr="005B1359" w:rsidRDefault="0028593E" w:rsidP="00DB717E">
            <w:pPr>
              <w:pStyle w:val="TableTextRight-BP410pt"/>
              <w:spacing w:after="120"/>
            </w:pPr>
            <w:r w:rsidRPr="005B1359">
              <w:t>80,000</w:t>
            </w:r>
          </w:p>
        </w:tc>
        <w:tc>
          <w:tcPr>
            <w:tcW w:w="1429" w:type="dxa"/>
            <w:tcBorders>
              <w:top w:val="nil"/>
              <w:left w:val="nil"/>
              <w:right w:val="nil"/>
            </w:tcBorders>
          </w:tcPr>
          <w:p w:rsidR="0028593E" w:rsidRPr="00166E59" w:rsidRDefault="0028593E" w:rsidP="00DB717E">
            <w:pPr>
              <w:pStyle w:val="TableTextRight-BP410pt"/>
              <w:spacing w:after="120"/>
            </w:pPr>
            <w:r>
              <w:t>82,000</w:t>
            </w:r>
          </w:p>
        </w:tc>
      </w:tr>
      <w:tr w:rsidR="0028593E" w:rsidRPr="00565DB3" w:rsidTr="00723135">
        <w:trPr>
          <w:trHeight w:val="284"/>
        </w:trPr>
        <w:tc>
          <w:tcPr>
            <w:tcW w:w="5068" w:type="dxa"/>
            <w:tcBorders>
              <w:top w:val="nil"/>
              <w:left w:val="nil"/>
              <w:bottom w:val="single" w:sz="4" w:space="0" w:color="auto"/>
              <w:right w:val="nil"/>
            </w:tcBorders>
          </w:tcPr>
          <w:p w:rsidR="0028593E" w:rsidRPr="00565DB3" w:rsidRDefault="0028593E" w:rsidP="003D782D">
            <w:pPr>
              <w:pStyle w:val="AIIndent"/>
              <w:numPr>
                <w:ilvl w:val="0"/>
                <w:numId w:val="29"/>
              </w:numPr>
              <w:tabs>
                <w:tab w:val="left" w:pos="318"/>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spacing w:after="120"/>
              <w:ind w:right="-108"/>
            </w:pPr>
            <w:r>
              <w:t>Number</w:t>
            </w:r>
            <w:r w:rsidRPr="00565DB3">
              <w:t xml:space="preserve"> of allied health regional services (occasions of service)</w:t>
            </w:r>
          </w:p>
        </w:tc>
        <w:tc>
          <w:tcPr>
            <w:tcW w:w="1429" w:type="dxa"/>
            <w:tcBorders>
              <w:top w:val="nil"/>
              <w:left w:val="nil"/>
              <w:bottom w:val="single" w:sz="4" w:space="0" w:color="auto"/>
              <w:right w:val="nil"/>
            </w:tcBorders>
          </w:tcPr>
          <w:p w:rsidR="0028593E" w:rsidRPr="0089096D" w:rsidRDefault="0028593E" w:rsidP="00DB717E">
            <w:pPr>
              <w:pStyle w:val="TableTextRight-BP410pt"/>
              <w:spacing w:after="120"/>
              <w:rPr>
                <w:color w:val="FF0000"/>
                <w:highlight w:val="yellow"/>
                <w:shd w:val="clear" w:color="auto" w:fill="FF0000"/>
              </w:rPr>
            </w:pPr>
            <w:r w:rsidRPr="0053176D">
              <w:t>22,000</w:t>
            </w:r>
          </w:p>
        </w:tc>
        <w:tc>
          <w:tcPr>
            <w:tcW w:w="1429" w:type="dxa"/>
            <w:tcBorders>
              <w:top w:val="nil"/>
              <w:left w:val="nil"/>
              <w:bottom w:val="single" w:sz="4" w:space="0" w:color="auto"/>
              <w:right w:val="nil"/>
            </w:tcBorders>
          </w:tcPr>
          <w:p w:rsidR="0028593E" w:rsidRPr="005B1359" w:rsidRDefault="0028593E" w:rsidP="00DB717E">
            <w:pPr>
              <w:pStyle w:val="TableTextRight-BP410pt"/>
              <w:spacing w:after="120"/>
            </w:pPr>
            <w:r w:rsidRPr="005B1359">
              <w:t>22,000</w:t>
            </w:r>
          </w:p>
        </w:tc>
        <w:tc>
          <w:tcPr>
            <w:tcW w:w="1429" w:type="dxa"/>
            <w:tcBorders>
              <w:top w:val="nil"/>
              <w:left w:val="nil"/>
              <w:bottom w:val="single" w:sz="4" w:space="0" w:color="auto"/>
              <w:right w:val="nil"/>
            </w:tcBorders>
          </w:tcPr>
          <w:p w:rsidR="0028593E" w:rsidRPr="006A7E9E" w:rsidRDefault="0028593E" w:rsidP="00DB717E">
            <w:pPr>
              <w:pStyle w:val="TableTextRight-BP410pt"/>
              <w:spacing w:after="120"/>
            </w:pPr>
            <w:r>
              <w:t>22,600</w:t>
            </w:r>
          </w:p>
        </w:tc>
      </w:tr>
    </w:tbl>
    <w:p w:rsidR="0028593E" w:rsidRDefault="0028593E" w:rsidP="0028593E">
      <w:pPr>
        <w:pStyle w:val="NoteHeading"/>
      </w:pPr>
      <w:r w:rsidRPr="001F17FD">
        <w:t>Notes:</w:t>
      </w:r>
    </w:p>
    <w:p w:rsidR="0028593E" w:rsidRDefault="005703F4" w:rsidP="003D782D">
      <w:pPr>
        <w:pStyle w:val="AINotes"/>
        <w:numPr>
          <w:ilvl w:val="0"/>
          <w:numId w:val="40"/>
        </w:numPr>
      </w:pPr>
      <w:r>
        <w:t xml:space="preserve">NWAU </w:t>
      </w:r>
      <w:r w:rsidR="0028593E" w:rsidRPr="0017487D">
        <w:t xml:space="preserve">has replaced cost weighted separation and occasions of service as the activity measure following the implementation of the </w:t>
      </w:r>
      <w:r w:rsidR="0028593E">
        <w:t>NHRA</w:t>
      </w:r>
      <w:r w:rsidR="0028593E" w:rsidRPr="0017487D">
        <w:t xml:space="preserve">. </w:t>
      </w:r>
      <w:r w:rsidR="0028593E">
        <w:t xml:space="preserve"> </w:t>
      </w:r>
      <w:r w:rsidR="0028593E" w:rsidRPr="0017487D">
        <w:t>NWAU {13} is the currency as defined by the Independent Hospital Pricing Authority in the National Price Determination 2013</w:t>
      </w:r>
      <w:r w:rsidR="00395FCA">
        <w:noBreakHyphen/>
      </w:r>
      <w:r w:rsidR="0028593E" w:rsidRPr="0017487D">
        <w:t>14.</w:t>
      </w:r>
    </w:p>
    <w:p w:rsidR="0028593E" w:rsidRDefault="0028593E" w:rsidP="003D782D">
      <w:pPr>
        <w:pStyle w:val="AINotes"/>
        <w:numPr>
          <w:ilvl w:val="0"/>
          <w:numId w:val="40"/>
        </w:numPr>
      </w:pPr>
      <w:r>
        <w:t>These services are included in the N</w:t>
      </w:r>
      <w:r w:rsidR="005703F4">
        <w:t>WAU.</w:t>
      </w:r>
    </w:p>
    <w:p w:rsidR="0028593E" w:rsidRDefault="0028593E" w:rsidP="003D782D">
      <w:pPr>
        <w:pStyle w:val="AINotes"/>
        <w:numPr>
          <w:ilvl w:val="0"/>
          <w:numId w:val="40"/>
        </w:numPr>
      </w:pPr>
      <w:r w:rsidRPr="005B1359">
        <w:t xml:space="preserve">A large number of </w:t>
      </w:r>
      <w:r>
        <w:t>g</w:t>
      </w:r>
      <w:r w:rsidRPr="005B1359">
        <w:t xml:space="preserve">eriatric home visit activity undertaken by </w:t>
      </w:r>
      <w:r>
        <w:t>the Rapid Assessment of the Aged at Risk (</w:t>
      </w:r>
      <w:r w:rsidRPr="002474F2">
        <w:t>RADAR</w:t>
      </w:r>
      <w:r w:rsidRPr="005B1359">
        <w:t xml:space="preserve"> Team) is no longer counted in the </w:t>
      </w:r>
      <w:r>
        <w:t>n</w:t>
      </w:r>
      <w:r w:rsidRPr="005B1359">
        <w:t>on-</w:t>
      </w:r>
      <w:r>
        <w:t>a</w:t>
      </w:r>
      <w:r w:rsidRPr="005B1359">
        <w:t>dmi</w:t>
      </w:r>
      <w:r w:rsidR="005703F4">
        <w:t>tted occasions of service (OOS),</w:t>
      </w:r>
      <w:r w:rsidRPr="005B1359">
        <w:t xml:space="preserve"> however they have been included in the target</w:t>
      </w:r>
      <w:r>
        <w:t>.</w:t>
      </w:r>
    </w:p>
    <w:p w:rsidR="0028593E" w:rsidRDefault="0028593E" w:rsidP="003D782D">
      <w:pPr>
        <w:pStyle w:val="AINotes"/>
        <w:numPr>
          <w:ilvl w:val="0"/>
          <w:numId w:val="40"/>
        </w:numPr>
      </w:pPr>
      <w:r>
        <w:t>Number of people assessed in falls clinics has been discontinued due to consistent levels of activity over recent years.</w:t>
      </w:r>
    </w:p>
    <w:p w:rsidR="0028593E" w:rsidRDefault="0028593E" w:rsidP="003D782D">
      <w:pPr>
        <w:pStyle w:val="AINotes"/>
        <w:numPr>
          <w:ilvl w:val="0"/>
          <w:numId w:val="40"/>
        </w:numPr>
      </w:pPr>
      <w:r>
        <w:t>New measure.</w:t>
      </w:r>
    </w:p>
    <w:p w:rsidR="0028593E" w:rsidRDefault="0028593E" w:rsidP="003D782D">
      <w:pPr>
        <w:pStyle w:val="AINotes"/>
        <w:numPr>
          <w:ilvl w:val="0"/>
          <w:numId w:val="40"/>
        </w:numPr>
      </w:pPr>
      <w:r>
        <w:t>Discontinued measure.</w:t>
      </w:r>
    </w:p>
    <w:p w:rsidR="0028593E" w:rsidRDefault="0028593E" w:rsidP="002F5569">
      <w:pPr>
        <w:pStyle w:val="BodyText"/>
        <w:spacing w:before="0" w:after="0"/>
      </w:pPr>
    </w:p>
    <w:tbl>
      <w:tblPr>
        <w:tblW w:w="9100" w:type="dxa"/>
        <w:tblLayout w:type="fixed"/>
        <w:tblLook w:val="0000"/>
      </w:tblPr>
      <w:tblGrid>
        <w:gridCol w:w="4921"/>
        <w:gridCol w:w="1393"/>
        <w:gridCol w:w="1393"/>
        <w:gridCol w:w="1393"/>
      </w:tblGrid>
      <w:tr w:rsidR="0028593E" w:rsidRPr="00565DB3" w:rsidTr="00723135">
        <w:trPr>
          <w:trHeight w:val="284"/>
        </w:trPr>
        <w:tc>
          <w:tcPr>
            <w:tcW w:w="5068" w:type="dxa"/>
            <w:tcBorders>
              <w:top w:val="single" w:sz="4" w:space="0" w:color="auto"/>
              <w:left w:val="nil"/>
              <w:bottom w:val="single" w:sz="4" w:space="0" w:color="auto"/>
              <w:right w:val="nil"/>
            </w:tcBorders>
          </w:tcPr>
          <w:p w:rsidR="0028593E" w:rsidRPr="00565DB3" w:rsidRDefault="0028593E" w:rsidP="00285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bookmarkStart w:id="2" w:name="OLE_LINK1"/>
            <w:bookmarkEnd w:id="2"/>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2012-13</w:t>
            </w:r>
          </w:p>
          <w:p w:rsidR="0028593E" w:rsidRPr="00565DB3" w:rsidRDefault="0028593E" w:rsidP="0028593E">
            <w:pPr>
              <w:pStyle w:val="TableTextRightBold-BP410pt"/>
            </w:pPr>
            <w:r w:rsidRPr="00565DB3">
              <w:t>Targets</w:t>
            </w: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2012-13</w:t>
            </w:r>
          </w:p>
          <w:p w:rsidR="0028593E" w:rsidRPr="00565DB3" w:rsidRDefault="0028593E" w:rsidP="0028593E">
            <w:pPr>
              <w:pStyle w:val="TableTextRightBold-BP410pt"/>
            </w:pPr>
            <w:r w:rsidRPr="00565DB3">
              <w:t>Est. Outcome</w:t>
            </w:r>
          </w:p>
        </w:tc>
        <w:tc>
          <w:tcPr>
            <w:tcW w:w="1429" w:type="dxa"/>
            <w:tcBorders>
              <w:top w:val="single" w:sz="4" w:space="0" w:color="auto"/>
              <w:left w:val="nil"/>
              <w:bottom w:val="single" w:sz="4" w:space="0" w:color="auto"/>
              <w:right w:val="nil"/>
            </w:tcBorders>
          </w:tcPr>
          <w:p w:rsidR="0028593E" w:rsidRDefault="0028593E" w:rsidP="0028593E">
            <w:pPr>
              <w:pStyle w:val="TableTextRightBold-BP410pt"/>
            </w:pPr>
            <w:r>
              <w:t>2013-14</w:t>
            </w:r>
          </w:p>
          <w:p w:rsidR="0028593E" w:rsidRPr="00565DB3" w:rsidRDefault="0028593E" w:rsidP="0028593E">
            <w:pPr>
              <w:pStyle w:val="TableTextRightBold-BP410pt"/>
            </w:pPr>
            <w:r w:rsidRPr="00565DB3">
              <w:t>Targets</w:t>
            </w:r>
          </w:p>
        </w:tc>
      </w:tr>
      <w:tr w:rsidR="0028593E" w:rsidRPr="00565DB3" w:rsidTr="000E0648">
        <w:trPr>
          <w:gridAfter w:val="3"/>
          <w:wAfter w:w="4287" w:type="dxa"/>
          <w:trHeight w:val="284"/>
        </w:trPr>
        <w:tc>
          <w:tcPr>
            <w:tcW w:w="5068" w:type="dxa"/>
            <w:tcBorders>
              <w:top w:val="single" w:sz="4" w:space="0" w:color="auto"/>
              <w:left w:val="nil"/>
              <w:bottom w:val="single" w:sz="4" w:space="0" w:color="auto"/>
              <w:right w:val="nil"/>
            </w:tcBorders>
            <w:vAlign w:val="center"/>
          </w:tcPr>
          <w:p w:rsidR="0028593E" w:rsidRPr="000E0648" w:rsidRDefault="0028593E" w:rsidP="000E0648">
            <w:pPr>
              <w:pStyle w:val="TableTextRight-BP410pt"/>
              <w:jc w:val="left"/>
              <w:rPr>
                <w:b/>
              </w:rPr>
            </w:pPr>
            <w:r w:rsidRPr="000E0648">
              <w:rPr>
                <w:b/>
              </w:rPr>
              <w:t>Output 1.6:  Early Intervention and Prevention</w:t>
            </w:r>
          </w:p>
        </w:tc>
      </w:tr>
      <w:tr w:rsidR="0028593E" w:rsidRPr="008E146D" w:rsidTr="00D0581E">
        <w:trPr>
          <w:trHeight w:val="284"/>
        </w:trPr>
        <w:tc>
          <w:tcPr>
            <w:tcW w:w="5068" w:type="dxa"/>
            <w:tcBorders>
              <w:top w:val="nil"/>
              <w:left w:val="nil"/>
              <w:bottom w:val="nil"/>
              <w:right w:val="nil"/>
            </w:tcBorders>
            <w:vAlign w:val="bottom"/>
          </w:tcPr>
          <w:p w:rsidR="0028593E" w:rsidRPr="00565DB3" w:rsidRDefault="0028593E" w:rsidP="003D782D">
            <w:pPr>
              <w:pStyle w:val="AIIndent"/>
              <w:numPr>
                <w:ilvl w:val="0"/>
                <w:numId w:val="3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565DB3">
              <w:t>Immunisation coverage for the primary immunisation schedule measured at 1 year of age, in accordance with the Australian Childhood Immunisation Register</w:t>
            </w:r>
          </w:p>
        </w:tc>
        <w:tc>
          <w:tcPr>
            <w:tcW w:w="1429" w:type="dxa"/>
            <w:tcBorders>
              <w:top w:val="single" w:sz="4" w:space="0" w:color="auto"/>
              <w:left w:val="nil"/>
              <w:bottom w:val="nil"/>
              <w:right w:val="nil"/>
            </w:tcBorders>
          </w:tcPr>
          <w:p w:rsidR="0028593E" w:rsidRPr="00723135" w:rsidRDefault="0028593E" w:rsidP="002F5569">
            <w:pPr>
              <w:pStyle w:val="AIInden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firstLine="0"/>
              <w:jc w:val="right"/>
            </w:pPr>
            <w:r w:rsidRPr="00723135">
              <w:t>92%</w:t>
            </w:r>
          </w:p>
        </w:tc>
        <w:tc>
          <w:tcPr>
            <w:tcW w:w="1429" w:type="dxa"/>
            <w:tcBorders>
              <w:top w:val="single" w:sz="4" w:space="0" w:color="auto"/>
              <w:left w:val="nil"/>
              <w:bottom w:val="nil"/>
              <w:right w:val="nil"/>
            </w:tcBorders>
          </w:tcPr>
          <w:p w:rsidR="0028593E" w:rsidRPr="005703F4" w:rsidRDefault="0028593E" w:rsidP="002F5569">
            <w:pPr>
              <w:pStyle w:val="AIInden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firstLine="0"/>
              <w:jc w:val="right"/>
            </w:pPr>
            <w:r w:rsidRPr="005703F4">
              <w:t>93%</w:t>
            </w:r>
          </w:p>
        </w:tc>
        <w:tc>
          <w:tcPr>
            <w:tcW w:w="1429" w:type="dxa"/>
            <w:tcBorders>
              <w:top w:val="single" w:sz="4" w:space="0" w:color="auto"/>
              <w:left w:val="nil"/>
              <w:bottom w:val="nil"/>
              <w:right w:val="nil"/>
            </w:tcBorders>
          </w:tcPr>
          <w:p w:rsidR="0028593E" w:rsidRPr="005703F4" w:rsidRDefault="0028593E" w:rsidP="002F5569">
            <w:pPr>
              <w:pStyle w:val="AIInden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firstLine="0"/>
              <w:jc w:val="right"/>
            </w:pPr>
            <w:r w:rsidRPr="005703F4">
              <w:t>92%</w:t>
            </w:r>
          </w:p>
        </w:tc>
      </w:tr>
      <w:tr w:rsidR="0028593E" w:rsidRPr="008E146D" w:rsidTr="00D0581E">
        <w:trPr>
          <w:trHeight w:val="284"/>
        </w:trPr>
        <w:tc>
          <w:tcPr>
            <w:tcW w:w="5068" w:type="dxa"/>
            <w:tcBorders>
              <w:top w:val="nil"/>
              <w:left w:val="nil"/>
              <w:right w:val="nil"/>
            </w:tcBorders>
            <w:vAlign w:val="bottom"/>
          </w:tcPr>
          <w:p w:rsidR="0028593E" w:rsidRPr="00565DB3" w:rsidRDefault="0028593E" w:rsidP="003D782D">
            <w:pPr>
              <w:pStyle w:val="AIIndent"/>
              <w:numPr>
                <w:ilvl w:val="0"/>
                <w:numId w:val="3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65DB3">
              <w:t>Proportion of clients attending ‘Well Women's Check’ within the Women's Health Service that are from culturally and linguistically diverse communities</w:t>
            </w:r>
          </w:p>
        </w:tc>
        <w:tc>
          <w:tcPr>
            <w:tcW w:w="1429" w:type="dxa"/>
            <w:tcBorders>
              <w:top w:val="nil"/>
              <w:left w:val="nil"/>
              <w:right w:val="nil"/>
            </w:tcBorders>
          </w:tcPr>
          <w:p w:rsidR="0028593E" w:rsidRPr="00723135" w:rsidRDefault="0028593E" w:rsidP="002F5569">
            <w:pPr>
              <w:pStyle w:val="AIInden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right"/>
            </w:pPr>
            <w:r w:rsidRPr="00723135">
              <w:t>30%</w:t>
            </w:r>
          </w:p>
        </w:tc>
        <w:tc>
          <w:tcPr>
            <w:tcW w:w="1429" w:type="dxa"/>
            <w:tcBorders>
              <w:top w:val="nil"/>
              <w:left w:val="nil"/>
              <w:right w:val="nil"/>
            </w:tcBorders>
          </w:tcPr>
          <w:p w:rsidR="0028593E" w:rsidRPr="005703F4" w:rsidRDefault="0028593E" w:rsidP="002F5569">
            <w:pPr>
              <w:pStyle w:val="AIInden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right"/>
            </w:pPr>
            <w:r w:rsidRPr="005703F4">
              <w:t>39%</w:t>
            </w:r>
            <w:r w:rsidR="005703F4" w:rsidRPr="002F5569">
              <w:rPr>
                <w:vertAlign w:val="superscript"/>
              </w:rPr>
              <w:t>1</w:t>
            </w:r>
          </w:p>
        </w:tc>
        <w:tc>
          <w:tcPr>
            <w:tcW w:w="1429" w:type="dxa"/>
            <w:tcBorders>
              <w:top w:val="nil"/>
              <w:left w:val="nil"/>
              <w:right w:val="nil"/>
            </w:tcBorders>
          </w:tcPr>
          <w:p w:rsidR="0028593E" w:rsidRPr="005703F4" w:rsidRDefault="0028593E" w:rsidP="002F5569">
            <w:pPr>
              <w:pStyle w:val="AIInden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right"/>
            </w:pPr>
            <w:r w:rsidRPr="005703F4">
              <w:t>35%</w:t>
            </w:r>
          </w:p>
        </w:tc>
      </w:tr>
      <w:tr w:rsidR="0028593E" w:rsidRPr="00565DB3" w:rsidTr="00D0581E">
        <w:trPr>
          <w:trHeight w:val="284"/>
        </w:trPr>
        <w:tc>
          <w:tcPr>
            <w:tcW w:w="5068" w:type="dxa"/>
            <w:tcBorders>
              <w:top w:val="nil"/>
              <w:left w:val="nil"/>
              <w:bottom w:val="single" w:sz="4" w:space="0" w:color="auto"/>
              <w:right w:val="nil"/>
            </w:tcBorders>
            <w:vAlign w:val="bottom"/>
          </w:tcPr>
          <w:p w:rsidR="0028593E" w:rsidRPr="00565DB3" w:rsidRDefault="0028593E" w:rsidP="003D782D">
            <w:pPr>
              <w:pStyle w:val="AIIndent"/>
              <w:numPr>
                <w:ilvl w:val="0"/>
                <w:numId w:val="3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565DB3">
              <w:t>Proportion of children aged 0-14 who are entering substitute and kinship care within the ACT who attend the Child at Risk Health Unit for a health and wellbeing screen.</w:t>
            </w:r>
          </w:p>
        </w:tc>
        <w:tc>
          <w:tcPr>
            <w:tcW w:w="1429" w:type="dxa"/>
            <w:tcBorders>
              <w:top w:val="nil"/>
              <w:left w:val="nil"/>
              <w:bottom w:val="single" w:sz="4" w:space="0" w:color="auto"/>
              <w:right w:val="nil"/>
            </w:tcBorders>
          </w:tcPr>
          <w:p w:rsidR="0028593E" w:rsidRPr="00723135" w:rsidRDefault="0028593E" w:rsidP="002F5569">
            <w:pPr>
              <w:pStyle w:val="AIInden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firstLine="0"/>
              <w:jc w:val="right"/>
            </w:pPr>
            <w:r w:rsidRPr="00723135">
              <w:t>80%</w:t>
            </w:r>
          </w:p>
        </w:tc>
        <w:tc>
          <w:tcPr>
            <w:tcW w:w="1429" w:type="dxa"/>
            <w:tcBorders>
              <w:top w:val="nil"/>
              <w:left w:val="nil"/>
              <w:bottom w:val="single" w:sz="4" w:space="0" w:color="auto"/>
              <w:right w:val="nil"/>
            </w:tcBorders>
          </w:tcPr>
          <w:p w:rsidR="0028593E" w:rsidRPr="005703F4" w:rsidRDefault="0028593E" w:rsidP="002F5569">
            <w:pPr>
              <w:pStyle w:val="AIInden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firstLine="0"/>
              <w:jc w:val="right"/>
            </w:pPr>
            <w:r w:rsidRPr="005703F4">
              <w:t>88%</w:t>
            </w:r>
            <w:r w:rsidR="005703F4" w:rsidRPr="002F5569">
              <w:rPr>
                <w:vertAlign w:val="superscript"/>
              </w:rPr>
              <w:t>2</w:t>
            </w:r>
          </w:p>
        </w:tc>
        <w:tc>
          <w:tcPr>
            <w:tcW w:w="1429" w:type="dxa"/>
            <w:tcBorders>
              <w:top w:val="nil"/>
              <w:left w:val="nil"/>
              <w:bottom w:val="single" w:sz="4" w:space="0" w:color="auto"/>
              <w:right w:val="nil"/>
            </w:tcBorders>
          </w:tcPr>
          <w:p w:rsidR="0028593E" w:rsidRPr="005703F4" w:rsidRDefault="0028593E" w:rsidP="002F5569">
            <w:pPr>
              <w:pStyle w:val="AIInden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firstLine="0"/>
              <w:jc w:val="right"/>
            </w:pPr>
            <w:r w:rsidRPr="005703F4">
              <w:t>80%</w:t>
            </w:r>
          </w:p>
        </w:tc>
      </w:tr>
    </w:tbl>
    <w:p w:rsidR="0028593E" w:rsidRDefault="0028593E" w:rsidP="0028593E">
      <w:pPr>
        <w:pStyle w:val="NoteHeading"/>
        <w:rPr>
          <w:lang w:eastAsia="en-AU"/>
        </w:rPr>
      </w:pPr>
      <w:r>
        <w:rPr>
          <w:lang w:eastAsia="en-AU"/>
        </w:rPr>
        <w:t>Notes:</w:t>
      </w:r>
    </w:p>
    <w:p w:rsidR="00DC00A3" w:rsidRPr="002F5569" w:rsidRDefault="00DC00A3" w:rsidP="003D782D">
      <w:pPr>
        <w:pStyle w:val="AINotes"/>
        <w:numPr>
          <w:ilvl w:val="0"/>
          <w:numId w:val="41"/>
        </w:numPr>
      </w:pPr>
      <w:r w:rsidRPr="002F5569">
        <w:t>The favourable estimated outcome for 2012</w:t>
      </w:r>
      <w:r w:rsidRPr="002F5569">
        <w:noBreakHyphen/>
        <w:t>13 reflects successful promotion of the service which targets culturally and linguistically diverse communities.</w:t>
      </w:r>
    </w:p>
    <w:p w:rsidR="00DC00A3" w:rsidRPr="002F5569" w:rsidRDefault="00DC00A3" w:rsidP="003D782D">
      <w:pPr>
        <w:pStyle w:val="AINotes"/>
        <w:numPr>
          <w:ilvl w:val="0"/>
          <w:numId w:val="41"/>
        </w:numPr>
      </w:pPr>
      <w:r w:rsidRPr="002F5569">
        <w:t>The favourable estimated outcome for 2012</w:t>
      </w:r>
      <w:r w:rsidRPr="002F5569">
        <w:noBreakHyphen/>
        <w:t>13 is a result of good referral rates from the Community Services Directorate.</w:t>
      </w:r>
    </w:p>
    <w:p w:rsidR="0075638A" w:rsidRDefault="0028593E" w:rsidP="00405C2E">
      <w:pPr>
        <w:pStyle w:val="Heading3TopofPage"/>
      </w:pPr>
      <w:r>
        <w:br w:type="page"/>
      </w:r>
    </w:p>
    <w:p w:rsidR="006040E3" w:rsidRDefault="006040E3" w:rsidP="00405C2E">
      <w:pPr>
        <w:pStyle w:val="Heading3TopofPage"/>
      </w:pPr>
      <w:r>
        <w:lastRenderedPageBreak/>
        <w:t>Changes to Appropriation</w:t>
      </w:r>
    </w:p>
    <w:tbl>
      <w:tblPr>
        <w:tblW w:w="9356" w:type="dxa"/>
        <w:tblLook w:val="04A0"/>
      </w:tblPr>
      <w:tblGrid>
        <w:gridCol w:w="4556"/>
        <w:gridCol w:w="960"/>
        <w:gridCol w:w="960"/>
        <w:gridCol w:w="960"/>
        <w:gridCol w:w="960"/>
        <w:gridCol w:w="960"/>
      </w:tblGrid>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D0581E">
            <w:pPr>
              <w:rPr>
                <w:b/>
                <w:bCs/>
                <w:sz w:val="18"/>
                <w:szCs w:val="18"/>
                <w:lang w:eastAsia="en-AU"/>
              </w:rPr>
            </w:pPr>
            <w:r w:rsidRPr="00C85A73">
              <w:rPr>
                <w:b/>
                <w:bCs/>
                <w:sz w:val="18"/>
                <w:szCs w:val="18"/>
                <w:lang w:eastAsia="en-AU"/>
              </w:rPr>
              <w:t xml:space="preserve">Changes to Appropriation </w:t>
            </w:r>
            <w:r w:rsidR="006B58B2" w:rsidRPr="006B58B2">
              <w:rPr>
                <w:b/>
                <w:sz w:val="18"/>
                <w:szCs w:val="18"/>
                <w:lang w:eastAsia="en-AU"/>
              </w:rPr>
              <w:t>–</w:t>
            </w:r>
            <w:r w:rsidR="002606BB">
              <w:rPr>
                <w:b/>
                <w:bCs/>
                <w:sz w:val="18"/>
                <w:szCs w:val="18"/>
                <w:lang w:eastAsia="en-AU"/>
              </w:rPr>
              <w:t xml:space="preserve"> </w:t>
            </w:r>
            <w:r w:rsidRPr="00C85A73">
              <w:rPr>
                <w:b/>
                <w:bCs/>
                <w:sz w:val="18"/>
                <w:szCs w:val="18"/>
                <w:lang w:eastAsia="en-AU"/>
              </w:rPr>
              <w:t>Controlled</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single" w:sz="4" w:space="0" w:color="auto"/>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2016-17</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Government Payment for Outputs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 Out.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Budget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r>
      <w:tr w:rsidR="006040E3" w:rsidRPr="00C85A73" w:rsidTr="000F1960">
        <w:trPr>
          <w:trHeight w:val="240"/>
        </w:trPr>
        <w:tc>
          <w:tcPr>
            <w:tcW w:w="4556" w:type="dxa"/>
            <w:tcBorders>
              <w:top w:val="nil"/>
              <w:left w:val="nil"/>
              <w:bottom w:val="single" w:sz="4" w:space="0" w:color="auto"/>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2012-13 Budget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365,860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377,406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391,008</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409,307</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409,307</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FMA Section 16B Rollovers from 2011-12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National Healthcare SPP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2,618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Essential Vaccines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2,261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Preventive Health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1,043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Hospital and Health Workforce Reform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710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Health Services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301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w:t>
            </w:r>
            <w:proofErr w:type="spellStart"/>
            <w:r w:rsidRPr="00C85A73">
              <w:rPr>
                <w:sz w:val="18"/>
                <w:szCs w:val="18"/>
                <w:lang w:eastAsia="en-AU"/>
              </w:rPr>
              <w:t>Breastscreen</w:t>
            </w:r>
            <w:proofErr w:type="spellEnd"/>
            <w:r w:rsidRPr="00C85A73">
              <w:rPr>
                <w:sz w:val="18"/>
                <w:szCs w:val="18"/>
                <w:lang w:eastAsia="en-AU"/>
              </w:rPr>
              <w:t xml:space="preserve"> Australia Radiography Workforce Initiatives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47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Enhanced Cancer Outpatients Services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900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1,225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1,251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1,277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General Inpatient Beds and Hospital in the Home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8,600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12,063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12,316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12,575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Establish an Outpatient Service for Drug and Alcohol Services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180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184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188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192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Expand Services at the Centenary Hospital for Women and Children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1,529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1,561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1,594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1,627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Enhancement of Services for Women, Youth and Children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781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797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814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831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Establishment of a Public Obesity Management Service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1,021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1,042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1,064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Enhanced Belconnen Health Centre and Walk-In Centre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1,650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2,391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2,441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2,492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Expand Access to Emergency Medicine and Rapid Assessment Services at ACT Public Hospitals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2,000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3,267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3,336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3,406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Continuing Access to Elective Surgery Services for Patients on the Public Elective Surgery Waiting List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8,000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8,168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8,339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8,515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Growth in Community Mental Health Services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1,021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1,042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1,064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Growth in Outpatient Services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1,021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1,042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1,064 </w:t>
            </w:r>
          </w:p>
        </w:tc>
      </w:tr>
      <w:tr w:rsidR="006040E3" w:rsidRPr="00C85A73" w:rsidTr="000F1960">
        <w:trPr>
          <w:trHeight w:val="285"/>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Aboriginal and Torres Strait Islander Smoking Cessation Program</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204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Advanced Care Planning</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306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313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319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Mobile Dental Clinic</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141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303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309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316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Offset </w:t>
            </w:r>
            <w:r w:rsidR="006B58B2" w:rsidRPr="005E58BC">
              <w:rPr>
                <w:sz w:val="18"/>
                <w:szCs w:val="18"/>
                <w:lang w:eastAsia="en-AU"/>
              </w:rPr>
              <w:t>–</w:t>
            </w:r>
            <w:r w:rsidRPr="00C85A73">
              <w:rPr>
                <w:sz w:val="18"/>
                <w:szCs w:val="18"/>
                <w:lang w:eastAsia="en-AU"/>
              </w:rPr>
              <w:t xml:space="preserve"> Base Funding Envelope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(26,781)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(33,532)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(34,027)</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(34,742)</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General Savings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(6,500)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(6,637)</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(6,776)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(6,918)</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(915)</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(937)</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(961)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68,292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Indexation Parameters </w:t>
            </w:r>
            <w:r w:rsidR="006B58B2" w:rsidRPr="005E58BC">
              <w:rPr>
                <w:sz w:val="18"/>
                <w:szCs w:val="18"/>
                <w:lang w:eastAsia="en-AU"/>
              </w:rPr>
              <w:t>–</w:t>
            </w:r>
            <w:r w:rsidRPr="00C85A73">
              <w:rPr>
                <w:sz w:val="18"/>
                <w:szCs w:val="18"/>
                <w:lang w:eastAsia="en-AU"/>
              </w:rPr>
              <w:t xml:space="preserve"> Community Sector Funding</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(250)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(259)</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(269)</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114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Revised Superannuation Parameters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(1,000)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(2,000)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(3,000)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(4,000)</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Revised Superannuation Guarantee Rate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725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1,530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3,222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5,068 </w:t>
            </w:r>
          </w:p>
        </w:tc>
      </w:tr>
      <w:tr w:rsidR="006040E3" w:rsidRPr="00C85A73" w:rsidTr="000F1960">
        <w:trPr>
          <w:trHeight w:val="270"/>
        </w:trPr>
        <w:tc>
          <w:tcPr>
            <w:tcW w:w="4556" w:type="dxa"/>
            <w:tcBorders>
              <w:top w:val="nil"/>
              <w:left w:val="nil"/>
              <w:bottom w:val="nil"/>
              <w:right w:val="nil"/>
            </w:tcBorders>
            <w:shd w:val="clear" w:color="auto" w:fill="auto"/>
            <w:hideMark/>
          </w:tcPr>
          <w:p w:rsidR="006040E3" w:rsidRPr="00C85A73" w:rsidRDefault="006040E3" w:rsidP="002606BB">
            <w:pPr>
              <w:ind w:left="142" w:hanging="142"/>
              <w:rPr>
                <w:sz w:val="18"/>
                <w:szCs w:val="18"/>
                <w:lang w:eastAsia="en-AU"/>
              </w:rPr>
            </w:pPr>
            <w:r w:rsidRPr="00C85A73">
              <w:rPr>
                <w:sz w:val="18"/>
                <w:szCs w:val="18"/>
                <w:lang w:eastAsia="en-AU"/>
              </w:rPr>
              <w:t xml:space="preserve">Rebase ACT Local Hospital Network </w:t>
            </w:r>
            <w:r w:rsidR="002606BB">
              <w:rPr>
                <w:sz w:val="18"/>
                <w:szCs w:val="18"/>
                <w:lang w:eastAsia="en-AU"/>
              </w:rPr>
              <w:t>B</w:t>
            </w:r>
            <w:r w:rsidRPr="00C85A73">
              <w:rPr>
                <w:sz w:val="18"/>
                <w:szCs w:val="18"/>
                <w:lang w:eastAsia="en-AU"/>
              </w:rPr>
              <w:t xml:space="preserve">ased on </w:t>
            </w:r>
            <w:r w:rsidR="002606BB">
              <w:rPr>
                <w:sz w:val="18"/>
                <w:szCs w:val="18"/>
                <w:lang w:eastAsia="en-AU"/>
              </w:rPr>
              <w:t>I</w:t>
            </w:r>
            <w:r w:rsidRPr="00C85A73">
              <w:rPr>
                <w:sz w:val="18"/>
                <w:szCs w:val="18"/>
                <w:lang w:eastAsia="en-AU"/>
              </w:rPr>
              <w:t xml:space="preserve">n-scope </w:t>
            </w:r>
            <w:r w:rsidR="002606BB">
              <w:rPr>
                <w:sz w:val="18"/>
                <w:szCs w:val="18"/>
                <w:lang w:eastAsia="en-AU"/>
              </w:rPr>
              <w:t>S</w:t>
            </w:r>
            <w:r w:rsidRPr="00C85A73">
              <w:rPr>
                <w:sz w:val="18"/>
                <w:szCs w:val="18"/>
                <w:lang w:eastAsia="en-AU"/>
              </w:rPr>
              <w:t>ervices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(143,336)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(141,550)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(148,171)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(200,783)</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Social and Community Services (SACS) Pay Equity Award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223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306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804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Transfer </w:t>
            </w:r>
            <w:r w:rsidR="006B58B2" w:rsidRPr="005E58BC">
              <w:rPr>
                <w:sz w:val="18"/>
                <w:szCs w:val="18"/>
                <w:lang w:eastAsia="en-AU"/>
              </w:rPr>
              <w:t>–</w:t>
            </w:r>
            <w:r w:rsidRPr="00C85A73">
              <w:rPr>
                <w:sz w:val="18"/>
                <w:szCs w:val="18"/>
                <w:lang w:eastAsia="en-AU"/>
              </w:rPr>
              <w:t xml:space="preserve"> National Healthcare SPP to ACT LHN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(2,618)</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Commonwealth Grants </w:t>
            </w:r>
            <w:r w:rsidR="006B58B2" w:rsidRPr="005E58BC">
              <w:rPr>
                <w:sz w:val="18"/>
                <w:szCs w:val="18"/>
                <w:lang w:eastAsia="en-AU"/>
              </w:rPr>
              <w:t>–</w:t>
            </w:r>
            <w:r w:rsidRPr="00C85A73">
              <w:rPr>
                <w:sz w:val="18"/>
                <w:szCs w:val="18"/>
                <w:lang w:eastAsia="en-AU"/>
              </w:rPr>
              <w:t xml:space="preserve"> Health Services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(144)</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144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103E9E">
        <w:trPr>
          <w:trHeight w:val="480"/>
        </w:trPr>
        <w:tc>
          <w:tcPr>
            <w:tcW w:w="4556" w:type="dxa"/>
            <w:tcBorders>
              <w:top w:val="nil"/>
              <w:left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Commonwealth Grants </w:t>
            </w:r>
            <w:r w:rsidR="006B58B2" w:rsidRPr="005E58BC">
              <w:rPr>
                <w:sz w:val="18"/>
                <w:szCs w:val="18"/>
                <w:lang w:eastAsia="en-AU"/>
              </w:rPr>
              <w:t>–</w:t>
            </w:r>
            <w:r w:rsidRPr="00C85A73">
              <w:rPr>
                <w:sz w:val="18"/>
                <w:szCs w:val="18"/>
                <w:lang w:eastAsia="en-AU"/>
              </w:rPr>
              <w:t xml:space="preserve"> Hospital and Health Workforce Reform NP</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(865)</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865 </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103E9E">
        <w:trPr>
          <w:trHeight w:val="495"/>
        </w:trPr>
        <w:tc>
          <w:tcPr>
            <w:tcW w:w="4556" w:type="dxa"/>
            <w:tcBorders>
              <w:top w:val="nil"/>
              <w:left w:val="nil"/>
              <w:bottom w:val="single" w:sz="4" w:space="0" w:color="auto"/>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Commonwealth Grants </w:t>
            </w:r>
            <w:r w:rsidR="006B58B2" w:rsidRPr="005E58BC">
              <w:rPr>
                <w:sz w:val="18"/>
                <w:szCs w:val="18"/>
                <w:lang w:eastAsia="en-AU"/>
              </w:rPr>
              <w:t>–</w:t>
            </w:r>
            <w:r w:rsidRPr="00C85A73">
              <w:rPr>
                <w:sz w:val="18"/>
                <w:szCs w:val="18"/>
                <w:lang w:eastAsia="en-AU"/>
              </w:rPr>
              <w:t xml:space="preserve"> Indigenous Early Childhood Development NP</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(140)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140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bl>
    <w:p w:rsidR="006040E3" w:rsidRDefault="006040E3" w:rsidP="006040E3">
      <w:pPr>
        <w:pStyle w:val="Heading3TopofPage"/>
      </w:pPr>
      <w:proofErr w:type="gramStart"/>
      <w:r>
        <w:lastRenderedPageBreak/>
        <w:t>Changes to Appropriation cont.</w:t>
      </w:r>
      <w:proofErr w:type="gramEnd"/>
    </w:p>
    <w:tbl>
      <w:tblPr>
        <w:tblW w:w="9356" w:type="dxa"/>
        <w:tblLook w:val="04A0"/>
      </w:tblPr>
      <w:tblGrid>
        <w:gridCol w:w="4556"/>
        <w:gridCol w:w="960"/>
        <w:gridCol w:w="960"/>
        <w:gridCol w:w="960"/>
        <w:gridCol w:w="960"/>
        <w:gridCol w:w="960"/>
      </w:tblGrid>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2606BB">
            <w:pPr>
              <w:rPr>
                <w:b/>
                <w:bCs/>
                <w:sz w:val="18"/>
                <w:szCs w:val="18"/>
                <w:lang w:eastAsia="en-AU"/>
              </w:rPr>
            </w:pPr>
            <w:r w:rsidRPr="00C85A73">
              <w:rPr>
                <w:b/>
                <w:bCs/>
                <w:sz w:val="18"/>
                <w:szCs w:val="18"/>
                <w:lang w:eastAsia="en-AU"/>
              </w:rPr>
              <w:t xml:space="preserve">Changes to Appropriation </w:t>
            </w:r>
            <w:r w:rsidR="00103E9E" w:rsidRPr="00103E9E">
              <w:rPr>
                <w:b/>
                <w:sz w:val="18"/>
                <w:szCs w:val="18"/>
                <w:lang w:eastAsia="en-AU"/>
              </w:rPr>
              <w:t>–</w:t>
            </w:r>
            <w:r w:rsidR="002606BB">
              <w:rPr>
                <w:b/>
                <w:bCs/>
                <w:sz w:val="18"/>
                <w:szCs w:val="18"/>
                <w:lang w:eastAsia="en-AU"/>
              </w:rPr>
              <w:t xml:space="preserve"> </w:t>
            </w:r>
            <w:r w:rsidRPr="00C85A73">
              <w:rPr>
                <w:b/>
                <w:bCs/>
                <w:sz w:val="18"/>
                <w:szCs w:val="18"/>
                <w:lang w:eastAsia="en-AU"/>
              </w:rPr>
              <w:t>Controlled</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single" w:sz="4" w:space="0" w:color="auto"/>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2016-17</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Government Payment for Outputs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 Out.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Budget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r>
      <w:tr w:rsidR="006040E3" w:rsidRPr="00C85A73" w:rsidTr="000F1960">
        <w:trPr>
          <w:trHeight w:val="240"/>
        </w:trPr>
        <w:tc>
          <w:tcPr>
            <w:tcW w:w="4556" w:type="dxa"/>
            <w:tcBorders>
              <w:top w:val="nil"/>
              <w:left w:val="nil"/>
              <w:bottom w:val="single" w:sz="4" w:space="0" w:color="auto"/>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r>
      <w:tr w:rsidR="006040E3" w:rsidRPr="00C85A73" w:rsidTr="000F1960">
        <w:trPr>
          <w:trHeight w:val="16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465"/>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Commonwealth Grants </w:t>
            </w:r>
            <w:r w:rsidR="006B58B2" w:rsidRPr="005E58BC">
              <w:rPr>
                <w:sz w:val="18"/>
                <w:szCs w:val="18"/>
                <w:lang w:eastAsia="en-AU"/>
              </w:rPr>
              <w:t>–</w:t>
            </w:r>
            <w:r w:rsidRPr="00C85A73">
              <w:rPr>
                <w:sz w:val="18"/>
                <w:szCs w:val="18"/>
                <w:lang w:eastAsia="en-AU"/>
              </w:rPr>
              <w:t xml:space="preserve"> Preventive Health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(2,646)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2,646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Commonwealth Grants </w:t>
            </w:r>
            <w:r w:rsidR="006B58B2" w:rsidRPr="005E58BC">
              <w:rPr>
                <w:sz w:val="18"/>
                <w:szCs w:val="18"/>
                <w:lang w:eastAsia="en-AU"/>
              </w:rPr>
              <w:t>–</w:t>
            </w:r>
            <w:r w:rsidRPr="00C85A73">
              <w:rPr>
                <w:sz w:val="18"/>
                <w:szCs w:val="18"/>
                <w:lang w:eastAsia="en-AU"/>
              </w:rPr>
              <w:t xml:space="preserve"> Commonwealth Dental Health Program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(156)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156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Commonwealth Grants </w:t>
            </w:r>
            <w:r w:rsidR="006B58B2" w:rsidRPr="005E58BC">
              <w:rPr>
                <w:sz w:val="18"/>
                <w:szCs w:val="18"/>
                <w:lang w:eastAsia="en-AU"/>
              </w:rPr>
              <w:t>–</w:t>
            </w:r>
            <w:r w:rsidRPr="00C85A73">
              <w:rPr>
                <w:sz w:val="18"/>
                <w:szCs w:val="18"/>
                <w:lang w:eastAsia="en-AU"/>
              </w:rPr>
              <w:t xml:space="preserve"> National Health Reform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(2,909)</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2,909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525"/>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Commonwealth Grants </w:t>
            </w:r>
            <w:r w:rsidR="006B58B2" w:rsidRPr="005E58BC">
              <w:rPr>
                <w:sz w:val="18"/>
                <w:szCs w:val="18"/>
                <w:lang w:eastAsia="en-AU"/>
              </w:rPr>
              <w:t>–</w:t>
            </w:r>
            <w:r w:rsidRPr="00C85A73">
              <w:rPr>
                <w:sz w:val="18"/>
                <w:szCs w:val="18"/>
                <w:lang w:eastAsia="en-AU"/>
              </w:rPr>
              <w:t xml:space="preserve"> Long Stay Older Patients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(783)</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783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51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C</w:t>
            </w:r>
            <w:r>
              <w:rPr>
                <w:sz w:val="18"/>
                <w:szCs w:val="18"/>
                <w:lang w:eastAsia="en-AU"/>
              </w:rPr>
              <w:t xml:space="preserve">ommonwealth Grants </w:t>
            </w:r>
            <w:r w:rsidR="006B58B2" w:rsidRPr="005E58BC">
              <w:rPr>
                <w:sz w:val="18"/>
                <w:szCs w:val="18"/>
                <w:lang w:eastAsia="en-AU"/>
              </w:rPr>
              <w:t>–</w:t>
            </w:r>
            <w:r>
              <w:rPr>
                <w:sz w:val="18"/>
                <w:szCs w:val="18"/>
                <w:lang w:eastAsia="en-AU"/>
              </w:rPr>
              <w:t xml:space="preserve"> Essential </w:t>
            </w:r>
            <w:r w:rsidRPr="00C85A73">
              <w:rPr>
                <w:sz w:val="18"/>
                <w:szCs w:val="18"/>
                <w:lang w:eastAsia="en-AU"/>
              </w:rPr>
              <w:t>Vaccines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(3,900)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3,900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Preventive Health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155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(3,108)</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(3,044)</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894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2,181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Hepatitis C </w:t>
            </w:r>
            <w:r w:rsidR="005703F4" w:rsidRPr="00C85A73">
              <w:rPr>
                <w:sz w:val="18"/>
                <w:szCs w:val="18"/>
                <w:lang w:eastAsia="en-AU"/>
              </w:rPr>
              <w:t>Settlement</w:t>
            </w:r>
            <w:r w:rsidRPr="00C85A73">
              <w:rPr>
                <w:sz w:val="18"/>
                <w:szCs w:val="18"/>
                <w:lang w:eastAsia="en-AU"/>
              </w:rPr>
              <w:t xml:space="preserve"> Fund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Essential Vaccines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3,637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(4,162)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(892)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(896)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(580)</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Long Stay Older Patients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3,833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Health Services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475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3,338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4,925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6,433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Mental Health (Reform Program)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(620)</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Commonwealth Grants </w:t>
            </w:r>
            <w:r w:rsidR="006B58B2" w:rsidRPr="005E58BC">
              <w:rPr>
                <w:sz w:val="18"/>
                <w:szCs w:val="18"/>
                <w:lang w:eastAsia="en-AU"/>
              </w:rPr>
              <w:t>–</w:t>
            </w:r>
            <w:r w:rsidRPr="00C85A73">
              <w:rPr>
                <w:sz w:val="18"/>
                <w:szCs w:val="18"/>
                <w:lang w:eastAsia="en-AU"/>
              </w:rPr>
              <w:t xml:space="preserve"> Home and Community Care Services for Veterans NP</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(142)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(142)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(142)</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single" w:sz="4" w:space="0" w:color="auto"/>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366,337</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231,100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240,721</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258,533</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279,156</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xml:space="preserve">Changes to Appropriation </w:t>
            </w:r>
            <w:r w:rsidR="00103E9E" w:rsidRPr="00103E9E">
              <w:rPr>
                <w:b/>
                <w:sz w:val="18"/>
                <w:szCs w:val="18"/>
                <w:lang w:eastAsia="en-AU"/>
              </w:rPr>
              <w:t>–</w:t>
            </w:r>
            <w:r w:rsidR="00103E9E">
              <w:rPr>
                <w:sz w:val="18"/>
                <w:szCs w:val="18"/>
                <w:lang w:eastAsia="en-AU"/>
              </w:rPr>
              <w:t xml:space="preserve"> </w:t>
            </w:r>
            <w:r w:rsidRPr="00C85A73">
              <w:rPr>
                <w:b/>
                <w:bCs/>
                <w:sz w:val="18"/>
                <w:szCs w:val="18"/>
                <w:lang w:eastAsia="en-AU"/>
              </w:rPr>
              <w:t>Territorial</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single" w:sz="4" w:space="0" w:color="auto"/>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2016-17</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Payment for Expenses on Behalf of Territory</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 Out.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Budget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r>
      <w:tr w:rsidR="006040E3" w:rsidRPr="00C85A73" w:rsidTr="000F1960">
        <w:trPr>
          <w:trHeight w:val="240"/>
        </w:trPr>
        <w:tc>
          <w:tcPr>
            <w:tcW w:w="4556" w:type="dxa"/>
            <w:tcBorders>
              <w:top w:val="nil"/>
              <w:left w:val="nil"/>
              <w:bottom w:val="single" w:sz="4" w:space="0" w:color="auto"/>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2012-13 Budget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746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765</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784</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803</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803</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Continuity of Health Services Plan </w:t>
            </w:r>
            <w:r w:rsidR="006B58B2" w:rsidRPr="005E58BC">
              <w:rPr>
                <w:sz w:val="18"/>
                <w:szCs w:val="18"/>
                <w:lang w:eastAsia="en-AU"/>
              </w:rPr>
              <w:t>–</w:t>
            </w:r>
            <w:r w:rsidRPr="00C85A73">
              <w:rPr>
                <w:sz w:val="18"/>
                <w:szCs w:val="18"/>
                <w:lang w:eastAsia="en-AU"/>
              </w:rPr>
              <w:t xml:space="preserve"> Essential Infrastructure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3,850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r w:rsidRPr="00C85A73">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20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single" w:sz="4" w:space="0" w:color="auto"/>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746</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4,615</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784</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803</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823</w:t>
            </w:r>
          </w:p>
        </w:tc>
      </w:tr>
    </w:tbl>
    <w:p w:rsidR="006040E3" w:rsidRDefault="006040E3" w:rsidP="00405C2E">
      <w:pPr>
        <w:pStyle w:val="Heading3TopofPage"/>
      </w:pPr>
    </w:p>
    <w:p w:rsidR="0075638A" w:rsidRDefault="006040E3" w:rsidP="006040E3">
      <w:pPr>
        <w:pStyle w:val="Heading3TopofPage"/>
      </w:pPr>
      <w:r>
        <w:br w:type="page"/>
      </w:r>
    </w:p>
    <w:p w:rsidR="006040E3" w:rsidRDefault="006040E3" w:rsidP="006040E3">
      <w:pPr>
        <w:pStyle w:val="Heading3TopofPage"/>
      </w:pPr>
      <w:proofErr w:type="gramStart"/>
      <w:r>
        <w:lastRenderedPageBreak/>
        <w:t>Changes to Appropriation cont.</w:t>
      </w:r>
      <w:proofErr w:type="gramEnd"/>
    </w:p>
    <w:tbl>
      <w:tblPr>
        <w:tblW w:w="9356" w:type="dxa"/>
        <w:tblLook w:val="04A0"/>
      </w:tblPr>
      <w:tblGrid>
        <w:gridCol w:w="4556"/>
        <w:gridCol w:w="960"/>
        <w:gridCol w:w="960"/>
        <w:gridCol w:w="960"/>
        <w:gridCol w:w="960"/>
        <w:gridCol w:w="960"/>
      </w:tblGrid>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xml:space="preserve">Changes to Appropriation </w:t>
            </w:r>
            <w:r w:rsidR="00103E9E" w:rsidRPr="00103E9E">
              <w:rPr>
                <w:b/>
                <w:sz w:val="18"/>
                <w:szCs w:val="18"/>
                <w:lang w:eastAsia="en-AU"/>
              </w:rPr>
              <w:t>–</w:t>
            </w:r>
            <w:r w:rsidR="002606BB" w:rsidRPr="00103E9E">
              <w:rPr>
                <w:b/>
                <w:bCs/>
                <w:sz w:val="18"/>
                <w:szCs w:val="18"/>
                <w:lang w:eastAsia="en-AU"/>
              </w:rPr>
              <w:t xml:space="preserve"> </w:t>
            </w:r>
            <w:r w:rsidRPr="00C85A73">
              <w:rPr>
                <w:b/>
                <w:bCs/>
                <w:sz w:val="18"/>
                <w:szCs w:val="18"/>
                <w:lang w:eastAsia="en-AU"/>
              </w:rPr>
              <w:t>Controlled</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single" w:sz="4" w:space="0" w:color="auto"/>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2016-17</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Capital Injections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 Out.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Budget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r>
      <w:tr w:rsidR="006040E3" w:rsidRPr="00C85A73" w:rsidTr="000F1960">
        <w:trPr>
          <w:trHeight w:val="240"/>
        </w:trPr>
        <w:tc>
          <w:tcPr>
            <w:tcW w:w="4556" w:type="dxa"/>
            <w:tcBorders>
              <w:top w:val="nil"/>
              <w:left w:val="nil"/>
              <w:bottom w:val="single" w:sz="4" w:space="0" w:color="auto"/>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2012-13 Budget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237,882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143,662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19,237</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4,041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4,041</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FMA Section 16B Rollovers from 2011-12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Clinical Services Redevelopment</w:t>
            </w:r>
            <w:r w:rsidR="005703F4" w:rsidRPr="00C85A73">
              <w:rPr>
                <w:sz w:val="18"/>
                <w:szCs w:val="18"/>
                <w:lang w:eastAsia="en-AU"/>
              </w:rPr>
              <w:t xml:space="preserve"> </w:t>
            </w:r>
            <w:r w:rsidR="006B58B2" w:rsidRPr="005E58BC">
              <w:rPr>
                <w:sz w:val="18"/>
                <w:szCs w:val="18"/>
                <w:lang w:eastAsia="en-AU"/>
              </w:rPr>
              <w:t>–</w:t>
            </w:r>
            <w:r w:rsidR="005703F4" w:rsidRPr="00C85A73">
              <w:rPr>
                <w:sz w:val="18"/>
                <w:szCs w:val="18"/>
                <w:lang w:eastAsia="en-AU"/>
              </w:rPr>
              <w:t xml:space="preserve"> </w:t>
            </w:r>
            <w:r w:rsidRPr="00C85A73">
              <w:rPr>
                <w:sz w:val="18"/>
                <w:szCs w:val="18"/>
                <w:lang w:eastAsia="en-AU"/>
              </w:rPr>
              <w:t>Phase 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4,526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Enhanced Community Health Centre </w:t>
            </w:r>
            <w:r w:rsidR="006B58B2" w:rsidRPr="005E58BC">
              <w:rPr>
                <w:sz w:val="18"/>
                <w:szCs w:val="18"/>
                <w:lang w:eastAsia="en-AU"/>
              </w:rPr>
              <w:t>–</w:t>
            </w:r>
            <w:r w:rsidRPr="00C85A73">
              <w:rPr>
                <w:sz w:val="18"/>
                <w:szCs w:val="18"/>
                <w:lang w:eastAsia="en-AU"/>
              </w:rPr>
              <w:t xml:space="preserve"> Belconnen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4,291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New Gungahlin Health Centre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3,009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National Health Reform</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2,935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Integrated Cancer </w:t>
            </w:r>
            <w:r w:rsidR="005703F4" w:rsidRPr="00C85A73">
              <w:rPr>
                <w:sz w:val="18"/>
                <w:szCs w:val="18"/>
                <w:lang w:eastAsia="en-AU"/>
              </w:rPr>
              <w:t xml:space="preserve">Centre </w:t>
            </w:r>
            <w:r w:rsidR="006B58B2" w:rsidRPr="005E58BC">
              <w:rPr>
                <w:sz w:val="18"/>
                <w:szCs w:val="18"/>
                <w:lang w:eastAsia="en-AU"/>
              </w:rPr>
              <w:t>–</w:t>
            </w:r>
            <w:r w:rsidR="005703F4" w:rsidRPr="00C85A73">
              <w:rPr>
                <w:sz w:val="18"/>
                <w:szCs w:val="18"/>
                <w:lang w:eastAsia="en-AU"/>
              </w:rPr>
              <w:t xml:space="preserve"> </w:t>
            </w:r>
            <w:r w:rsidRPr="00C85A73">
              <w:rPr>
                <w:sz w:val="18"/>
                <w:szCs w:val="18"/>
                <w:lang w:eastAsia="en-AU"/>
              </w:rPr>
              <w:t>Phase 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1,869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Clinical Services Redevelopment</w:t>
            </w:r>
            <w:r w:rsidR="005703F4" w:rsidRPr="00C85A73">
              <w:rPr>
                <w:sz w:val="18"/>
                <w:szCs w:val="18"/>
                <w:lang w:eastAsia="en-AU"/>
              </w:rPr>
              <w:t xml:space="preserve"> </w:t>
            </w:r>
            <w:r w:rsidR="006B58B2" w:rsidRPr="005E58BC">
              <w:rPr>
                <w:sz w:val="18"/>
                <w:szCs w:val="18"/>
                <w:lang w:eastAsia="en-AU"/>
              </w:rPr>
              <w:t>–</w:t>
            </w:r>
            <w:r w:rsidR="005703F4" w:rsidRPr="00C85A73">
              <w:rPr>
                <w:sz w:val="18"/>
                <w:szCs w:val="18"/>
                <w:lang w:eastAsia="en-AU"/>
              </w:rPr>
              <w:t xml:space="preserve"> </w:t>
            </w:r>
            <w:r w:rsidRPr="00C85A73">
              <w:rPr>
                <w:sz w:val="18"/>
                <w:szCs w:val="18"/>
                <w:lang w:eastAsia="en-AU"/>
              </w:rPr>
              <w:t>Phase 3</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1,192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Staging, Decanting and Continuity of Services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924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Enhancing Canberra Hospital Facilities (Design)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802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New Multistorey Car Park TCH</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783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Identity and Access Management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604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Digital </w:t>
            </w:r>
            <w:r w:rsidR="005703F4" w:rsidRPr="00C85A73">
              <w:rPr>
                <w:sz w:val="18"/>
                <w:szCs w:val="18"/>
                <w:lang w:eastAsia="en-AU"/>
              </w:rPr>
              <w:t>Mammography</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511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proofErr w:type="spellStart"/>
            <w:r w:rsidRPr="00C85A73">
              <w:rPr>
                <w:sz w:val="18"/>
                <w:szCs w:val="18"/>
                <w:lang w:eastAsia="en-AU"/>
              </w:rPr>
              <w:t>Northside</w:t>
            </w:r>
            <w:proofErr w:type="spellEnd"/>
            <w:r w:rsidRPr="00C85A73">
              <w:rPr>
                <w:sz w:val="18"/>
                <w:szCs w:val="18"/>
                <w:lang w:eastAsia="en-AU"/>
              </w:rPr>
              <w:t xml:space="preserve"> Hospital Specification and Documentation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421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Central Sterilising Services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418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Clinical Equipment for Calvary Hospital</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249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HIP Change Management and Communication Support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244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Energy Savings/Sustainability</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221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Radiation Equipment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210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Building Upgrades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189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Patient/Medical Facilities Upgrades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183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Mechanical Systems Upgrades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158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Augmentation of Patient and Research Facilities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127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TCH Discharge Lounge Relocation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123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Refurbishment of Health Centre </w:t>
            </w:r>
            <w:r w:rsidR="006B58B2" w:rsidRPr="005E58BC">
              <w:rPr>
                <w:sz w:val="18"/>
                <w:szCs w:val="18"/>
                <w:lang w:eastAsia="en-AU"/>
              </w:rPr>
              <w:t>–</w:t>
            </w:r>
            <w:r w:rsidRPr="00C85A73">
              <w:rPr>
                <w:sz w:val="18"/>
                <w:szCs w:val="18"/>
                <w:lang w:eastAsia="en-AU"/>
              </w:rPr>
              <w:t xml:space="preserve"> Tuggeranong</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Safety/Security Upgrades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Tuggeranong Health Centre </w:t>
            </w:r>
            <w:r w:rsidR="006B58B2" w:rsidRPr="005E58BC">
              <w:rPr>
                <w:sz w:val="18"/>
                <w:szCs w:val="18"/>
                <w:lang w:eastAsia="en-AU"/>
              </w:rPr>
              <w:t>–</w:t>
            </w:r>
            <w:r w:rsidRPr="00C85A73">
              <w:rPr>
                <w:sz w:val="18"/>
                <w:szCs w:val="18"/>
                <w:lang w:eastAsia="en-AU"/>
              </w:rPr>
              <w:t xml:space="preserve"> Stage 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Secure Adult Mental Health Unit</w:t>
            </w:r>
            <w:r w:rsidR="005703F4" w:rsidRPr="00C85A73">
              <w:rPr>
                <w:sz w:val="18"/>
                <w:szCs w:val="18"/>
                <w:lang w:eastAsia="en-AU"/>
              </w:rPr>
              <w:t xml:space="preserve"> </w:t>
            </w:r>
            <w:r w:rsidR="006B58B2" w:rsidRPr="005E58BC">
              <w:rPr>
                <w:sz w:val="18"/>
                <w:szCs w:val="18"/>
                <w:lang w:eastAsia="en-AU"/>
              </w:rPr>
              <w:t>–</w:t>
            </w:r>
            <w:r w:rsidR="005703F4" w:rsidRPr="00C85A73">
              <w:rPr>
                <w:sz w:val="18"/>
                <w:szCs w:val="18"/>
                <w:lang w:eastAsia="en-AU"/>
              </w:rPr>
              <w:t xml:space="preserve"> </w:t>
            </w:r>
            <w:r w:rsidRPr="00C85A73">
              <w:rPr>
                <w:sz w:val="18"/>
                <w:szCs w:val="18"/>
                <w:lang w:eastAsia="en-AU"/>
              </w:rPr>
              <w:t>Forward Design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Mental Health Young Persons Unit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25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Workplace Improvements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16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Women and Children's Hospital</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(2,671)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Integrated Cancer Centre </w:t>
            </w:r>
            <w:r w:rsidR="006B58B2" w:rsidRPr="005E58BC">
              <w:rPr>
                <w:sz w:val="18"/>
                <w:szCs w:val="18"/>
                <w:lang w:eastAsia="en-AU"/>
              </w:rPr>
              <w:t>–</w:t>
            </w:r>
            <w:r w:rsidRPr="00C85A73">
              <w:rPr>
                <w:sz w:val="18"/>
                <w:szCs w:val="18"/>
                <w:lang w:eastAsia="en-AU"/>
              </w:rPr>
              <w:t xml:space="preserve"> Phase 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(1,596)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Provision for Project Definition Planning</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(1,220)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An E-Healthy Future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(754)</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ACT Health Skills Development Centre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(254)</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Linear Accelerator Procurement and Replacement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(170)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Augmentation of Medical Offices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(106)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Aboriginal and Torres Strait Islander Residential Alcohol and Other Drug Rehabilitation Facility</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(57)</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5703F4" w:rsidP="000F1960">
            <w:pPr>
              <w:ind w:left="142" w:hanging="142"/>
              <w:rPr>
                <w:sz w:val="18"/>
                <w:szCs w:val="18"/>
                <w:lang w:eastAsia="en-AU"/>
              </w:rPr>
            </w:pPr>
            <w:r>
              <w:rPr>
                <w:sz w:val="18"/>
                <w:szCs w:val="18"/>
                <w:lang w:eastAsia="en-AU"/>
              </w:rPr>
              <w:t>Calvary Hospital Car Park</w:t>
            </w:r>
            <w:r w:rsidR="006040E3" w:rsidRPr="00C85A73">
              <w:rPr>
                <w:sz w:val="18"/>
                <w:szCs w:val="18"/>
                <w:lang w:eastAsia="en-AU"/>
              </w:rPr>
              <w:t xml:space="preserve"> (Design)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1,300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Universit</w:t>
            </w:r>
            <w:r w:rsidR="006E417A">
              <w:rPr>
                <w:sz w:val="18"/>
                <w:szCs w:val="18"/>
                <w:lang w:eastAsia="en-AU"/>
              </w:rPr>
              <w:t>y of Canberra Public Hospital (</w:t>
            </w:r>
            <w:r w:rsidRPr="00C85A73">
              <w:rPr>
                <w:sz w:val="18"/>
                <w:szCs w:val="18"/>
                <w:lang w:eastAsia="en-AU"/>
              </w:rPr>
              <w:t>Design)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5,220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3,032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Continuity of Health Services Plan </w:t>
            </w:r>
            <w:r w:rsidR="006B58B2" w:rsidRPr="005E58BC">
              <w:rPr>
                <w:sz w:val="18"/>
                <w:szCs w:val="18"/>
                <w:lang w:eastAsia="en-AU"/>
              </w:rPr>
              <w:t>–</w:t>
            </w:r>
            <w:r w:rsidRPr="00C85A73">
              <w:rPr>
                <w:sz w:val="18"/>
                <w:szCs w:val="18"/>
                <w:lang w:eastAsia="en-AU"/>
              </w:rPr>
              <w:t xml:space="preserve"> Essential Infrastructure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7,625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3,933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2,292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2,667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Belconnen and Tuggeranong Walk-In Centres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951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80"/>
        </w:trPr>
        <w:tc>
          <w:tcPr>
            <w:tcW w:w="4556" w:type="dxa"/>
            <w:tcBorders>
              <w:top w:val="nil"/>
              <w:left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Clinical Services and Inpatient Unit Design and Infrastructure Expansion</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18,500 </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22,280 </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single" w:sz="4" w:space="0" w:color="auto"/>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Mobile Dental Clinic</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600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bl>
    <w:p w:rsidR="0075638A" w:rsidRDefault="006040E3" w:rsidP="006040E3">
      <w:pPr>
        <w:pStyle w:val="Heading3TopofPage"/>
      </w:pPr>
      <w:r>
        <w:br w:type="page"/>
      </w:r>
    </w:p>
    <w:p w:rsidR="006040E3" w:rsidRDefault="006040E3" w:rsidP="006040E3">
      <w:pPr>
        <w:pStyle w:val="Heading3TopofPage"/>
      </w:pPr>
      <w:proofErr w:type="gramStart"/>
      <w:r>
        <w:lastRenderedPageBreak/>
        <w:t>Changes to Appropriation cont.</w:t>
      </w:r>
      <w:proofErr w:type="gramEnd"/>
    </w:p>
    <w:tbl>
      <w:tblPr>
        <w:tblW w:w="9356" w:type="dxa"/>
        <w:tblLook w:val="04A0"/>
      </w:tblPr>
      <w:tblGrid>
        <w:gridCol w:w="4556"/>
        <w:gridCol w:w="960"/>
        <w:gridCol w:w="960"/>
        <w:gridCol w:w="960"/>
        <w:gridCol w:w="960"/>
        <w:gridCol w:w="960"/>
      </w:tblGrid>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2606BB">
            <w:pPr>
              <w:rPr>
                <w:b/>
                <w:bCs/>
                <w:sz w:val="18"/>
                <w:szCs w:val="18"/>
                <w:lang w:eastAsia="en-AU"/>
              </w:rPr>
            </w:pPr>
            <w:r w:rsidRPr="00C85A73">
              <w:rPr>
                <w:b/>
                <w:bCs/>
                <w:sz w:val="18"/>
                <w:szCs w:val="18"/>
                <w:lang w:eastAsia="en-AU"/>
              </w:rPr>
              <w:t xml:space="preserve">Changes to Appropriation </w:t>
            </w:r>
            <w:r w:rsidR="00103E9E" w:rsidRPr="00103E9E">
              <w:rPr>
                <w:b/>
                <w:sz w:val="18"/>
                <w:szCs w:val="18"/>
                <w:lang w:eastAsia="en-AU"/>
              </w:rPr>
              <w:t>–</w:t>
            </w:r>
            <w:r w:rsidR="002606BB">
              <w:rPr>
                <w:b/>
                <w:bCs/>
                <w:sz w:val="18"/>
                <w:szCs w:val="18"/>
                <w:lang w:eastAsia="en-AU"/>
              </w:rPr>
              <w:t xml:space="preserve"> </w:t>
            </w:r>
            <w:r w:rsidRPr="00C85A73">
              <w:rPr>
                <w:b/>
                <w:bCs/>
                <w:sz w:val="18"/>
                <w:szCs w:val="18"/>
                <w:lang w:eastAsia="en-AU"/>
              </w:rPr>
              <w:t>Controlled</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single" w:sz="4" w:space="0" w:color="auto"/>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2016-17</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Capital Injections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 Out.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Budget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r>
      <w:tr w:rsidR="006040E3" w:rsidRPr="00C85A73" w:rsidTr="000F1960">
        <w:trPr>
          <w:trHeight w:val="240"/>
        </w:trPr>
        <w:tc>
          <w:tcPr>
            <w:tcW w:w="4556" w:type="dxa"/>
            <w:tcBorders>
              <w:top w:val="nil"/>
              <w:left w:val="nil"/>
              <w:bottom w:val="single" w:sz="4" w:space="0" w:color="auto"/>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r>
      <w:tr w:rsidR="006040E3" w:rsidRPr="00C85A73" w:rsidTr="000F1960">
        <w:trPr>
          <w:trHeight w:val="161"/>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101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Adult Secure Mental Health Unit (Finalising Design)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(2,000)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1,500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8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Staging and Decanting </w:t>
            </w:r>
            <w:r w:rsidR="006B58B2" w:rsidRPr="005E58BC">
              <w:rPr>
                <w:sz w:val="18"/>
                <w:szCs w:val="18"/>
                <w:lang w:eastAsia="en-AU"/>
              </w:rPr>
              <w:t>–</w:t>
            </w:r>
            <w:r w:rsidRPr="00C85A73">
              <w:rPr>
                <w:sz w:val="18"/>
                <w:szCs w:val="18"/>
                <w:lang w:eastAsia="en-AU"/>
              </w:rPr>
              <w:t xml:space="preserve"> Moving to Our Future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(10,200)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4,231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5,969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09"/>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Health Infrastructure Program </w:t>
            </w:r>
            <w:r w:rsidR="006B58B2" w:rsidRPr="005E58BC">
              <w:rPr>
                <w:sz w:val="18"/>
                <w:szCs w:val="18"/>
                <w:lang w:eastAsia="en-AU"/>
              </w:rPr>
              <w:t>–</w:t>
            </w:r>
            <w:r w:rsidRPr="00C85A73">
              <w:rPr>
                <w:sz w:val="18"/>
                <w:szCs w:val="18"/>
                <w:lang w:eastAsia="en-AU"/>
              </w:rPr>
              <w:t xml:space="preserve"> Project Management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(8,144)</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(1,700)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9,844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Safety/Security Upgrades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(80)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Medical Facilities Upgrades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(50)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Patient/Medical Facilities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Ambulatory Care Improvements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(250)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250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387"/>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Augmentation of Medical and Administration Offices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(70)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70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323"/>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Integrated Cancer Care Centre (Phase 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(8,659)</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8,659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14"/>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Staging, Decanting and Continuity of Services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(5,624)</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(34)</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5,658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Central Sterilising Service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(4,798)</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(8,501)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13,299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5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6B58B2" w:rsidRPr="005E58BC">
              <w:rPr>
                <w:sz w:val="18"/>
                <w:szCs w:val="18"/>
                <w:lang w:eastAsia="en-AU"/>
              </w:rPr>
              <w:t>–</w:t>
            </w:r>
            <w:r w:rsidRPr="00C85A73">
              <w:rPr>
                <w:sz w:val="18"/>
                <w:szCs w:val="18"/>
                <w:lang w:eastAsia="en-AU"/>
              </w:rPr>
              <w:t xml:space="preserve"> </w:t>
            </w:r>
            <w:proofErr w:type="spellStart"/>
            <w:r w:rsidRPr="00C85A73">
              <w:rPr>
                <w:sz w:val="18"/>
                <w:szCs w:val="18"/>
                <w:lang w:eastAsia="en-AU"/>
              </w:rPr>
              <w:t>Northside</w:t>
            </w:r>
            <w:proofErr w:type="spellEnd"/>
            <w:r w:rsidRPr="00C85A73">
              <w:rPr>
                <w:sz w:val="18"/>
                <w:szCs w:val="18"/>
                <w:lang w:eastAsia="en-AU"/>
              </w:rPr>
              <w:t xml:space="preserve"> Hospital Specification and Documentation (now University of Canberra Public Hospital)</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(3,121)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3,121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142"/>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w:t>
            </w:r>
            <w:r w:rsidR="005703F4" w:rsidRPr="00C85A73">
              <w:rPr>
                <w:sz w:val="18"/>
                <w:szCs w:val="18"/>
                <w:lang w:eastAsia="en-AU"/>
              </w:rPr>
              <w:t>Tuggeranong</w:t>
            </w:r>
            <w:r w:rsidRPr="00C85A73">
              <w:rPr>
                <w:sz w:val="18"/>
                <w:szCs w:val="18"/>
                <w:lang w:eastAsia="en-AU"/>
              </w:rPr>
              <w:t xml:space="preserve"> Health Centre </w:t>
            </w:r>
            <w:r w:rsidR="006B58B2" w:rsidRPr="005E58BC">
              <w:rPr>
                <w:sz w:val="18"/>
                <w:szCs w:val="18"/>
                <w:lang w:eastAsia="en-AU"/>
              </w:rPr>
              <w:t>–</w:t>
            </w:r>
            <w:r w:rsidRPr="00C85A73">
              <w:rPr>
                <w:sz w:val="18"/>
                <w:szCs w:val="18"/>
                <w:lang w:eastAsia="en-AU"/>
              </w:rPr>
              <w:t xml:space="preserve"> Stage 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(4,949)</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2,844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2,105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388"/>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HIP Change Management and Communication Support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(1,100)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1,100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85"/>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 Integrated Cancer Centre </w:t>
            </w:r>
            <w:r w:rsidR="00103E9E" w:rsidRPr="005E58BC">
              <w:rPr>
                <w:sz w:val="18"/>
                <w:szCs w:val="18"/>
                <w:lang w:eastAsia="en-AU"/>
              </w:rPr>
              <w:t>–</w:t>
            </w:r>
            <w:r w:rsidRPr="00C85A73">
              <w:rPr>
                <w:sz w:val="18"/>
                <w:szCs w:val="18"/>
                <w:lang w:eastAsia="en-AU"/>
              </w:rPr>
              <w:t xml:space="preserve"> Phase 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7,226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(7,226)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33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Enhanced Community Health Centre </w:t>
            </w:r>
            <w:r w:rsidR="00103E9E" w:rsidRPr="005E58BC">
              <w:rPr>
                <w:sz w:val="18"/>
                <w:szCs w:val="18"/>
                <w:lang w:eastAsia="en-AU"/>
              </w:rPr>
              <w:t>–</w:t>
            </w:r>
            <w:r w:rsidRPr="00C85A73">
              <w:rPr>
                <w:sz w:val="18"/>
                <w:szCs w:val="18"/>
                <w:lang w:eastAsia="en-AU"/>
              </w:rPr>
              <w:t xml:space="preserve"> Belconnen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(17,317)</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17,317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Mental Health Young Persons Unit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(575)</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575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55"/>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ACT Health Skills Development Centre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(227)</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227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Women and Children's Hospital</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(10,982)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10,982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367"/>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Refurbishment of Health Centre </w:t>
            </w:r>
            <w:r w:rsidR="00103E9E" w:rsidRPr="005E58BC">
              <w:rPr>
                <w:sz w:val="18"/>
                <w:szCs w:val="18"/>
                <w:lang w:eastAsia="en-AU"/>
              </w:rPr>
              <w:t>–</w:t>
            </w:r>
            <w:r w:rsidRPr="00C85A73">
              <w:rPr>
                <w:sz w:val="18"/>
                <w:szCs w:val="18"/>
                <w:lang w:eastAsia="en-AU"/>
              </w:rPr>
              <w:t xml:space="preserve"> Tuggeranong</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(2,236)</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2,236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59"/>
        </w:trPr>
        <w:tc>
          <w:tcPr>
            <w:tcW w:w="4556" w:type="dxa"/>
            <w:tcBorders>
              <w:top w:val="nil"/>
              <w:left w:val="nil"/>
              <w:bottom w:val="nil"/>
              <w:right w:val="nil"/>
            </w:tcBorders>
            <w:shd w:val="clear" w:color="auto" w:fill="auto"/>
            <w:hideMark/>
          </w:tcPr>
          <w:p w:rsidR="006040E3" w:rsidRPr="00C85A73" w:rsidRDefault="006040E3" w:rsidP="002D5396">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Adult </w:t>
            </w:r>
            <w:r w:rsidR="002D5396" w:rsidRPr="00C85A73">
              <w:rPr>
                <w:sz w:val="18"/>
                <w:szCs w:val="18"/>
                <w:lang w:eastAsia="en-AU"/>
              </w:rPr>
              <w:t xml:space="preserve">Secure </w:t>
            </w:r>
            <w:r w:rsidRPr="00C85A73">
              <w:rPr>
                <w:sz w:val="18"/>
                <w:szCs w:val="18"/>
                <w:lang w:eastAsia="en-AU"/>
              </w:rPr>
              <w:t xml:space="preserve">Mental Health Unit </w:t>
            </w:r>
            <w:r w:rsidR="00103E9E" w:rsidRPr="005E58BC">
              <w:rPr>
                <w:sz w:val="18"/>
                <w:szCs w:val="18"/>
                <w:lang w:eastAsia="en-AU"/>
              </w:rPr>
              <w:t>–</w:t>
            </w:r>
            <w:r w:rsidRPr="00C85A73">
              <w:rPr>
                <w:sz w:val="18"/>
                <w:szCs w:val="18"/>
                <w:lang w:eastAsia="en-AU"/>
              </w:rPr>
              <w:t xml:space="preserve"> Forward Design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(459)</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459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Building Upgrades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(350)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350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An E-Healthy Future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(9,000)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(4,500)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3,500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10,000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Building Upgrades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05"/>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Enhanced Community Centre Backup Power</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(500)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New Gungahlin Health Centre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(480)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480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New Multistorey Car Park TCH</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(583)</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583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419"/>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Clinical Equipment for Calvary Hospital</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(388)</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388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Identity and Access Management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(478)</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478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103E9E">
        <w:trPr>
          <w:trHeight w:val="346"/>
        </w:trPr>
        <w:tc>
          <w:tcPr>
            <w:tcW w:w="4556" w:type="dxa"/>
            <w:tcBorders>
              <w:top w:val="nil"/>
              <w:left w:val="nil"/>
              <w:right w:val="nil"/>
            </w:tcBorders>
            <w:shd w:val="clear" w:color="auto" w:fill="auto"/>
            <w:hideMark/>
          </w:tcPr>
          <w:p w:rsidR="006040E3" w:rsidRPr="00C85A73" w:rsidRDefault="006040E3" w:rsidP="00325EB1">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Neonatal Intensive Care Unit</w:t>
            </w:r>
            <w:r w:rsidR="00325EB1" w:rsidRPr="00C85A73">
              <w:rPr>
                <w:sz w:val="18"/>
                <w:szCs w:val="18"/>
                <w:lang w:eastAsia="en-AU"/>
              </w:rPr>
              <w:t xml:space="preserve"> </w:t>
            </w:r>
            <w:r w:rsidR="00103E9E" w:rsidRPr="005E58BC">
              <w:rPr>
                <w:sz w:val="18"/>
                <w:szCs w:val="18"/>
                <w:lang w:eastAsia="en-AU"/>
              </w:rPr>
              <w:t>–</w:t>
            </w:r>
            <w:r w:rsidR="00325EB1" w:rsidRPr="00C85A73">
              <w:rPr>
                <w:sz w:val="18"/>
                <w:szCs w:val="18"/>
                <w:lang w:eastAsia="en-AU"/>
              </w:rPr>
              <w:t xml:space="preserve"> </w:t>
            </w:r>
            <w:r w:rsidRPr="00C85A73">
              <w:rPr>
                <w:sz w:val="18"/>
                <w:szCs w:val="18"/>
                <w:lang w:eastAsia="en-AU"/>
              </w:rPr>
              <w:t>Video Streaming Services</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(100)</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100 </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103E9E">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Digital </w:t>
            </w:r>
            <w:r w:rsidR="005703F4" w:rsidRPr="00C85A73">
              <w:rPr>
                <w:sz w:val="18"/>
                <w:szCs w:val="18"/>
                <w:lang w:eastAsia="en-AU"/>
              </w:rPr>
              <w:t>Mammography</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(260)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260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103E9E" w:rsidRPr="00C85A73" w:rsidTr="00103E9E">
        <w:trPr>
          <w:trHeight w:val="240"/>
        </w:trPr>
        <w:tc>
          <w:tcPr>
            <w:tcW w:w="4556" w:type="dxa"/>
            <w:tcBorders>
              <w:top w:val="nil"/>
              <w:left w:val="nil"/>
              <w:bottom w:val="single" w:sz="4" w:space="0" w:color="auto"/>
              <w:right w:val="nil"/>
            </w:tcBorders>
            <w:shd w:val="clear" w:color="auto" w:fill="auto"/>
            <w:hideMark/>
          </w:tcPr>
          <w:p w:rsidR="00103E9E" w:rsidRPr="00C85A73" w:rsidRDefault="00103E9E" w:rsidP="000F1960">
            <w:pPr>
              <w:ind w:left="142" w:hanging="142"/>
              <w:rPr>
                <w:sz w:val="18"/>
                <w:szCs w:val="18"/>
                <w:lang w:eastAsia="en-AU"/>
              </w:rPr>
            </w:pPr>
          </w:p>
        </w:tc>
        <w:tc>
          <w:tcPr>
            <w:tcW w:w="960" w:type="dxa"/>
            <w:tcBorders>
              <w:top w:val="nil"/>
              <w:left w:val="nil"/>
              <w:bottom w:val="single" w:sz="4" w:space="0" w:color="auto"/>
              <w:right w:val="nil"/>
            </w:tcBorders>
            <w:shd w:val="clear" w:color="auto" w:fill="auto"/>
            <w:noWrap/>
            <w:hideMark/>
          </w:tcPr>
          <w:p w:rsidR="00103E9E" w:rsidRPr="00C85A73" w:rsidRDefault="00103E9E" w:rsidP="000F1960">
            <w:pPr>
              <w:jc w:val="right"/>
              <w:rPr>
                <w:sz w:val="18"/>
                <w:szCs w:val="18"/>
                <w:lang w:eastAsia="en-AU"/>
              </w:rPr>
            </w:pPr>
          </w:p>
        </w:tc>
        <w:tc>
          <w:tcPr>
            <w:tcW w:w="960" w:type="dxa"/>
            <w:tcBorders>
              <w:top w:val="nil"/>
              <w:left w:val="nil"/>
              <w:bottom w:val="single" w:sz="4" w:space="0" w:color="auto"/>
              <w:right w:val="nil"/>
            </w:tcBorders>
            <w:shd w:val="clear" w:color="auto" w:fill="auto"/>
            <w:noWrap/>
            <w:hideMark/>
          </w:tcPr>
          <w:p w:rsidR="00103E9E" w:rsidRPr="00C85A73" w:rsidRDefault="00103E9E" w:rsidP="000F1960">
            <w:pPr>
              <w:jc w:val="right"/>
              <w:rPr>
                <w:sz w:val="18"/>
                <w:szCs w:val="18"/>
                <w:lang w:eastAsia="en-AU"/>
              </w:rPr>
            </w:pPr>
          </w:p>
        </w:tc>
        <w:tc>
          <w:tcPr>
            <w:tcW w:w="960" w:type="dxa"/>
            <w:tcBorders>
              <w:top w:val="nil"/>
              <w:left w:val="nil"/>
              <w:bottom w:val="single" w:sz="4" w:space="0" w:color="auto"/>
              <w:right w:val="nil"/>
            </w:tcBorders>
            <w:shd w:val="clear" w:color="auto" w:fill="auto"/>
            <w:noWrap/>
            <w:hideMark/>
          </w:tcPr>
          <w:p w:rsidR="00103E9E" w:rsidRPr="00C85A73" w:rsidRDefault="00103E9E" w:rsidP="000F1960">
            <w:pPr>
              <w:jc w:val="right"/>
              <w:rPr>
                <w:sz w:val="18"/>
                <w:szCs w:val="18"/>
                <w:lang w:eastAsia="en-AU"/>
              </w:rPr>
            </w:pPr>
          </w:p>
        </w:tc>
        <w:tc>
          <w:tcPr>
            <w:tcW w:w="960" w:type="dxa"/>
            <w:tcBorders>
              <w:top w:val="nil"/>
              <w:left w:val="nil"/>
              <w:bottom w:val="single" w:sz="4" w:space="0" w:color="auto"/>
              <w:right w:val="nil"/>
            </w:tcBorders>
            <w:shd w:val="clear" w:color="auto" w:fill="auto"/>
            <w:noWrap/>
            <w:hideMark/>
          </w:tcPr>
          <w:p w:rsidR="00103E9E" w:rsidRPr="00C85A73" w:rsidRDefault="00103E9E" w:rsidP="000F1960">
            <w:pPr>
              <w:jc w:val="right"/>
              <w:rPr>
                <w:sz w:val="18"/>
                <w:szCs w:val="18"/>
                <w:lang w:eastAsia="en-AU"/>
              </w:rPr>
            </w:pPr>
          </w:p>
        </w:tc>
        <w:tc>
          <w:tcPr>
            <w:tcW w:w="960" w:type="dxa"/>
            <w:tcBorders>
              <w:top w:val="nil"/>
              <w:left w:val="nil"/>
              <w:bottom w:val="single" w:sz="4" w:space="0" w:color="auto"/>
              <w:right w:val="nil"/>
            </w:tcBorders>
            <w:shd w:val="clear" w:color="auto" w:fill="auto"/>
            <w:noWrap/>
            <w:hideMark/>
          </w:tcPr>
          <w:p w:rsidR="00103E9E" w:rsidRPr="00C85A73" w:rsidRDefault="00103E9E" w:rsidP="000F1960">
            <w:pPr>
              <w:jc w:val="right"/>
              <w:rPr>
                <w:sz w:val="18"/>
                <w:szCs w:val="18"/>
                <w:lang w:eastAsia="en-AU"/>
              </w:rPr>
            </w:pPr>
          </w:p>
        </w:tc>
      </w:tr>
    </w:tbl>
    <w:p w:rsidR="006040E3" w:rsidRDefault="006040E3" w:rsidP="006040E3">
      <w:pPr>
        <w:pStyle w:val="Heading3TopofPage"/>
      </w:pPr>
      <w:proofErr w:type="gramStart"/>
      <w:r>
        <w:lastRenderedPageBreak/>
        <w:t>Changes to Appropriation cont.</w:t>
      </w:r>
      <w:proofErr w:type="gramEnd"/>
    </w:p>
    <w:tbl>
      <w:tblPr>
        <w:tblW w:w="9356" w:type="dxa"/>
        <w:tblLook w:val="04A0"/>
      </w:tblPr>
      <w:tblGrid>
        <w:gridCol w:w="4556"/>
        <w:gridCol w:w="960"/>
        <w:gridCol w:w="960"/>
        <w:gridCol w:w="960"/>
        <w:gridCol w:w="960"/>
        <w:gridCol w:w="960"/>
      </w:tblGrid>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2606BB">
            <w:pPr>
              <w:rPr>
                <w:b/>
                <w:bCs/>
                <w:sz w:val="18"/>
                <w:szCs w:val="18"/>
                <w:lang w:eastAsia="en-AU"/>
              </w:rPr>
            </w:pPr>
            <w:r w:rsidRPr="00C85A73">
              <w:rPr>
                <w:b/>
                <w:bCs/>
                <w:sz w:val="18"/>
                <w:szCs w:val="18"/>
                <w:lang w:eastAsia="en-AU"/>
              </w:rPr>
              <w:t xml:space="preserve">Changes to Appropriation </w:t>
            </w:r>
            <w:r w:rsidR="00103E9E" w:rsidRPr="00103E9E">
              <w:rPr>
                <w:b/>
                <w:sz w:val="18"/>
                <w:szCs w:val="18"/>
                <w:lang w:eastAsia="en-AU"/>
              </w:rPr>
              <w:t>–</w:t>
            </w:r>
            <w:r w:rsidR="002606BB">
              <w:rPr>
                <w:b/>
                <w:bCs/>
                <w:sz w:val="18"/>
                <w:szCs w:val="18"/>
                <w:lang w:eastAsia="en-AU"/>
              </w:rPr>
              <w:t xml:space="preserve"> </w:t>
            </w:r>
            <w:r w:rsidRPr="00C85A73">
              <w:rPr>
                <w:b/>
                <w:bCs/>
                <w:sz w:val="18"/>
                <w:szCs w:val="18"/>
                <w:lang w:eastAsia="en-AU"/>
              </w:rPr>
              <w:t>Controlled</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single" w:sz="4" w:space="0" w:color="auto"/>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2016-17</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Capital Injections</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 Out.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Budget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Estimate</w:t>
            </w:r>
          </w:p>
        </w:tc>
      </w:tr>
      <w:tr w:rsidR="006040E3" w:rsidRPr="00C85A73" w:rsidTr="000F1960">
        <w:trPr>
          <w:trHeight w:val="240"/>
        </w:trPr>
        <w:tc>
          <w:tcPr>
            <w:tcW w:w="4556" w:type="dxa"/>
            <w:tcBorders>
              <w:top w:val="nil"/>
              <w:left w:val="nil"/>
              <w:bottom w:val="single" w:sz="4" w:space="0" w:color="auto"/>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$'000</w:t>
            </w:r>
          </w:p>
        </w:tc>
      </w:tr>
      <w:tr w:rsidR="006040E3" w:rsidRPr="00C85A73" w:rsidTr="000F1960">
        <w:trPr>
          <w:trHeight w:val="16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30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Clinical Services Redevelopment (Phase 2)</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(1,048)</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98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33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Clinical Services Redevelopment (Phase 3)</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(6,431)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(461)</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2,992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85"/>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Provision for Project Definition Planning</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(5,313)</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3,263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525"/>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Revised Funding Profile </w:t>
            </w:r>
            <w:r w:rsidR="00103E9E" w:rsidRPr="005E58BC">
              <w:rPr>
                <w:sz w:val="18"/>
                <w:szCs w:val="18"/>
                <w:lang w:eastAsia="en-AU"/>
              </w:rPr>
              <w:t>–</w:t>
            </w:r>
            <w:r w:rsidRPr="00C85A73">
              <w:rPr>
                <w:sz w:val="18"/>
                <w:szCs w:val="18"/>
                <w:lang w:eastAsia="en-AU"/>
              </w:rPr>
              <w:t xml:space="preserve"> Aboriginal and Torres Strait Islander Residential Alcohol and Other Drug Rehabilitation Facility</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(3,645)</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1,678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3,017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1,000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135"/>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Adult Mental Health Inpatient Facility</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4,650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200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7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Cessation </w:t>
            </w:r>
            <w:r w:rsidR="00103E9E" w:rsidRPr="005E58BC">
              <w:rPr>
                <w:sz w:val="18"/>
                <w:szCs w:val="18"/>
                <w:lang w:eastAsia="en-AU"/>
              </w:rPr>
              <w:t>–</w:t>
            </w:r>
            <w:r w:rsidRPr="00C85A73">
              <w:rPr>
                <w:sz w:val="18"/>
                <w:szCs w:val="18"/>
                <w:lang w:eastAsia="en-AU"/>
              </w:rPr>
              <w:t xml:space="preserve"> Enhancement of Canberra Hospital Facilities (Design)</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(13,760)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(27,020)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Savings </w:t>
            </w:r>
            <w:r w:rsidR="00103E9E" w:rsidRPr="005E58BC">
              <w:rPr>
                <w:sz w:val="18"/>
                <w:szCs w:val="18"/>
                <w:lang w:eastAsia="en-AU"/>
              </w:rPr>
              <w:t>–</w:t>
            </w:r>
            <w:r w:rsidRPr="00C85A73">
              <w:rPr>
                <w:sz w:val="18"/>
                <w:szCs w:val="18"/>
                <w:lang w:eastAsia="en-AU"/>
              </w:rPr>
              <w:t xml:space="preserve"> Computer Radiography Unit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(230)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85"/>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Savings </w:t>
            </w:r>
            <w:r w:rsidR="00103E9E" w:rsidRPr="005E58BC">
              <w:rPr>
                <w:sz w:val="18"/>
                <w:szCs w:val="18"/>
                <w:lang w:eastAsia="en-AU"/>
              </w:rPr>
              <w:t>–</w:t>
            </w:r>
            <w:r w:rsidRPr="00C85A73">
              <w:rPr>
                <w:sz w:val="18"/>
                <w:szCs w:val="18"/>
                <w:lang w:eastAsia="en-AU"/>
              </w:rPr>
              <w:t xml:space="preserve"> Linear Accelerator Procurement and Replacement</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(450)</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ind w:left="142" w:hanging="142"/>
              <w:rPr>
                <w:sz w:val="18"/>
                <w:szCs w:val="18"/>
                <w:lang w:eastAsia="en-AU"/>
              </w:rPr>
            </w:pPr>
            <w:r w:rsidRPr="00C85A73">
              <w:rPr>
                <w:sz w:val="18"/>
                <w:szCs w:val="18"/>
                <w:lang w:eastAsia="en-AU"/>
              </w:rPr>
              <w:t xml:space="preserve">Savings </w:t>
            </w:r>
            <w:r w:rsidR="00103E9E" w:rsidRPr="005E58BC">
              <w:rPr>
                <w:sz w:val="18"/>
                <w:szCs w:val="18"/>
                <w:lang w:eastAsia="en-AU"/>
              </w:rPr>
              <w:t>–</w:t>
            </w:r>
            <w:r w:rsidRPr="00C85A73">
              <w:rPr>
                <w:sz w:val="18"/>
                <w:szCs w:val="18"/>
                <w:lang w:eastAsia="en-AU"/>
              </w:rPr>
              <w:t xml:space="preserve"> ACT Health Skills Development Centre</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(63)</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(227)</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r w:rsidRPr="00C85A73">
              <w:rPr>
                <w:sz w:val="18"/>
                <w:szCs w:val="18"/>
                <w:lang w:eastAsia="en-AU"/>
              </w:rPr>
              <w:t xml:space="preserve">- </w:t>
            </w:r>
          </w:p>
        </w:tc>
      </w:tr>
      <w:tr w:rsidR="006040E3" w:rsidRPr="00C85A73" w:rsidTr="000F1960">
        <w:trPr>
          <w:trHeight w:val="240"/>
        </w:trPr>
        <w:tc>
          <w:tcPr>
            <w:tcW w:w="4556" w:type="dxa"/>
            <w:tcBorders>
              <w:top w:val="nil"/>
              <w:left w:val="nil"/>
              <w:bottom w:val="nil"/>
              <w:right w:val="nil"/>
            </w:tcBorders>
            <w:shd w:val="clear" w:color="auto" w:fill="auto"/>
            <w:hideMark/>
          </w:tcPr>
          <w:p w:rsidR="006040E3" w:rsidRPr="00C85A73" w:rsidRDefault="006040E3" w:rsidP="000F1960">
            <w:pPr>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c>
          <w:tcPr>
            <w:tcW w:w="960" w:type="dxa"/>
            <w:tcBorders>
              <w:top w:val="nil"/>
              <w:left w:val="nil"/>
              <w:bottom w:val="nil"/>
              <w:right w:val="nil"/>
            </w:tcBorders>
            <w:shd w:val="clear" w:color="auto" w:fill="auto"/>
            <w:noWrap/>
            <w:hideMark/>
          </w:tcPr>
          <w:p w:rsidR="006040E3" w:rsidRPr="00C85A73" w:rsidRDefault="006040E3" w:rsidP="000F1960">
            <w:pPr>
              <w:jc w:val="right"/>
              <w:rPr>
                <w:sz w:val="18"/>
                <w:szCs w:val="18"/>
                <w:lang w:eastAsia="en-AU"/>
              </w:rPr>
            </w:pPr>
          </w:p>
        </w:tc>
      </w:tr>
      <w:tr w:rsidR="006040E3" w:rsidRPr="00C85A73" w:rsidTr="000F1960">
        <w:trPr>
          <w:trHeight w:val="240"/>
        </w:trPr>
        <w:tc>
          <w:tcPr>
            <w:tcW w:w="4556" w:type="dxa"/>
            <w:tcBorders>
              <w:top w:val="nil"/>
              <w:left w:val="nil"/>
              <w:bottom w:val="single" w:sz="4" w:space="0" w:color="auto"/>
              <w:right w:val="nil"/>
            </w:tcBorders>
            <w:shd w:val="clear" w:color="auto" w:fill="auto"/>
            <w:hideMark/>
          </w:tcPr>
          <w:p w:rsidR="006040E3" w:rsidRPr="00C85A73" w:rsidRDefault="006040E3" w:rsidP="000F1960">
            <w:pPr>
              <w:rPr>
                <w:b/>
                <w:bCs/>
                <w:sz w:val="18"/>
                <w:szCs w:val="18"/>
                <w:lang w:eastAsia="en-AU"/>
              </w:rPr>
            </w:pPr>
            <w:r w:rsidRPr="00C85A73">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143,134</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190,408</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95,366</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17,333</w:t>
            </w:r>
          </w:p>
        </w:tc>
        <w:tc>
          <w:tcPr>
            <w:tcW w:w="960" w:type="dxa"/>
            <w:tcBorders>
              <w:top w:val="nil"/>
              <w:left w:val="nil"/>
              <w:bottom w:val="single" w:sz="4" w:space="0" w:color="auto"/>
              <w:right w:val="nil"/>
            </w:tcBorders>
            <w:shd w:val="clear" w:color="auto" w:fill="auto"/>
            <w:noWrap/>
            <w:hideMark/>
          </w:tcPr>
          <w:p w:rsidR="006040E3" w:rsidRPr="00C85A73" w:rsidRDefault="006040E3" w:rsidP="000F1960">
            <w:pPr>
              <w:jc w:val="right"/>
              <w:rPr>
                <w:b/>
                <w:bCs/>
                <w:sz w:val="18"/>
                <w:szCs w:val="18"/>
                <w:lang w:eastAsia="en-AU"/>
              </w:rPr>
            </w:pPr>
            <w:r w:rsidRPr="00C85A73">
              <w:rPr>
                <w:b/>
                <w:bCs/>
                <w:sz w:val="18"/>
                <w:szCs w:val="18"/>
                <w:lang w:eastAsia="en-AU"/>
              </w:rPr>
              <w:t>6,809</w:t>
            </w:r>
          </w:p>
        </w:tc>
      </w:tr>
    </w:tbl>
    <w:p w:rsidR="006040E3" w:rsidRDefault="006040E3" w:rsidP="006040E3">
      <w:pPr>
        <w:pStyle w:val="BodyText"/>
      </w:pPr>
    </w:p>
    <w:p w:rsidR="0075638A" w:rsidRDefault="0000161A" w:rsidP="003401C3">
      <w:pPr>
        <w:pStyle w:val="Heading3"/>
        <w:spacing w:before="0"/>
      </w:pPr>
      <w:r>
        <w:br w:type="page"/>
      </w:r>
    </w:p>
    <w:p w:rsidR="003401C3" w:rsidRDefault="003401C3" w:rsidP="003401C3">
      <w:pPr>
        <w:pStyle w:val="Heading3"/>
        <w:spacing w:before="0"/>
      </w:pPr>
      <w:r>
        <w:lastRenderedPageBreak/>
        <w:t>2013-14 Capital Works Program</w:t>
      </w:r>
    </w:p>
    <w:tbl>
      <w:tblPr>
        <w:tblW w:w="9339" w:type="dxa"/>
        <w:tblInd w:w="17" w:type="dxa"/>
        <w:tblLayout w:type="fixed"/>
        <w:tblCellMar>
          <w:left w:w="0" w:type="dxa"/>
          <w:right w:w="0" w:type="dxa"/>
        </w:tblCellMar>
        <w:tblLook w:val="0000"/>
      </w:tblPr>
      <w:tblGrid>
        <w:gridCol w:w="3063"/>
        <w:gridCol w:w="1040"/>
        <w:gridCol w:w="1040"/>
        <w:gridCol w:w="1040"/>
        <w:gridCol w:w="1040"/>
        <w:gridCol w:w="1040"/>
        <w:gridCol w:w="1040"/>
        <w:gridCol w:w="36"/>
      </w:tblGrid>
      <w:tr w:rsidR="003401C3" w:rsidRPr="00132F6F" w:rsidTr="00806D5A">
        <w:trPr>
          <w:gridAfter w:val="1"/>
          <w:wAfter w:w="36" w:type="dxa"/>
          <w:trHeight w:val="227"/>
        </w:trPr>
        <w:tc>
          <w:tcPr>
            <w:tcW w:w="3063" w:type="dxa"/>
            <w:tcBorders>
              <w:top w:val="single" w:sz="4" w:space="0" w:color="auto"/>
            </w:tcBorders>
            <w:noWrap/>
            <w:tcMar>
              <w:top w:w="0" w:type="dxa"/>
              <w:left w:w="17" w:type="dxa"/>
              <w:bottom w:w="0" w:type="dxa"/>
              <w:right w:w="17" w:type="dxa"/>
            </w:tcMar>
          </w:tcPr>
          <w:p w:rsidR="003401C3" w:rsidRPr="00132F6F" w:rsidRDefault="003401C3" w:rsidP="00806D5A">
            <w:pPr>
              <w:keepNext/>
              <w:rPr>
                <w:rFonts w:cs="Calibri"/>
                <w:b/>
                <w:sz w:val="18"/>
                <w:szCs w:val="18"/>
              </w:rPr>
            </w:pPr>
            <w:r w:rsidRPr="00132F6F">
              <w:rPr>
                <w:rFonts w:cs="Calibri"/>
                <w:b/>
                <w:sz w:val="18"/>
                <w:szCs w:val="18"/>
              </w:rPr>
              <w:t> </w:t>
            </w:r>
            <w:r>
              <w:rPr>
                <w:rFonts w:cs="Calibri"/>
                <w:b/>
                <w:sz w:val="18"/>
                <w:szCs w:val="18"/>
              </w:rPr>
              <w:t>Controlled</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Estimated</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Estimated</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2013-14</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2014-15</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2015-16</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Physical</w:t>
            </w:r>
          </w:p>
        </w:tc>
      </w:tr>
      <w:tr w:rsidR="003401C3" w:rsidRPr="00132F6F" w:rsidTr="00806D5A">
        <w:trPr>
          <w:gridAfter w:val="1"/>
          <w:wAfter w:w="36" w:type="dxa"/>
          <w:trHeight w:val="227"/>
        </w:trPr>
        <w:tc>
          <w:tcPr>
            <w:tcW w:w="3063" w:type="dxa"/>
            <w:noWrap/>
            <w:tcMar>
              <w:top w:w="17" w:type="dxa"/>
              <w:left w:w="17" w:type="dxa"/>
              <w:bottom w:w="0" w:type="dxa"/>
              <w:right w:w="17" w:type="dxa"/>
            </w:tcMar>
          </w:tcPr>
          <w:p w:rsidR="003401C3" w:rsidRPr="00132F6F" w:rsidRDefault="003401C3" w:rsidP="00806D5A">
            <w:pPr>
              <w:keepNext/>
              <w:rPr>
                <w:rFonts w:cs="Calibri"/>
                <w:b/>
                <w:sz w:val="18"/>
                <w:szCs w:val="18"/>
              </w:rPr>
            </w:pPr>
          </w:p>
        </w:tc>
        <w:tc>
          <w:tcPr>
            <w:tcW w:w="1040" w:type="dxa"/>
            <w:noWrap/>
            <w:tcMar>
              <w:top w:w="17" w:type="dxa"/>
              <w:left w:w="17" w:type="dxa"/>
              <w:bottom w:w="0" w:type="dxa"/>
              <w:right w:w="17" w:type="dxa"/>
            </w:tcMar>
          </w:tcPr>
          <w:p w:rsidR="003401C3" w:rsidRDefault="003401C3" w:rsidP="00806D5A">
            <w:pPr>
              <w:keepNext/>
              <w:jc w:val="right"/>
              <w:rPr>
                <w:b/>
                <w:sz w:val="18"/>
                <w:szCs w:val="24"/>
              </w:rPr>
            </w:pPr>
            <w:r>
              <w:rPr>
                <w:b/>
                <w:sz w:val="18"/>
                <w:szCs w:val="24"/>
              </w:rPr>
              <w:t>Total</w:t>
            </w:r>
          </w:p>
        </w:tc>
        <w:tc>
          <w:tcPr>
            <w:tcW w:w="1040" w:type="dxa"/>
            <w:noWrap/>
            <w:tcMar>
              <w:top w:w="17" w:type="dxa"/>
              <w:left w:w="17" w:type="dxa"/>
              <w:bottom w:w="0" w:type="dxa"/>
              <w:right w:w="17" w:type="dxa"/>
            </w:tcMar>
          </w:tcPr>
          <w:p w:rsidR="003401C3" w:rsidRDefault="003401C3" w:rsidP="00806D5A">
            <w:pPr>
              <w:keepNext/>
              <w:jc w:val="right"/>
              <w:rPr>
                <w:b/>
                <w:sz w:val="18"/>
                <w:szCs w:val="24"/>
              </w:rPr>
            </w:pPr>
            <w:r>
              <w:rPr>
                <w:b/>
                <w:sz w:val="18"/>
                <w:szCs w:val="24"/>
              </w:rPr>
              <w:t>Expenditure</w:t>
            </w:r>
          </w:p>
        </w:tc>
        <w:tc>
          <w:tcPr>
            <w:tcW w:w="1040" w:type="dxa"/>
            <w:noWrap/>
            <w:tcMar>
              <w:top w:w="17" w:type="dxa"/>
              <w:left w:w="17" w:type="dxa"/>
              <w:bottom w:w="0" w:type="dxa"/>
              <w:right w:w="17" w:type="dxa"/>
            </w:tcMar>
          </w:tcPr>
          <w:p w:rsidR="003401C3" w:rsidRDefault="003401C3" w:rsidP="00806D5A">
            <w:pPr>
              <w:keepNext/>
              <w:jc w:val="right"/>
              <w:rPr>
                <w:b/>
                <w:sz w:val="18"/>
                <w:szCs w:val="24"/>
              </w:rPr>
            </w:pPr>
            <w:r>
              <w:rPr>
                <w:b/>
                <w:sz w:val="18"/>
                <w:szCs w:val="24"/>
              </w:rPr>
              <w:t>Financing</w:t>
            </w:r>
          </w:p>
        </w:tc>
        <w:tc>
          <w:tcPr>
            <w:tcW w:w="1040" w:type="dxa"/>
            <w:noWrap/>
            <w:tcMar>
              <w:top w:w="17" w:type="dxa"/>
              <w:left w:w="17" w:type="dxa"/>
              <w:bottom w:w="0" w:type="dxa"/>
              <w:right w:w="17" w:type="dxa"/>
            </w:tcMar>
          </w:tcPr>
          <w:p w:rsidR="003401C3" w:rsidRDefault="003401C3" w:rsidP="00806D5A">
            <w:pPr>
              <w:keepNext/>
              <w:jc w:val="right"/>
              <w:rPr>
                <w:b/>
                <w:sz w:val="18"/>
                <w:szCs w:val="24"/>
              </w:rPr>
            </w:pPr>
            <w:r>
              <w:rPr>
                <w:b/>
                <w:sz w:val="18"/>
                <w:szCs w:val="24"/>
              </w:rPr>
              <w:t>Financing</w:t>
            </w:r>
          </w:p>
        </w:tc>
        <w:tc>
          <w:tcPr>
            <w:tcW w:w="1040" w:type="dxa"/>
            <w:noWrap/>
            <w:tcMar>
              <w:top w:w="17" w:type="dxa"/>
              <w:left w:w="17" w:type="dxa"/>
              <w:bottom w:w="0" w:type="dxa"/>
              <w:right w:w="17" w:type="dxa"/>
            </w:tcMar>
          </w:tcPr>
          <w:p w:rsidR="003401C3" w:rsidRDefault="003401C3" w:rsidP="00806D5A">
            <w:pPr>
              <w:keepNext/>
              <w:jc w:val="right"/>
              <w:rPr>
                <w:b/>
                <w:sz w:val="18"/>
                <w:szCs w:val="24"/>
              </w:rPr>
            </w:pPr>
            <w:r>
              <w:rPr>
                <w:b/>
                <w:sz w:val="18"/>
                <w:szCs w:val="24"/>
              </w:rPr>
              <w:t>Financing</w:t>
            </w:r>
          </w:p>
        </w:tc>
        <w:tc>
          <w:tcPr>
            <w:tcW w:w="1040" w:type="dxa"/>
            <w:noWrap/>
            <w:tcMar>
              <w:top w:w="17" w:type="dxa"/>
              <w:left w:w="17" w:type="dxa"/>
              <w:bottom w:w="0" w:type="dxa"/>
              <w:right w:w="17" w:type="dxa"/>
            </w:tcMar>
          </w:tcPr>
          <w:p w:rsidR="003401C3" w:rsidRDefault="003401C3" w:rsidP="00806D5A">
            <w:pPr>
              <w:keepNext/>
              <w:jc w:val="right"/>
              <w:rPr>
                <w:b/>
                <w:sz w:val="18"/>
                <w:szCs w:val="24"/>
              </w:rPr>
            </w:pPr>
            <w:r>
              <w:rPr>
                <w:b/>
                <w:sz w:val="18"/>
                <w:szCs w:val="24"/>
              </w:rPr>
              <w:t>Completion</w:t>
            </w:r>
          </w:p>
        </w:tc>
      </w:tr>
      <w:tr w:rsidR="003401C3" w:rsidRPr="00132F6F" w:rsidTr="00806D5A">
        <w:trPr>
          <w:gridAfter w:val="1"/>
          <w:wAfter w:w="36" w:type="dxa"/>
          <w:trHeight w:val="227"/>
        </w:trPr>
        <w:tc>
          <w:tcPr>
            <w:tcW w:w="3063" w:type="dxa"/>
            <w:noWrap/>
            <w:tcMar>
              <w:top w:w="17" w:type="dxa"/>
              <w:left w:w="17" w:type="dxa"/>
              <w:bottom w:w="0" w:type="dxa"/>
              <w:right w:w="17" w:type="dxa"/>
            </w:tcMar>
          </w:tcPr>
          <w:p w:rsidR="003401C3" w:rsidRPr="00132F6F" w:rsidRDefault="003401C3" w:rsidP="00806D5A">
            <w:pPr>
              <w:keepNext/>
              <w:rPr>
                <w:rFonts w:cs="Calibri"/>
                <w:b/>
                <w:sz w:val="18"/>
                <w:szCs w:val="18"/>
              </w:rPr>
            </w:pPr>
          </w:p>
        </w:tc>
        <w:tc>
          <w:tcPr>
            <w:tcW w:w="1040" w:type="dxa"/>
            <w:noWrap/>
            <w:tcMar>
              <w:top w:w="17" w:type="dxa"/>
              <w:left w:w="17" w:type="dxa"/>
              <w:bottom w:w="0" w:type="dxa"/>
              <w:right w:w="17" w:type="dxa"/>
            </w:tcMar>
          </w:tcPr>
          <w:p w:rsidR="003401C3" w:rsidRDefault="003401C3" w:rsidP="00806D5A">
            <w:pPr>
              <w:keepNext/>
              <w:jc w:val="right"/>
              <w:rPr>
                <w:b/>
                <w:sz w:val="18"/>
                <w:szCs w:val="24"/>
              </w:rPr>
            </w:pPr>
            <w:r>
              <w:rPr>
                <w:b/>
                <w:sz w:val="18"/>
                <w:szCs w:val="24"/>
              </w:rPr>
              <w:t>Cost</w:t>
            </w:r>
          </w:p>
        </w:tc>
        <w:tc>
          <w:tcPr>
            <w:tcW w:w="1040" w:type="dxa"/>
            <w:noWrap/>
            <w:tcMar>
              <w:top w:w="17" w:type="dxa"/>
              <w:left w:w="17" w:type="dxa"/>
              <w:bottom w:w="0" w:type="dxa"/>
              <w:right w:w="17" w:type="dxa"/>
            </w:tcMar>
          </w:tcPr>
          <w:p w:rsidR="003401C3" w:rsidRDefault="003401C3" w:rsidP="00806D5A">
            <w:pPr>
              <w:keepNext/>
              <w:jc w:val="right"/>
              <w:rPr>
                <w:b/>
                <w:sz w:val="18"/>
                <w:szCs w:val="24"/>
              </w:rPr>
            </w:pPr>
            <w:r>
              <w:rPr>
                <w:b/>
                <w:sz w:val="18"/>
                <w:szCs w:val="24"/>
              </w:rPr>
              <w:t>Pre 2013-14</w:t>
            </w:r>
          </w:p>
        </w:tc>
        <w:tc>
          <w:tcPr>
            <w:tcW w:w="1040" w:type="dxa"/>
            <w:noWrap/>
            <w:tcMar>
              <w:top w:w="17" w:type="dxa"/>
              <w:left w:w="17" w:type="dxa"/>
              <w:bottom w:w="0" w:type="dxa"/>
              <w:right w:w="17" w:type="dxa"/>
            </w:tcMar>
          </w:tcPr>
          <w:p w:rsidR="003401C3" w:rsidRDefault="003401C3" w:rsidP="00806D5A">
            <w:pPr>
              <w:keepNext/>
              <w:jc w:val="right"/>
              <w:rPr>
                <w:b/>
                <w:sz w:val="18"/>
                <w:szCs w:val="24"/>
              </w:rPr>
            </w:pPr>
          </w:p>
        </w:tc>
        <w:tc>
          <w:tcPr>
            <w:tcW w:w="1040" w:type="dxa"/>
            <w:noWrap/>
            <w:tcMar>
              <w:top w:w="17" w:type="dxa"/>
              <w:left w:w="17" w:type="dxa"/>
              <w:bottom w:w="0" w:type="dxa"/>
              <w:right w:w="17" w:type="dxa"/>
            </w:tcMar>
          </w:tcPr>
          <w:p w:rsidR="003401C3" w:rsidRDefault="003401C3" w:rsidP="00806D5A">
            <w:pPr>
              <w:keepNext/>
              <w:jc w:val="right"/>
              <w:rPr>
                <w:b/>
                <w:sz w:val="18"/>
                <w:szCs w:val="24"/>
              </w:rPr>
            </w:pPr>
          </w:p>
        </w:tc>
        <w:tc>
          <w:tcPr>
            <w:tcW w:w="1040" w:type="dxa"/>
            <w:noWrap/>
            <w:tcMar>
              <w:top w:w="17" w:type="dxa"/>
              <w:left w:w="17" w:type="dxa"/>
              <w:bottom w:w="0" w:type="dxa"/>
              <w:right w:w="17" w:type="dxa"/>
            </w:tcMar>
          </w:tcPr>
          <w:p w:rsidR="003401C3" w:rsidRDefault="003401C3" w:rsidP="00806D5A">
            <w:pPr>
              <w:keepNext/>
              <w:jc w:val="right"/>
              <w:rPr>
                <w:b/>
                <w:sz w:val="18"/>
                <w:szCs w:val="24"/>
              </w:rPr>
            </w:pPr>
          </w:p>
        </w:tc>
        <w:tc>
          <w:tcPr>
            <w:tcW w:w="1040" w:type="dxa"/>
            <w:noWrap/>
            <w:tcMar>
              <w:top w:w="17" w:type="dxa"/>
              <w:left w:w="17" w:type="dxa"/>
              <w:bottom w:w="0" w:type="dxa"/>
              <w:right w:w="17" w:type="dxa"/>
            </w:tcMar>
          </w:tcPr>
          <w:p w:rsidR="003401C3" w:rsidRDefault="003401C3" w:rsidP="00806D5A">
            <w:pPr>
              <w:keepNext/>
              <w:jc w:val="right"/>
              <w:rPr>
                <w:b/>
                <w:sz w:val="18"/>
                <w:szCs w:val="24"/>
              </w:rPr>
            </w:pPr>
            <w:r>
              <w:rPr>
                <w:b/>
                <w:sz w:val="18"/>
                <w:szCs w:val="24"/>
              </w:rPr>
              <w:t>Date</w:t>
            </w:r>
          </w:p>
        </w:tc>
      </w:tr>
      <w:tr w:rsidR="003401C3" w:rsidRPr="00132F6F" w:rsidTr="00806D5A">
        <w:trPr>
          <w:gridAfter w:val="1"/>
          <w:wAfter w:w="36" w:type="dxa"/>
          <w:trHeight w:val="227"/>
        </w:trPr>
        <w:tc>
          <w:tcPr>
            <w:tcW w:w="3063" w:type="dxa"/>
            <w:tcBorders>
              <w:bottom w:val="single" w:sz="4" w:space="0" w:color="auto"/>
            </w:tcBorders>
            <w:noWrap/>
            <w:tcMar>
              <w:top w:w="0" w:type="dxa"/>
              <w:left w:w="17" w:type="dxa"/>
              <w:bottom w:w="0" w:type="dxa"/>
              <w:right w:w="17" w:type="dxa"/>
            </w:tcMar>
          </w:tcPr>
          <w:p w:rsidR="003401C3" w:rsidRPr="00132F6F" w:rsidRDefault="003401C3" w:rsidP="00806D5A">
            <w:pPr>
              <w:keepNext/>
              <w:rPr>
                <w:rFonts w:cs="Calibri"/>
                <w:b/>
                <w:sz w:val="18"/>
                <w:szCs w:val="18"/>
              </w:rPr>
            </w:pPr>
            <w:r w:rsidRPr="00132F6F">
              <w:rPr>
                <w:rFonts w:cs="Calibri"/>
                <w:b/>
                <w:sz w:val="18"/>
                <w:szCs w:val="18"/>
              </w:rPr>
              <w:t> </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$’000</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$’000</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$’000</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$’000</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$’000</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 </w:t>
            </w:r>
          </w:p>
        </w:tc>
      </w:tr>
      <w:tr w:rsidR="003401C3" w:rsidRPr="00132F6F" w:rsidTr="00806D5A">
        <w:trPr>
          <w:gridAfter w:val="1"/>
          <w:wAfter w:w="36" w:type="dxa"/>
          <w:trHeight w:val="227"/>
        </w:trPr>
        <w:tc>
          <w:tcPr>
            <w:tcW w:w="3063" w:type="dxa"/>
            <w:tcBorders>
              <w:top w:val="single" w:sz="4" w:space="0" w:color="auto"/>
            </w:tcBorders>
            <w:noWrap/>
            <w:tcMar>
              <w:top w:w="0" w:type="dxa"/>
              <w:left w:w="17" w:type="dxa"/>
              <w:bottom w:w="0" w:type="dxa"/>
              <w:right w:w="17" w:type="dxa"/>
            </w:tcMar>
          </w:tcPr>
          <w:p w:rsidR="003401C3" w:rsidRPr="00132F6F" w:rsidRDefault="003401C3" w:rsidP="00806D5A">
            <w:pPr>
              <w:keepNext/>
              <w:rPr>
                <w:rFonts w:cs="Calibri"/>
                <w:b/>
                <w:sz w:val="18"/>
                <w:szCs w:val="18"/>
                <w:lang w:eastAsia="en-AU"/>
              </w:rPr>
            </w:pPr>
          </w:p>
        </w:tc>
        <w:tc>
          <w:tcPr>
            <w:tcW w:w="1040" w:type="dxa"/>
            <w:tcBorders>
              <w:top w:val="single" w:sz="4" w:space="0" w:color="auto"/>
            </w:tcBorders>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tcBorders>
              <w:top w:val="single" w:sz="4" w:space="0" w:color="auto"/>
            </w:tcBorders>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tcBorders>
              <w:top w:val="single" w:sz="4" w:space="0" w:color="auto"/>
            </w:tcBorders>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tcBorders>
              <w:top w:val="single" w:sz="4" w:space="0" w:color="auto"/>
            </w:tcBorders>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tcBorders>
              <w:top w:val="single" w:sz="4" w:space="0" w:color="auto"/>
            </w:tcBorders>
            <w:noWrap/>
            <w:tcMar>
              <w:top w:w="17" w:type="dxa"/>
              <w:left w:w="17" w:type="dxa"/>
              <w:bottom w:w="0" w:type="dxa"/>
              <w:right w:w="17" w:type="dxa"/>
            </w:tcMar>
          </w:tcPr>
          <w:p w:rsidR="003401C3" w:rsidRPr="00132F6F" w:rsidRDefault="003401C3" w:rsidP="00806D5A">
            <w:pPr>
              <w:jc w:val="right"/>
              <w:rPr>
                <w:rFonts w:cs="Calibri"/>
                <w:b/>
                <w:bCs/>
                <w:sz w:val="18"/>
                <w:szCs w:val="18"/>
              </w:rPr>
            </w:pPr>
          </w:p>
        </w:tc>
        <w:tc>
          <w:tcPr>
            <w:tcW w:w="1040" w:type="dxa"/>
            <w:tcBorders>
              <w:top w:val="single" w:sz="4" w:space="0" w:color="auto"/>
            </w:tcBorders>
            <w:noWrap/>
            <w:tcMar>
              <w:top w:w="17" w:type="dxa"/>
              <w:left w:w="17" w:type="dxa"/>
              <w:bottom w:w="0" w:type="dxa"/>
              <w:right w:w="17" w:type="dxa"/>
            </w:tcMar>
          </w:tcPr>
          <w:p w:rsidR="003401C3" w:rsidRPr="00132F6F" w:rsidRDefault="003401C3" w:rsidP="00806D5A">
            <w:pPr>
              <w:jc w:val="right"/>
              <w:rPr>
                <w:rFonts w:cs="Calibri"/>
                <w:sz w:val="18"/>
                <w:szCs w:val="18"/>
              </w:rPr>
            </w:pPr>
          </w:p>
        </w:tc>
      </w:tr>
      <w:tr w:rsidR="003401C3" w:rsidRPr="00132F6F" w:rsidTr="00806D5A">
        <w:trPr>
          <w:gridAfter w:val="1"/>
          <w:wAfter w:w="36" w:type="dxa"/>
          <w:trHeight w:val="227"/>
        </w:trPr>
        <w:tc>
          <w:tcPr>
            <w:tcW w:w="3063" w:type="dxa"/>
            <w:noWrap/>
            <w:tcMar>
              <w:top w:w="0" w:type="dxa"/>
              <w:left w:w="17" w:type="dxa"/>
              <w:bottom w:w="0" w:type="dxa"/>
              <w:right w:w="17" w:type="dxa"/>
            </w:tcMar>
          </w:tcPr>
          <w:p w:rsidR="003401C3" w:rsidRPr="00132F6F" w:rsidRDefault="003401C3" w:rsidP="00806D5A">
            <w:pPr>
              <w:keepNext/>
              <w:rPr>
                <w:rFonts w:cs="Calibri"/>
                <w:b/>
                <w:sz w:val="18"/>
                <w:szCs w:val="18"/>
                <w:lang w:eastAsia="en-AU"/>
              </w:rPr>
            </w:pPr>
            <w:r w:rsidRPr="00132F6F">
              <w:rPr>
                <w:rFonts w:cs="Calibri"/>
                <w:b/>
                <w:sz w:val="18"/>
                <w:szCs w:val="18"/>
                <w:lang w:eastAsia="en-AU"/>
              </w:rPr>
              <w:t>New Capital Works</w:t>
            </w: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132F6F" w:rsidRDefault="003401C3" w:rsidP="00806D5A">
            <w:pPr>
              <w:jc w:val="right"/>
              <w:rPr>
                <w:rFonts w:cs="Calibri"/>
                <w:b/>
                <w:bCs/>
                <w:sz w:val="18"/>
                <w:szCs w:val="18"/>
              </w:rPr>
            </w:pP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r>
      <w:tr w:rsidR="003401C3" w:rsidRPr="00132F6F" w:rsidTr="00806D5A">
        <w:trPr>
          <w:gridAfter w:val="1"/>
          <w:wAfter w:w="36" w:type="dxa"/>
          <w:trHeight w:val="227"/>
        </w:trPr>
        <w:tc>
          <w:tcPr>
            <w:tcW w:w="3063" w:type="dxa"/>
            <w:noWrap/>
            <w:tcMar>
              <w:top w:w="0" w:type="dxa"/>
              <w:left w:w="17" w:type="dxa"/>
              <w:bottom w:w="0" w:type="dxa"/>
              <w:right w:w="17" w:type="dxa"/>
            </w:tcMar>
          </w:tcPr>
          <w:p w:rsidR="003401C3" w:rsidRPr="00AB6E6D" w:rsidRDefault="003401C3" w:rsidP="00806D5A">
            <w:pPr>
              <w:ind w:left="142" w:hanging="142"/>
              <w:rPr>
                <w:rFonts w:cs="Calibri"/>
                <w:sz w:val="18"/>
                <w:szCs w:val="18"/>
                <w:lang w:eastAsia="en-AU"/>
              </w:rPr>
            </w:pPr>
            <w:r w:rsidRPr="0044609D">
              <w:rPr>
                <w:rFonts w:cs="Calibri"/>
                <w:sz w:val="18"/>
                <w:szCs w:val="18"/>
                <w:lang w:eastAsia="en-AU"/>
              </w:rPr>
              <w:t>Calvary Hospital Car Park (Design)</w:t>
            </w:r>
          </w:p>
        </w:tc>
        <w:tc>
          <w:tcPr>
            <w:tcW w:w="1040" w:type="dxa"/>
            <w:noWrap/>
            <w:tcMar>
              <w:top w:w="17" w:type="dxa"/>
              <w:left w:w="17" w:type="dxa"/>
              <w:bottom w:w="0" w:type="dxa"/>
              <w:right w:w="17" w:type="dxa"/>
            </w:tcMar>
          </w:tcPr>
          <w:p w:rsidR="003401C3" w:rsidRPr="0053568C" w:rsidRDefault="003401C3" w:rsidP="00806D5A">
            <w:pPr>
              <w:jc w:val="right"/>
              <w:rPr>
                <w:bCs/>
                <w:sz w:val="18"/>
                <w:szCs w:val="18"/>
              </w:rPr>
            </w:pPr>
            <w:r>
              <w:rPr>
                <w:bCs/>
                <w:sz w:val="18"/>
                <w:szCs w:val="18"/>
              </w:rPr>
              <w:t>1,300</w:t>
            </w:r>
          </w:p>
        </w:tc>
        <w:tc>
          <w:tcPr>
            <w:tcW w:w="1040" w:type="dxa"/>
            <w:noWrap/>
            <w:tcMar>
              <w:top w:w="17"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w:t>
            </w:r>
            <w:r>
              <w:rPr>
                <w:rFonts w:cs="Calibri"/>
                <w:bCs/>
                <w:sz w:val="18"/>
                <w:szCs w:val="18"/>
              </w:rPr>
              <w:t> </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Pr>
                <w:sz w:val="18"/>
                <w:szCs w:val="18"/>
              </w:rPr>
              <w:t>1,300</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sidRPr="00F1052F">
              <w:rPr>
                <w:rFonts w:cs="Calibri"/>
                <w:bCs/>
                <w:sz w:val="18"/>
                <w:szCs w:val="18"/>
              </w:rPr>
              <w:t>-</w:t>
            </w:r>
            <w:r>
              <w:rPr>
                <w:rFonts w:cs="Calibri"/>
                <w:bCs/>
                <w:sz w:val="18"/>
                <w:szCs w:val="18"/>
              </w:rPr>
              <w:t> </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sidRPr="00F1052F">
              <w:rPr>
                <w:rFonts w:cs="Calibri"/>
                <w:bCs/>
                <w:sz w:val="18"/>
                <w:szCs w:val="18"/>
              </w:rPr>
              <w:t>-</w:t>
            </w:r>
            <w:r>
              <w:rPr>
                <w:rFonts w:cs="Calibri"/>
                <w:bCs/>
                <w:sz w:val="18"/>
                <w:szCs w:val="18"/>
              </w:rPr>
              <w:t> </w:t>
            </w:r>
          </w:p>
        </w:tc>
        <w:tc>
          <w:tcPr>
            <w:tcW w:w="1040" w:type="dxa"/>
            <w:noWrap/>
            <w:tcMar>
              <w:top w:w="17" w:type="dxa"/>
              <w:left w:w="17" w:type="dxa"/>
              <w:bottom w:w="0" w:type="dxa"/>
              <w:right w:w="17" w:type="dxa"/>
            </w:tcMar>
          </w:tcPr>
          <w:p w:rsidR="003401C3" w:rsidRPr="0053568C" w:rsidRDefault="003401C3" w:rsidP="00806D5A">
            <w:pPr>
              <w:pStyle w:val="TableNumbersRight-BP4"/>
              <w:rPr>
                <w:szCs w:val="18"/>
              </w:rPr>
            </w:pPr>
            <w:r>
              <w:rPr>
                <w:szCs w:val="18"/>
              </w:rPr>
              <w:t>Jun 2014</w:t>
            </w:r>
          </w:p>
        </w:tc>
      </w:tr>
      <w:tr w:rsidR="003401C3" w:rsidRPr="00132F6F" w:rsidTr="00806D5A">
        <w:trPr>
          <w:gridAfter w:val="1"/>
          <w:wAfter w:w="36" w:type="dxa"/>
          <w:trHeight w:val="227"/>
        </w:trPr>
        <w:tc>
          <w:tcPr>
            <w:tcW w:w="3063" w:type="dxa"/>
            <w:noWrap/>
            <w:tcMar>
              <w:top w:w="0" w:type="dxa"/>
              <w:left w:w="17" w:type="dxa"/>
              <w:bottom w:w="0" w:type="dxa"/>
              <w:right w:w="17" w:type="dxa"/>
            </w:tcMar>
          </w:tcPr>
          <w:p w:rsidR="003401C3" w:rsidRPr="00AB6E6D" w:rsidRDefault="003401C3" w:rsidP="00806D5A">
            <w:pPr>
              <w:ind w:left="142" w:hanging="142"/>
              <w:rPr>
                <w:rFonts w:cs="Calibri"/>
                <w:sz w:val="18"/>
                <w:szCs w:val="18"/>
                <w:lang w:eastAsia="en-AU"/>
              </w:rPr>
            </w:pPr>
            <w:r w:rsidRPr="0044609D">
              <w:rPr>
                <w:rFonts w:cs="Calibri"/>
                <w:sz w:val="18"/>
                <w:szCs w:val="18"/>
                <w:lang w:eastAsia="en-AU"/>
              </w:rPr>
              <w:t>University of Canberra Public Hospital (Design)</w:t>
            </w:r>
          </w:p>
        </w:tc>
        <w:tc>
          <w:tcPr>
            <w:tcW w:w="1040" w:type="dxa"/>
            <w:noWrap/>
            <w:tcMar>
              <w:top w:w="17" w:type="dxa"/>
              <w:left w:w="17" w:type="dxa"/>
              <w:bottom w:w="0" w:type="dxa"/>
              <w:right w:w="17" w:type="dxa"/>
            </w:tcMar>
          </w:tcPr>
          <w:p w:rsidR="003401C3" w:rsidRPr="0053568C" w:rsidRDefault="003401C3" w:rsidP="00806D5A">
            <w:pPr>
              <w:jc w:val="right"/>
              <w:rPr>
                <w:bCs/>
                <w:sz w:val="18"/>
                <w:szCs w:val="18"/>
              </w:rPr>
            </w:pPr>
            <w:r>
              <w:rPr>
                <w:bCs/>
                <w:sz w:val="18"/>
                <w:szCs w:val="18"/>
              </w:rPr>
              <w:t>8,252</w:t>
            </w:r>
          </w:p>
        </w:tc>
        <w:tc>
          <w:tcPr>
            <w:tcW w:w="1040" w:type="dxa"/>
            <w:noWrap/>
            <w:tcMar>
              <w:top w:w="17" w:type="dxa"/>
              <w:left w:w="17" w:type="dxa"/>
              <w:bottom w:w="0" w:type="dxa"/>
              <w:right w:w="17" w:type="dxa"/>
            </w:tcMar>
          </w:tcPr>
          <w:p w:rsidR="003401C3" w:rsidRPr="00F1052F" w:rsidRDefault="003401C3" w:rsidP="00806D5A">
            <w:pPr>
              <w:jc w:val="right"/>
              <w:rPr>
                <w:rFonts w:cs="Calibri"/>
                <w:bCs/>
                <w:sz w:val="18"/>
                <w:szCs w:val="18"/>
              </w:rPr>
            </w:pPr>
            <w:r>
              <w:rPr>
                <w:rFonts w:cs="Calibri"/>
                <w:bCs/>
                <w:sz w:val="18"/>
                <w:szCs w:val="18"/>
              </w:rPr>
              <w:t>- </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Pr>
                <w:sz w:val="18"/>
                <w:szCs w:val="18"/>
              </w:rPr>
              <w:t>5,220</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Pr>
                <w:sz w:val="18"/>
                <w:szCs w:val="18"/>
              </w:rPr>
              <w:t>3,032</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sidRPr="00F1052F">
              <w:rPr>
                <w:rFonts w:cs="Calibri"/>
                <w:bCs/>
                <w:sz w:val="18"/>
                <w:szCs w:val="18"/>
              </w:rPr>
              <w:t>-</w:t>
            </w:r>
            <w:r>
              <w:rPr>
                <w:rFonts w:cs="Calibri"/>
                <w:bCs/>
                <w:sz w:val="18"/>
                <w:szCs w:val="18"/>
              </w:rPr>
              <w:t> </w:t>
            </w:r>
          </w:p>
        </w:tc>
        <w:tc>
          <w:tcPr>
            <w:tcW w:w="1040" w:type="dxa"/>
            <w:noWrap/>
            <w:tcMar>
              <w:top w:w="17" w:type="dxa"/>
              <w:left w:w="17" w:type="dxa"/>
              <w:bottom w:w="0" w:type="dxa"/>
              <w:right w:w="17" w:type="dxa"/>
            </w:tcMar>
          </w:tcPr>
          <w:p w:rsidR="003401C3" w:rsidRPr="0053568C" w:rsidRDefault="003401C3" w:rsidP="00806D5A">
            <w:pPr>
              <w:pStyle w:val="TableNumbersRight-BP4"/>
              <w:rPr>
                <w:szCs w:val="18"/>
              </w:rPr>
            </w:pPr>
            <w:r>
              <w:rPr>
                <w:szCs w:val="18"/>
              </w:rPr>
              <w:t>Feb 2015</w:t>
            </w:r>
          </w:p>
        </w:tc>
      </w:tr>
      <w:tr w:rsidR="003401C3" w:rsidRPr="00132F6F" w:rsidTr="00806D5A">
        <w:trPr>
          <w:gridAfter w:val="1"/>
          <w:wAfter w:w="36" w:type="dxa"/>
          <w:trHeight w:val="227"/>
        </w:trPr>
        <w:tc>
          <w:tcPr>
            <w:tcW w:w="3063" w:type="dxa"/>
            <w:noWrap/>
            <w:tcMar>
              <w:top w:w="0" w:type="dxa"/>
              <w:left w:w="17" w:type="dxa"/>
              <w:bottom w:w="0" w:type="dxa"/>
              <w:right w:w="17" w:type="dxa"/>
            </w:tcMar>
          </w:tcPr>
          <w:p w:rsidR="003401C3" w:rsidRPr="00AB6E6D" w:rsidRDefault="003401C3" w:rsidP="00806D5A">
            <w:pPr>
              <w:ind w:left="142" w:hanging="142"/>
              <w:rPr>
                <w:rFonts w:cs="Calibri"/>
                <w:sz w:val="18"/>
                <w:szCs w:val="18"/>
                <w:lang w:eastAsia="en-AU"/>
              </w:rPr>
            </w:pPr>
            <w:r w:rsidRPr="0044609D">
              <w:rPr>
                <w:rFonts w:cs="Calibri"/>
                <w:sz w:val="18"/>
                <w:szCs w:val="18"/>
                <w:lang w:eastAsia="en-AU"/>
              </w:rPr>
              <w:t>Continuity of Health</w:t>
            </w:r>
            <w:r>
              <w:rPr>
                <w:rFonts w:cs="Calibri"/>
                <w:sz w:val="18"/>
                <w:szCs w:val="18"/>
                <w:lang w:eastAsia="en-AU"/>
              </w:rPr>
              <w:t xml:space="preserve"> Services Plan</w:t>
            </w:r>
            <w:r w:rsidR="005703F4" w:rsidRPr="005703F4">
              <w:rPr>
                <w:rFonts w:cs="Calibri"/>
                <w:sz w:val="18"/>
                <w:szCs w:val="18"/>
                <w:lang w:eastAsia="en-AU"/>
              </w:rPr>
              <w:t xml:space="preserve"> </w:t>
            </w:r>
            <w:r w:rsidR="005C519C" w:rsidRPr="005E58BC">
              <w:rPr>
                <w:sz w:val="18"/>
                <w:szCs w:val="18"/>
                <w:lang w:eastAsia="en-AU"/>
              </w:rPr>
              <w:t>–</w:t>
            </w:r>
            <w:r w:rsidR="005703F4" w:rsidRPr="005703F4">
              <w:rPr>
                <w:rFonts w:cs="Calibri"/>
                <w:sz w:val="18"/>
                <w:szCs w:val="18"/>
                <w:lang w:eastAsia="en-AU"/>
              </w:rPr>
              <w:t xml:space="preserve"> </w:t>
            </w:r>
            <w:r>
              <w:rPr>
                <w:rFonts w:cs="Calibri"/>
                <w:sz w:val="18"/>
                <w:szCs w:val="18"/>
                <w:lang w:eastAsia="en-AU"/>
              </w:rPr>
              <w:t xml:space="preserve">Essential </w:t>
            </w:r>
            <w:r w:rsidRPr="00AB6E6D">
              <w:rPr>
                <w:rFonts w:cs="Calibri"/>
                <w:sz w:val="18"/>
                <w:szCs w:val="18"/>
                <w:lang w:eastAsia="en-AU"/>
              </w:rPr>
              <w:t>Infrastructure</w:t>
            </w:r>
            <w:r w:rsidRPr="00A8221A">
              <w:rPr>
                <w:rFonts w:cs="Calibri"/>
                <w:sz w:val="18"/>
                <w:szCs w:val="18"/>
                <w:vertAlign w:val="superscript"/>
                <w:lang w:eastAsia="en-AU"/>
              </w:rPr>
              <w:t>1</w:t>
            </w:r>
          </w:p>
        </w:tc>
        <w:tc>
          <w:tcPr>
            <w:tcW w:w="1040" w:type="dxa"/>
            <w:noWrap/>
            <w:tcMar>
              <w:top w:w="17" w:type="dxa"/>
              <w:left w:w="17" w:type="dxa"/>
              <w:bottom w:w="0" w:type="dxa"/>
              <w:right w:w="17" w:type="dxa"/>
            </w:tcMar>
          </w:tcPr>
          <w:p w:rsidR="003401C3" w:rsidRPr="0053568C" w:rsidRDefault="003401C3" w:rsidP="00806D5A">
            <w:pPr>
              <w:jc w:val="right"/>
              <w:rPr>
                <w:bCs/>
                <w:sz w:val="18"/>
                <w:szCs w:val="18"/>
              </w:rPr>
            </w:pPr>
            <w:r>
              <w:rPr>
                <w:bCs/>
                <w:sz w:val="18"/>
                <w:szCs w:val="18"/>
              </w:rPr>
              <w:t>20,367</w:t>
            </w:r>
          </w:p>
        </w:tc>
        <w:tc>
          <w:tcPr>
            <w:tcW w:w="1040" w:type="dxa"/>
            <w:noWrap/>
            <w:tcMar>
              <w:top w:w="17" w:type="dxa"/>
              <w:left w:w="17" w:type="dxa"/>
              <w:bottom w:w="0" w:type="dxa"/>
              <w:right w:w="17" w:type="dxa"/>
            </w:tcMar>
          </w:tcPr>
          <w:p w:rsidR="003401C3" w:rsidRPr="00F1052F" w:rsidRDefault="003401C3" w:rsidP="00806D5A">
            <w:pPr>
              <w:jc w:val="right"/>
              <w:rPr>
                <w:rFonts w:cs="Calibri"/>
                <w:bCs/>
                <w:sz w:val="18"/>
                <w:szCs w:val="18"/>
              </w:rPr>
            </w:pPr>
            <w:r>
              <w:rPr>
                <w:rFonts w:cs="Calibri"/>
                <w:bCs/>
                <w:sz w:val="18"/>
                <w:szCs w:val="18"/>
              </w:rPr>
              <w:t>- </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Pr>
                <w:sz w:val="18"/>
                <w:szCs w:val="18"/>
              </w:rPr>
              <w:t>11,472</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Pr>
                <w:sz w:val="18"/>
                <w:szCs w:val="18"/>
              </w:rPr>
              <w:t>3,933</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Pr>
                <w:sz w:val="18"/>
                <w:szCs w:val="18"/>
              </w:rPr>
              <w:t>2,292</w:t>
            </w:r>
          </w:p>
        </w:tc>
        <w:tc>
          <w:tcPr>
            <w:tcW w:w="1040" w:type="dxa"/>
            <w:noWrap/>
            <w:tcMar>
              <w:top w:w="17" w:type="dxa"/>
              <w:left w:w="17" w:type="dxa"/>
              <w:bottom w:w="0" w:type="dxa"/>
              <w:right w:w="17" w:type="dxa"/>
            </w:tcMar>
          </w:tcPr>
          <w:p w:rsidR="003401C3" w:rsidRPr="0053568C" w:rsidRDefault="003401C3" w:rsidP="00806D5A">
            <w:pPr>
              <w:pStyle w:val="TableNumbersRight-BP4"/>
              <w:rPr>
                <w:szCs w:val="18"/>
              </w:rPr>
            </w:pPr>
            <w:r>
              <w:rPr>
                <w:szCs w:val="18"/>
              </w:rPr>
              <w:t>Jun 2017</w:t>
            </w:r>
          </w:p>
        </w:tc>
      </w:tr>
      <w:tr w:rsidR="003401C3" w:rsidRPr="00132F6F" w:rsidTr="00806D5A">
        <w:trPr>
          <w:gridAfter w:val="1"/>
          <w:wAfter w:w="36" w:type="dxa"/>
          <w:trHeight w:val="227"/>
        </w:trPr>
        <w:tc>
          <w:tcPr>
            <w:tcW w:w="3063" w:type="dxa"/>
            <w:noWrap/>
            <w:tcMar>
              <w:top w:w="0" w:type="dxa"/>
              <w:left w:w="17" w:type="dxa"/>
              <w:bottom w:w="0" w:type="dxa"/>
              <w:right w:w="17" w:type="dxa"/>
            </w:tcMar>
          </w:tcPr>
          <w:p w:rsidR="003401C3" w:rsidRPr="00AB6E6D" w:rsidRDefault="003401C3" w:rsidP="00806D5A">
            <w:pPr>
              <w:ind w:left="142" w:hanging="142"/>
              <w:rPr>
                <w:rFonts w:cs="Calibri"/>
                <w:sz w:val="18"/>
                <w:szCs w:val="18"/>
                <w:lang w:eastAsia="en-AU"/>
              </w:rPr>
            </w:pPr>
            <w:r w:rsidRPr="0044609D">
              <w:rPr>
                <w:rFonts w:cs="Calibri"/>
                <w:sz w:val="18"/>
                <w:szCs w:val="18"/>
                <w:lang w:eastAsia="en-AU"/>
              </w:rPr>
              <w:t>Belconnen and Tuggeranong Walk-In Centres</w:t>
            </w:r>
          </w:p>
        </w:tc>
        <w:tc>
          <w:tcPr>
            <w:tcW w:w="1040" w:type="dxa"/>
            <w:noWrap/>
            <w:tcMar>
              <w:top w:w="17" w:type="dxa"/>
              <w:left w:w="17" w:type="dxa"/>
              <w:bottom w:w="0" w:type="dxa"/>
              <w:right w:w="17" w:type="dxa"/>
            </w:tcMar>
          </w:tcPr>
          <w:p w:rsidR="003401C3" w:rsidRPr="0053568C" w:rsidRDefault="003401C3" w:rsidP="00806D5A">
            <w:pPr>
              <w:jc w:val="right"/>
              <w:rPr>
                <w:bCs/>
                <w:sz w:val="18"/>
                <w:szCs w:val="18"/>
              </w:rPr>
            </w:pPr>
            <w:r>
              <w:rPr>
                <w:bCs/>
                <w:sz w:val="18"/>
                <w:szCs w:val="18"/>
              </w:rPr>
              <w:t>951</w:t>
            </w:r>
          </w:p>
        </w:tc>
        <w:tc>
          <w:tcPr>
            <w:tcW w:w="1040" w:type="dxa"/>
            <w:noWrap/>
            <w:tcMar>
              <w:top w:w="17" w:type="dxa"/>
              <w:left w:w="17" w:type="dxa"/>
              <w:bottom w:w="0" w:type="dxa"/>
              <w:right w:w="17" w:type="dxa"/>
            </w:tcMar>
          </w:tcPr>
          <w:p w:rsidR="003401C3" w:rsidRPr="00F1052F" w:rsidRDefault="003401C3" w:rsidP="00806D5A">
            <w:pPr>
              <w:jc w:val="right"/>
              <w:rPr>
                <w:rFonts w:cs="Calibri"/>
                <w:bCs/>
                <w:sz w:val="18"/>
                <w:szCs w:val="18"/>
              </w:rPr>
            </w:pPr>
            <w:r>
              <w:rPr>
                <w:rFonts w:cs="Calibri"/>
                <w:bCs/>
                <w:sz w:val="18"/>
                <w:szCs w:val="18"/>
              </w:rPr>
              <w:t>- </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Pr>
                <w:sz w:val="18"/>
                <w:szCs w:val="18"/>
              </w:rPr>
              <w:t>951</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sidRPr="00F1052F">
              <w:rPr>
                <w:rFonts w:cs="Calibri"/>
                <w:bCs/>
                <w:sz w:val="18"/>
                <w:szCs w:val="18"/>
              </w:rPr>
              <w:t>-</w:t>
            </w:r>
            <w:r>
              <w:rPr>
                <w:rFonts w:cs="Calibri"/>
                <w:bCs/>
                <w:sz w:val="18"/>
                <w:szCs w:val="18"/>
              </w:rPr>
              <w:t> </w:t>
            </w:r>
          </w:p>
        </w:tc>
        <w:tc>
          <w:tcPr>
            <w:tcW w:w="1040" w:type="dxa"/>
            <w:noWrap/>
            <w:tcMar>
              <w:top w:w="17" w:type="dxa"/>
              <w:left w:w="17" w:type="dxa"/>
              <w:bottom w:w="0" w:type="dxa"/>
              <w:right w:w="17" w:type="dxa"/>
            </w:tcMar>
          </w:tcPr>
          <w:p w:rsidR="003401C3" w:rsidRPr="0053568C" w:rsidRDefault="003401C3" w:rsidP="00806D5A">
            <w:pPr>
              <w:jc w:val="right"/>
              <w:rPr>
                <w:sz w:val="18"/>
                <w:szCs w:val="18"/>
              </w:rPr>
            </w:pPr>
            <w:r w:rsidRPr="00F1052F">
              <w:rPr>
                <w:rFonts w:cs="Calibri"/>
                <w:bCs/>
                <w:sz w:val="18"/>
                <w:szCs w:val="18"/>
              </w:rPr>
              <w:t>-</w:t>
            </w:r>
            <w:r>
              <w:rPr>
                <w:rFonts w:cs="Calibri"/>
                <w:bCs/>
                <w:sz w:val="18"/>
                <w:szCs w:val="18"/>
              </w:rPr>
              <w:t> </w:t>
            </w:r>
          </w:p>
        </w:tc>
        <w:tc>
          <w:tcPr>
            <w:tcW w:w="1040" w:type="dxa"/>
            <w:noWrap/>
            <w:tcMar>
              <w:top w:w="17" w:type="dxa"/>
              <w:left w:w="17" w:type="dxa"/>
              <w:bottom w:w="0" w:type="dxa"/>
              <w:right w:w="17" w:type="dxa"/>
            </w:tcMar>
          </w:tcPr>
          <w:p w:rsidR="003401C3" w:rsidRPr="0053568C" w:rsidRDefault="003401C3" w:rsidP="00806D5A">
            <w:pPr>
              <w:pStyle w:val="TableNumbersRight-BP4"/>
              <w:rPr>
                <w:szCs w:val="18"/>
              </w:rPr>
            </w:pPr>
            <w:r>
              <w:rPr>
                <w:szCs w:val="18"/>
              </w:rPr>
              <w:t>Jun 2014</w:t>
            </w:r>
          </w:p>
        </w:tc>
      </w:tr>
      <w:tr w:rsidR="003401C3" w:rsidRPr="00132F6F" w:rsidTr="00806D5A">
        <w:trPr>
          <w:gridAfter w:val="1"/>
          <w:wAfter w:w="36" w:type="dxa"/>
          <w:trHeight w:val="227"/>
        </w:trPr>
        <w:tc>
          <w:tcPr>
            <w:tcW w:w="3063" w:type="dxa"/>
            <w:noWrap/>
            <w:tcMar>
              <w:top w:w="0" w:type="dxa"/>
              <w:left w:w="17" w:type="dxa"/>
              <w:bottom w:w="0" w:type="dxa"/>
              <w:right w:w="17" w:type="dxa"/>
            </w:tcMar>
          </w:tcPr>
          <w:p w:rsidR="003401C3" w:rsidRPr="004F2E54" w:rsidRDefault="003401C3" w:rsidP="00806D5A">
            <w:pPr>
              <w:ind w:left="142" w:hanging="142"/>
              <w:rPr>
                <w:rFonts w:cs="Calibri"/>
                <w:sz w:val="18"/>
                <w:szCs w:val="18"/>
                <w:highlight w:val="yellow"/>
                <w:lang w:eastAsia="en-AU"/>
              </w:rPr>
            </w:pPr>
            <w:r w:rsidRPr="006D0E94">
              <w:rPr>
                <w:rFonts w:cs="Calibri"/>
                <w:sz w:val="18"/>
                <w:szCs w:val="18"/>
                <w:lang w:eastAsia="en-AU"/>
              </w:rPr>
              <w:t>Clinical Services and Inpatient Unit Design and Infrastructure Expansion</w:t>
            </w:r>
          </w:p>
        </w:tc>
        <w:tc>
          <w:tcPr>
            <w:tcW w:w="1040" w:type="dxa"/>
            <w:noWrap/>
            <w:tcMar>
              <w:top w:w="17" w:type="dxa"/>
              <w:left w:w="17" w:type="dxa"/>
              <w:bottom w:w="0" w:type="dxa"/>
              <w:right w:w="17" w:type="dxa"/>
            </w:tcMar>
          </w:tcPr>
          <w:p w:rsidR="003401C3" w:rsidRPr="006D0E94" w:rsidRDefault="003401C3" w:rsidP="00806D5A">
            <w:pPr>
              <w:jc w:val="right"/>
              <w:rPr>
                <w:bCs/>
                <w:sz w:val="18"/>
                <w:szCs w:val="18"/>
              </w:rPr>
            </w:pPr>
            <w:r w:rsidRPr="006D0E94">
              <w:rPr>
                <w:bCs/>
                <w:sz w:val="18"/>
                <w:szCs w:val="18"/>
              </w:rPr>
              <w:t>40,780</w:t>
            </w:r>
          </w:p>
        </w:tc>
        <w:tc>
          <w:tcPr>
            <w:tcW w:w="1040" w:type="dxa"/>
            <w:noWrap/>
            <w:tcMar>
              <w:top w:w="17" w:type="dxa"/>
              <w:left w:w="17" w:type="dxa"/>
              <w:bottom w:w="0" w:type="dxa"/>
              <w:right w:w="17" w:type="dxa"/>
            </w:tcMar>
          </w:tcPr>
          <w:p w:rsidR="003401C3" w:rsidRPr="006D0E94" w:rsidRDefault="003401C3" w:rsidP="00806D5A">
            <w:pPr>
              <w:jc w:val="right"/>
              <w:rPr>
                <w:rFonts w:cs="Calibri"/>
                <w:bCs/>
                <w:sz w:val="18"/>
                <w:szCs w:val="18"/>
              </w:rPr>
            </w:pPr>
            <w:r w:rsidRPr="006D0E94">
              <w:rPr>
                <w:rFonts w:cs="Calibri"/>
                <w:bCs/>
                <w:sz w:val="18"/>
                <w:szCs w:val="18"/>
              </w:rPr>
              <w:t>- </w:t>
            </w:r>
          </w:p>
        </w:tc>
        <w:tc>
          <w:tcPr>
            <w:tcW w:w="1040" w:type="dxa"/>
            <w:noWrap/>
            <w:tcMar>
              <w:top w:w="17" w:type="dxa"/>
              <w:left w:w="17" w:type="dxa"/>
              <w:bottom w:w="0" w:type="dxa"/>
              <w:right w:w="17" w:type="dxa"/>
            </w:tcMar>
          </w:tcPr>
          <w:p w:rsidR="003401C3" w:rsidRPr="006D0E94" w:rsidRDefault="003401C3" w:rsidP="00806D5A">
            <w:pPr>
              <w:jc w:val="right"/>
              <w:rPr>
                <w:sz w:val="18"/>
                <w:szCs w:val="18"/>
              </w:rPr>
            </w:pPr>
            <w:r w:rsidRPr="006D0E94">
              <w:rPr>
                <w:sz w:val="18"/>
                <w:szCs w:val="18"/>
              </w:rPr>
              <w:t>18,500</w:t>
            </w:r>
          </w:p>
        </w:tc>
        <w:tc>
          <w:tcPr>
            <w:tcW w:w="1040" w:type="dxa"/>
            <w:noWrap/>
            <w:tcMar>
              <w:top w:w="17" w:type="dxa"/>
              <w:left w:w="17" w:type="dxa"/>
              <w:bottom w:w="0" w:type="dxa"/>
              <w:right w:w="17" w:type="dxa"/>
            </w:tcMar>
          </w:tcPr>
          <w:p w:rsidR="003401C3" w:rsidRPr="006D0E94" w:rsidRDefault="003401C3" w:rsidP="00806D5A">
            <w:pPr>
              <w:jc w:val="right"/>
              <w:rPr>
                <w:sz w:val="18"/>
                <w:szCs w:val="18"/>
              </w:rPr>
            </w:pPr>
            <w:r w:rsidRPr="006D0E94">
              <w:rPr>
                <w:sz w:val="18"/>
                <w:szCs w:val="18"/>
              </w:rPr>
              <w:t>22,280</w:t>
            </w:r>
          </w:p>
        </w:tc>
        <w:tc>
          <w:tcPr>
            <w:tcW w:w="1040" w:type="dxa"/>
            <w:noWrap/>
            <w:tcMar>
              <w:top w:w="17" w:type="dxa"/>
              <w:left w:w="17" w:type="dxa"/>
              <w:bottom w:w="0" w:type="dxa"/>
              <w:right w:w="17" w:type="dxa"/>
            </w:tcMar>
          </w:tcPr>
          <w:p w:rsidR="003401C3" w:rsidRPr="006D0E94" w:rsidRDefault="003401C3" w:rsidP="00806D5A">
            <w:pPr>
              <w:jc w:val="right"/>
              <w:rPr>
                <w:sz w:val="18"/>
                <w:szCs w:val="18"/>
              </w:rPr>
            </w:pPr>
            <w:r w:rsidRPr="006D0E94">
              <w:rPr>
                <w:rFonts w:cs="Calibri"/>
                <w:bCs/>
                <w:sz w:val="18"/>
                <w:szCs w:val="18"/>
              </w:rPr>
              <w:t>- </w:t>
            </w:r>
          </w:p>
        </w:tc>
        <w:tc>
          <w:tcPr>
            <w:tcW w:w="1040" w:type="dxa"/>
            <w:noWrap/>
            <w:tcMar>
              <w:top w:w="17" w:type="dxa"/>
              <w:left w:w="17" w:type="dxa"/>
              <w:bottom w:w="0" w:type="dxa"/>
              <w:right w:w="17" w:type="dxa"/>
            </w:tcMar>
          </w:tcPr>
          <w:p w:rsidR="003401C3" w:rsidRPr="0053568C" w:rsidRDefault="003401C3" w:rsidP="00806D5A">
            <w:pPr>
              <w:pStyle w:val="TableNumbersRight-BP4"/>
              <w:rPr>
                <w:szCs w:val="18"/>
              </w:rPr>
            </w:pPr>
            <w:r w:rsidRPr="006361C7">
              <w:rPr>
                <w:szCs w:val="18"/>
              </w:rPr>
              <w:t>Jun 2015</w:t>
            </w:r>
          </w:p>
        </w:tc>
      </w:tr>
      <w:tr w:rsidR="003401C3" w:rsidRPr="00132F6F" w:rsidTr="00806D5A">
        <w:trPr>
          <w:gridAfter w:val="1"/>
          <w:wAfter w:w="36" w:type="dxa"/>
          <w:trHeight w:val="227"/>
        </w:trPr>
        <w:tc>
          <w:tcPr>
            <w:tcW w:w="3063" w:type="dxa"/>
            <w:noWrap/>
            <w:tcMar>
              <w:top w:w="0" w:type="dxa"/>
              <w:left w:w="17" w:type="dxa"/>
              <w:bottom w:w="0" w:type="dxa"/>
              <w:right w:w="17" w:type="dxa"/>
            </w:tcMar>
          </w:tcPr>
          <w:p w:rsidR="003401C3" w:rsidRPr="00132F6F" w:rsidRDefault="003401C3" w:rsidP="00806D5A">
            <w:pPr>
              <w:keepNext/>
              <w:rPr>
                <w:rFonts w:cs="Calibri"/>
                <w:b/>
                <w:sz w:val="18"/>
                <w:szCs w:val="18"/>
                <w:highlight w:val="yellow"/>
                <w:lang w:eastAsia="en-AU"/>
              </w:rPr>
            </w:pPr>
            <w:r w:rsidRPr="00132F6F">
              <w:rPr>
                <w:rFonts w:cs="Calibri"/>
                <w:b/>
                <w:sz w:val="18"/>
                <w:szCs w:val="18"/>
                <w:lang w:eastAsia="en-AU"/>
              </w:rPr>
              <w:t>Total New Capital Works</w:t>
            </w:r>
          </w:p>
        </w:tc>
        <w:tc>
          <w:tcPr>
            <w:tcW w:w="1040" w:type="dxa"/>
            <w:noWrap/>
            <w:tcMar>
              <w:top w:w="0" w:type="dxa"/>
              <w:left w:w="17" w:type="dxa"/>
              <w:bottom w:w="0" w:type="dxa"/>
              <w:right w:w="17" w:type="dxa"/>
            </w:tcMar>
            <w:vAlign w:val="bottom"/>
          </w:tcPr>
          <w:p w:rsidR="003401C3" w:rsidRPr="00F3335C" w:rsidRDefault="003401C3" w:rsidP="00806D5A">
            <w:pPr>
              <w:jc w:val="right"/>
              <w:rPr>
                <w:rFonts w:cs="Calibri"/>
                <w:b/>
                <w:bCs/>
                <w:sz w:val="18"/>
                <w:szCs w:val="18"/>
              </w:rPr>
            </w:pPr>
            <w:r w:rsidRPr="00F3335C">
              <w:rPr>
                <w:rFonts w:cs="Calibri"/>
                <w:b/>
                <w:bCs/>
                <w:sz w:val="18"/>
                <w:szCs w:val="18"/>
              </w:rPr>
              <w:t>71,650</w:t>
            </w:r>
          </w:p>
        </w:tc>
        <w:tc>
          <w:tcPr>
            <w:tcW w:w="1040" w:type="dxa"/>
            <w:noWrap/>
            <w:tcMar>
              <w:top w:w="0" w:type="dxa"/>
              <w:left w:w="17" w:type="dxa"/>
              <w:bottom w:w="0" w:type="dxa"/>
              <w:right w:w="17" w:type="dxa"/>
            </w:tcMar>
            <w:vAlign w:val="bottom"/>
          </w:tcPr>
          <w:p w:rsidR="003401C3" w:rsidRPr="00F3335C" w:rsidRDefault="003401C3" w:rsidP="00806D5A">
            <w:pPr>
              <w:jc w:val="right"/>
              <w:rPr>
                <w:rFonts w:cs="Calibri"/>
                <w:b/>
                <w:bCs/>
                <w:sz w:val="18"/>
                <w:szCs w:val="18"/>
              </w:rPr>
            </w:pPr>
            <w:r>
              <w:rPr>
                <w:rFonts w:cs="Calibri"/>
                <w:b/>
                <w:bCs/>
                <w:sz w:val="18"/>
                <w:szCs w:val="18"/>
              </w:rPr>
              <w:t>- </w:t>
            </w:r>
          </w:p>
        </w:tc>
        <w:tc>
          <w:tcPr>
            <w:tcW w:w="1040" w:type="dxa"/>
            <w:noWrap/>
            <w:tcMar>
              <w:top w:w="0" w:type="dxa"/>
              <w:left w:w="17" w:type="dxa"/>
              <w:bottom w:w="0" w:type="dxa"/>
              <w:right w:w="17" w:type="dxa"/>
            </w:tcMar>
            <w:vAlign w:val="bottom"/>
          </w:tcPr>
          <w:p w:rsidR="003401C3" w:rsidRPr="00F3335C" w:rsidRDefault="003401C3" w:rsidP="00806D5A">
            <w:pPr>
              <w:jc w:val="right"/>
              <w:rPr>
                <w:rFonts w:cs="Calibri"/>
                <w:b/>
                <w:bCs/>
                <w:sz w:val="18"/>
                <w:szCs w:val="18"/>
              </w:rPr>
            </w:pPr>
            <w:r w:rsidRPr="00F3335C">
              <w:rPr>
                <w:rFonts w:cs="Calibri"/>
                <w:b/>
                <w:bCs/>
                <w:sz w:val="18"/>
                <w:szCs w:val="18"/>
              </w:rPr>
              <w:t>37,443</w:t>
            </w:r>
          </w:p>
        </w:tc>
        <w:tc>
          <w:tcPr>
            <w:tcW w:w="1040" w:type="dxa"/>
            <w:noWrap/>
            <w:tcMar>
              <w:top w:w="0" w:type="dxa"/>
              <w:left w:w="17" w:type="dxa"/>
              <w:bottom w:w="0" w:type="dxa"/>
              <w:right w:w="17" w:type="dxa"/>
            </w:tcMar>
            <w:vAlign w:val="bottom"/>
          </w:tcPr>
          <w:p w:rsidR="003401C3" w:rsidRPr="00F3335C" w:rsidRDefault="003401C3" w:rsidP="00806D5A">
            <w:pPr>
              <w:jc w:val="right"/>
              <w:rPr>
                <w:rFonts w:cs="Calibri"/>
                <w:b/>
                <w:bCs/>
                <w:sz w:val="18"/>
                <w:szCs w:val="18"/>
              </w:rPr>
            </w:pPr>
            <w:r w:rsidRPr="00F3335C">
              <w:rPr>
                <w:rFonts w:cs="Calibri"/>
                <w:b/>
                <w:bCs/>
                <w:sz w:val="18"/>
                <w:szCs w:val="18"/>
              </w:rPr>
              <w:t>29,245</w:t>
            </w:r>
          </w:p>
        </w:tc>
        <w:tc>
          <w:tcPr>
            <w:tcW w:w="1040" w:type="dxa"/>
            <w:noWrap/>
            <w:tcMar>
              <w:top w:w="0" w:type="dxa"/>
              <w:left w:w="17" w:type="dxa"/>
              <w:bottom w:w="0" w:type="dxa"/>
              <w:right w:w="17" w:type="dxa"/>
            </w:tcMar>
            <w:vAlign w:val="bottom"/>
          </w:tcPr>
          <w:p w:rsidR="003401C3" w:rsidRPr="00F3335C" w:rsidRDefault="003401C3" w:rsidP="00806D5A">
            <w:pPr>
              <w:jc w:val="right"/>
              <w:rPr>
                <w:rFonts w:cs="Calibri"/>
                <w:b/>
                <w:bCs/>
                <w:sz w:val="18"/>
                <w:szCs w:val="18"/>
              </w:rPr>
            </w:pPr>
            <w:r w:rsidRPr="00F3335C">
              <w:rPr>
                <w:rFonts w:cs="Calibri"/>
                <w:b/>
                <w:bCs/>
                <w:sz w:val="18"/>
                <w:szCs w:val="18"/>
              </w:rPr>
              <w:t>2,292</w:t>
            </w:r>
          </w:p>
        </w:tc>
        <w:tc>
          <w:tcPr>
            <w:tcW w:w="1040" w:type="dxa"/>
            <w:noWrap/>
            <w:tcMar>
              <w:top w:w="0" w:type="dxa"/>
              <w:left w:w="17" w:type="dxa"/>
              <w:bottom w:w="0" w:type="dxa"/>
              <w:right w:w="17" w:type="dxa"/>
            </w:tcMar>
          </w:tcPr>
          <w:p w:rsidR="003401C3" w:rsidRPr="00132F6F" w:rsidRDefault="003401C3" w:rsidP="00806D5A">
            <w:pPr>
              <w:jc w:val="right"/>
              <w:rPr>
                <w:rFonts w:cs="Calibri"/>
                <w:b/>
                <w:bCs/>
                <w:sz w:val="18"/>
                <w:szCs w:val="18"/>
              </w:rPr>
            </w:pPr>
          </w:p>
        </w:tc>
      </w:tr>
      <w:tr w:rsidR="003401C3" w:rsidRPr="00132F6F" w:rsidTr="00806D5A">
        <w:trPr>
          <w:gridAfter w:val="1"/>
          <w:wAfter w:w="36" w:type="dxa"/>
          <w:trHeight w:val="227"/>
        </w:trPr>
        <w:tc>
          <w:tcPr>
            <w:tcW w:w="3063" w:type="dxa"/>
            <w:noWrap/>
            <w:tcMar>
              <w:top w:w="0" w:type="dxa"/>
              <w:left w:w="17" w:type="dxa"/>
              <w:bottom w:w="0" w:type="dxa"/>
              <w:right w:w="17" w:type="dxa"/>
            </w:tcMar>
          </w:tcPr>
          <w:p w:rsidR="003401C3" w:rsidRPr="00132F6F" w:rsidRDefault="003401C3" w:rsidP="00806D5A">
            <w:pPr>
              <w:keepNext/>
              <w:rPr>
                <w:rFonts w:cs="Calibri"/>
                <w:b/>
                <w:sz w:val="18"/>
                <w:szCs w:val="18"/>
                <w:lang w:eastAsia="en-AU"/>
              </w:rPr>
            </w:pP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132F6F" w:rsidRDefault="003401C3" w:rsidP="00806D5A">
            <w:pPr>
              <w:jc w:val="right"/>
              <w:rPr>
                <w:rFonts w:cs="Calibri"/>
                <w:sz w:val="18"/>
                <w:szCs w:val="18"/>
              </w:rPr>
            </w:pPr>
          </w:p>
        </w:tc>
      </w:tr>
      <w:tr w:rsidR="003401C3" w:rsidRPr="00F1052F" w:rsidTr="00806D5A">
        <w:trPr>
          <w:gridAfter w:val="1"/>
          <w:wAfter w:w="36" w:type="dxa"/>
          <w:trHeight w:val="227"/>
        </w:trPr>
        <w:tc>
          <w:tcPr>
            <w:tcW w:w="3063" w:type="dxa"/>
            <w:noWrap/>
            <w:tcMar>
              <w:top w:w="0" w:type="dxa"/>
              <w:left w:w="17" w:type="dxa"/>
              <w:bottom w:w="0" w:type="dxa"/>
              <w:right w:w="17" w:type="dxa"/>
            </w:tcMar>
          </w:tcPr>
          <w:p w:rsidR="003401C3" w:rsidRPr="00F1052F" w:rsidRDefault="003401C3" w:rsidP="00806D5A">
            <w:pPr>
              <w:keepNext/>
              <w:rPr>
                <w:rFonts w:cs="Calibri"/>
                <w:b/>
                <w:sz w:val="18"/>
                <w:szCs w:val="18"/>
                <w:lang w:eastAsia="en-AU"/>
              </w:rPr>
            </w:pPr>
            <w:r w:rsidRPr="00F1052F">
              <w:rPr>
                <w:rFonts w:cs="Calibri"/>
                <w:b/>
                <w:sz w:val="18"/>
                <w:szCs w:val="18"/>
                <w:lang w:eastAsia="en-AU"/>
              </w:rPr>
              <w:t>Capital Upgrades</w:t>
            </w:r>
          </w:p>
        </w:tc>
        <w:tc>
          <w:tcPr>
            <w:tcW w:w="1040" w:type="dxa"/>
            <w:noWrap/>
            <w:tcMar>
              <w:top w:w="17"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17" w:type="dxa"/>
              <w:left w:w="17" w:type="dxa"/>
              <w:bottom w:w="0" w:type="dxa"/>
              <w:right w:w="17" w:type="dxa"/>
            </w:tcMar>
          </w:tcPr>
          <w:p w:rsidR="003401C3" w:rsidRPr="00F1052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F1052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F1052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F1052F" w:rsidRDefault="003401C3" w:rsidP="00806D5A">
            <w:pPr>
              <w:jc w:val="right"/>
              <w:rPr>
                <w:rFonts w:cs="Calibri"/>
                <w:sz w:val="18"/>
                <w:szCs w:val="18"/>
              </w:rPr>
            </w:pPr>
          </w:p>
        </w:tc>
        <w:tc>
          <w:tcPr>
            <w:tcW w:w="1040" w:type="dxa"/>
            <w:noWrap/>
            <w:tcMar>
              <w:top w:w="17" w:type="dxa"/>
              <w:left w:w="17" w:type="dxa"/>
              <w:bottom w:w="0" w:type="dxa"/>
              <w:right w:w="17" w:type="dxa"/>
            </w:tcMar>
          </w:tcPr>
          <w:p w:rsidR="003401C3" w:rsidRPr="00DB7D86" w:rsidRDefault="003401C3" w:rsidP="00806D5A">
            <w:pPr>
              <w:jc w:val="right"/>
              <w:rPr>
                <w:rFonts w:cs="Calibri"/>
                <w:sz w:val="18"/>
                <w:szCs w:val="18"/>
              </w:rPr>
            </w:pPr>
          </w:p>
        </w:tc>
      </w:tr>
      <w:tr w:rsidR="003401C3" w:rsidRPr="00F1052F" w:rsidTr="00806D5A">
        <w:trPr>
          <w:gridAfter w:val="1"/>
          <w:wAfter w:w="36" w:type="dxa"/>
          <w:trHeight w:val="227"/>
        </w:trPr>
        <w:tc>
          <w:tcPr>
            <w:tcW w:w="3063" w:type="dxa"/>
            <w:noWrap/>
            <w:tcMar>
              <w:top w:w="0" w:type="dxa"/>
              <w:left w:w="17" w:type="dxa"/>
              <w:bottom w:w="0" w:type="dxa"/>
              <w:right w:w="17" w:type="dxa"/>
            </w:tcMar>
          </w:tcPr>
          <w:p w:rsidR="003401C3" w:rsidRPr="00F1052F" w:rsidRDefault="003401C3" w:rsidP="00806D5A">
            <w:pPr>
              <w:ind w:left="142" w:hanging="142"/>
              <w:rPr>
                <w:rFonts w:cs="Calibri"/>
                <w:sz w:val="18"/>
                <w:szCs w:val="18"/>
                <w:lang w:eastAsia="en-AU"/>
              </w:rPr>
            </w:pPr>
            <w:bookmarkStart w:id="3" w:name="_Hlk290708733"/>
            <w:r w:rsidRPr="00F1052F">
              <w:rPr>
                <w:rFonts w:cs="Calibri"/>
                <w:sz w:val="18"/>
                <w:szCs w:val="18"/>
                <w:lang w:eastAsia="en-AU"/>
              </w:rPr>
              <w:t>Building Upgrades</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705</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w:t>
            </w:r>
            <w:r>
              <w:rPr>
                <w:rFonts w:cs="Calibri"/>
                <w:bCs/>
                <w:sz w:val="18"/>
                <w:szCs w:val="18"/>
              </w:rPr>
              <w:t> </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705</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DB7D86" w:rsidRDefault="003401C3" w:rsidP="00806D5A">
            <w:pPr>
              <w:jc w:val="right"/>
              <w:rPr>
                <w:rFonts w:cs="Calibri"/>
                <w:bCs/>
                <w:sz w:val="18"/>
                <w:szCs w:val="18"/>
              </w:rPr>
            </w:pPr>
          </w:p>
        </w:tc>
      </w:tr>
      <w:bookmarkEnd w:id="3"/>
      <w:tr w:rsidR="003401C3" w:rsidRPr="00F1052F" w:rsidTr="00806D5A">
        <w:trPr>
          <w:gridAfter w:val="1"/>
          <w:wAfter w:w="36" w:type="dxa"/>
          <w:trHeight w:val="227"/>
        </w:trPr>
        <w:tc>
          <w:tcPr>
            <w:tcW w:w="3063" w:type="dxa"/>
            <w:noWrap/>
            <w:tcMar>
              <w:top w:w="0" w:type="dxa"/>
              <w:left w:w="17" w:type="dxa"/>
              <w:bottom w:w="0" w:type="dxa"/>
              <w:right w:w="17" w:type="dxa"/>
            </w:tcMar>
          </w:tcPr>
          <w:p w:rsidR="003401C3" w:rsidRPr="00F1052F" w:rsidRDefault="003401C3" w:rsidP="00806D5A">
            <w:pPr>
              <w:ind w:left="142" w:hanging="142"/>
              <w:rPr>
                <w:rFonts w:cs="Calibri"/>
                <w:sz w:val="18"/>
                <w:szCs w:val="18"/>
                <w:lang w:eastAsia="en-AU"/>
              </w:rPr>
            </w:pPr>
            <w:r w:rsidRPr="00F1052F">
              <w:rPr>
                <w:rFonts w:cs="Calibri"/>
                <w:sz w:val="18"/>
                <w:szCs w:val="18"/>
                <w:lang w:eastAsia="en-AU"/>
              </w:rPr>
              <w:t>Electrical/Fire/Safety Upgrades</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570</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Pr>
                <w:rFonts w:cs="Calibri"/>
                <w:bCs/>
                <w:sz w:val="18"/>
                <w:szCs w:val="18"/>
              </w:rPr>
              <w:t>- </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570</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DB7D86" w:rsidRDefault="003401C3" w:rsidP="00806D5A">
            <w:pPr>
              <w:jc w:val="right"/>
              <w:rPr>
                <w:rFonts w:cs="Calibri"/>
                <w:bCs/>
                <w:sz w:val="18"/>
                <w:szCs w:val="18"/>
              </w:rPr>
            </w:pPr>
          </w:p>
        </w:tc>
      </w:tr>
      <w:tr w:rsidR="003401C3" w:rsidRPr="00F1052F" w:rsidTr="00806D5A">
        <w:trPr>
          <w:gridAfter w:val="1"/>
          <w:wAfter w:w="36" w:type="dxa"/>
          <w:trHeight w:val="227"/>
        </w:trPr>
        <w:tc>
          <w:tcPr>
            <w:tcW w:w="3063" w:type="dxa"/>
            <w:noWrap/>
            <w:tcMar>
              <w:top w:w="0" w:type="dxa"/>
              <w:left w:w="17" w:type="dxa"/>
              <w:bottom w:w="0" w:type="dxa"/>
              <w:right w:w="17" w:type="dxa"/>
            </w:tcMar>
          </w:tcPr>
          <w:p w:rsidR="003401C3" w:rsidRPr="00F1052F" w:rsidRDefault="003401C3" w:rsidP="00806D5A">
            <w:pPr>
              <w:ind w:left="142" w:hanging="142"/>
              <w:rPr>
                <w:rFonts w:cs="Calibri"/>
                <w:sz w:val="18"/>
                <w:szCs w:val="18"/>
                <w:lang w:eastAsia="en-AU"/>
              </w:rPr>
            </w:pPr>
            <w:r w:rsidRPr="00F1052F">
              <w:rPr>
                <w:rFonts w:cs="Calibri"/>
                <w:sz w:val="18"/>
                <w:szCs w:val="18"/>
                <w:lang w:eastAsia="en-AU"/>
              </w:rPr>
              <w:t>Heating, Ventilation and Air Conditioning Systems Upgrades</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375</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Pr>
                <w:rFonts w:cs="Calibri"/>
                <w:bCs/>
                <w:sz w:val="18"/>
                <w:szCs w:val="18"/>
              </w:rPr>
              <w:t>- </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375</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DB7D86" w:rsidRDefault="003401C3" w:rsidP="00806D5A">
            <w:pPr>
              <w:jc w:val="right"/>
              <w:rPr>
                <w:rFonts w:cs="Calibri"/>
                <w:bCs/>
                <w:sz w:val="18"/>
                <w:szCs w:val="18"/>
              </w:rPr>
            </w:pPr>
          </w:p>
        </w:tc>
      </w:tr>
      <w:tr w:rsidR="003401C3" w:rsidRPr="00F1052F" w:rsidTr="00806D5A">
        <w:trPr>
          <w:gridAfter w:val="1"/>
          <w:wAfter w:w="36" w:type="dxa"/>
          <w:trHeight w:val="227"/>
        </w:trPr>
        <w:tc>
          <w:tcPr>
            <w:tcW w:w="3063" w:type="dxa"/>
            <w:noWrap/>
            <w:tcMar>
              <w:top w:w="0" w:type="dxa"/>
              <w:left w:w="17" w:type="dxa"/>
              <w:bottom w:w="0" w:type="dxa"/>
              <w:right w:w="17" w:type="dxa"/>
            </w:tcMar>
          </w:tcPr>
          <w:p w:rsidR="003401C3" w:rsidRPr="00F1052F" w:rsidRDefault="003401C3" w:rsidP="00806D5A">
            <w:pPr>
              <w:ind w:left="142" w:hanging="142"/>
              <w:rPr>
                <w:rFonts w:cs="Calibri"/>
                <w:sz w:val="18"/>
                <w:szCs w:val="18"/>
                <w:lang w:eastAsia="en-AU"/>
              </w:rPr>
            </w:pPr>
            <w:r w:rsidRPr="00F1052F">
              <w:rPr>
                <w:rFonts w:cs="Calibri"/>
                <w:sz w:val="18"/>
                <w:szCs w:val="18"/>
                <w:lang w:eastAsia="en-AU"/>
              </w:rPr>
              <w:t>Medical Facilities Upgrades</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660</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Pr>
                <w:rFonts w:cs="Calibri"/>
                <w:bCs/>
                <w:sz w:val="18"/>
                <w:szCs w:val="18"/>
              </w:rPr>
              <w:t>- </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660</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DB7D86" w:rsidRDefault="003401C3" w:rsidP="00806D5A">
            <w:pPr>
              <w:jc w:val="right"/>
              <w:rPr>
                <w:rFonts w:cs="Calibri"/>
                <w:bCs/>
                <w:sz w:val="18"/>
                <w:szCs w:val="18"/>
              </w:rPr>
            </w:pPr>
          </w:p>
        </w:tc>
      </w:tr>
      <w:tr w:rsidR="003401C3" w:rsidRPr="00F1052F" w:rsidTr="00806D5A">
        <w:trPr>
          <w:gridAfter w:val="1"/>
          <w:wAfter w:w="36" w:type="dxa"/>
          <w:trHeight w:val="227"/>
        </w:trPr>
        <w:tc>
          <w:tcPr>
            <w:tcW w:w="3063" w:type="dxa"/>
            <w:noWrap/>
            <w:tcMar>
              <w:top w:w="0" w:type="dxa"/>
              <w:left w:w="17" w:type="dxa"/>
              <w:bottom w:w="0" w:type="dxa"/>
              <w:right w:w="17" w:type="dxa"/>
            </w:tcMar>
          </w:tcPr>
          <w:p w:rsidR="003401C3" w:rsidRPr="00F1052F" w:rsidRDefault="003401C3" w:rsidP="00806D5A">
            <w:pPr>
              <w:ind w:left="142" w:hanging="142"/>
              <w:rPr>
                <w:rFonts w:cs="Calibri"/>
                <w:sz w:val="18"/>
                <w:szCs w:val="18"/>
                <w:lang w:eastAsia="en-AU"/>
              </w:rPr>
            </w:pPr>
            <w:r w:rsidRPr="00F1052F">
              <w:rPr>
                <w:rFonts w:cs="Calibri"/>
                <w:sz w:val="18"/>
                <w:szCs w:val="18"/>
                <w:lang w:eastAsia="en-AU"/>
              </w:rPr>
              <w:t>Facilities Improvements to Laboratory and Outpatients Area</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890</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Pr>
                <w:rFonts w:cs="Calibri"/>
                <w:bCs/>
                <w:sz w:val="18"/>
                <w:szCs w:val="18"/>
              </w:rPr>
              <w:t>- </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890</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DB7D86" w:rsidRDefault="003401C3" w:rsidP="00806D5A">
            <w:pPr>
              <w:jc w:val="right"/>
              <w:rPr>
                <w:rFonts w:cs="Calibri"/>
                <w:bCs/>
                <w:sz w:val="18"/>
                <w:szCs w:val="18"/>
              </w:rPr>
            </w:pPr>
          </w:p>
        </w:tc>
      </w:tr>
      <w:tr w:rsidR="003401C3" w:rsidRPr="00F1052F" w:rsidTr="00806D5A">
        <w:trPr>
          <w:gridAfter w:val="1"/>
          <w:wAfter w:w="36" w:type="dxa"/>
          <w:trHeight w:val="227"/>
        </w:trPr>
        <w:tc>
          <w:tcPr>
            <w:tcW w:w="3063" w:type="dxa"/>
            <w:noWrap/>
            <w:tcMar>
              <w:top w:w="0" w:type="dxa"/>
              <w:left w:w="17" w:type="dxa"/>
              <w:bottom w:w="0" w:type="dxa"/>
              <w:right w:w="17" w:type="dxa"/>
            </w:tcMar>
          </w:tcPr>
          <w:p w:rsidR="003401C3" w:rsidRPr="00F1052F" w:rsidRDefault="003401C3" w:rsidP="00806D5A">
            <w:pPr>
              <w:ind w:left="142" w:hanging="142"/>
              <w:rPr>
                <w:rFonts w:cs="Calibri"/>
                <w:sz w:val="18"/>
                <w:szCs w:val="18"/>
                <w:lang w:eastAsia="en-AU"/>
              </w:rPr>
            </w:pPr>
            <w:r w:rsidRPr="00F1052F">
              <w:rPr>
                <w:rFonts w:cs="Calibri"/>
                <w:sz w:val="18"/>
                <w:szCs w:val="18"/>
                <w:lang w:eastAsia="en-AU"/>
              </w:rPr>
              <w:t>Upgrade of Medical and Administrative Offices</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646</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Pr>
                <w:rFonts w:cs="Calibri"/>
                <w:bCs/>
                <w:sz w:val="18"/>
                <w:szCs w:val="18"/>
              </w:rPr>
              <w:t>- </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r w:rsidRPr="00F1052F">
              <w:rPr>
                <w:rFonts w:cs="Calibri"/>
                <w:bCs/>
                <w:sz w:val="18"/>
                <w:szCs w:val="18"/>
              </w:rPr>
              <w:t>646</w:t>
            </w: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DB7D86" w:rsidRDefault="003401C3" w:rsidP="00806D5A">
            <w:pPr>
              <w:jc w:val="right"/>
              <w:rPr>
                <w:rFonts w:cs="Calibri"/>
                <w:bCs/>
                <w:sz w:val="18"/>
                <w:szCs w:val="18"/>
              </w:rPr>
            </w:pPr>
          </w:p>
        </w:tc>
      </w:tr>
      <w:tr w:rsidR="003401C3" w:rsidRPr="00F1052F" w:rsidTr="00806D5A">
        <w:trPr>
          <w:gridAfter w:val="1"/>
          <w:wAfter w:w="36" w:type="dxa"/>
          <w:trHeight w:val="227"/>
        </w:trPr>
        <w:tc>
          <w:tcPr>
            <w:tcW w:w="3063" w:type="dxa"/>
            <w:noWrap/>
            <w:tcMar>
              <w:top w:w="0" w:type="dxa"/>
              <w:left w:w="17" w:type="dxa"/>
              <w:bottom w:w="0" w:type="dxa"/>
              <w:right w:w="17" w:type="dxa"/>
            </w:tcMar>
          </w:tcPr>
          <w:p w:rsidR="003401C3" w:rsidRPr="00F1052F" w:rsidRDefault="003401C3" w:rsidP="00806D5A">
            <w:pPr>
              <w:ind w:left="142" w:hanging="142"/>
              <w:rPr>
                <w:rFonts w:cs="Calibri"/>
                <w:sz w:val="18"/>
                <w:szCs w:val="18"/>
                <w:lang w:eastAsia="en-AU"/>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rPr>
            </w:pPr>
          </w:p>
        </w:tc>
        <w:tc>
          <w:tcPr>
            <w:tcW w:w="1040" w:type="dxa"/>
            <w:noWrap/>
            <w:tcMar>
              <w:top w:w="0" w:type="dxa"/>
              <w:left w:w="17" w:type="dxa"/>
              <w:bottom w:w="0" w:type="dxa"/>
              <w:right w:w="17" w:type="dxa"/>
            </w:tcMar>
          </w:tcPr>
          <w:p w:rsidR="003401C3" w:rsidRPr="00DB7D86" w:rsidRDefault="003401C3" w:rsidP="00806D5A">
            <w:pPr>
              <w:jc w:val="right"/>
              <w:rPr>
                <w:rFonts w:cs="Calibri"/>
                <w:bCs/>
                <w:sz w:val="18"/>
                <w:szCs w:val="18"/>
              </w:rPr>
            </w:pPr>
          </w:p>
        </w:tc>
      </w:tr>
      <w:tr w:rsidR="003401C3" w:rsidRPr="00F1052F" w:rsidTr="00806D5A">
        <w:trPr>
          <w:gridAfter w:val="1"/>
          <w:wAfter w:w="36" w:type="dxa"/>
          <w:trHeight w:val="227"/>
        </w:trPr>
        <w:tc>
          <w:tcPr>
            <w:tcW w:w="3063" w:type="dxa"/>
            <w:noWrap/>
            <w:tcMar>
              <w:top w:w="0" w:type="dxa"/>
              <w:left w:w="17" w:type="dxa"/>
              <w:bottom w:w="0" w:type="dxa"/>
              <w:right w:w="17" w:type="dxa"/>
            </w:tcMar>
          </w:tcPr>
          <w:p w:rsidR="003401C3" w:rsidRPr="00F1052F" w:rsidRDefault="003401C3" w:rsidP="00806D5A">
            <w:pPr>
              <w:keepNext/>
              <w:rPr>
                <w:rFonts w:cs="Calibri"/>
                <w:b/>
                <w:sz w:val="18"/>
                <w:szCs w:val="18"/>
                <w:lang w:eastAsia="en-AU"/>
              </w:rPr>
            </w:pPr>
            <w:r w:rsidRPr="00F1052F">
              <w:rPr>
                <w:rFonts w:cs="Calibri"/>
                <w:b/>
                <w:sz w:val="18"/>
                <w:szCs w:val="18"/>
                <w:lang w:eastAsia="en-AU"/>
              </w:rPr>
              <w:t xml:space="preserve">Total Capital Upgrades </w:t>
            </w:r>
          </w:p>
        </w:tc>
        <w:tc>
          <w:tcPr>
            <w:tcW w:w="1040" w:type="dxa"/>
            <w:noWrap/>
            <w:tcMar>
              <w:top w:w="0" w:type="dxa"/>
              <w:left w:w="17" w:type="dxa"/>
              <w:bottom w:w="0" w:type="dxa"/>
              <w:right w:w="17" w:type="dxa"/>
            </w:tcMar>
          </w:tcPr>
          <w:p w:rsidR="003401C3" w:rsidRPr="00F1052F" w:rsidRDefault="003401C3" w:rsidP="00806D5A">
            <w:pPr>
              <w:jc w:val="right"/>
              <w:rPr>
                <w:rFonts w:cs="Calibri"/>
                <w:b/>
                <w:bCs/>
                <w:sz w:val="18"/>
                <w:szCs w:val="18"/>
              </w:rPr>
            </w:pPr>
            <w:r w:rsidRPr="00F1052F">
              <w:rPr>
                <w:rFonts w:cs="Calibri"/>
                <w:b/>
                <w:bCs/>
                <w:sz w:val="18"/>
                <w:szCs w:val="18"/>
              </w:rPr>
              <w:t>3,846</w:t>
            </w:r>
          </w:p>
        </w:tc>
        <w:tc>
          <w:tcPr>
            <w:tcW w:w="1040" w:type="dxa"/>
            <w:noWrap/>
            <w:tcMar>
              <w:top w:w="0" w:type="dxa"/>
              <w:left w:w="17" w:type="dxa"/>
              <w:bottom w:w="0" w:type="dxa"/>
              <w:right w:w="17" w:type="dxa"/>
            </w:tcMar>
          </w:tcPr>
          <w:p w:rsidR="003401C3" w:rsidRPr="00F1052F" w:rsidRDefault="003401C3" w:rsidP="00806D5A">
            <w:pPr>
              <w:jc w:val="right"/>
              <w:rPr>
                <w:rFonts w:cs="Calibri"/>
                <w:b/>
                <w:bCs/>
                <w:sz w:val="18"/>
                <w:szCs w:val="18"/>
              </w:rPr>
            </w:pPr>
            <w:r>
              <w:rPr>
                <w:rFonts w:cs="Calibri"/>
                <w:b/>
                <w:bCs/>
                <w:sz w:val="18"/>
                <w:szCs w:val="18"/>
              </w:rPr>
              <w:t>- </w:t>
            </w:r>
          </w:p>
        </w:tc>
        <w:tc>
          <w:tcPr>
            <w:tcW w:w="1040" w:type="dxa"/>
            <w:noWrap/>
            <w:tcMar>
              <w:top w:w="0" w:type="dxa"/>
              <w:left w:w="17" w:type="dxa"/>
              <w:bottom w:w="0" w:type="dxa"/>
              <w:right w:w="17" w:type="dxa"/>
            </w:tcMar>
          </w:tcPr>
          <w:p w:rsidR="003401C3" w:rsidRPr="00F1052F" w:rsidRDefault="003401C3" w:rsidP="00806D5A">
            <w:pPr>
              <w:jc w:val="right"/>
              <w:rPr>
                <w:rFonts w:cs="Calibri"/>
                <w:b/>
                <w:bCs/>
                <w:sz w:val="18"/>
                <w:szCs w:val="18"/>
              </w:rPr>
            </w:pPr>
            <w:r w:rsidRPr="00F1052F">
              <w:rPr>
                <w:rFonts w:cs="Calibri"/>
                <w:b/>
                <w:bCs/>
                <w:sz w:val="18"/>
                <w:szCs w:val="18"/>
              </w:rPr>
              <w:t>3,846</w:t>
            </w:r>
          </w:p>
        </w:tc>
        <w:tc>
          <w:tcPr>
            <w:tcW w:w="1040" w:type="dxa"/>
            <w:noWrap/>
            <w:tcMar>
              <w:top w:w="0" w:type="dxa"/>
              <w:left w:w="17" w:type="dxa"/>
              <w:bottom w:w="0" w:type="dxa"/>
              <w:right w:w="17" w:type="dxa"/>
            </w:tcMar>
          </w:tcPr>
          <w:p w:rsidR="003401C3" w:rsidRPr="00F1052F" w:rsidRDefault="003401C3" w:rsidP="00806D5A">
            <w:pPr>
              <w:jc w:val="right"/>
              <w:rPr>
                <w:rFonts w:cs="Calibri"/>
                <w:b/>
                <w:bCs/>
                <w:sz w:val="18"/>
                <w:szCs w:val="18"/>
              </w:rPr>
            </w:pPr>
          </w:p>
        </w:tc>
        <w:tc>
          <w:tcPr>
            <w:tcW w:w="1040" w:type="dxa"/>
            <w:noWrap/>
            <w:tcMar>
              <w:top w:w="0" w:type="dxa"/>
              <w:left w:w="17" w:type="dxa"/>
              <w:bottom w:w="0" w:type="dxa"/>
              <w:right w:w="17" w:type="dxa"/>
            </w:tcMar>
          </w:tcPr>
          <w:p w:rsidR="003401C3" w:rsidRPr="00F1052F" w:rsidRDefault="003401C3" w:rsidP="00806D5A">
            <w:pPr>
              <w:jc w:val="right"/>
              <w:rPr>
                <w:rFonts w:cs="Calibri"/>
                <w:b/>
                <w:bCs/>
                <w:sz w:val="18"/>
                <w:szCs w:val="18"/>
              </w:rPr>
            </w:pPr>
          </w:p>
        </w:tc>
        <w:tc>
          <w:tcPr>
            <w:tcW w:w="1040" w:type="dxa"/>
            <w:noWrap/>
            <w:tcMar>
              <w:top w:w="0" w:type="dxa"/>
              <w:left w:w="17" w:type="dxa"/>
              <w:bottom w:w="0" w:type="dxa"/>
              <w:right w:w="17" w:type="dxa"/>
            </w:tcMar>
          </w:tcPr>
          <w:p w:rsidR="003401C3" w:rsidRPr="00DB7D86" w:rsidRDefault="003401C3" w:rsidP="00806D5A">
            <w:pPr>
              <w:jc w:val="right"/>
              <w:rPr>
                <w:rFonts w:cs="Calibri"/>
                <w:bCs/>
                <w:sz w:val="18"/>
                <w:szCs w:val="18"/>
              </w:rPr>
            </w:pPr>
          </w:p>
        </w:tc>
      </w:tr>
      <w:tr w:rsidR="003401C3" w:rsidRPr="00470E6B" w:rsidTr="00806D5A">
        <w:trPr>
          <w:gridAfter w:val="1"/>
          <w:wAfter w:w="36" w:type="dxa"/>
          <w:trHeight w:val="227"/>
        </w:trPr>
        <w:tc>
          <w:tcPr>
            <w:tcW w:w="3063" w:type="dxa"/>
            <w:noWrap/>
            <w:tcMar>
              <w:top w:w="0" w:type="dxa"/>
              <w:left w:w="17" w:type="dxa"/>
              <w:bottom w:w="0" w:type="dxa"/>
              <w:right w:w="17" w:type="dxa"/>
            </w:tcMar>
          </w:tcPr>
          <w:p w:rsidR="003401C3" w:rsidRPr="00470E6B" w:rsidRDefault="003401C3" w:rsidP="00806D5A">
            <w:pPr>
              <w:keepNext/>
              <w:rPr>
                <w:rFonts w:cs="Calibri"/>
                <w:b/>
                <w:sz w:val="18"/>
                <w:szCs w:val="18"/>
                <w:highlight w:val="yellow"/>
                <w:lang w:eastAsia="en-AU"/>
              </w:rPr>
            </w:pPr>
          </w:p>
        </w:tc>
        <w:tc>
          <w:tcPr>
            <w:tcW w:w="1040" w:type="dxa"/>
            <w:noWrap/>
            <w:tcMar>
              <w:top w:w="0" w:type="dxa"/>
              <w:left w:w="17" w:type="dxa"/>
              <w:bottom w:w="0" w:type="dxa"/>
              <w:right w:w="17" w:type="dxa"/>
            </w:tcMar>
          </w:tcPr>
          <w:p w:rsidR="003401C3" w:rsidRPr="00F1052F" w:rsidRDefault="003401C3" w:rsidP="00806D5A">
            <w:pPr>
              <w:jc w:val="right"/>
              <w:rPr>
                <w:rFonts w:cs="Calibri"/>
                <w:bCs/>
                <w:sz w:val="18"/>
                <w:szCs w:val="18"/>
                <w:highlight w:val="yellow"/>
              </w:rPr>
            </w:pPr>
          </w:p>
        </w:tc>
        <w:tc>
          <w:tcPr>
            <w:tcW w:w="1040" w:type="dxa"/>
            <w:noWrap/>
            <w:tcMar>
              <w:top w:w="0" w:type="dxa"/>
              <w:left w:w="17" w:type="dxa"/>
              <w:bottom w:w="0" w:type="dxa"/>
              <w:right w:w="17" w:type="dxa"/>
            </w:tcMar>
          </w:tcPr>
          <w:p w:rsidR="003401C3" w:rsidRPr="00470E6B" w:rsidRDefault="003401C3" w:rsidP="00806D5A">
            <w:pPr>
              <w:jc w:val="right"/>
              <w:rPr>
                <w:rFonts w:cs="Calibri"/>
                <w:sz w:val="18"/>
                <w:szCs w:val="18"/>
                <w:highlight w:val="yellow"/>
              </w:rPr>
            </w:pPr>
          </w:p>
        </w:tc>
        <w:tc>
          <w:tcPr>
            <w:tcW w:w="1040" w:type="dxa"/>
            <w:noWrap/>
            <w:tcMar>
              <w:top w:w="0" w:type="dxa"/>
              <w:left w:w="17" w:type="dxa"/>
              <w:bottom w:w="0" w:type="dxa"/>
              <w:right w:w="17" w:type="dxa"/>
            </w:tcMar>
          </w:tcPr>
          <w:p w:rsidR="003401C3" w:rsidRPr="00470E6B" w:rsidRDefault="003401C3" w:rsidP="00806D5A">
            <w:pPr>
              <w:jc w:val="right"/>
              <w:rPr>
                <w:rFonts w:cs="Calibri"/>
                <w:sz w:val="18"/>
                <w:szCs w:val="18"/>
                <w:highlight w:val="yellow"/>
              </w:rPr>
            </w:pPr>
          </w:p>
        </w:tc>
        <w:tc>
          <w:tcPr>
            <w:tcW w:w="1040" w:type="dxa"/>
            <w:noWrap/>
            <w:tcMar>
              <w:top w:w="0" w:type="dxa"/>
              <w:left w:w="17" w:type="dxa"/>
              <w:bottom w:w="0" w:type="dxa"/>
              <w:right w:w="17" w:type="dxa"/>
            </w:tcMar>
          </w:tcPr>
          <w:p w:rsidR="003401C3" w:rsidRPr="00470E6B" w:rsidRDefault="003401C3" w:rsidP="00806D5A">
            <w:pPr>
              <w:jc w:val="right"/>
              <w:rPr>
                <w:rFonts w:cs="Calibri"/>
                <w:sz w:val="18"/>
                <w:szCs w:val="18"/>
                <w:highlight w:val="yellow"/>
              </w:rPr>
            </w:pPr>
          </w:p>
        </w:tc>
        <w:tc>
          <w:tcPr>
            <w:tcW w:w="1040" w:type="dxa"/>
            <w:noWrap/>
            <w:tcMar>
              <w:top w:w="0" w:type="dxa"/>
              <w:left w:w="17" w:type="dxa"/>
              <w:bottom w:w="0" w:type="dxa"/>
              <w:right w:w="17" w:type="dxa"/>
            </w:tcMar>
          </w:tcPr>
          <w:p w:rsidR="003401C3" w:rsidRPr="00470E6B" w:rsidRDefault="003401C3" w:rsidP="00806D5A">
            <w:pPr>
              <w:jc w:val="right"/>
              <w:rPr>
                <w:rFonts w:cs="Calibri"/>
                <w:sz w:val="18"/>
                <w:szCs w:val="18"/>
                <w:highlight w:val="yellow"/>
              </w:rPr>
            </w:pPr>
          </w:p>
        </w:tc>
        <w:tc>
          <w:tcPr>
            <w:tcW w:w="1040" w:type="dxa"/>
            <w:noWrap/>
            <w:tcMar>
              <w:top w:w="0" w:type="dxa"/>
              <w:left w:w="17" w:type="dxa"/>
              <w:bottom w:w="0" w:type="dxa"/>
              <w:right w:w="17" w:type="dxa"/>
            </w:tcMar>
          </w:tcPr>
          <w:p w:rsidR="003401C3" w:rsidRPr="00DB7D86" w:rsidRDefault="003401C3" w:rsidP="00806D5A">
            <w:pPr>
              <w:jc w:val="right"/>
              <w:rPr>
                <w:rFonts w:cs="Calibri"/>
                <w:sz w:val="18"/>
                <w:szCs w:val="18"/>
              </w:rPr>
            </w:pPr>
          </w:p>
        </w:tc>
      </w:tr>
      <w:tr w:rsidR="003401C3" w:rsidRPr="00470E6B" w:rsidTr="00806D5A">
        <w:trPr>
          <w:gridAfter w:val="1"/>
          <w:wAfter w:w="36" w:type="dxa"/>
          <w:trHeight w:val="227"/>
        </w:trPr>
        <w:tc>
          <w:tcPr>
            <w:tcW w:w="3063" w:type="dxa"/>
            <w:tcBorders>
              <w:bottom w:val="single" w:sz="4" w:space="0" w:color="auto"/>
            </w:tcBorders>
            <w:noWrap/>
            <w:tcMar>
              <w:top w:w="0" w:type="dxa"/>
              <w:left w:w="17" w:type="dxa"/>
              <w:bottom w:w="0" w:type="dxa"/>
              <w:right w:w="17" w:type="dxa"/>
            </w:tcMar>
          </w:tcPr>
          <w:p w:rsidR="003401C3" w:rsidRPr="00A8221A" w:rsidRDefault="003401C3" w:rsidP="00806D5A">
            <w:pPr>
              <w:keepNext/>
              <w:rPr>
                <w:rFonts w:cs="Calibri"/>
                <w:b/>
                <w:sz w:val="18"/>
                <w:szCs w:val="18"/>
                <w:lang w:eastAsia="en-AU"/>
              </w:rPr>
            </w:pPr>
            <w:r w:rsidRPr="00A8221A">
              <w:rPr>
                <w:rFonts w:cs="Calibri"/>
                <w:b/>
                <w:sz w:val="18"/>
                <w:szCs w:val="18"/>
                <w:lang w:eastAsia="en-AU"/>
              </w:rPr>
              <w:t>Total New Works</w:t>
            </w:r>
          </w:p>
        </w:tc>
        <w:tc>
          <w:tcPr>
            <w:tcW w:w="1040" w:type="dxa"/>
            <w:tcBorders>
              <w:bottom w:val="single" w:sz="4" w:space="0" w:color="auto"/>
            </w:tcBorders>
            <w:noWrap/>
            <w:tcMar>
              <w:top w:w="0" w:type="dxa"/>
              <w:left w:w="17" w:type="dxa"/>
              <w:bottom w:w="0" w:type="dxa"/>
              <w:right w:w="17" w:type="dxa"/>
            </w:tcMar>
          </w:tcPr>
          <w:p w:rsidR="003401C3" w:rsidRPr="00A8221A" w:rsidRDefault="003401C3" w:rsidP="00806D5A">
            <w:pPr>
              <w:jc w:val="right"/>
              <w:rPr>
                <w:rFonts w:cs="Calibri"/>
                <w:b/>
                <w:bCs/>
                <w:color w:val="000000"/>
                <w:sz w:val="18"/>
                <w:szCs w:val="18"/>
              </w:rPr>
            </w:pPr>
            <w:r>
              <w:rPr>
                <w:rFonts w:cs="Calibri"/>
                <w:b/>
                <w:bCs/>
                <w:color w:val="000000"/>
                <w:sz w:val="18"/>
                <w:szCs w:val="18"/>
              </w:rPr>
              <w:t>75,496</w:t>
            </w:r>
          </w:p>
        </w:tc>
        <w:tc>
          <w:tcPr>
            <w:tcW w:w="1040" w:type="dxa"/>
            <w:tcBorders>
              <w:bottom w:val="single" w:sz="4" w:space="0" w:color="auto"/>
            </w:tcBorders>
            <w:noWrap/>
            <w:tcMar>
              <w:top w:w="0" w:type="dxa"/>
              <w:left w:w="17" w:type="dxa"/>
              <w:bottom w:w="0" w:type="dxa"/>
              <w:right w:w="17" w:type="dxa"/>
            </w:tcMar>
          </w:tcPr>
          <w:p w:rsidR="003401C3" w:rsidRPr="00A8221A" w:rsidRDefault="003401C3" w:rsidP="00806D5A">
            <w:pPr>
              <w:jc w:val="right"/>
              <w:rPr>
                <w:rFonts w:cs="Calibri"/>
                <w:b/>
                <w:bCs/>
                <w:color w:val="000000"/>
                <w:sz w:val="18"/>
                <w:szCs w:val="18"/>
              </w:rPr>
            </w:pPr>
            <w:r w:rsidRPr="00A8221A">
              <w:rPr>
                <w:rFonts w:cs="Calibri"/>
                <w:b/>
                <w:bCs/>
                <w:color w:val="000000"/>
                <w:sz w:val="18"/>
                <w:szCs w:val="18"/>
              </w:rPr>
              <w:t>- </w:t>
            </w:r>
          </w:p>
        </w:tc>
        <w:tc>
          <w:tcPr>
            <w:tcW w:w="1040" w:type="dxa"/>
            <w:tcBorders>
              <w:bottom w:val="single" w:sz="4" w:space="0" w:color="auto"/>
            </w:tcBorders>
            <w:noWrap/>
            <w:tcMar>
              <w:top w:w="0" w:type="dxa"/>
              <w:left w:w="17" w:type="dxa"/>
              <w:bottom w:w="0" w:type="dxa"/>
              <w:right w:w="17" w:type="dxa"/>
            </w:tcMar>
          </w:tcPr>
          <w:p w:rsidR="003401C3" w:rsidRPr="00A8221A" w:rsidRDefault="003401C3" w:rsidP="00806D5A">
            <w:pPr>
              <w:jc w:val="right"/>
              <w:rPr>
                <w:rFonts w:cs="Calibri"/>
                <w:b/>
                <w:bCs/>
                <w:color w:val="000000"/>
                <w:sz w:val="18"/>
                <w:szCs w:val="18"/>
              </w:rPr>
            </w:pPr>
            <w:r>
              <w:rPr>
                <w:rFonts w:cs="Calibri"/>
                <w:b/>
                <w:bCs/>
                <w:color w:val="000000"/>
                <w:sz w:val="18"/>
                <w:szCs w:val="18"/>
              </w:rPr>
              <w:t>41,289</w:t>
            </w:r>
          </w:p>
        </w:tc>
        <w:tc>
          <w:tcPr>
            <w:tcW w:w="1040" w:type="dxa"/>
            <w:tcBorders>
              <w:bottom w:val="single" w:sz="4" w:space="0" w:color="auto"/>
            </w:tcBorders>
            <w:noWrap/>
            <w:tcMar>
              <w:top w:w="0" w:type="dxa"/>
              <w:left w:w="17" w:type="dxa"/>
              <w:bottom w:w="0" w:type="dxa"/>
              <w:right w:w="17" w:type="dxa"/>
            </w:tcMar>
          </w:tcPr>
          <w:p w:rsidR="003401C3" w:rsidRPr="00A8221A" w:rsidRDefault="003401C3" w:rsidP="00806D5A">
            <w:pPr>
              <w:jc w:val="right"/>
              <w:rPr>
                <w:rFonts w:cs="Calibri"/>
                <w:b/>
                <w:bCs/>
                <w:color w:val="000000"/>
                <w:sz w:val="18"/>
                <w:szCs w:val="18"/>
              </w:rPr>
            </w:pPr>
            <w:r>
              <w:rPr>
                <w:rFonts w:cs="Calibri"/>
                <w:b/>
                <w:bCs/>
                <w:color w:val="000000"/>
                <w:sz w:val="18"/>
                <w:szCs w:val="18"/>
              </w:rPr>
              <w:t>29,245</w:t>
            </w:r>
          </w:p>
        </w:tc>
        <w:tc>
          <w:tcPr>
            <w:tcW w:w="1040" w:type="dxa"/>
            <w:tcBorders>
              <w:bottom w:val="single" w:sz="4" w:space="0" w:color="auto"/>
            </w:tcBorders>
            <w:noWrap/>
            <w:tcMar>
              <w:top w:w="0" w:type="dxa"/>
              <w:left w:w="17" w:type="dxa"/>
              <w:bottom w:w="0" w:type="dxa"/>
              <w:right w:w="17" w:type="dxa"/>
            </w:tcMar>
          </w:tcPr>
          <w:p w:rsidR="003401C3" w:rsidRPr="00132F6F" w:rsidRDefault="003401C3" w:rsidP="00806D5A">
            <w:pPr>
              <w:jc w:val="right"/>
              <w:rPr>
                <w:rFonts w:cs="Calibri"/>
                <w:b/>
                <w:bCs/>
                <w:sz w:val="18"/>
                <w:szCs w:val="18"/>
              </w:rPr>
            </w:pPr>
            <w:r>
              <w:rPr>
                <w:rFonts w:cs="Calibri"/>
                <w:b/>
                <w:bCs/>
                <w:sz w:val="18"/>
                <w:szCs w:val="18"/>
              </w:rPr>
              <w:t>2,292</w:t>
            </w:r>
          </w:p>
        </w:tc>
        <w:tc>
          <w:tcPr>
            <w:tcW w:w="1040" w:type="dxa"/>
            <w:tcBorders>
              <w:bottom w:val="single" w:sz="4" w:space="0" w:color="auto"/>
            </w:tcBorders>
            <w:noWrap/>
            <w:tcMar>
              <w:top w:w="0" w:type="dxa"/>
              <w:left w:w="17" w:type="dxa"/>
              <w:bottom w:w="0" w:type="dxa"/>
              <w:right w:w="17" w:type="dxa"/>
            </w:tcMar>
          </w:tcPr>
          <w:p w:rsidR="003401C3" w:rsidRPr="00470E6B" w:rsidRDefault="003401C3" w:rsidP="00806D5A">
            <w:pPr>
              <w:jc w:val="right"/>
              <w:rPr>
                <w:rFonts w:cs="Calibri"/>
                <w:b/>
                <w:bCs/>
                <w:sz w:val="18"/>
                <w:szCs w:val="18"/>
                <w:highlight w:val="yellow"/>
              </w:rPr>
            </w:pPr>
          </w:p>
        </w:tc>
      </w:tr>
      <w:tr w:rsidR="003401C3" w:rsidRPr="00470E6B" w:rsidTr="00806D5A">
        <w:trPr>
          <w:trHeight w:val="227"/>
        </w:trPr>
        <w:tc>
          <w:tcPr>
            <w:tcW w:w="9339" w:type="dxa"/>
            <w:gridSpan w:val="8"/>
            <w:tcBorders>
              <w:top w:val="single" w:sz="4" w:space="0" w:color="auto"/>
            </w:tcBorders>
            <w:noWrap/>
            <w:tcMar>
              <w:top w:w="0" w:type="dxa"/>
              <w:left w:w="17" w:type="dxa"/>
              <w:bottom w:w="0" w:type="dxa"/>
              <w:right w:w="17" w:type="dxa"/>
            </w:tcMar>
          </w:tcPr>
          <w:p w:rsidR="003401C3" w:rsidRPr="00470E6B" w:rsidRDefault="003401C3" w:rsidP="00806D5A">
            <w:pPr>
              <w:pStyle w:val="AINotes"/>
              <w:numPr>
                <w:ilvl w:val="0"/>
                <w:numId w:val="0"/>
              </w:numPr>
              <w:ind w:left="357" w:hanging="357"/>
              <w:jc w:val="left"/>
              <w:rPr>
                <w:rFonts w:cs="Calibri"/>
                <w:b/>
                <w:bCs/>
                <w:sz w:val="18"/>
                <w:szCs w:val="18"/>
                <w:highlight w:val="yellow"/>
              </w:rPr>
            </w:pPr>
          </w:p>
        </w:tc>
      </w:tr>
      <w:tr w:rsidR="003401C3" w:rsidRPr="00173793" w:rsidTr="00806D5A">
        <w:trPr>
          <w:gridAfter w:val="1"/>
          <w:wAfter w:w="36" w:type="dxa"/>
          <w:trHeight w:val="227"/>
        </w:trPr>
        <w:tc>
          <w:tcPr>
            <w:tcW w:w="3063" w:type="dxa"/>
            <w:noWrap/>
            <w:tcMar>
              <w:top w:w="0" w:type="dxa"/>
              <w:left w:w="17" w:type="dxa"/>
              <w:bottom w:w="0" w:type="dxa"/>
              <w:right w:w="17" w:type="dxa"/>
            </w:tcMar>
          </w:tcPr>
          <w:p w:rsidR="003401C3" w:rsidRPr="00173793" w:rsidRDefault="003401C3" w:rsidP="00806D5A">
            <w:pPr>
              <w:keepNext/>
              <w:rPr>
                <w:rFonts w:cs="Calibri"/>
                <w:b/>
                <w:sz w:val="18"/>
                <w:szCs w:val="18"/>
                <w:lang w:eastAsia="en-AU"/>
              </w:rPr>
            </w:pPr>
            <w:r w:rsidRPr="00173793">
              <w:rPr>
                <w:rFonts w:cs="Calibri"/>
                <w:b/>
                <w:sz w:val="18"/>
                <w:szCs w:val="18"/>
                <w:lang w:eastAsia="en-AU"/>
              </w:rPr>
              <w:t>Works in Progress</w:t>
            </w:r>
          </w:p>
        </w:tc>
        <w:tc>
          <w:tcPr>
            <w:tcW w:w="1040" w:type="dxa"/>
            <w:noWrap/>
            <w:tcMar>
              <w:top w:w="0" w:type="dxa"/>
              <w:left w:w="17" w:type="dxa"/>
              <w:bottom w:w="0" w:type="dxa"/>
              <w:right w:w="17" w:type="dxa"/>
            </w:tcMar>
          </w:tcPr>
          <w:p w:rsidR="003401C3" w:rsidRPr="00173793" w:rsidRDefault="003401C3" w:rsidP="00806D5A">
            <w:pPr>
              <w:jc w:val="right"/>
              <w:rPr>
                <w:rFonts w:cs="Calibri"/>
                <w:b/>
                <w:bCs/>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b/>
                <w:bCs/>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b/>
                <w:bCs/>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b/>
                <w:bCs/>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b/>
                <w:bCs/>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b/>
                <w:bCs/>
                <w:sz w:val="18"/>
                <w:szCs w:val="18"/>
              </w:rPr>
            </w:pPr>
          </w:p>
        </w:tc>
      </w:tr>
      <w:tr w:rsidR="003401C3" w:rsidRPr="00173793" w:rsidTr="00806D5A">
        <w:trPr>
          <w:gridAfter w:val="1"/>
          <w:wAfter w:w="36" w:type="dxa"/>
          <w:trHeight w:val="227"/>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173793">
              <w:rPr>
                <w:rFonts w:cs="Calibri"/>
                <w:sz w:val="18"/>
                <w:szCs w:val="18"/>
                <w:lang w:eastAsia="en-AU"/>
              </w:rPr>
              <w:t>Staging and Decanting</w:t>
            </w:r>
            <w:r w:rsidR="005703F4" w:rsidRPr="005703F4">
              <w:rPr>
                <w:rFonts w:cs="Calibri"/>
                <w:sz w:val="18"/>
                <w:szCs w:val="18"/>
                <w:lang w:eastAsia="en-AU"/>
              </w:rPr>
              <w:t xml:space="preserve"> </w:t>
            </w:r>
            <w:r w:rsidR="005C519C" w:rsidRPr="005E58BC">
              <w:rPr>
                <w:sz w:val="18"/>
                <w:szCs w:val="18"/>
                <w:lang w:eastAsia="en-AU"/>
              </w:rPr>
              <w:t>–</w:t>
            </w:r>
            <w:r w:rsidR="005703F4" w:rsidRPr="005703F4">
              <w:rPr>
                <w:rFonts w:cs="Calibri"/>
                <w:sz w:val="18"/>
                <w:szCs w:val="18"/>
                <w:lang w:eastAsia="en-AU"/>
              </w:rPr>
              <w:t xml:space="preserve"> </w:t>
            </w:r>
            <w:r w:rsidRPr="00173793">
              <w:rPr>
                <w:rFonts w:cs="Calibri"/>
                <w:sz w:val="18"/>
                <w:szCs w:val="18"/>
                <w:lang w:eastAsia="en-AU"/>
              </w:rPr>
              <w:t>Moving To Our Future</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22,300</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600</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15,731</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5,969</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Pr>
                <w:rFonts w:cs="Calibri"/>
                <w:bCs/>
                <w:sz w:val="18"/>
                <w:szCs w:val="18"/>
              </w:rPr>
              <w:t>Sep 2014</w:t>
            </w:r>
          </w:p>
        </w:tc>
      </w:tr>
      <w:tr w:rsidR="003401C3" w:rsidRPr="00173793" w:rsidTr="00806D5A">
        <w:trPr>
          <w:gridAfter w:val="1"/>
          <w:wAfter w:w="36" w:type="dxa"/>
          <w:trHeight w:val="227"/>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173793">
              <w:rPr>
                <w:rFonts w:cs="Calibri"/>
                <w:sz w:val="18"/>
                <w:szCs w:val="18"/>
                <w:lang w:eastAsia="en-AU"/>
              </w:rPr>
              <w:t>Health Infrastructure Program</w:t>
            </w:r>
            <w:r w:rsidR="005703F4" w:rsidRPr="005703F4">
              <w:rPr>
                <w:rFonts w:cs="Calibri"/>
                <w:sz w:val="18"/>
                <w:szCs w:val="18"/>
                <w:lang w:eastAsia="en-AU"/>
              </w:rPr>
              <w:t xml:space="preserve"> </w:t>
            </w:r>
            <w:r w:rsidR="005C519C" w:rsidRPr="005E58BC">
              <w:rPr>
                <w:sz w:val="18"/>
                <w:szCs w:val="18"/>
                <w:lang w:eastAsia="en-AU"/>
              </w:rPr>
              <w:t>–</w:t>
            </w:r>
            <w:r w:rsidR="005703F4" w:rsidRPr="005703F4">
              <w:rPr>
                <w:rFonts w:cs="Calibri"/>
                <w:sz w:val="18"/>
                <w:szCs w:val="18"/>
                <w:lang w:eastAsia="en-AU"/>
              </w:rPr>
              <w:t xml:space="preserve"> </w:t>
            </w:r>
            <w:r w:rsidRPr="00173793">
              <w:rPr>
                <w:rFonts w:cs="Calibri"/>
                <w:sz w:val="18"/>
                <w:szCs w:val="18"/>
                <w:lang w:eastAsia="en-AU"/>
              </w:rPr>
              <w:t>Project Management</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19,319</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2,675</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6,800</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9,844</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Pr>
                <w:rFonts w:cs="Calibri"/>
                <w:bCs/>
                <w:sz w:val="18"/>
                <w:szCs w:val="18"/>
              </w:rPr>
              <w:t>Dec 2014</w:t>
            </w:r>
          </w:p>
        </w:tc>
      </w:tr>
      <w:tr w:rsidR="003401C3" w:rsidRPr="00173793" w:rsidTr="00806D5A">
        <w:trPr>
          <w:gridAfter w:val="1"/>
          <w:wAfter w:w="36" w:type="dxa"/>
          <w:trHeight w:val="227"/>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173793">
              <w:rPr>
                <w:rFonts w:cs="Calibri"/>
                <w:sz w:val="18"/>
                <w:szCs w:val="18"/>
                <w:lang w:eastAsia="en-AU"/>
              </w:rPr>
              <w:t>Enhanced Community Centre Back Up Power</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3,540</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1,500</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2,040</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Jun 2014</w:t>
            </w:r>
          </w:p>
        </w:tc>
      </w:tr>
      <w:tr w:rsidR="003401C3" w:rsidRPr="00173793" w:rsidTr="00806D5A">
        <w:trPr>
          <w:gridAfter w:val="1"/>
          <w:wAfter w:w="36" w:type="dxa"/>
          <w:trHeight w:val="227"/>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173793">
              <w:rPr>
                <w:rFonts w:cs="Calibri"/>
                <w:sz w:val="18"/>
                <w:szCs w:val="18"/>
                <w:lang w:eastAsia="en-AU"/>
              </w:rPr>
              <w:t>Staging, Decanting and Continuity of Services</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19,430</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4,576</w:t>
            </w:r>
          </w:p>
        </w:tc>
        <w:tc>
          <w:tcPr>
            <w:tcW w:w="1040" w:type="dxa"/>
            <w:noWrap/>
            <w:tcMar>
              <w:top w:w="17" w:type="dxa"/>
              <w:left w:w="17" w:type="dxa"/>
              <w:bottom w:w="0" w:type="dxa"/>
              <w:right w:w="17" w:type="dxa"/>
            </w:tcMar>
          </w:tcPr>
          <w:p w:rsidR="003401C3" w:rsidRPr="00173793" w:rsidRDefault="003401C3" w:rsidP="00806D5A">
            <w:pPr>
              <w:jc w:val="right"/>
              <w:rPr>
                <w:color w:val="000000"/>
                <w:sz w:val="18"/>
                <w:szCs w:val="18"/>
              </w:rPr>
            </w:pPr>
            <w:r w:rsidRPr="00173793">
              <w:rPr>
                <w:color w:val="000000"/>
                <w:sz w:val="18"/>
                <w:szCs w:val="18"/>
              </w:rPr>
              <w:t>9,196</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5,658</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Pr>
                <w:rFonts w:cs="Calibri"/>
                <w:bCs/>
                <w:sz w:val="18"/>
                <w:szCs w:val="18"/>
              </w:rPr>
              <w:t>Dec 2014</w:t>
            </w:r>
          </w:p>
        </w:tc>
      </w:tr>
      <w:tr w:rsidR="003401C3" w:rsidRPr="006361C7" w:rsidTr="00806D5A">
        <w:trPr>
          <w:gridAfter w:val="1"/>
          <w:wAfter w:w="36" w:type="dxa"/>
          <w:trHeight w:val="227"/>
        </w:trPr>
        <w:tc>
          <w:tcPr>
            <w:tcW w:w="3063" w:type="dxa"/>
            <w:noWrap/>
            <w:tcMar>
              <w:top w:w="0" w:type="dxa"/>
              <w:left w:w="17" w:type="dxa"/>
              <w:bottom w:w="0" w:type="dxa"/>
              <w:right w:w="17" w:type="dxa"/>
            </w:tcMar>
          </w:tcPr>
          <w:p w:rsidR="003401C3" w:rsidRPr="006361C7" w:rsidRDefault="003401C3" w:rsidP="00806D5A">
            <w:pPr>
              <w:ind w:left="142" w:hanging="142"/>
              <w:rPr>
                <w:rFonts w:cs="Calibri"/>
                <w:sz w:val="18"/>
                <w:szCs w:val="18"/>
                <w:lang w:eastAsia="en-AU"/>
              </w:rPr>
            </w:pPr>
            <w:r w:rsidRPr="006361C7">
              <w:rPr>
                <w:rFonts w:cs="Calibri"/>
                <w:sz w:val="18"/>
                <w:szCs w:val="18"/>
                <w:lang w:eastAsia="en-AU"/>
              </w:rPr>
              <w:t>Clinical Services Redevelopment</w:t>
            </w:r>
            <w:r w:rsidRPr="006361C7">
              <w:rPr>
                <w:rFonts w:cs="Calibri"/>
                <w:sz w:val="18"/>
                <w:szCs w:val="18"/>
                <w:lang w:eastAsia="en-AU"/>
              </w:rPr>
              <w:br/>
            </w:r>
            <w:r w:rsidR="005C519C" w:rsidRPr="005E58BC">
              <w:rPr>
                <w:sz w:val="18"/>
                <w:szCs w:val="18"/>
                <w:lang w:eastAsia="en-AU"/>
              </w:rPr>
              <w:t>–</w:t>
            </w:r>
            <w:r w:rsidR="005703F4" w:rsidRPr="005703F4">
              <w:rPr>
                <w:rFonts w:cs="Calibri"/>
                <w:sz w:val="18"/>
                <w:szCs w:val="18"/>
                <w:lang w:eastAsia="en-AU"/>
              </w:rPr>
              <w:t xml:space="preserve"> </w:t>
            </w:r>
            <w:r w:rsidRPr="006361C7">
              <w:rPr>
                <w:rFonts w:cs="Calibri"/>
                <w:sz w:val="18"/>
                <w:szCs w:val="18"/>
                <w:lang w:eastAsia="en-AU"/>
              </w:rPr>
              <w:t>Phase 2</w:t>
            </w:r>
            <w:r w:rsidR="002606BB">
              <w:rPr>
                <w:rFonts w:cs="Calibri"/>
                <w:sz w:val="18"/>
                <w:szCs w:val="18"/>
                <w:vertAlign w:val="superscript"/>
                <w:lang w:eastAsia="en-AU"/>
              </w:rPr>
              <w:t>2</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Pr>
                <w:rFonts w:cs="Calibri"/>
                <w:bCs/>
                <w:sz w:val="18"/>
                <w:szCs w:val="18"/>
              </w:rPr>
              <w:t>8,850</w:t>
            </w:r>
          </w:p>
        </w:tc>
        <w:tc>
          <w:tcPr>
            <w:tcW w:w="1040" w:type="dxa"/>
            <w:noWrap/>
            <w:tcMar>
              <w:top w:w="17" w:type="dxa"/>
              <w:left w:w="17" w:type="dxa"/>
              <w:bottom w:w="0" w:type="dxa"/>
              <w:right w:w="17" w:type="dxa"/>
            </w:tcMar>
          </w:tcPr>
          <w:p w:rsidR="003401C3" w:rsidRPr="006361C7" w:rsidRDefault="003401C3" w:rsidP="00806D5A">
            <w:pPr>
              <w:jc w:val="right"/>
              <w:rPr>
                <w:color w:val="000000"/>
                <w:sz w:val="18"/>
                <w:szCs w:val="18"/>
              </w:rPr>
            </w:pPr>
            <w:r>
              <w:rPr>
                <w:color w:val="000000"/>
                <w:sz w:val="18"/>
                <w:szCs w:val="18"/>
              </w:rPr>
              <w:t>8,552</w:t>
            </w:r>
          </w:p>
        </w:tc>
        <w:tc>
          <w:tcPr>
            <w:tcW w:w="1040" w:type="dxa"/>
            <w:noWrap/>
            <w:tcMar>
              <w:top w:w="17" w:type="dxa"/>
              <w:left w:w="17" w:type="dxa"/>
              <w:bottom w:w="0" w:type="dxa"/>
              <w:right w:w="17" w:type="dxa"/>
            </w:tcMar>
          </w:tcPr>
          <w:p w:rsidR="003401C3" w:rsidRPr="006361C7" w:rsidRDefault="003401C3" w:rsidP="00806D5A">
            <w:pPr>
              <w:jc w:val="right"/>
              <w:rPr>
                <w:color w:val="000000"/>
                <w:sz w:val="18"/>
                <w:szCs w:val="18"/>
              </w:rPr>
            </w:pPr>
            <w:r w:rsidRPr="006361C7">
              <w:rPr>
                <w:color w:val="000000"/>
                <w:sz w:val="18"/>
                <w:szCs w:val="18"/>
              </w:rPr>
              <w:t>298</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 </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 </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Jun 2013</w:t>
            </w:r>
          </w:p>
        </w:tc>
      </w:tr>
      <w:tr w:rsidR="003401C3" w:rsidRPr="006361C7" w:rsidTr="00806D5A">
        <w:trPr>
          <w:gridAfter w:val="1"/>
          <w:wAfter w:w="36" w:type="dxa"/>
          <w:trHeight w:val="227"/>
        </w:trPr>
        <w:tc>
          <w:tcPr>
            <w:tcW w:w="3063" w:type="dxa"/>
            <w:noWrap/>
            <w:tcMar>
              <w:top w:w="0" w:type="dxa"/>
              <w:left w:w="17" w:type="dxa"/>
              <w:bottom w:w="0" w:type="dxa"/>
              <w:right w:w="17" w:type="dxa"/>
            </w:tcMar>
          </w:tcPr>
          <w:p w:rsidR="003401C3" w:rsidRPr="006361C7" w:rsidRDefault="003401C3" w:rsidP="00806D5A">
            <w:pPr>
              <w:ind w:left="142" w:hanging="142"/>
              <w:rPr>
                <w:rFonts w:cs="Calibri"/>
                <w:sz w:val="18"/>
                <w:szCs w:val="18"/>
                <w:lang w:eastAsia="en-AU"/>
              </w:rPr>
            </w:pPr>
            <w:r w:rsidRPr="006361C7">
              <w:rPr>
                <w:rFonts w:cs="Calibri"/>
                <w:sz w:val="18"/>
                <w:szCs w:val="18"/>
                <w:lang w:eastAsia="en-AU"/>
              </w:rPr>
              <w:t>Clinical Services Redevelopment</w:t>
            </w:r>
            <w:r w:rsidRPr="006361C7">
              <w:rPr>
                <w:rFonts w:cs="Calibri"/>
                <w:sz w:val="18"/>
                <w:szCs w:val="18"/>
                <w:lang w:eastAsia="en-AU"/>
              </w:rPr>
              <w:br/>
            </w:r>
            <w:r w:rsidR="005C519C" w:rsidRPr="005E58BC">
              <w:rPr>
                <w:sz w:val="18"/>
                <w:szCs w:val="18"/>
                <w:lang w:eastAsia="en-AU"/>
              </w:rPr>
              <w:t>–</w:t>
            </w:r>
            <w:r w:rsidR="005703F4" w:rsidRPr="005703F4">
              <w:rPr>
                <w:rFonts w:cs="Calibri"/>
                <w:sz w:val="18"/>
                <w:szCs w:val="18"/>
                <w:lang w:eastAsia="en-AU"/>
              </w:rPr>
              <w:t xml:space="preserve"> </w:t>
            </w:r>
            <w:r w:rsidRPr="006361C7">
              <w:rPr>
                <w:rFonts w:cs="Calibri"/>
                <w:sz w:val="18"/>
                <w:szCs w:val="18"/>
                <w:lang w:eastAsia="en-AU"/>
              </w:rPr>
              <w:t>Phase 3</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21,800</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4,948</w:t>
            </w:r>
          </w:p>
        </w:tc>
        <w:tc>
          <w:tcPr>
            <w:tcW w:w="1040" w:type="dxa"/>
            <w:noWrap/>
            <w:tcMar>
              <w:top w:w="17" w:type="dxa"/>
              <w:left w:w="17" w:type="dxa"/>
              <w:bottom w:w="0" w:type="dxa"/>
              <w:right w:w="17" w:type="dxa"/>
            </w:tcMar>
          </w:tcPr>
          <w:p w:rsidR="003401C3" w:rsidRPr="006361C7" w:rsidRDefault="003401C3" w:rsidP="00806D5A">
            <w:pPr>
              <w:jc w:val="right"/>
              <w:rPr>
                <w:color w:val="000000"/>
                <w:sz w:val="18"/>
                <w:szCs w:val="18"/>
              </w:rPr>
            </w:pPr>
            <w:r w:rsidRPr="006361C7">
              <w:rPr>
                <w:color w:val="000000"/>
                <w:sz w:val="18"/>
                <w:szCs w:val="18"/>
              </w:rPr>
              <w:t>13,860</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2,992</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 </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Pr>
                <w:rFonts w:cs="Calibri"/>
                <w:bCs/>
                <w:sz w:val="18"/>
                <w:szCs w:val="18"/>
              </w:rPr>
              <w:t>Dec 2014</w:t>
            </w:r>
          </w:p>
        </w:tc>
      </w:tr>
      <w:tr w:rsidR="003401C3" w:rsidRPr="00173793" w:rsidTr="00806D5A">
        <w:trPr>
          <w:gridAfter w:val="1"/>
          <w:wAfter w:w="36" w:type="dxa"/>
          <w:trHeight w:val="227"/>
        </w:trPr>
        <w:tc>
          <w:tcPr>
            <w:tcW w:w="3063" w:type="dxa"/>
            <w:noWrap/>
            <w:tcMar>
              <w:top w:w="0" w:type="dxa"/>
              <w:left w:w="17" w:type="dxa"/>
              <w:bottom w:w="0" w:type="dxa"/>
              <w:right w:w="17" w:type="dxa"/>
            </w:tcMar>
          </w:tcPr>
          <w:p w:rsidR="003401C3" w:rsidRPr="006361C7" w:rsidRDefault="003401C3" w:rsidP="005703F4">
            <w:pPr>
              <w:ind w:left="142" w:hanging="142"/>
              <w:rPr>
                <w:rFonts w:cs="Calibri"/>
                <w:sz w:val="18"/>
                <w:szCs w:val="18"/>
                <w:lang w:eastAsia="en-AU"/>
              </w:rPr>
            </w:pPr>
            <w:r w:rsidRPr="006361C7">
              <w:rPr>
                <w:rFonts w:cs="Calibri"/>
                <w:sz w:val="18"/>
                <w:szCs w:val="18"/>
                <w:lang w:eastAsia="en-AU"/>
              </w:rPr>
              <w:t>Integrated Cancer Centre</w:t>
            </w:r>
            <w:r w:rsidR="005703F4" w:rsidRPr="005703F4">
              <w:rPr>
                <w:rFonts w:cs="Calibri"/>
                <w:sz w:val="18"/>
                <w:szCs w:val="18"/>
                <w:lang w:eastAsia="en-AU"/>
              </w:rPr>
              <w:t xml:space="preserve"> </w:t>
            </w:r>
            <w:r w:rsidR="005C519C" w:rsidRPr="005E58BC">
              <w:rPr>
                <w:sz w:val="18"/>
                <w:szCs w:val="18"/>
                <w:lang w:eastAsia="en-AU"/>
              </w:rPr>
              <w:t>–</w:t>
            </w:r>
            <w:r w:rsidR="005703F4" w:rsidRPr="005703F4">
              <w:rPr>
                <w:rFonts w:cs="Calibri"/>
                <w:sz w:val="18"/>
                <w:szCs w:val="18"/>
                <w:lang w:eastAsia="en-AU"/>
              </w:rPr>
              <w:t xml:space="preserve"> </w:t>
            </w:r>
            <w:r w:rsidRPr="006361C7">
              <w:rPr>
                <w:rFonts w:cs="Calibri"/>
                <w:sz w:val="18"/>
                <w:szCs w:val="18"/>
                <w:lang w:eastAsia="en-AU"/>
              </w:rPr>
              <w:t>Phase 2</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15,102</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2,102</w:t>
            </w:r>
          </w:p>
        </w:tc>
        <w:tc>
          <w:tcPr>
            <w:tcW w:w="1040" w:type="dxa"/>
            <w:noWrap/>
            <w:tcMar>
              <w:top w:w="17" w:type="dxa"/>
              <w:left w:w="17" w:type="dxa"/>
              <w:bottom w:w="0" w:type="dxa"/>
              <w:right w:w="17" w:type="dxa"/>
            </w:tcMar>
          </w:tcPr>
          <w:p w:rsidR="003401C3" w:rsidRPr="006361C7" w:rsidRDefault="003401C3" w:rsidP="00806D5A">
            <w:pPr>
              <w:jc w:val="right"/>
              <w:rPr>
                <w:color w:val="000000"/>
                <w:sz w:val="18"/>
                <w:szCs w:val="18"/>
              </w:rPr>
            </w:pPr>
            <w:r w:rsidRPr="006361C7">
              <w:rPr>
                <w:color w:val="000000"/>
                <w:sz w:val="18"/>
                <w:szCs w:val="18"/>
              </w:rPr>
              <w:t>13,000</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 </w:t>
            </w:r>
          </w:p>
        </w:tc>
        <w:tc>
          <w:tcPr>
            <w:tcW w:w="1040" w:type="dxa"/>
            <w:noWrap/>
            <w:tcMar>
              <w:top w:w="17" w:type="dxa"/>
              <w:left w:w="17" w:type="dxa"/>
              <w:bottom w:w="0" w:type="dxa"/>
              <w:right w:w="17" w:type="dxa"/>
            </w:tcMar>
          </w:tcPr>
          <w:p w:rsidR="003401C3" w:rsidRPr="006361C7" w:rsidRDefault="003401C3" w:rsidP="00806D5A">
            <w:pPr>
              <w:jc w:val="right"/>
              <w:rPr>
                <w:rFonts w:cs="Calibri"/>
                <w:bCs/>
                <w:sz w:val="18"/>
                <w:szCs w:val="18"/>
              </w:rPr>
            </w:pPr>
            <w:r w:rsidRPr="006361C7">
              <w:rPr>
                <w:rFonts w:cs="Calibri"/>
                <w:bCs/>
                <w:sz w:val="18"/>
                <w:szCs w:val="18"/>
              </w:rPr>
              <w:t>- </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6361C7">
              <w:rPr>
                <w:rFonts w:cs="Calibri"/>
                <w:bCs/>
                <w:sz w:val="18"/>
                <w:szCs w:val="18"/>
              </w:rPr>
              <w:t>Sep 2013</w:t>
            </w:r>
          </w:p>
        </w:tc>
      </w:tr>
      <w:tr w:rsidR="003401C3" w:rsidRPr="00173793" w:rsidTr="00806D5A">
        <w:trPr>
          <w:gridAfter w:val="1"/>
          <w:wAfter w:w="36" w:type="dxa"/>
          <w:trHeight w:val="227"/>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173793">
              <w:rPr>
                <w:rFonts w:cs="Calibri"/>
                <w:sz w:val="18"/>
                <w:szCs w:val="18"/>
                <w:lang w:eastAsia="en-AU"/>
              </w:rPr>
              <w:t>Central Sterilising Services</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17,270</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423</w:t>
            </w: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r w:rsidRPr="00173793">
              <w:rPr>
                <w:color w:val="000000"/>
                <w:sz w:val="18"/>
                <w:szCs w:val="18"/>
              </w:rPr>
              <w:t>3,548</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13,299</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Apr 201</w:t>
            </w:r>
            <w:r>
              <w:rPr>
                <w:rFonts w:cs="Calibri"/>
                <w:bCs/>
                <w:sz w:val="18"/>
                <w:szCs w:val="18"/>
              </w:rPr>
              <w:t>5</w:t>
            </w:r>
          </w:p>
        </w:tc>
      </w:tr>
      <w:tr w:rsidR="003401C3" w:rsidRPr="00173793" w:rsidTr="00806D5A">
        <w:trPr>
          <w:gridAfter w:val="1"/>
          <w:wAfter w:w="36" w:type="dxa"/>
          <w:trHeight w:val="227"/>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proofErr w:type="spellStart"/>
            <w:r w:rsidRPr="00173793">
              <w:rPr>
                <w:rFonts w:cs="Calibri"/>
                <w:sz w:val="18"/>
                <w:szCs w:val="18"/>
                <w:lang w:eastAsia="en-AU"/>
              </w:rPr>
              <w:t>Northside</w:t>
            </w:r>
            <w:proofErr w:type="spellEnd"/>
            <w:r w:rsidRPr="00173793">
              <w:rPr>
                <w:rFonts w:cs="Calibri"/>
                <w:sz w:val="18"/>
                <w:szCs w:val="18"/>
                <w:lang w:eastAsia="en-AU"/>
              </w:rPr>
              <w:t xml:space="preserve"> Hospital Specification and Documentation</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4,000</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879</w:t>
            </w: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r w:rsidRPr="00173793">
              <w:rPr>
                <w:color w:val="000000"/>
                <w:sz w:val="18"/>
                <w:szCs w:val="18"/>
              </w:rPr>
              <w:t>3,121</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Pr>
                <w:rFonts w:cs="Calibri"/>
                <w:bCs/>
                <w:sz w:val="18"/>
                <w:szCs w:val="18"/>
              </w:rPr>
              <w:t>Jun 2014</w:t>
            </w:r>
          </w:p>
        </w:tc>
      </w:tr>
      <w:tr w:rsidR="003401C3" w:rsidRPr="00173793" w:rsidTr="00806D5A">
        <w:trPr>
          <w:gridAfter w:val="1"/>
          <w:wAfter w:w="36" w:type="dxa"/>
          <w:trHeight w:val="227"/>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173793">
              <w:rPr>
                <w:rFonts w:cs="Calibri"/>
                <w:sz w:val="18"/>
                <w:szCs w:val="18"/>
                <w:lang w:eastAsia="en-AU"/>
              </w:rPr>
              <w:t>Tuggeranong Health Centre</w:t>
            </w:r>
            <w:r w:rsidR="005703F4" w:rsidRPr="00C85A73">
              <w:rPr>
                <w:sz w:val="18"/>
                <w:szCs w:val="18"/>
                <w:lang w:eastAsia="en-AU"/>
              </w:rPr>
              <w:t xml:space="preserve"> </w:t>
            </w:r>
            <w:r w:rsidR="005C519C" w:rsidRPr="005E58BC">
              <w:rPr>
                <w:sz w:val="18"/>
                <w:szCs w:val="18"/>
                <w:lang w:eastAsia="en-AU"/>
              </w:rPr>
              <w:t>–</w:t>
            </w:r>
            <w:r w:rsidR="005703F4" w:rsidRPr="00C85A73">
              <w:rPr>
                <w:sz w:val="18"/>
                <w:szCs w:val="18"/>
                <w:lang w:eastAsia="en-AU"/>
              </w:rPr>
              <w:t xml:space="preserve"> </w:t>
            </w:r>
            <w:r w:rsidRPr="00173793">
              <w:rPr>
                <w:rFonts w:cs="Calibri"/>
                <w:sz w:val="18"/>
                <w:szCs w:val="18"/>
                <w:lang w:eastAsia="en-AU"/>
              </w:rPr>
              <w:t>Stage 2</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14,000</w:t>
            </w:r>
          </w:p>
        </w:tc>
        <w:tc>
          <w:tcPr>
            <w:tcW w:w="1040" w:type="dxa"/>
            <w:noWrap/>
            <w:tcMar>
              <w:top w:w="17" w:type="dxa"/>
              <w:left w:w="17" w:type="dxa"/>
              <w:bottom w:w="0" w:type="dxa"/>
              <w:right w:w="17" w:type="dxa"/>
            </w:tcMar>
          </w:tcPr>
          <w:p w:rsidR="003401C3" w:rsidRPr="00173793" w:rsidRDefault="003401C3" w:rsidP="00806D5A">
            <w:pPr>
              <w:jc w:val="right"/>
              <w:rPr>
                <w:color w:val="000000"/>
                <w:sz w:val="18"/>
                <w:szCs w:val="18"/>
              </w:rPr>
            </w:pPr>
            <w:r w:rsidRPr="00173793">
              <w:rPr>
                <w:color w:val="000000"/>
                <w:sz w:val="18"/>
                <w:szCs w:val="18"/>
              </w:rPr>
              <w:t>2,606</w:t>
            </w:r>
          </w:p>
        </w:tc>
        <w:tc>
          <w:tcPr>
            <w:tcW w:w="1040" w:type="dxa"/>
            <w:noWrap/>
            <w:tcMar>
              <w:top w:w="17" w:type="dxa"/>
              <w:left w:w="17" w:type="dxa"/>
              <w:bottom w:w="0" w:type="dxa"/>
              <w:right w:w="17" w:type="dxa"/>
            </w:tcMar>
          </w:tcPr>
          <w:p w:rsidR="003401C3" w:rsidRPr="00173793" w:rsidRDefault="003401C3" w:rsidP="00806D5A">
            <w:pPr>
              <w:jc w:val="right"/>
              <w:rPr>
                <w:color w:val="000000"/>
                <w:sz w:val="18"/>
                <w:szCs w:val="18"/>
              </w:rPr>
            </w:pPr>
            <w:r w:rsidRPr="00173793">
              <w:rPr>
                <w:color w:val="000000"/>
                <w:sz w:val="18"/>
                <w:szCs w:val="18"/>
              </w:rPr>
              <w:t>8,994</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2,400</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Pr>
                <w:rFonts w:cs="Calibri"/>
                <w:bCs/>
                <w:sz w:val="18"/>
                <w:szCs w:val="18"/>
              </w:rPr>
              <w:t>Jun</w:t>
            </w:r>
            <w:r w:rsidRPr="00173793">
              <w:rPr>
                <w:rFonts w:cs="Calibri"/>
                <w:bCs/>
                <w:sz w:val="18"/>
                <w:szCs w:val="18"/>
              </w:rPr>
              <w:t xml:space="preserve"> 2014</w:t>
            </w:r>
          </w:p>
        </w:tc>
      </w:tr>
      <w:tr w:rsidR="003401C3" w:rsidRPr="00173793" w:rsidTr="00806D5A">
        <w:trPr>
          <w:gridAfter w:val="1"/>
          <w:wAfter w:w="36" w:type="dxa"/>
          <w:trHeight w:val="227"/>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173793">
              <w:rPr>
                <w:rFonts w:cs="Calibri"/>
                <w:sz w:val="18"/>
                <w:szCs w:val="18"/>
                <w:lang w:eastAsia="en-AU"/>
              </w:rPr>
              <w:t>HIP Change Management and Communication Support</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4,117</w:t>
            </w:r>
          </w:p>
        </w:tc>
        <w:tc>
          <w:tcPr>
            <w:tcW w:w="1040" w:type="dxa"/>
            <w:noWrap/>
            <w:tcMar>
              <w:top w:w="17" w:type="dxa"/>
              <w:left w:w="17" w:type="dxa"/>
              <w:bottom w:w="0" w:type="dxa"/>
              <w:right w:w="17" w:type="dxa"/>
            </w:tcMar>
          </w:tcPr>
          <w:p w:rsidR="003401C3" w:rsidRPr="00173793" w:rsidRDefault="003401C3" w:rsidP="00806D5A">
            <w:pPr>
              <w:jc w:val="right"/>
              <w:rPr>
                <w:color w:val="000000"/>
                <w:sz w:val="18"/>
                <w:szCs w:val="18"/>
              </w:rPr>
            </w:pPr>
            <w:r w:rsidRPr="00173793">
              <w:rPr>
                <w:color w:val="000000"/>
                <w:sz w:val="18"/>
                <w:szCs w:val="18"/>
              </w:rPr>
              <w:t>3,017</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1,100</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 </w:t>
            </w:r>
          </w:p>
        </w:tc>
        <w:tc>
          <w:tcPr>
            <w:tcW w:w="1040" w:type="dxa"/>
            <w:shd w:val="clear" w:color="auto" w:fill="FFFFFF"/>
            <w:noWrap/>
            <w:tcMar>
              <w:top w:w="17" w:type="dxa"/>
              <w:left w:w="17" w:type="dxa"/>
              <w:bottom w:w="0" w:type="dxa"/>
              <w:right w:w="17" w:type="dxa"/>
            </w:tcMar>
          </w:tcPr>
          <w:p w:rsidR="003401C3" w:rsidRPr="00173793" w:rsidRDefault="003401C3" w:rsidP="00806D5A">
            <w:pPr>
              <w:jc w:val="right"/>
              <w:rPr>
                <w:rFonts w:cs="Calibri"/>
                <w:bCs/>
                <w:sz w:val="18"/>
                <w:szCs w:val="18"/>
              </w:rPr>
            </w:pPr>
            <w:r w:rsidRPr="00173793">
              <w:rPr>
                <w:rFonts w:cs="Calibri"/>
                <w:bCs/>
                <w:sz w:val="18"/>
                <w:szCs w:val="18"/>
              </w:rPr>
              <w:t>Jun 2014</w:t>
            </w:r>
          </w:p>
        </w:tc>
      </w:tr>
      <w:tr w:rsidR="003401C3" w:rsidRPr="00173793" w:rsidTr="003401C3">
        <w:trPr>
          <w:gridAfter w:val="1"/>
          <w:wAfter w:w="36" w:type="dxa"/>
          <w:trHeight w:val="227"/>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173793">
              <w:rPr>
                <w:rFonts w:cs="Calibri"/>
                <w:sz w:val="18"/>
                <w:szCs w:val="18"/>
                <w:lang w:eastAsia="en-AU"/>
              </w:rPr>
              <w:t xml:space="preserve">Enhanced Community Health Centre </w:t>
            </w:r>
            <w:r w:rsidRPr="00173793">
              <w:rPr>
                <w:rFonts w:cs="Calibri"/>
                <w:sz w:val="18"/>
                <w:szCs w:val="18"/>
                <w:lang w:eastAsia="en-AU"/>
              </w:rPr>
              <w:br/>
            </w:r>
            <w:r w:rsidR="005C519C" w:rsidRPr="005E58BC">
              <w:rPr>
                <w:sz w:val="18"/>
                <w:szCs w:val="18"/>
                <w:lang w:eastAsia="en-AU"/>
              </w:rPr>
              <w:t>–</w:t>
            </w:r>
            <w:r w:rsidR="005703F4" w:rsidRPr="00C85A73">
              <w:rPr>
                <w:sz w:val="18"/>
                <w:szCs w:val="18"/>
                <w:lang w:eastAsia="en-AU"/>
              </w:rPr>
              <w:t xml:space="preserve"> </w:t>
            </w:r>
            <w:r w:rsidRPr="00173793">
              <w:rPr>
                <w:rFonts w:cs="Calibri"/>
                <w:sz w:val="18"/>
                <w:szCs w:val="18"/>
                <w:lang w:eastAsia="en-AU"/>
              </w:rPr>
              <w:t>Belconnen</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sidRPr="00173793">
              <w:rPr>
                <w:rFonts w:cs="Calibri"/>
                <w:sz w:val="18"/>
                <w:szCs w:val="18"/>
              </w:rPr>
              <w:t>51,344</w:t>
            </w: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r w:rsidRPr="00173793">
              <w:rPr>
                <w:color w:val="000000"/>
                <w:sz w:val="18"/>
                <w:szCs w:val="18"/>
              </w:rPr>
              <w:t>31,173</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sidRPr="00173793">
              <w:rPr>
                <w:rFonts w:cs="Calibri"/>
                <w:sz w:val="18"/>
                <w:szCs w:val="18"/>
              </w:rPr>
              <w:t>20,171</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sidRPr="00173793">
              <w:rPr>
                <w:rFonts w:cs="Calibri"/>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sidRPr="00173793">
              <w:rPr>
                <w:rFonts w:cs="Calibri"/>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r>
              <w:rPr>
                <w:rFonts w:cs="Calibri"/>
                <w:bCs/>
                <w:sz w:val="18"/>
                <w:szCs w:val="18"/>
              </w:rPr>
              <w:t>Sep</w:t>
            </w:r>
            <w:r w:rsidRPr="00173793">
              <w:rPr>
                <w:rFonts w:cs="Calibri"/>
                <w:bCs/>
                <w:sz w:val="18"/>
                <w:szCs w:val="18"/>
              </w:rPr>
              <w:t xml:space="preserve"> 2013</w:t>
            </w:r>
          </w:p>
        </w:tc>
      </w:tr>
      <w:tr w:rsidR="003401C3" w:rsidRPr="00667033" w:rsidTr="005C519C">
        <w:trPr>
          <w:gridAfter w:val="1"/>
          <w:wAfter w:w="36" w:type="dxa"/>
          <w:trHeight w:val="227"/>
        </w:trPr>
        <w:tc>
          <w:tcPr>
            <w:tcW w:w="3063" w:type="dxa"/>
            <w:noWrap/>
            <w:tcMar>
              <w:top w:w="0" w:type="dxa"/>
              <w:left w:w="17" w:type="dxa"/>
              <w:bottom w:w="0" w:type="dxa"/>
              <w:right w:w="17" w:type="dxa"/>
            </w:tcMar>
          </w:tcPr>
          <w:p w:rsidR="003401C3" w:rsidRPr="00C65DB2" w:rsidRDefault="003401C3" w:rsidP="00806D5A">
            <w:pPr>
              <w:ind w:left="142" w:hanging="142"/>
              <w:rPr>
                <w:rFonts w:cs="Calibri"/>
                <w:sz w:val="18"/>
                <w:szCs w:val="18"/>
                <w:lang w:eastAsia="en-AU"/>
              </w:rPr>
            </w:pPr>
            <w:r w:rsidRPr="00C65DB2">
              <w:rPr>
                <w:rFonts w:cs="Calibri"/>
                <w:sz w:val="18"/>
                <w:szCs w:val="18"/>
                <w:lang w:eastAsia="en-AU"/>
              </w:rPr>
              <w:t>Mental Health Young Persons Unit</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775</w:t>
            </w:r>
          </w:p>
        </w:tc>
        <w:tc>
          <w:tcPr>
            <w:tcW w:w="1040" w:type="dxa"/>
            <w:noWrap/>
            <w:tcMar>
              <w:top w:w="0" w:type="dxa"/>
              <w:left w:w="17" w:type="dxa"/>
              <w:bottom w:w="0" w:type="dxa"/>
              <w:right w:w="17" w:type="dxa"/>
            </w:tcMar>
          </w:tcPr>
          <w:p w:rsidR="003401C3" w:rsidRPr="00C65DB2" w:rsidRDefault="003401C3" w:rsidP="00806D5A">
            <w:pPr>
              <w:jc w:val="right"/>
              <w:rPr>
                <w:color w:val="000000"/>
                <w:sz w:val="18"/>
                <w:szCs w:val="18"/>
              </w:rPr>
            </w:pPr>
            <w:r w:rsidRPr="00C65DB2">
              <w:rPr>
                <w:color w:val="000000"/>
                <w:sz w:val="18"/>
                <w:szCs w:val="18"/>
              </w:rPr>
              <w:t>145</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630</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bCs/>
                <w:sz w:val="18"/>
                <w:szCs w:val="18"/>
              </w:rPr>
            </w:pPr>
            <w:r>
              <w:rPr>
                <w:rFonts w:cs="Calibri"/>
                <w:bCs/>
                <w:sz w:val="18"/>
                <w:szCs w:val="18"/>
              </w:rPr>
              <w:t>Nov 2013</w:t>
            </w:r>
          </w:p>
        </w:tc>
      </w:tr>
      <w:tr w:rsidR="005C519C" w:rsidRPr="00667033" w:rsidTr="003401C3">
        <w:trPr>
          <w:gridAfter w:val="1"/>
          <w:wAfter w:w="36" w:type="dxa"/>
          <w:trHeight w:val="227"/>
        </w:trPr>
        <w:tc>
          <w:tcPr>
            <w:tcW w:w="3063" w:type="dxa"/>
            <w:tcBorders>
              <w:bottom w:val="single" w:sz="4" w:space="0" w:color="auto"/>
            </w:tcBorders>
            <w:noWrap/>
            <w:tcMar>
              <w:top w:w="0" w:type="dxa"/>
              <w:left w:w="17" w:type="dxa"/>
              <w:bottom w:w="0" w:type="dxa"/>
              <w:right w:w="17" w:type="dxa"/>
            </w:tcMar>
          </w:tcPr>
          <w:p w:rsidR="005C519C" w:rsidRPr="00C65DB2" w:rsidRDefault="005C519C" w:rsidP="00806D5A">
            <w:pPr>
              <w:ind w:left="142" w:hanging="142"/>
              <w:rPr>
                <w:rFonts w:cs="Calibri"/>
                <w:sz w:val="18"/>
                <w:szCs w:val="18"/>
                <w:lang w:eastAsia="en-AU"/>
              </w:rPr>
            </w:pPr>
          </w:p>
        </w:tc>
        <w:tc>
          <w:tcPr>
            <w:tcW w:w="1040" w:type="dxa"/>
            <w:tcBorders>
              <w:bottom w:val="single" w:sz="4" w:space="0" w:color="auto"/>
            </w:tcBorders>
            <w:noWrap/>
            <w:tcMar>
              <w:top w:w="0" w:type="dxa"/>
              <w:left w:w="17" w:type="dxa"/>
              <w:bottom w:w="0" w:type="dxa"/>
              <w:right w:w="17" w:type="dxa"/>
            </w:tcMar>
          </w:tcPr>
          <w:p w:rsidR="005C519C" w:rsidRPr="00C65DB2" w:rsidRDefault="005C519C" w:rsidP="00806D5A">
            <w:pPr>
              <w:jc w:val="right"/>
              <w:rPr>
                <w:rFonts w:cs="Calibri"/>
                <w:sz w:val="18"/>
                <w:szCs w:val="18"/>
              </w:rPr>
            </w:pPr>
          </w:p>
        </w:tc>
        <w:tc>
          <w:tcPr>
            <w:tcW w:w="1040" w:type="dxa"/>
            <w:tcBorders>
              <w:bottom w:val="single" w:sz="4" w:space="0" w:color="auto"/>
            </w:tcBorders>
            <w:noWrap/>
            <w:tcMar>
              <w:top w:w="0" w:type="dxa"/>
              <w:left w:w="17" w:type="dxa"/>
              <w:bottom w:w="0" w:type="dxa"/>
              <w:right w:w="17" w:type="dxa"/>
            </w:tcMar>
          </w:tcPr>
          <w:p w:rsidR="005C519C" w:rsidRPr="00C65DB2" w:rsidRDefault="005C519C" w:rsidP="00806D5A">
            <w:pPr>
              <w:jc w:val="right"/>
              <w:rPr>
                <w:color w:val="000000"/>
                <w:sz w:val="18"/>
                <w:szCs w:val="18"/>
              </w:rPr>
            </w:pPr>
          </w:p>
        </w:tc>
        <w:tc>
          <w:tcPr>
            <w:tcW w:w="1040" w:type="dxa"/>
            <w:tcBorders>
              <w:bottom w:val="single" w:sz="4" w:space="0" w:color="auto"/>
            </w:tcBorders>
            <w:noWrap/>
            <w:tcMar>
              <w:top w:w="0" w:type="dxa"/>
              <w:left w:w="17" w:type="dxa"/>
              <w:bottom w:w="0" w:type="dxa"/>
              <w:right w:w="17" w:type="dxa"/>
            </w:tcMar>
          </w:tcPr>
          <w:p w:rsidR="005C519C" w:rsidRPr="00C65DB2" w:rsidRDefault="005C519C" w:rsidP="00806D5A">
            <w:pPr>
              <w:jc w:val="right"/>
              <w:rPr>
                <w:rFonts w:cs="Calibri"/>
                <w:sz w:val="18"/>
                <w:szCs w:val="18"/>
              </w:rPr>
            </w:pPr>
          </w:p>
        </w:tc>
        <w:tc>
          <w:tcPr>
            <w:tcW w:w="1040" w:type="dxa"/>
            <w:tcBorders>
              <w:bottom w:val="single" w:sz="4" w:space="0" w:color="auto"/>
            </w:tcBorders>
            <w:noWrap/>
            <w:tcMar>
              <w:top w:w="0" w:type="dxa"/>
              <w:left w:w="17" w:type="dxa"/>
              <w:bottom w:w="0" w:type="dxa"/>
              <w:right w:w="17" w:type="dxa"/>
            </w:tcMar>
          </w:tcPr>
          <w:p w:rsidR="005C519C" w:rsidRPr="00C65DB2" w:rsidRDefault="005C519C" w:rsidP="00806D5A">
            <w:pPr>
              <w:jc w:val="right"/>
              <w:rPr>
                <w:rFonts w:cs="Calibri"/>
                <w:sz w:val="18"/>
                <w:szCs w:val="18"/>
              </w:rPr>
            </w:pPr>
          </w:p>
        </w:tc>
        <w:tc>
          <w:tcPr>
            <w:tcW w:w="1040" w:type="dxa"/>
            <w:tcBorders>
              <w:bottom w:val="single" w:sz="4" w:space="0" w:color="auto"/>
            </w:tcBorders>
            <w:noWrap/>
            <w:tcMar>
              <w:top w:w="0" w:type="dxa"/>
              <w:left w:w="17" w:type="dxa"/>
              <w:bottom w:w="0" w:type="dxa"/>
              <w:right w:w="17" w:type="dxa"/>
            </w:tcMar>
          </w:tcPr>
          <w:p w:rsidR="005C519C" w:rsidRPr="00C65DB2" w:rsidRDefault="005C519C" w:rsidP="00806D5A">
            <w:pPr>
              <w:jc w:val="right"/>
              <w:rPr>
                <w:rFonts w:cs="Calibri"/>
                <w:sz w:val="18"/>
                <w:szCs w:val="18"/>
              </w:rPr>
            </w:pPr>
          </w:p>
        </w:tc>
        <w:tc>
          <w:tcPr>
            <w:tcW w:w="1040" w:type="dxa"/>
            <w:tcBorders>
              <w:bottom w:val="single" w:sz="4" w:space="0" w:color="auto"/>
            </w:tcBorders>
            <w:noWrap/>
            <w:tcMar>
              <w:top w:w="0" w:type="dxa"/>
              <w:left w:w="17" w:type="dxa"/>
              <w:bottom w:w="0" w:type="dxa"/>
              <w:right w:w="17" w:type="dxa"/>
            </w:tcMar>
          </w:tcPr>
          <w:p w:rsidR="005C519C" w:rsidRDefault="005C519C" w:rsidP="00806D5A">
            <w:pPr>
              <w:jc w:val="right"/>
              <w:rPr>
                <w:rFonts w:cs="Calibri"/>
                <w:bCs/>
                <w:sz w:val="18"/>
                <w:szCs w:val="18"/>
              </w:rPr>
            </w:pPr>
          </w:p>
        </w:tc>
      </w:tr>
    </w:tbl>
    <w:p w:rsidR="0075638A" w:rsidRDefault="00ED6FA0" w:rsidP="00ED6FA0">
      <w:pPr>
        <w:pStyle w:val="Heading3"/>
        <w:spacing w:before="0"/>
      </w:pPr>
      <w:r>
        <w:br w:type="page"/>
      </w:r>
    </w:p>
    <w:p w:rsidR="00ED6FA0" w:rsidRDefault="00ED6FA0" w:rsidP="00ED6FA0">
      <w:pPr>
        <w:pStyle w:val="Heading3"/>
        <w:spacing w:before="0"/>
      </w:pPr>
      <w:proofErr w:type="gramStart"/>
      <w:r>
        <w:lastRenderedPageBreak/>
        <w:t>2013-14 Capital Works Program cont.</w:t>
      </w:r>
      <w:proofErr w:type="gramEnd"/>
    </w:p>
    <w:tbl>
      <w:tblPr>
        <w:tblW w:w="9303" w:type="dxa"/>
        <w:tblInd w:w="17" w:type="dxa"/>
        <w:tblLayout w:type="fixed"/>
        <w:tblCellMar>
          <w:left w:w="0" w:type="dxa"/>
          <w:right w:w="0" w:type="dxa"/>
        </w:tblCellMar>
        <w:tblLook w:val="0000"/>
      </w:tblPr>
      <w:tblGrid>
        <w:gridCol w:w="3063"/>
        <w:gridCol w:w="1040"/>
        <w:gridCol w:w="1040"/>
        <w:gridCol w:w="1040"/>
        <w:gridCol w:w="1040"/>
        <w:gridCol w:w="1040"/>
        <w:gridCol w:w="1040"/>
      </w:tblGrid>
      <w:tr w:rsidR="003401C3" w:rsidRPr="00173793" w:rsidTr="00ED6FA0">
        <w:trPr>
          <w:trHeight w:val="227"/>
        </w:trPr>
        <w:tc>
          <w:tcPr>
            <w:tcW w:w="3063" w:type="dxa"/>
            <w:tcBorders>
              <w:top w:val="single" w:sz="4" w:space="0" w:color="auto"/>
            </w:tcBorders>
            <w:noWrap/>
            <w:tcMar>
              <w:top w:w="0" w:type="dxa"/>
              <w:left w:w="17" w:type="dxa"/>
              <w:bottom w:w="0" w:type="dxa"/>
              <w:right w:w="17" w:type="dxa"/>
            </w:tcMar>
          </w:tcPr>
          <w:p w:rsidR="003401C3" w:rsidRPr="00132F6F" w:rsidRDefault="003401C3" w:rsidP="00806D5A">
            <w:pPr>
              <w:keepNext/>
              <w:rPr>
                <w:rFonts w:cs="Calibri"/>
                <w:b/>
                <w:sz w:val="18"/>
                <w:szCs w:val="18"/>
              </w:rPr>
            </w:pPr>
            <w:r w:rsidRPr="00132F6F">
              <w:rPr>
                <w:rFonts w:cs="Calibri"/>
                <w:b/>
                <w:sz w:val="18"/>
                <w:szCs w:val="18"/>
              </w:rPr>
              <w:t> </w:t>
            </w:r>
            <w:r>
              <w:rPr>
                <w:rFonts w:cs="Calibri"/>
                <w:b/>
                <w:sz w:val="18"/>
                <w:szCs w:val="18"/>
              </w:rPr>
              <w:t>Controlled</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Estimated</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Estimated</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2013-14</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2014-15</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2015-16</w:t>
            </w:r>
          </w:p>
        </w:tc>
        <w:tc>
          <w:tcPr>
            <w:tcW w:w="1040" w:type="dxa"/>
            <w:tcBorders>
              <w:top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Physical</w:t>
            </w:r>
          </w:p>
        </w:tc>
      </w:tr>
      <w:tr w:rsidR="003401C3" w:rsidRPr="00173793" w:rsidTr="00ED6FA0">
        <w:trPr>
          <w:trHeight w:val="227"/>
        </w:trPr>
        <w:tc>
          <w:tcPr>
            <w:tcW w:w="3063" w:type="dxa"/>
            <w:noWrap/>
            <w:tcMar>
              <w:top w:w="0" w:type="dxa"/>
              <w:left w:w="17" w:type="dxa"/>
              <w:bottom w:w="0" w:type="dxa"/>
              <w:right w:w="17" w:type="dxa"/>
            </w:tcMar>
          </w:tcPr>
          <w:p w:rsidR="003401C3" w:rsidRPr="00132F6F" w:rsidRDefault="003401C3" w:rsidP="00806D5A">
            <w:pPr>
              <w:keepNext/>
              <w:rPr>
                <w:rFonts w:cs="Calibri"/>
                <w:b/>
                <w:sz w:val="18"/>
                <w:szCs w:val="18"/>
              </w:rPr>
            </w:pPr>
          </w:p>
        </w:tc>
        <w:tc>
          <w:tcPr>
            <w:tcW w:w="1040" w:type="dxa"/>
            <w:noWrap/>
            <w:tcMar>
              <w:top w:w="0" w:type="dxa"/>
              <w:left w:w="17" w:type="dxa"/>
              <w:bottom w:w="0" w:type="dxa"/>
              <w:right w:w="17" w:type="dxa"/>
            </w:tcMar>
          </w:tcPr>
          <w:p w:rsidR="003401C3" w:rsidRDefault="003401C3" w:rsidP="00806D5A">
            <w:pPr>
              <w:keepNext/>
              <w:jc w:val="right"/>
              <w:rPr>
                <w:b/>
                <w:sz w:val="18"/>
                <w:szCs w:val="24"/>
              </w:rPr>
            </w:pPr>
            <w:r>
              <w:rPr>
                <w:b/>
                <w:sz w:val="18"/>
                <w:szCs w:val="24"/>
              </w:rPr>
              <w:t>Total</w:t>
            </w:r>
          </w:p>
        </w:tc>
        <w:tc>
          <w:tcPr>
            <w:tcW w:w="1040" w:type="dxa"/>
            <w:noWrap/>
            <w:tcMar>
              <w:top w:w="0" w:type="dxa"/>
              <w:left w:w="17" w:type="dxa"/>
              <w:bottom w:w="0" w:type="dxa"/>
              <w:right w:w="17" w:type="dxa"/>
            </w:tcMar>
          </w:tcPr>
          <w:p w:rsidR="003401C3" w:rsidRDefault="003401C3" w:rsidP="00806D5A">
            <w:pPr>
              <w:keepNext/>
              <w:jc w:val="right"/>
              <w:rPr>
                <w:b/>
                <w:sz w:val="18"/>
                <w:szCs w:val="24"/>
              </w:rPr>
            </w:pPr>
            <w:r>
              <w:rPr>
                <w:b/>
                <w:sz w:val="18"/>
                <w:szCs w:val="24"/>
              </w:rPr>
              <w:t>Expenditure</w:t>
            </w:r>
          </w:p>
        </w:tc>
        <w:tc>
          <w:tcPr>
            <w:tcW w:w="1040" w:type="dxa"/>
            <w:noWrap/>
            <w:tcMar>
              <w:top w:w="0" w:type="dxa"/>
              <w:left w:w="17" w:type="dxa"/>
              <w:bottom w:w="0" w:type="dxa"/>
              <w:right w:w="17" w:type="dxa"/>
            </w:tcMar>
          </w:tcPr>
          <w:p w:rsidR="003401C3" w:rsidRDefault="003401C3" w:rsidP="00806D5A">
            <w:pPr>
              <w:keepNext/>
              <w:jc w:val="right"/>
              <w:rPr>
                <w:b/>
                <w:sz w:val="18"/>
                <w:szCs w:val="24"/>
              </w:rPr>
            </w:pPr>
            <w:r>
              <w:rPr>
                <w:b/>
                <w:sz w:val="18"/>
                <w:szCs w:val="24"/>
              </w:rPr>
              <w:t>Financing</w:t>
            </w:r>
          </w:p>
        </w:tc>
        <w:tc>
          <w:tcPr>
            <w:tcW w:w="1040" w:type="dxa"/>
            <w:noWrap/>
            <w:tcMar>
              <w:top w:w="0" w:type="dxa"/>
              <w:left w:w="17" w:type="dxa"/>
              <w:bottom w:w="0" w:type="dxa"/>
              <w:right w:w="17" w:type="dxa"/>
            </w:tcMar>
          </w:tcPr>
          <w:p w:rsidR="003401C3" w:rsidRDefault="003401C3" w:rsidP="00806D5A">
            <w:pPr>
              <w:keepNext/>
              <w:jc w:val="right"/>
              <w:rPr>
                <w:b/>
                <w:sz w:val="18"/>
                <w:szCs w:val="24"/>
              </w:rPr>
            </w:pPr>
            <w:r>
              <w:rPr>
                <w:b/>
                <w:sz w:val="18"/>
                <w:szCs w:val="24"/>
              </w:rPr>
              <w:t>Financing</w:t>
            </w:r>
          </w:p>
        </w:tc>
        <w:tc>
          <w:tcPr>
            <w:tcW w:w="1040" w:type="dxa"/>
            <w:noWrap/>
            <w:tcMar>
              <w:top w:w="0" w:type="dxa"/>
              <w:left w:w="17" w:type="dxa"/>
              <w:bottom w:w="0" w:type="dxa"/>
              <w:right w:w="17" w:type="dxa"/>
            </w:tcMar>
          </w:tcPr>
          <w:p w:rsidR="003401C3" w:rsidRDefault="003401C3" w:rsidP="00806D5A">
            <w:pPr>
              <w:keepNext/>
              <w:jc w:val="right"/>
              <w:rPr>
                <w:b/>
                <w:sz w:val="18"/>
                <w:szCs w:val="24"/>
              </w:rPr>
            </w:pPr>
            <w:r>
              <w:rPr>
                <w:b/>
                <w:sz w:val="18"/>
                <w:szCs w:val="24"/>
              </w:rPr>
              <w:t>Financing</w:t>
            </w:r>
          </w:p>
        </w:tc>
        <w:tc>
          <w:tcPr>
            <w:tcW w:w="1040" w:type="dxa"/>
            <w:noWrap/>
            <w:tcMar>
              <w:top w:w="0" w:type="dxa"/>
              <w:left w:w="17" w:type="dxa"/>
              <w:bottom w:w="0" w:type="dxa"/>
              <w:right w:w="17" w:type="dxa"/>
            </w:tcMar>
          </w:tcPr>
          <w:p w:rsidR="003401C3" w:rsidRDefault="003401C3" w:rsidP="00806D5A">
            <w:pPr>
              <w:keepNext/>
              <w:jc w:val="right"/>
              <w:rPr>
                <w:b/>
                <w:sz w:val="18"/>
                <w:szCs w:val="24"/>
              </w:rPr>
            </w:pPr>
            <w:r>
              <w:rPr>
                <w:b/>
                <w:sz w:val="18"/>
                <w:szCs w:val="24"/>
              </w:rPr>
              <w:t>Completion</w:t>
            </w:r>
          </w:p>
        </w:tc>
      </w:tr>
      <w:tr w:rsidR="003401C3" w:rsidRPr="00173793" w:rsidTr="00ED6FA0">
        <w:trPr>
          <w:trHeight w:val="227"/>
        </w:trPr>
        <w:tc>
          <w:tcPr>
            <w:tcW w:w="3063" w:type="dxa"/>
            <w:noWrap/>
            <w:tcMar>
              <w:top w:w="0" w:type="dxa"/>
              <w:left w:w="17" w:type="dxa"/>
              <w:bottom w:w="0" w:type="dxa"/>
              <w:right w:w="17" w:type="dxa"/>
            </w:tcMar>
          </w:tcPr>
          <w:p w:rsidR="003401C3" w:rsidRPr="00132F6F" w:rsidRDefault="003401C3" w:rsidP="00806D5A">
            <w:pPr>
              <w:keepNext/>
              <w:rPr>
                <w:rFonts w:cs="Calibri"/>
                <w:b/>
                <w:sz w:val="18"/>
                <w:szCs w:val="18"/>
              </w:rPr>
            </w:pPr>
          </w:p>
        </w:tc>
        <w:tc>
          <w:tcPr>
            <w:tcW w:w="1040" w:type="dxa"/>
            <w:noWrap/>
            <w:tcMar>
              <w:top w:w="0" w:type="dxa"/>
              <w:left w:w="17" w:type="dxa"/>
              <w:bottom w:w="0" w:type="dxa"/>
              <w:right w:w="17" w:type="dxa"/>
            </w:tcMar>
          </w:tcPr>
          <w:p w:rsidR="003401C3" w:rsidRDefault="003401C3" w:rsidP="00806D5A">
            <w:pPr>
              <w:keepNext/>
              <w:jc w:val="right"/>
              <w:rPr>
                <w:b/>
                <w:sz w:val="18"/>
                <w:szCs w:val="24"/>
              </w:rPr>
            </w:pPr>
            <w:r>
              <w:rPr>
                <w:b/>
                <w:sz w:val="18"/>
                <w:szCs w:val="24"/>
              </w:rPr>
              <w:t>Cost</w:t>
            </w:r>
          </w:p>
        </w:tc>
        <w:tc>
          <w:tcPr>
            <w:tcW w:w="1040" w:type="dxa"/>
            <w:noWrap/>
            <w:tcMar>
              <w:top w:w="0" w:type="dxa"/>
              <w:left w:w="17" w:type="dxa"/>
              <w:bottom w:w="0" w:type="dxa"/>
              <w:right w:w="17" w:type="dxa"/>
            </w:tcMar>
          </w:tcPr>
          <w:p w:rsidR="003401C3" w:rsidRDefault="003401C3" w:rsidP="00806D5A">
            <w:pPr>
              <w:keepNext/>
              <w:jc w:val="right"/>
              <w:rPr>
                <w:b/>
                <w:sz w:val="18"/>
                <w:szCs w:val="24"/>
              </w:rPr>
            </w:pPr>
            <w:r>
              <w:rPr>
                <w:b/>
                <w:sz w:val="18"/>
                <w:szCs w:val="24"/>
              </w:rPr>
              <w:t>Pre 2013-14</w:t>
            </w:r>
          </w:p>
        </w:tc>
        <w:tc>
          <w:tcPr>
            <w:tcW w:w="1040" w:type="dxa"/>
            <w:noWrap/>
            <w:tcMar>
              <w:top w:w="0" w:type="dxa"/>
              <w:left w:w="17" w:type="dxa"/>
              <w:bottom w:w="0" w:type="dxa"/>
              <w:right w:w="17" w:type="dxa"/>
            </w:tcMar>
          </w:tcPr>
          <w:p w:rsidR="003401C3" w:rsidRDefault="003401C3" w:rsidP="00806D5A">
            <w:pPr>
              <w:keepNext/>
              <w:jc w:val="right"/>
              <w:rPr>
                <w:b/>
                <w:sz w:val="18"/>
                <w:szCs w:val="24"/>
              </w:rPr>
            </w:pPr>
          </w:p>
        </w:tc>
        <w:tc>
          <w:tcPr>
            <w:tcW w:w="1040" w:type="dxa"/>
            <w:noWrap/>
            <w:tcMar>
              <w:top w:w="0" w:type="dxa"/>
              <w:left w:w="17" w:type="dxa"/>
              <w:bottom w:w="0" w:type="dxa"/>
              <w:right w:w="17" w:type="dxa"/>
            </w:tcMar>
          </w:tcPr>
          <w:p w:rsidR="003401C3" w:rsidRDefault="003401C3" w:rsidP="00806D5A">
            <w:pPr>
              <w:keepNext/>
              <w:jc w:val="right"/>
              <w:rPr>
                <w:b/>
                <w:sz w:val="18"/>
                <w:szCs w:val="24"/>
              </w:rPr>
            </w:pPr>
          </w:p>
        </w:tc>
        <w:tc>
          <w:tcPr>
            <w:tcW w:w="1040" w:type="dxa"/>
            <w:noWrap/>
            <w:tcMar>
              <w:top w:w="0" w:type="dxa"/>
              <w:left w:w="17" w:type="dxa"/>
              <w:bottom w:w="0" w:type="dxa"/>
              <w:right w:w="17" w:type="dxa"/>
            </w:tcMar>
          </w:tcPr>
          <w:p w:rsidR="003401C3" w:rsidRDefault="003401C3" w:rsidP="00806D5A">
            <w:pPr>
              <w:keepNext/>
              <w:jc w:val="right"/>
              <w:rPr>
                <w:b/>
                <w:sz w:val="18"/>
                <w:szCs w:val="24"/>
              </w:rPr>
            </w:pPr>
          </w:p>
        </w:tc>
        <w:tc>
          <w:tcPr>
            <w:tcW w:w="1040" w:type="dxa"/>
            <w:noWrap/>
            <w:tcMar>
              <w:top w:w="0" w:type="dxa"/>
              <w:left w:w="17" w:type="dxa"/>
              <w:bottom w:w="0" w:type="dxa"/>
              <w:right w:w="17" w:type="dxa"/>
            </w:tcMar>
          </w:tcPr>
          <w:p w:rsidR="003401C3" w:rsidRDefault="003401C3" w:rsidP="00806D5A">
            <w:pPr>
              <w:keepNext/>
              <w:jc w:val="right"/>
              <w:rPr>
                <w:b/>
                <w:sz w:val="18"/>
                <w:szCs w:val="24"/>
              </w:rPr>
            </w:pPr>
            <w:r>
              <w:rPr>
                <w:b/>
                <w:sz w:val="18"/>
                <w:szCs w:val="24"/>
              </w:rPr>
              <w:t>Date</w:t>
            </w:r>
          </w:p>
        </w:tc>
      </w:tr>
      <w:tr w:rsidR="003401C3" w:rsidRPr="00173793" w:rsidTr="00ED6FA0">
        <w:trPr>
          <w:trHeight w:val="227"/>
        </w:trPr>
        <w:tc>
          <w:tcPr>
            <w:tcW w:w="3063" w:type="dxa"/>
            <w:tcBorders>
              <w:bottom w:val="single" w:sz="4" w:space="0" w:color="auto"/>
            </w:tcBorders>
            <w:noWrap/>
            <w:tcMar>
              <w:top w:w="0" w:type="dxa"/>
              <w:left w:w="17" w:type="dxa"/>
              <w:bottom w:w="0" w:type="dxa"/>
              <w:right w:w="17" w:type="dxa"/>
            </w:tcMar>
          </w:tcPr>
          <w:p w:rsidR="003401C3" w:rsidRPr="00132F6F" w:rsidRDefault="003401C3" w:rsidP="00806D5A">
            <w:pPr>
              <w:keepNext/>
              <w:rPr>
                <w:rFonts w:cs="Calibri"/>
                <w:b/>
                <w:sz w:val="18"/>
                <w:szCs w:val="18"/>
              </w:rPr>
            </w:pPr>
            <w:r w:rsidRPr="00132F6F">
              <w:rPr>
                <w:rFonts w:cs="Calibri"/>
                <w:b/>
                <w:sz w:val="18"/>
                <w:szCs w:val="18"/>
              </w:rPr>
              <w:t> </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$’000</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$’000</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$’000</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$’000</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$’000</w:t>
            </w:r>
          </w:p>
        </w:tc>
        <w:tc>
          <w:tcPr>
            <w:tcW w:w="1040" w:type="dxa"/>
            <w:tcBorders>
              <w:bottom w:val="single" w:sz="4" w:space="0" w:color="auto"/>
            </w:tcBorders>
            <w:noWrap/>
            <w:tcMar>
              <w:top w:w="0" w:type="dxa"/>
              <w:left w:w="17" w:type="dxa"/>
              <w:bottom w:w="0" w:type="dxa"/>
              <w:right w:w="17" w:type="dxa"/>
            </w:tcMar>
          </w:tcPr>
          <w:p w:rsidR="003401C3" w:rsidRDefault="003401C3" w:rsidP="00806D5A">
            <w:pPr>
              <w:keepNext/>
              <w:jc w:val="right"/>
              <w:rPr>
                <w:b/>
                <w:sz w:val="18"/>
                <w:szCs w:val="24"/>
              </w:rPr>
            </w:pPr>
            <w:r>
              <w:rPr>
                <w:b/>
                <w:sz w:val="18"/>
                <w:szCs w:val="24"/>
              </w:rPr>
              <w:t> </w:t>
            </w:r>
          </w:p>
        </w:tc>
      </w:tr>
      <w:tr w:rsidR="003401C3" w:rsidRPr="00173793" w:rsidTr="00ED6FA0">
        <w:trPr>
          <w:trHeight w:val="227"/>
        </w:trPr>
        <w:tc>
          <w:tcPr>
            <w:tcW w:w="3063" w:type="dxa"/>
            <w:tcBorders>
              <w:top w:val="single" w:sz="4" w:space="0" w:color="auto"/>
            </w:tcBorders>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p>
        </w:tc>
        <w:tc>
          <w:tcPr>
            <w:tcW w:w="1040" w:type="dxa"/>
            <w:tcBorders>
              <w:top w:val="single" w:sz="4" w:space="0" w:color="auto"/>
            </w:tcBorders>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tcBorders>
              <w:top w:val="single" w:sz="4" w:space="0" w:color="auto"/>
            </w:tcBorders>
            <w:noWrap/>
            <w:tcMar>
              <w:top w:w="0" w:type="dxa"/>
              <w:left w:w="17" w:type="dxa"/>
              <w:bottom w:w="0" w:type="dxa"/>
              <w:right w:w="17" w:type="dxa"/>
            </w:tcMar>
          </w:tcPr>
          <w:p w:rsidR="003401C3" w:rsidRPr="00173793" w:rsidRDefault="003401C3" w:rsidP="00806D5A">
            <w:pPr>
              <w:jc w:val="right"/>
              <w:rPr>
                <w:color w:val="000000"/>
                <w:sz w:val="18"/>
                <w:szCs w:val="18"/>
              </w:rPr>
            </w:pPr>
          </w:p>
        </w:tc>
        <w:tc>
          <w:tcPr>
            <w:tcW w:w="1040" w:type="dxa"/>
            <w:tcBorders>
              <w:top w:val="single" w:sz="4" w:space="0" w:color="auto"/>
            </w:tcBorders>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tcBorders>
              <w:top w:val="single" w:sz="4" w:space="0" w:color="auto"/>
            </w:tcBorders>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tcBorders>
              <w:top w:val="single" w:sz="4" w:space="0" w:color="auto"/>
            </w:tcBorders>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tcBorders>
              <w:top w:val="single" w:sz="4" w:space="0" w:color="auto"/>
            </w:tcBorders>
            <w:noWrap/>
            <w:tcMar>
              <w:top w:w="0" w:type="dxa"/>
              <w:left w:w="17" w:type="dxa"/>
              <w:bottom w:w="0" w:type="dxa"/>
              <w:right w:w="17" w:type="dxa"/>
            </w:tcMar>
          </w:tcPr>
          <w:p w:rsidR="003401C3" w:rsidRPr="00173793" w:rsidRDefault="003401C3" w:rsidP="00806D5A">
            <w:pPr>
              <w:jc w:val="right"/>
              <w:rPr>
                <w:rFonts w:cs="Calibri"/>
                <w:bCs/>
                <w:sz w:val="18"/>
                <w:szCs w:val="18"/>
              </w:rPr>
            </w:pPr>
          </w:p>
        </w:tc>
      </w:tr>
      <w:tr w:rsidR="003401C3" w:rsidRPr="00173793" w:rsidTr="00ED6FA0">
        <w:trPr>
          <w:trHeight w:val="227"/>
        </w:trPr>
        <w:tc>
          <w:tcPr>
            <w:tcW w:w="3063" w:type="dxa"/>
            <w:noWrap/>
            <w:tcMar>
              <w:top w:w="0" w:type="dxa"/>
              <w:left w:w="17" w:type="dxa"/>
              <w:bottom w:w="0" w:type="dxa"/>
              <w:right w:w="17" w:type="dxa"/>
            </w:tcMar>
          </w:tcPr>
          <w:p w:rsidR="003401C3" w:rsidRPr="006B743B" w:rsidRDefault="003401C3" w:rsidP="00806D5A">
            <w:pPr>
              <w:ind w:left="142" w:hanging="142"/>
              <w:rPr>
                <w:rFonts w:cs="Calibri"/>
                <w:b/>
                <w:sz w:val="18"/>
                <w:szCs w:val="18"/>
                <w:lang w:eastAsia="en-AU"/>
              </w:rPr>
            </w:pPr>
            <w:r w:rsidRPr="006B743B">
              <w:rPr>
                <w:rFonts w:cs="Calibri"/>
                <w:b/>
                <w:sz w:val="18"/>
                <w:szCs w:val="18"/>
                <w:lang w:eastAsia="en-AU"/>
              </w:rPr>
              <w:t>Works in Progress Cont.</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bCs/>
                <w:sz w:val="18"/>
                <w:szCs w:val="18"/>
              </w:rPr>
            </w:pPr>
          </w:p>
        </w:tc>
      </w:tr>
      <w:tr w:rsidR="003401C3" w:rsidRPr="00667033" w:rsidTr="00ED6FA0">
        <w:trPr>
          <w:trHeight w:val="227"/>
        </w:trPr>
        <w:tc>
          <w:tcPr>
            <w:tcW w:w="3063" w:type="dxa"/>
            <w:noWrap/>
            <w:tcMar>
              <w:top w:w="0" w:type="dxa"/>
              <w:left w:w="17" w:type="dxa"/>
              <w:bottom w:w="0" w:type="dxa"/>
              <w:right w:w="17" w:type="dxa"/>
            </w:tcMar>
          </w:tcPr>
          <w:p w:rsidR="003401C3" w:rsidRPr="00C65DB2" w:rsidRDefault="003401C3" w:rsidP="00806D5A">
            <w:pPr>
              <w:ind w:left="142" w:hanging="142"/>
              <w:rPr>
                <w:rFonts w:cs="Calibri"/>
                <w:sz w:val="18"/>
                <w:szCs w:val="18"/>
                <w:lang w:eastAsia="en-AU"/>
              </w:rPr>
            </w:pPr>
            <w:r w:rsidRPr="00C65DB2">
              <w:rPr>
                <w:rFonts w:cs="Calibri"/>
                <w:sz w:val="18"/>
                <w:szCs w:val="18"/>
                <w:lang w:eastAsia="en-AU"/>
              </w:rPr>
              <w:t>Women and Children's Hospital</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111,060</w:t>
            </w:r>
          </w:p>
        </w:tc>
        <w:tc>
          <w:tcPr>
            <w:tcW w:w="1040" w:type="dxa"/>
            <w:noWrap/>
            <w:tcMar>
              <w:top w:w="0" w:type="dxa"/>
              <w:left w:w="17" w:type="dxa"/>
              <w:bottom w:w="0" w:type="dxa"/>
              <w:right w:w="17" w:type="dxa"/>
            </w:tcMar>
          </w:tcPr>
          <w:p w:rsidR="003401C3" w:rsidRPr="00C65DB2" w:rsidRDefault="003401C3" w:rsidP="00806D5A">
            <w:pPr>
              <w:jc w:val="right"/>
              <w:rPr>
                <w:color w:val="000000"/>
                <w:sz w:val="18"/>
                <w:szCs w:val="18"/>
              </w:rPr>
            </w:pPr>
            <w:r w:rsidRPr="00C65DB2">
              <w:rPr>
                <w:color w:val="000000"/>
                <w:sz w:val="18"/>
                <w:szCs w:val="18"/>
              </w:rPr>
              <w:t>90,878</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20,182</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bCs/>
                <w:sz w:val="18"/>
                <w:szCs w:val="18"/>
              </w:rPr>
            </w:pPr>
            <w:r>
              <w:rPr>
                <w:rFonts w:cs="Calibri"/>
                <w:bCs/>
                <w:sz w:val="18"/>
                <w:szCs w:val="18"/>
              </w:rPr>
              <w:t>Nov 2013</w:t>
            </w:r>
          </w:p>
        </w:tc>
      </w:tr>
      <w:tr w:rsidR="003401C3" w:rsidRPr="00AB6E6D" w:rsidTr="00ED6FA0">
        <w:trPr>
          <w:trHeight w:val="227"/>
        </w:trPr>
        <w:tc>
          <w:tcPr>
            <w:tcW w:w="3063" w:type="dxa"/>
            <w:noWrap/>
            <w:tcMar>
              <w:top w:w="0" w:type="dxa"/>
              <w:left w:w="17" w:type="dxa"/>
              <w:bottom w:w="0" w:type="dxa"/>
              <w:right w:w="17" w:type="dxa"/>
            </w:tcMar>
          </w:tcPr>
          <w:p w:rsidR="003401C3" w:rsidRPr="00C65DB2" w:rsidRDefault="003401C3" w:rsidP="00806D5A">
            <w:pPr>
              <w:ind w:left="142" w:hanging="142"/>
              <w:rPr>
                <w:rFonts w:cs="Calibri"/>
                <w:sz w:val="18"/>
                <w:szCs w:val="18"/>
                <w:lang w:eastAsia="en-AU"/>
              </w:rPr>
            </w:pPr>
            <w:r w:rsidRPr="00C65DB2">
              <w:rPr>
                <w:rFonts w:cs="Calibri"/>
                <w:sz w:val="18"/>
                <w:szCs w:val="18"/>
                <w:lang w:eastAsia="en-AU"/>
              </w:rPr>
              <w:t>New Gungahlin Health Centre</w:t>
            </w:r>
            <w:r w:rsidR="002606BB">
              <w:rPr>
                <w:rFonts w:cs="Calibri"/>
                <w:sz w:val="18"/>
                <w:szCs w:val="18"/>
                <w:vertAlign w:val="superscript"/>
                <w:lang w:eastAsia="en-AU"/>
              </w:rPr>
              <w:t>3</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18,000</w:t>
            </w:r>
          </w:p>
        </w:tc>
        <w:tc>
          <w:tcPr>
            <w:tcW w:w="1040" w:type="dxa"/>
            <w:noWrap/>
            <w:tcMar>
              <w:top w:w="0" w:type="dxa"/>
              <w:left w:w="17" w:type="dxa"/>
              <w:bottom w:w="0" w:type="dxa"/>
              <w:right w:w="17" w:type="dxa"/>
            </w:tcMar>
          </w:tcPr>
          <w:p w:rsidR="003401C3" w:rsidRPr="00C65DB2" w:rsidRDefault="003401C3" w:rsidP="00806D5A">
            <w:pPr>
              <w:jc w:val="right"/>
              <w:rPr>
                <w:color w:val="000000"/>
                <w:sz w:val="18"/>
                <w:szCs w:val="18"/>
              </w:rPr>
            </w:pPr>
            <w:r w:rsidRPr="00C65DB2">
              <w:rPr>
                <w:color w:val="000000"/>
                <w:sz w:val="18"/>
                <w:szCs w:val="18"/>
              </w:rPr>
              <w:t>17,520</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480</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bCs/>
                <w:sz w:val="18"/>
                <w:szCs w:val="18"/>
              </w:rPr>
            </w:pPr>
            <w:r>
              <w:rPr>
                <w:rFonts w:cs="Calibri"/>
                <w:bCs/>
                <w:sz w:val="18"/>
                <w:szCs w:val="18"/>
              </w:rPr>
              <w:t>Aug 2012</w:t>
            </w:r>
          </w:p>
        </w:tc>
      </w:tr>
      <w:tr w:rsidR="003401C3" w:rsidRPr="00173793" w:rsidTr="00ED6FA0">
        <w:trPr>
          <w:trHeight w:val="227"/>
        </w:trPr>
        <w:tc>
          <w:tcPr>
            <w:tcW w:w="3063" w:type="dxa"/>
            <w:noWrap/>
            <w:tcMar>
              <w:top w:w="0" w:type="dxa"/>
              <w:left w:w="17" w:type="dxa"/>
              <w:bottom w:w="0" w:type="dxa"/>
              <w:right w:w="17" w:type="dxa"/>
            </w:tcMar>
          </w:tcPr>
          <w:p w:rsidR="003401C3" w:rsidRPr="00C65DB2" w:rsidRDefault="003401C3" w:rsidP="00806D5A">
            <w:pPr>
              <w:ind w:left="142" w:hanging="142"/>
              <w:rPr>
                <w:rFonts w:cs="Calibri"/>
                <w:sz w:val="18"/>
                <w:szCs w:val="18"/>
                <w:lang w:eastAsia="en-AU"/>
              </w:rPr>
            </w:pPr>
            <w:r w:rsidRPr="00C65DB2">
              <w:rPr>
                <w:rFonts w:cs="Calibri"/>
                <w:sz w:val="18"/>
                <w:szCs w:val="18"/>
                <w:lang w:eastAsia="en-AU"/>
              </w:rPr>
              <w:t>Refurbishment of Health Centre – Tuggeranong</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5,000</w:t>
            </w:r>
          </w:p>
        </w:tc>
        <w:tc>
          <w:tcPr>
            <w:tcW w:w="1040" w:type="dxa"/>
            <w:noWrap/>
            <w:tcMar>
              <w:top w:w="0" w:type="dxa"/>
              <w:left w:w="17" w:type="dxa"/>
              <w:bottom w:w="0" w:type="dxa"/>
              <w:right w:w="17" w:type="dxa"/>
            </w:tcMar>
          </w:tcPr>
          <w:p w:rsidR="003401C3" w:rsidRPr="00C65DB2" w:rsidRDefault="003401C3" w:rsidP="00806D5A">
            <w:pPr>
              <w:jc w:val="right"/>
              <w:rPr>
                <w:color w:val="000000"/>
                <w:sz w:val="18"/>
                <w:szCs w:val="18"/>
              </w:rPr>
            </w:pPr>
            <w:r w:rsidRPr="00C65DB2">
              <w:rPr>
                <w:color w:val="000000"/>
                <w:sz w:val="18"/>
                <w:szCs w:val="18"/>
              </w:rPr>
              <w:t>2,425</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2,575</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Jun 2014</w:t>
            </w:r>
          </w:p>
        </w:tc>
      </w:tr>
      <w:tr w:rsidR="003401C3" w:rsidRPr="00173793" w:rsidTr="00ED6FA0">
        <w:trPr>
          <w:trHeight w:val="227"/>
        </w:trPr>
        <w:tc>
          <w:tcPr>
            <w:tcW w:w="3063" w:type="dxa"/>
            <w:noWrap/>
            <w:tcMar>
              <w:top w:w="0" w:type="dxa"/>
              <w:left w:w="17" w:type="dxa"/>
              <w:bottom w:w="0" w:type="dxa"/>
              <w:right w:w="17" w:type="dxa"/>
            </w:tcMar>
          </w:tcPr>
          <w:p w:rsidR="003401C3" w:rsidRPr="00C65DB2" w:rsidRDefault="003401C3" w:rsidP="00806D5A">
            <w:pPr>
              <w:ind w:left="142" w:hanging="142"/>
              <w:rPr>
                <w:rFonts w:cs="Calibri"/>
                <w:sz w:val="18"/>
                <w:szCs w:val="18"/>
                <w:lang w:eastAsia="en-AU"/>
              </w:rPr>
            </w:pPr>
            <w:r w:rsidRPr="00C65DB2">
              <w:rPr>
                <w:rFonts w:cs="Calibri"/>
                <w:sz w:val="18"/>
                <w:szCs w:val="18"/>
                <w:lang w:eastAsia="en-AU"/>
              </w:rPr>
              <w:t>Provision for Project Definition Planning</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59,040</w:t>
            </w:r>
          </w:p>
        </w:tc>
        <w:tc>
          <w:tcPr>
            <w:tcW w:w="1040" w:type="dxa"/>
            <w:noWrap/>
            <w:tcMar>
              <w:top w:w="0" w:type="dxa"/>
              <w:left w:w="17" w:type="dxa"/>
              <w:bottom w:w="0" w:type="dxa"/>
              <w:right w:w="17" w:type="dxa"/>
            </w:tcMar>
          </w:tcPr>
          <w:p w:rsidR="003401C3" w:rsidRPr="00C65DB2" w:rsidRDefault="003401C3" w:rsidP="00806D5A">
            <w:pPr>
              <w:jc w:val="right"/>
              <w:rPr>
                <w:color w:val="000000"/>
                <w:sz w:val="18"/>
                <w:szCs w:val="18"/>
              </w:rPr>
            </w:pPr>
            <w:r w:rsidRPr="00C65DB2">
              <w:rPr>
                <w:color w:val="000000"/>
                <w:sz w:val="18"/>
                <w:szCs w:val="18"/>
              </w:rPr>
              <w:t>55,777</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3,263</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Jun 2014</w:t>
            </w:r>
          </w:p>
        </w:tc>
      </w:tr>
      <w:tr w:rsidR="003401C3" w:rsidRPr="00173793" w:rsidTr="00ED6FA0">
        <w:trPr>
          <w:trHeight w:val="227"/>
        </w:trPr>
        <w:tc>
          <w:tcPr>
            <w:tcW w:w="3063" w:type="dxa"/>
            <w:noWrap/>
            <w:tcMar>
              <w:top w:w="0" w:type="dxa"/>
              <w:left w:w="17" w:type="dxa"/>
              <w:bottom w:w="0" w:type="dxa"/>
              <w:right w:w="17" w:type="dxa"/>
            </w:tcMar>
          </w:tcPr>
          <w:p w:rsidR="003401C3" w:rsidRPr="00C65DB2" w:rsidRDefault="003401C3" w:rsidP="00806D5A">
            <w:pPr>
              <w:ind w:left="142" w:hanging="142"/>
              <w:rPr>
                <w:rFonts w:cs="Calibri"/>
                <w:sz w:val="18"/>
                <w:szCs w:val="18"/>
                <w:lang w:eastAsia="en-AU"/>
              </w:rPr>
            </w:pPr>
            <w:r w:rsidRPr="00C65DB2">
              <w:rPr>
                <w:rFonts w:cs="Calibri"/>
                <w:sz w:val="18"/>
                <w:szCs w:val="18"/>
                <w:lang w:eastAsia="en-AU"/>
              </w:rPr>
              <w:t>Adult Acute Mental Health Inpatient Unit</w:t>
            </w:r>
            <w:r w:rsidRPr="00C65DB2">
              <w:rPr>
                <w:rFonts w:cs="Calibri"/>
                <w:sz w:val="18"/>
                <w:szCs w:val="18"/>
                <w:vertAlign w:val="superscript"/>
                <w:lang w:eastAsia="en-AU"/>
              </w:rPr>
              <w:t>2</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28,480</w:t>
            </w:r>
          </w:p>
        </w:tc>
        <w:tc>
          <w:tcPr>
            <w:tcW w:w="1040" w:type="dxa"/>
            <w:noWrap/>
            <w:tcMar>
              <w:top w:w="0" w:type="dxa"/>
              <w:left w:w="17" w:type="dxa"/>
              <w:bottom w:w="0" w:type="dxa"/>
              <w:right w:w="17" w:type="dxa"/>
            </w:tcMar>
          </w:tcPr>
          <w:p w:rsidR="003401C3" w:rsidRPr="00C65DB2" w:rsidRDefault="003401C3" w:rsidP="00806D5A">
            <w:pPr>
              <w:jc w:val="right"/>
              <w:rPr>
                <w:color w:val="000000"/>
                <w:sz w:val="18"/>
                <w:szCs w:val="18"/>
              </w:rPr>
            </w:pPr>
            <w:r w:rsidRPr="00C65DB2">
              <w:rPr>
                <w:color w:val="000000"/>
                <w:sz w:val="18"/>
                <w:szCs w:val="18"/>
              </w:rPr>
              <w:t>28,280</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200</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Apr 2012</w:t>
            </w:r>
          </w:p>
        </w:tc>
      </w:tr>
      <w:tr w:rsidR="003401C3" w:rsidRPr="003A22FB" w:rsidTr="00ED6FA0">
        <w:trPr>
          <w:trHeight w:val="227"/>
        </w:trPr>
        <w:tc>
          <w:tcPr>
            <w:tcW w:w="3063" w:type="dxa"/>
            <w:noWrap/>
            <w:tcMar>
              <w:top w:w="0" w:type="dxa"/>
              <w:left w:w="17" w:type="dxa"/>
              <w:bottom w:w="0" w:type="dxa"/>
              <w:right w:w="17" w:type="dxa"/>
            </w:tcMar>
          </w:tcPr>
          <w:p w:rsidR="003401C3" w:rsidRPr="00C65DB2" w:rsidRDefault="003401C3" w:rsidP="00806D5A">
            <w:pPr>
              <w:ind w:left="142" w:hanging="142"/>
              <w:rPr>
                <w:rFonts w:cs="Calibri"/>
                <w:sz w:val="18"/>
                <w:szCs w:val="18"/>
                <w:lang w:eastAsia="en-AU"/>
              </w:rPr>
            </w:pPr>
            <w:r w:rsidRPr="00C65DB2">
              <w:rPr>
                <w:rFonts w:cs="Calibri"/>
                <w:sz w:val="18"/>
                <w:szCs w:val="18"/>
                <w:lang w:eastAsia="en-AU"/>
              </w:rPr>
              <w:t>Adult Secure Mental Health Unit (Forward Design)</w:t>
            </w:r>
            <w:r w:rsidR="002606BB">
              <w:rPr>
                <w:rFonts w:cs="Calibri"/>
                <w:sz w:val="18"/>
                <w:szCs w:val="18"/>
                <w:vertAlign w:val="superscript"/>
                <w:lang w:eastAsia="en-AU"/>
              </w:rPr>
              <w:t>2</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1,200</w:t>
            </w:r>
          </w:p>
        </w:tc>
        <w:tc>
          <w:tcPr>
            <w:tcW w:w="1040" w:type="dxa"/>
            <w:noWrap/>
            <w:tcMar>
              <w:top w:w="0" w:type="dxa"/>
              <w:left w:w="17" w:type="dxa"/>
              <w:bottom w:w="0" w:type="dxa"/>
              <w:right w:w="17" w:type="dxa"/>
            </w:tcMar>
          </w:tcPr>
          <w:p w:rsidR="003401C3" w:rsidRPr="00C65DB2" w:rsidRDefault="003401C3" w:rsidP="00806D5A">
            <w:pPr>
              <w:jc w:val="right"/>
              <w:rPr>
                <w:color w:val="000000"/>
                <w:sz w:val="18"/>
                <w:szCs w:val="18"/>
              </w:rPr>
            </w:pPr>
            <w:r w:rsidRPr="00C65DB2">
              <w:rPr>
                <w:color w:val="000000"/>
                <w:sz w:val="18"/>
                <w:szCs w:val="18"/>
              </w:rPr>
              <w:t>741</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459</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Jun 2013</w:t>
            </w:r>
          </w:p>
        </w:tc>
      </w:tr>
      <w:tr w:rsidR="003401C3" w:rsidRPr="00173793" w:rsidTr="00ED6FA0">
        <w:trPr>
          <w:trHeight w:val="227"/>
        </w:trPr>
        <w:tc>
          <w:tcPr>
            <w:tcW w:w="3063" w:type="dxa"/>
            <w:noWrap/>
            <w:tcMar>
              <w:top w:w="0" w:type="dxa"/>
              <w:left w:w="17" w:type="dxa"/>
              <w:bottom w:w="0" w:type="dxa"/>
              <w:right w:w="17" w:type="dxa"/>
            </w:tcMar>
          </w:tcPr>
          <w:p w:rsidR="003401C3" w:rsidRPr="00C65DB2" w:rsidRDefault="003401C3" w:rsidP="00806D5A">
            <w:pPr>
              <w:ind w:left="142" w:hanging="142"/>
              <w:rPr>
                <w:rFonts w:cs="Calibri"/>
                <w:sz w:val="18"/>
                <w:szCs w:val="18"/>
                <w:lang w:eastAsia="en-AU"/>
              </w:rPr>
            </w:pPr>
            <w:r w:rsidRPr="00C65DB2">
              <w:rPr>
                <w:rFonts w:cs="Calibri"/>
                <w:sz w:val="18"/>
                <w:szCs w:val="18"/>
                <w:lang w:eastAsia="en-AU"/>
              </w:rPr>
              <w:t>Adult Secure Mental Health Unit (Finalising Design)</w:t>
            </w:r>
            <w:r w:rsidR="002606BB">
              <w:rPr>
                <w:rFonts w:cs="Calibri"/>
                <w:sz w:val="18"/>
                <w:szCs w:val="18"/>
                <w:vertAlign w:val="superscript"/>
                <w:lang w:eastAsia="en-AU"/>
              </w:rPr>
              <w:t>2</w:t>
            </w:r>
          </w:p>
        </w:tc>
        <w:tc>
          <w:tcPr>
            <w:tcW w:w="1040" w:type="dxa"/>
            <w:noWrap/>
            <w:tcMar>
              <w:top w:w="17"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2,000</w:t>
            </w:r>
          </w:p>
        </w:tc>
        <w:tc>
          <w:tcPr>
            <w:tcW w:w="1040" w:type="dxa"/>
            <w:noWrap/>
            <w:tcMar>
              <w:top w:w="17"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 </w:t>
            </w:r>
          </w:p>
        </w:tc>
        <w:tc>
          <w:tcPr>
            <w:tcW w:w="1040" w:type="dxa"/>
            <w:noWrap/>
            <w:tcMar>
              <w:top w:w="17"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1,500</w:t>
            </w:r>
          </w:p>
        </w:tc>
        <w:tc>
          <w:tcPr>
            <w:tcW w:w="1040" w:type="dxa"/>
            <w:noWrap/>
            <w:tcMar>
              <w:top w:w="17"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500</w:t>
            </w:r>
          </w:p>
        </w:tc>
        <w:tc>
          <w:tcPr>
            <w:tcW w:w="1040" w:type="dxa"/>
            <w:noWrap/>
            <w:tcMar>
              <w:top w:w="17"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 </w:t>
            </w:r>
          </w:p>
        </w:tc>
        <w:tc>
          <w:tcPr>
            <w:tcW w:w="1040" w:type="dxa"/>
            <w:noWrap/>
            <w:tcMar>
              <w:top w:w="17"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Jun 2014</w:t>
            </w:r>
          </w:p>
        </w:tc>
      </w:tr>
      <w:tr w:rsidR="003401C3" w:rsidRPr="00173793" w:rsidTr="00ED6FA0">
        <w:trPr>
          <w:trHeight w:val="227"/>
        </w:trPr>
        <w:tc>
          <w:tcPr>
            <w:tcW w:w="3063" w:type="dxa"/>
            <w:noWrap/>
            <w:tcMar>
              <w:top w:w="0" w:type="dxa"/>
              <w:left w:w="17" w:type="dxa"/>
              <w:bottom w:w="0" w:type="dxa"/>
              <w:right w:w="17" w:type="dxa"/>
            </w:tcMar>
          </w:tcPr>
          <w:p w:rsidR="003401C3" w:rsidRPr="00C65DB2" w:rsidRDefault="003401C3" w:rsidP="00806D5A">
            <w:pPr>
              <w:ind w:left="142" w:hanging="142"/>
              <w:rPr>
                <w:rFonts w:cs="Calibri"/>
                <w:sz w:val="18"/>
                <w:szCs w:val="18"/>
                <w:lang w:eastAsia="en-AU"/>
              </w:rPr>
            </w:pPr>
            <w:r w:rsidRPr="00C65DB2">
              <w:rPr>
                <w:rFonts w:cs="Calibri"/>
                <w:sz w:val="18"/>
                <w:szCs w:val="18"/>
                <w:lang w:eastAsia="en-AU"/>
              </w:rPr>
              <w:t>New Multi</w:t>
            </w:r>
            <w:r w:rsidRPr="00C65DB2">
              <w:rPr>
                <w:rFonts w:cs="Calibri"/>
                <w:sz w:val="18"/>
                <w:szCs w:val="18"/>
                <w:lang w:eastAsia="en-AU"/>
              </w:rPr>
              <w:noBreakHyphen/>
              <w:t>storey Car Park TCH</w:t>
            </w:r>
            <w:r w:rsidRPr="00723D30">
              <w:rPr>
                <w:rFonts w:cs="Calibri"/>
                <w:sz w:val="18"/>
                <w:szCs w:val="18"/>
                <w:vertAlign w:val="superscript"/>
                <w:lang w:eastAsia="en-AU"/>
              </w:rPr>
              <w:t>2</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42,720</w:t>
            </w:r>
          </w:p>
        </w:tc>
        <w:tc>
          <w:tcPr>
            <w:tcW w:w="1040" w:type="dxa"/>
            <w:noWrap/>
            <w:tcMar>
              <w:top w:w="0" w:type="dxa"/>
              <w:left w:w="17" w:type="dxa"/>
              <w:bottom w:w="0" w:type="dxa"/>
              <w:right w:w="17" w:type="dxa"/>
            </w:tcMar>
          </w:tcPr>
          <w:p w:rsidR="003401C3" w:rsidRPr="00C65DB2" w:rsidRDefault="003401C3" w:rsidP="00806D5A">
            <w:pPr>
              <w:jc w:val="right"/>
              <w:rPr>
                <w:color w:val="000000"/>
                <w:sz w:val="18"/>
                <w:szCs w:val="18"/>
              </w:rPr>
            </w:pPr>
            <w:r w:rsidRPr="00C65DB2">
              <w:rPr>
                <w:color w:val="000000"/>
                <w:sz w:val="18"/>
                <w:szCs w:val="18"/>
              </w:rPr>
              <w:t>42,137</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583</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 </w:t>
            </w:r>
          </w:p>
        </w:tc>
        <w:tc>
          <w:tcPr>
            <w:tcW w:w="1040" w:type="dxa"/>
            <w:noWrap/>
            <w:tcMar>
              <w:top w:w="0"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Jun 201</w:t>
            </w:r>
            <w:r>
              <w:rPr>
                <w:rFonts w:cs="Calibri"/>
                <w:bCs/>
                <w:sz w:val="18"/>
                <w:szCs w:val="18"/>
              </w:rPr>
              <w:t>3</w:t>
            </w:r>
          </w:p>
        </w:tc>
      </w:tr>
      <w:tr w:rsidR="003401C3" w:rsidRPr="00173793" w:rsidTr="00ED6FA0">
        <w:trPr>
          <w:trHeight w:val="227"/>
        </w:trPr>
        <w:tc>
          <w:tcPr>
            <w:tcW w:w="3063" w:type="dxa"/>
            <w:noWrap/>
            <w:tcMar>
              <w:top w:w="0" w:type="dxa"/>
              <w:left w:w="17" w:type="dxa"/>
              <w:bottom w:w="0" w:type="dxa"/>
              <w:right w:w="17" w:type="dxa"/>
            </w:tcMar>
          </w:tcPr>
          <w:p w:rsidR="003401C3" w:rsidRPr="00C65DB2" w:rsidRDefault="003401C3" w:rsidP="00806D5A">
            <w:pPr>
              <w:ind w:left="142" w:hanging="142"/>
              <w:rPr>
                <w:rFonts w:cs="Calibri"/>
                <w:sz w:val="18"/>
                <w:szCs w:val="18"/>
                <w:lang w:eastAsia="en-AU"/>
              </w:rPr>
            </w:pPr>
            <w:r w:rsidRPr="00C65DB2">
              <w:rPr>
                <w:rFonts w:cs="Calibri"/>
                <w:sz w:val="18"/>
                <w:szCs w:val="18"/>
                <w:lang w:eastAsia="en-AU"/>
              </w:rPr>
              <w:t>Aboriginal Torres Strait Islander Residential Alcohol and Other Drug Rehabilitation Facility</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7,933</w:t>
            </w:r>
          </w:p>
        </w:tc>
        <w:tc>
          <w:tcPr>
            <w:tcW w:w="1040" w:type="dxa"/>
            <w:noWrap/>
            <w:tcMar>
              <w:top w:w="0" w:type="dxa"/>
              <w:left w:w="17" w:type="dxa"/>
              <w:bottom w:w="0" w:type="dxa"/>
              <w:right w:w="17" w:type="dxa"/>
            </w:tcMar>
          </w:tcPr>
          <w:p w:rsidR="003401C3" w:rsidRPr="00C65DB2" w:rsidRDefault="003401C3" w:rsidP="00806D5A">
            <w:pPr>
              <w:jc w:val="right"/>
              <w:rPr>
                <w:color w:val="000000"/>
                <w:sz w:val="18"/>
                <w:szCs w:val="18"/>
              </w:rPr>
            </w:pPr>
            <w:r w:rsidRPr="00C65DB2">
              <w:rPr>
                <w:color w:val="000000"/>
                <w:sz w:val="18"/>
                <w:szCs w:val="18"/>
              </w:rPr>
              <w:t>1,239</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2,677</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3,017</w:t>
            </w:r>
          </w:p>
        </w:tc>
        <w:tc>
          <w:tcPr>
            <w:tcW w:w="1040" w:type="dxa"/>
            <w:noWrap/>
            <w:tcMar>
              <w:top w:w="0" w:type="dxa"/>
              <w:left w:w="17" w:type="dxa"/>
              <w:bottom w:w="0" w:type="dxa"/>
              <w:right w:w="17" w:type="dxa"/>
            </w:tcMar>
          </w:tcPr>
          <w:p w:rsidR="003401C3" w:rsidRPr="00C65DB2" w:rsidRDefault="003401C3" w:rsidP="00806D5A">
            <w:pPr>
              <w:jc w:val="right"/>
              <w:rPr>
                <w:rFonts w:cs="Calibri"/>
                <w:sz w:val="18"/>
                <w:szCs w:val="18"/>
              </w:rPr>
            </w:pPr>
            <w:r w:rsidRPr="00C65DB2">
              <w:rPr>
                <w:rFonts w:cs="Calibri"/>
                <w:sz w:val="18"/>
                <w:szCs w:val="18"/>
              </w:rPr>
              <w:t>1,000</w:t>
            </w:r>
          </w:p>
        </w:tc>
        <w:tc>
          <w:tcPr>
            <w:tcW w:w="1040" w:type="dxa"/>
            <w:noWrap/>
            <w:tcMar>
              <w:top w:w="0" w:type="dxa"/>
              <w:left w:w="17" w:type="dxa"/>
              <w:bottom w:w="0" w:type="dxa"/>
              <w:right w:w="17" w:type="dxa"/>
            </w:tcMar>
          </w:tcPr>
          <w:p w:rsidR="003401C3" w:rsidRPr="00C65DB2" w:rsidRDefault="003401C3" w:rsidP="00806D5A">
            <w:pPr>
              <w:jc w:val="right"/>
              <w:rPr>
                <w:rFonts w:cs="Calibri"/>
                <w:bCs/>
                <w:sz w:val="18"/>
                <w:szCs w:val="18"/>
              </w:rPr>
            </w:pPr>
            <w:r w:rsidRPr="00C65DB2">
              <w:rPr>
                <w:rFonts w:cs="Calibri"/>
                <w:bCs/>
                <w:sz w:val="18"/>
                <w:szCs w:val="18"/>
              </w:rPr>
              <w:t>Aug 2015</w:t>
            </w:r>
          </w:p>
        </w:tc>
      </w:tr>
      <w:tr w:rsidR="003401C3" w:rsidRPr="00173793" w:rsidTr="00ED6FA0">
        <w:trPr>
          <w:trHeight w:val="240"/>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shd w:val="clear" w:color="auto" w:fill="FFFFFF"/>
            <w:noWrap/>
            <w:tcMar>
              <w:top w:w="0" w:type="dxa"/>
              <w:left w:w="17" w:type="dxa"/>
              <w:bottom w:w="0" w:type="dxa"/>
              <w:right w:w="17" w:type="dxa"/>
            </w:tcMar>
          </w:tcPr>
          <w:p w:rsidR="003401C3" w:rsidRPr="00173793" w:rsidRDefault="003401C3" w:rsidP="00806D5A">
            <w:pPr>
              <w:jc w:val="right"/>
              <w:rPr>
                <w:rFonts w:cs="Calibri"/>
                <w:bCs/>
                <w:sz w:val="18"/>
                <w:szCs w:val="18"/>
              </w:rPr>
            </w:pPr>
          </w:p>
        </w:tc>
      </w:tr>
      <w:tr w:rsidR="003401C3" w:rsidRPr="00173793" w:rsidTr="00ED6FA0">
        <w:trPr>
          <w:trHeight w:val="240"/>
        </w:trPr>
        <w:tc>
          <w:tcPr>
            <w:tcW w:w="3063" w:type="dxa"/>
            <w:noWrap/>
            <w:tcMar>
              <w:top w:w="0" w:type="dxa"/>
              <w:left w:w="17" w:type="dxa"/>
              <w:bottom w:w="0" w:type="dxa"/>
              <w:right w:w="17" w:type="dxa"/>
            </w:tcMar>
          </w:tcPr>
          <w:p w:rsidR="003401C3" w:rsidRPr="009A755E" w:rsidRDefault="003401C3" w:rsidP="00806D5A">
            <w:pPr>
              <w:ind w:left="142" w:hanging="142"/>
              <w:rPr>
                <w:rFonts w:cs="Calibri"/>
                <w:i/>
                <w:sz w:val="18"/>
                <w:szCs w:val="18"/>
                <w:u w:val="single"/>
                <w:lang w:eastAsia="en-AU"/>
              </w:rPr>
            </w:pPr>
            <w:r w:rsidRPr="009A755E">
              <w:rPr>
                <w:rFonts w:cs="Calibri"/>
                <w:i/>
                <w:sz w:val="18"/>
                <w:szCs w:val="18"/>
                <w:u w:val="single"/>
                <w:lang w:eastAsia="en-AU"/>
              </w:rPr>
              <w:t>Prior Year Upgrades</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p>
        </w:tc>
        <w:tc>
          <w:tcPr>
            <w:tcW w:w="1040" w:type="dxa"/>
            <w:shd w:val="clear" w:color="auto" w:fill="FFFFFF"/>
            <w:noWrap/>
            <w:tcMar>
              <w:top w:w="0" w:type="dxa"/>
              <w:left w:w="17" w:type="dxa"/>
              <w:bottom w:w="0" w:type="dxa"/>
              <w:right w:w="17" w:type="dxa"/>
            </w:tcMar>
          </w:tcPr>
          <w:p w:rsidR="003401C3" w:rsidRPr="00173793" w:rsidRDefault="003401C3" w:rsidP="00806D5A">
            <w:pPr>
              <w:jc w:val="right"/>
              <w:rPr>
                <w:rFonts w:cs="Calibri"/>
                <w:sz w:val="18"/>
                <w:szCs w:val="18"/>
              </w:rPr>
            </w:pPr>
          </w:p>
        </w:tc>
      </w:tr>
      <w:tr w:rsidR="003401C3" w:rsidRPr="00173793" w:rsidTr="00ED6FA0">
        <w:trPr>
          <w:trHeight w:val="240"/>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9A755E">
              <w:rPr>
                <w:rFonts w:cs="Calibri"/>
                <w:sz w:val="18"/>
                <w:szCs w:val="18"/>
                <w:lang w:eastAsia="en-AU"/>
              </w:rPr>
              <w:t>Building Upgrades to address Condition Report findings including Works to Bathrooms, Plumbing and Other Works</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580</w:t>
            </w: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r>
              <w:rPr>
                <w:color w:val="000000"/>
                <w:sz w:val="18"/>
                <w:szCs w:val="18"/>
              </w:rPr>
              <w:t>540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40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shd w:val="clear" w:color="auto" w:fill="FFFFFF"/>
            <w:noWrap/>
            <w:tcMar>
              <w:top w:w="0" w:type="dxa"/>
              <w:left w:w="17" w:type="dxa"/>
              <w:bottom w:w="0" w:type="dxa"/>
              <w:right w:w="17" w:type="dxa"/>
            </w:tcMar>
          </w:tcPr>
          <w:p w:rsidR="003401C3" w:rsidRPr="00173793" w:rsidRDefault="003401C3" w:rsidP="00806D5A">
            <w:pPr>
              <w:jc w:val="right"/>
              <w:rPr>
                <w:rFonts w:cs="Calibri"/>
                <w:sz w:val="18"/>
                <w:szCs w:val="18"/>
              </w:rPr>
            </w:pPr>
          </w:p>
        </w:tc>
      </w:tr>
      <w:tr w:rsidR="003401C3" w:rsidRPr="00173793" w:rsidTr="00ED6FA0">
        <w:trPr>
          <w:trHeight w:val="240"/>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9A755E">
              <w:rPr>
                <w:rFonts w:cs="Calibri"/>
                <w:sz w:val="18"/>
                <w:szCs w:val="18"/>
                <w:lang w:eastAsia="en-AU"/>
              </w:rPr>
              <w:t>Fire/Safety/Security Upgrades to address outcomes of Fire reports, Improve Access Control to Plant Rooms, Upgrade Flooring and Other Works</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352</w:t>
            </w: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r>
              <w:rPr>
                <w:color w:val="000000"/>
                <w:sz w:val="18"/>
                <w:szCs w:val="18"/>
              </w:rPr>
              <w:t>272</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80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shd w:val="clear" w:color="auto" w:fill="FFFFFF"/>
            <w:noWrap/>
            <w:tcMar>
              <w:top w:w="0" w:type="dxa"/>
              <w:left w:w="17" w:type="dxa"/>
              <w:bottom w:w="0" w:type="dxa"/>
              <w:right w:w="17" w:type="dxa"/>
            </w:tcMar>
          </w:tcPr>
          <w:p w:rsidR="003401C3" w:rsidRPr="00173793" w:rsidRDefault="003401C3" w:rsidP="00806D5A">
            <w:pPr>
              <w:jc w:val="right"/>
              <w:rPr>
                <w:rFonts w:cs="Calibri"/>
                <w:sz w:val="18"/>
                <w:szCs w:val="18"/>
              </w:rPr>
            </w:pPr>
          </w:p>
        </w:tc>
      </w:tr>
      <w:tr w:rsidR="003401C3" w:rsidRPr="00173793" w:rsidTr="00ED6FA0">
        <w:trPr>
          <w:trHeight w:val="240"/>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9A755E">
              <w:rPr>
                <w:rFonts w:cs="Calibri"/>
                <w:sz w:val="18"/>
                <w:szCs w:val="18"/>
                <w:lang w:eastAsia="en-AU"/>
              </w:rPr>
              <w:t>Medical Facilities Upgrades including at the Emergency Department, Child and Mental Health Facilities</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520</w:t>
            </w: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r>
              <w:rPr>
                <w:color w:val="000000"/>
                <w:sz w:val="18"/>
                <w:szCs w:val="18"/>
              </w:rPr>
              <w:t>470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50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shd w:val="clear" w:color="auto" w:fill="FFFFFF"/>
            <w:noWrap/>
            <w:tcMar>
              <w:top w:w="0" w:type="dxa"/>
              <w:left w:w="17" w:type="dxa"/>
              <w:bottom w:w="0" w:type="dxa"/>
              <w:right w:w="17" w:type="dxa"/>
            </w:tcMar>
          </w:tcPr>
          <w:p w:rsidR="003401C3" w:rsidRPr="00173793" w:rsidRDefault="003401C3" w:rsidP="00806D5A">
            <w:pPr>
              <w:jc w:val="right"/>
              <w:rPr>
                <w:rFonts w:cs="Calibri"/>
                <w:sz w:val="18"/>
                <w:szCs w:val="18"/>
              </w:rPr>
            </w:pPr>
          </w:p>
        </w:tc>
      </w:tr>
      <w:tr w:rsidR="003401C3" w:rsidRPr="00173793" w:rsidTr="00ED6FA0">
        <w:trPr>
          <w:trHeight w:val="240"/>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9A755E">
              <w:rPr>
                <w:rFonts w:cs="Calibri"/>
                <w:sz w:val="18"/>
                <w:szCs w:val="18"/>
                <w:lang w:eastAsia="en-AU"/>
              </w:rPr>
              <w:t>Facilities Improvements to Patient Accommodation at the Canberra Hospital</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620</w:t>
            </w: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r>
              <w:rPr>
                <w:color w:val="000000"/>
                <w:sz w:val="18"/>
                <w:szCs w:val="18"/>
              </w:rPr>
              <w:t>520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100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shd w:val="clear" w:color="auto" w:fill="FFFFFF"/>
            <w:noWrap/>
            <w:tcMar>
              <w:top w:w="0" w:type="dxa"/>
              <w:left w:w="17" w:type="dxa"/>
              <w:bottom w:w="0" w:type="dxa"/>
              <w:right w:w="17" w:type="dxa"/>
            </w:tcMar>
          </w:tcPr>
          <w:p w:rsidR="003401C3" w:rsidRPr="00173793" w:rsidRDefault="003401C3" w:rsidP="00806D5A">
            <w:pPr>
              <w:jc w:val="right"/>
              <w:rPr>
                <w:rFonts w:cs="Calibri"/>
                <w:sz w:val="18"/>
                <w:szCs w:val="18"/>
              </w:rPr>
            </w:pPr>
          </w:p>
        </w:tc>
      </w:tr>
      <w:tr w:rsidR="003401C3" w:rsidRPr="00173793" w:rsidTr="00ED6FA0">
        <w:trPr>
          <w:trHeight w:val="240"/>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9A755E">
              <w:rPr>
                <w:rFonts w:cs="Calibri"/>
                <w:sz w:val="18"/>
                <w:szCs w:val="18"/>
                <w:lang w:eastAsia="en-AU"/>
              </w:rPr>
              <w:t xml:space="preserve">Ambulatory Care Improvements at the Canberra Hospital including the </w:t>
            </w:r>
            <w:proofErr w:type="spellStart"/>
            <w:r w:rsidRPr="009A755E">
              <w:rPr>
                <w:rFonts w:cs="Calibri"/>
                <w:sz w:val="18"/>
                <w:szCs w:val="18"/>
                <w:lang w:eastAsia="en-AU"/>
              </w:rPr>
              <w:t>Respitory</w:t>
            </w:r>
            <w:proofErr w:type="spellEnd"/>
            <w:r w:rsidRPr="009A755E">
              <w:rPr>
                <w:rFonts w:cs="Calibri"/>
                <w:sz w:val="18"/>
                <w:szCs w:val="18"/>
                <w:lang w:eastAsia="en-AU"/>
              </w:rPr>
              <w:t xml:space="preserve"> Medicine and Gastroenterology Areas</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680</w:t>
            </w: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r>
              <w:rPr>
                <w:color w:val="000000"/>
                <w:sz w:val="18"/>
                <w:szCs w:val="18"/>
              </w:rPr>
              <w:t>430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250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shd w:val="clear" w:color="auto" w:fill="FFFFFF"/>
            <w:noWrap/>
            <w:tcMar>
              <w:top w:w="0" w:type="dxa"/>
              <w:left w:w="17" w:type="dxa"/>
              <w:bottom w:w="0" w:type="dxa"/>
              <w:right w:w="17" w:type="dxa"/>
            </w:tcMar>
          </w:tcPr>
          <w:p w:rsidR="003401C3" w:rsidRPr="00173793" w:rsidRDefault="003401C3" w:rsidP="00806D5A">
            <w:pPr>
              <w:jc w:val="right"/>
              <w:rPr>
                <w:rFonts w:cs="Calibri"/>
                <w:sz w:val="18"/>
                <w:szCs w:val="18"/>
              </w:rPr>
            </w:pPr>
          </w:p>
        </w:tc>
      </w:tr>
      <w:tr w:rsidR="003401C3" w:rsidRPr="00173793" w:rsidTr="00ED6FA0">
        <w:trPr>
          <w:trHeight w:val="240"/>
        </w:trPr>
        <w:tc>
          <w:tcPr>
            <w:tcW w:w="3063" w:type="dxa"/>
            <w:noWrap/>
            <w:tcMar>
              <w:top w:w="0" w:type="dxa"/>
              <w:left w:w="17" w:type="dxa"/>
              <w:bottom w:w="0" w:type="dxa"/>
              <w:right w:w="17" w:type="dxa"/>
            </w:tcMar>
          </w:tcPr>
          <w:p w:rsidR="003401C3" w:rsidRPr="00173793" w:rsidRDefault="003401C3" w:rsidP="00806D5A">
            <w:pPr>
              <w:ind w:left="142" w:hanging="142"/>
              <w:rPr>
                <w:rFonts w:cs="Calibri"/>
                <w:sz w:val="18"/>
                <w:szCs w:val="18"/>
                <w:lang w:eastAsia="en-AU"/>
              </w:rPr>
            </w:pPr>
            <w:r w:rsidRPr="009A755E">
              <w:rPr>
                <w:rFonts w:cs="Calibri"/>
                <w:sz w:val="18"/>
                <w:szCs w:val="18"/>
                <w:lang w:eastAsia="en-AU"/>
              </w:rPr>
              <w:t>Augmentation of Medical and Administrative Offices to meet Organisational Change and Growth</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420</w:t>
            </w:r>
          </w:p>
        </w:tc>
        <w:tc>
          <w:tcPr>
            <w:tcW w:w="1040" w:type="dxa"/>
            <w:noWrap/>
            <w:tcMar>
              <w:top w:w="0" w:type="dxa"/>
              <w:left w:w="17" w:type="dxa"/>
              <w:bottom w:w="0" w:type="dxa"/>
              <w:right w:w="17" w:type="dxa"/>
            </w:tcMar>
          </w:tcPr>
          <w:p w:rsidR="003401C3" w:rsidRPr="00173793" w:rsidRDefault="003401C3" w:rsidP="00806D5A">
            <w:pPr>
              <w:jc w:val="right"/>
              <w:rPr>
                <w:color w:val="000000"/>
                <w:sz w:val="18"/>
                <w:szCs w:val="18"/>
              </w:rPr>
            </w:pPr>
            <w:r>
              <w:rPr>
                <w:color w:val="000000"/>
                <w:sz w:val="18"/>
                <w:szCs w:val="18"/>
              </w:rPr>
              <w:t>350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70</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noWrap/>
            <w:tcMar>
              <w:top w:w="0" w:type="dxa"/>
              <w:left w:w="17" w:type="dxa"/>
              <w:bottom w:w="0" w:type="dxa"/>
              <w:right w:w="17" w:type="dxa"/>
            </w:tcMar>
          </w:tcPr>
          <w:p w:rsidR="003401C3" w:rsidRPr="00173793" w:rsidRDefault="003401C3" w:rsidP="00806D5A">
            <w:pPr>
              <w:jc w:val="right"/>
              <w:rPr>
                <w:rFonts w:cs="Calibri"/>
                <w:sz w:val="18"/>
                <w:szCs w:val="18"/>
              </w:rPr>
            </w:pPr>
            <w:r>
              <w:rPr>
                <w:rFonts w:cs="Calibri"/>
                <w:sz w:val="18"/>
                <w:szCs w:val="18"/>
              </w:rPr>
              <w:t>- </w:t>
            </w:r>
          </w:p>
        </w:tc>
        <w:tc>
          <w:tcPr>
            <w:tcW w:w="1040" w:type="dxa"/>
            <w:shd w:val="clear" w:color="auto" w:fill="FFFFFF"/>
            <w:noWrap/>
            <w:tcMar>
              <w:top w:w="0" w:type="dxa"/>
              <w:left w:w="17" w:type="dxa"/>
              <w:bottom w:w="0" w:type="dxa"/>
              <w:right w:w="17" w:type="dxa"/>
            </w:tcMar>
          </w:tcPr>
          <w:p w:rsidR="003401C3" w:rsidRPr="00173793" w:rsidRDefault="003401C3" w:rsidP="00806D5A">
            <w:pPr>
              <w:jc w:val="right"/>
              <w:rPr>
                <w:rFonts w:cs="Calibri"/>
                <w:sz w:val="18"/>
                <w:szCs w:val="18"/>
              </w:rPr>
            </w:pPr>
          </w:p>
        </w:tc>
      </w:tr>
      <w:tr w:rsidR="003401C3" w:rsidRPr="00173793" w:rsidTr="00ED6FA0">
        <w:trPr>
          <w:trHeight w:val="240"/>
        </w:trPr>
        <w:tc>
          <w:tcPr>
            <w:tcW w:w="3063" w:type="dxa"/>
            <w:noWrap/>
            <w:tcMar>
              <w:top w:w="0" w:type="dxa"/>
              <w:left w:w="17" w:type="dxa"/>
              <w:bottom w:w="0" w:type="dxa"/>
              <w:right w:w="17" w:type="dxa"/>
            </w:tcMar>
          </w:tcPr>
          <w:p w:rsidR="003401C3" w:rsidRPr="00173793" w:rsidRDefault="003401C3" w:rsidP="00806D5A">
            <w:pPr>
              <w:keepNext/>
              <w:rPr>
                <w:rFonts w:cs="Calibri"/>
                <w:b/>
                <w:bCs/>
                <w:sz w:val="18"/>
                <w:szCs w:val="18"/>
                <w:lang w:eastAsia="en-AU"/>
              </w:rPr>
            </w:pPr>
            <w:r w:rsidRPr="00173793">
              <w:rPr>
                <w:rFonts w:cs="Calibri"/>
                <w:b/>
                <w:bCs/>
                <w:sz w:val="18"/>
                <w:szCs w:val="18"/>
                <w:lang w:eastAsia="en-AU"/>
              </w:rPr>
              <w:t>Total Works in Progress</w:t>
            </w:r>
          </w:p>
        </w:tc>
        <w:tc>
          <w:tcPr>
            <w:tcW w:w="1040" w:type="dxa"/>
            <w:noWrap/>
            <w:tcMar>
              <w:top w:w="0" w:type="dxa"/>
              <w:left w:w="17" w:type="dxa"/>
              <w:bottom w:w="0" w:type="dxa"/>
              <w:right w:w="17" w:type="dxa"/>
            </w:tcMar>
          </w:tcPr>
          <w:p w:rsidR="003401C3" w:rsidRPr="00A35A0F" w:rsidRDefault="003401C3" w:rsidP="00806D5A">
            <w:pPr>
              <w:jc w:val="right"/>
              <w:rPr>
                <w:rFonts w:cs="Calibri"/>
                <w:b/>
                <w:sz w:val="18"/>
                <w:szCs w:val="18"/>
              </w:rPr>
            </w:pPr>
            <w:r w:rsidRPr="00A35A0F">
              <w:rPr>
                <w:rFonts w:cs="Calibri"/>
                <w:b/>
                <w:sz w:val="18"/>
                <w:szCs w:val="18"/>
              </w:rPr>
              <w:t>480,452</w:t>
            </w:r>
          </w:p>
        </w:tc>
        <w:tc>
          <w:tcPr>
            <w:tcW w:w="1040" w:type="dxa"/>
            <w:noWrap/>
            <w:tcMar>
              <w:top w:w="0" w:type="dxa"/>
              <w:left w:w="17" w:type="dxa"/>
              <w:bottom w:w="0" w:type="dxa"/>
              <w:right w:w="17" w:type="dxa"/>
            </w:tcMar>
          </w:tcPr>
          <w:p w:rsidR="003401C3" w:rsidRPr="00A35A0F" w:rsidRDefault="008D111F" w:rsidP="00806D5A">
            <w:pPr>
              <w:jc w:val="right"/>
              <w:rPr>
                <w:rFonts w:cs="Calibri"/>
                <w:b/>
                <w:sz w:val="18"/>
                <w:szCs w:val="18"/>
              </w:rPr>
            </w:pPr>
            <w:r>
              <w:rPr>
                <w:rFonts w:cs="Calibri"/>
                <w:b/>
                <w:sz w:val="18"/>
                <w:szCs w:val="18"/>
              </w:rPr>
              <w:t>304,775</w:t>
            </w:r>
          </w:p>
        </w:tc>
        <w:tc>
          <w:tcPr>
            <w:tcW w:w="1040" w:type="dxa"/>
            <w:noWrap/>
            <w:tcMar>
              <w:top w:w="0" w:type="dxa"/>
              <w:left w:w="17" w:type="dxa"/>
              <w:bottom w:w="0" w:type="dxa"/>
              <w:right w:w="17" w:type="dxa"/>
            </w:tcMar>
          </w:tcPr>
          <w:p w:rsidR="003401C3" w:rsidRPr="00A35A0F" w:rsidRDefault="003401C3" w:rsidP="00806D5A">
            <w:pPr>
              <w:jc w:val="right"/>
              <w:rPr>
                <w:rFonts w:cs="Calibri"/>
                <w:b/>
                <w:sz w:val="18"/>
                <w:szCs w:val="18"/>
              </w:rPr>
            </w:pPr>
            <w:r>
              <w:rPr>
                <w:rFonts w:cs="Calibri"/>
                <w:b/>
                <w:sz w:val="18"/>
                <w:szCs w:val="18"/>
              </w:rPr>
              <w:t>130</w:t>
            </w:r>
            <w:r w:rsidRPr="00A35A0F">
              <w:rPr>
                <w:rFonts w:cs="Calibri"/>
                <w:b/>
                <w:sz w:val="18"/>
                <w:szCs w:val="18"/>
              </w:rPr>
              <w:t>,998</w:t>
            </w:r>
          </w:p>
        </w:tc>
        <w:tc>
          <w:tcPr>
            <w:tcW w:w="1040" w:type="dxa"/>
            <w:noWrap/>
            <w:tcMar>
              <w:top w:w="0" w:type="dxa"/>
              <w:left w:w="17" w:type="dxa"/>
              <w:bottom w:w="0" w:type="dxa"/>
              <w:right w:w="17" w:type="dxa"/>
            </w:tcMar>
          </w:tcPr>
          <w:p w:rsidR="003401C3" w:rsidRPr="00A35A0F" w:rsidRDefault="003401C3" w:rsidP="00806D5A">
            <w:pPr>
              <w:jc w:val="right"/>
              <w:rPr>
                <w:rFonts w:cs="Calibri"/>
                <w:b/>
                <w:sz w:val="18"/>
                <w:szCs w:val="18"/>
              </w:rPr>
            </w:pPr>
            <w:r w:rsidRPr="00A35A0F">
              <w:rPr>
                <w:rFonts w:cs="Calibri"/>
                <w:b/>
                <w:sz w:val="18"/>
                <w:szCs w:val="18"/>
              </w:rPr>
              <w:t>43,679</w:t>
            </w:r>
          </w:p>
        </w:tc>
        <w:tc>
          <w:tcPr>
            <w:tcW w:w="1040" w:type="dxa"/>
            <w:noWrap/>
            <w:tcMar>
              <w:top w:w="0" w:type="dxa"/>
              <w:left w:w="17" w:type="dxa"/>
              <w:bottom w:w="0" w:type="dxa"/>
              <w:right w:w="17" w:type="dxa"/>
            </w:tcMar>
          </w:tcPr>
          <w:p w:rsidR="003401C3" w:rsidRPr="00F3335C" w:rsidRDefault="003401C3" w:rsidP="00806D5A">
            <w:pPr>
              <w:jc w:val="right"/>
              <w:rPr>
                <w:rFonts w:cs="Calibri"/>
                <w:b/>
                <w:sz w:val="18"/>
                <w:szCs w:val="18"/>
              </w:rPr>
            </w:pPr>
            <w:r w:rsidRPr="00F3335C">
              <w:rPr>
                <w:rFonts w:cs="Calibri"/>
                <w:b/>
                <w:sz w:val="18"/>
                <w:szCs w:val="18"/>
              </w:rPr>
              <w:t>1,000</w:t>
            </w:r>
          </w:p>
        </w:tc>
        <w:tc>
          <w:tcPr>
            <w:tcW w:w="1040" w:type="dxa"/>
            <w:noWrap/>
            <w:tcMar>
              <w:top w:w="0" w:type="dxa"/>
              <w:left w:w="17" w:type="dxa"/>
              <w:bottom w:w="0" w:type="dxa"/>
              <w:right w:w="17" w:type="dxa"/>
            </w:tcMar>
          </w:tcPr>
          <w:p w:rsidR="003401C3" w:rsidRPr="00173793" w:rsidRDefault="003401C3" w:rsidP="00806D5A">
            <w:pPr>
              <w:jc w:val="right"/>
              <w:rPr>
                <w:rFonts w:cs="Calibri"/>
                <w:b/>
                <w:bCs/>
                <w:sz w:val="18"/>
                <w:szCs w:val="18"/>
              </w:rPr>
            </w:pPr>
          </w:p>
        </w:tc>
      </w:tr>
      <w:tr w:rsidR="003401C3" w:rsidRPr="00173793" w:rsidTr="00ED6FA0">
        <w:trPr>
          <w:trHeight w:val="240"/>
        </w:trPr>
        <w:tc>
          <w:tcPr>
            <w:tcW w:w="3063" w:type="dxa"/>
            <w:tcBorders>
              <w:bottom w:val="single" w:sz="4" w:space="0" w:color="auto"/>
            </w:tcBorders>
            <w:noWrap/>
            <w:tcMar>
              <w:top w:w="0" w:type="dxa"/>
              <w:left w:w="17" w:type="dxa"/>
              <w:bottom w:w="0" w:type="dxa"/>
              <w:right w:w="17" w:type="dxa"/>
            </w:tcMar>
          </w:tcPr>
          <w:p w:rsidR="003401C3" w:rsidRPr="00173793" w:rsidRDefault="003401C3" w:rsidP="00806D5A">
            <w:pPr>
              <w:keepNext/>
              <w:rPr>
                <w:rFonts w:cs="Calibri"/>
                <w:b/>
                <w:sz w:val="18"/>
                <w:szCs w:val="18"/>
                <w:lang w:eastAsia="en-AU"/>
              </w:rPr>
            </w:pPr>
          </w:p>
        </w:tc>
        <w:tc>
          <w:tcPr>
            <w:tcW w:w="1040" w:type="dxa"/>
            <w:tcBorders>
              <w:bottom w:val="single" w:sz="4" w:space="0" w:color="auto"/>
            </w:tcBorders>
            <w:noWrap/>
            <w:tcMar>
              <w:top w:w="0" w:type="dxa"/>
              <w:left w:w="17" w:type="dxa"/>
              <w:bottom w:w="0" w:type="dxa"/>
              <w:right w:w="17" w:type="dxa"/>
            </w:tcMar>
          </w:tcPr>
          <w:p w:rsidR="003401C3" w:rsidRPr="00A35A0F" w:rsidRDefault="003401C3" w:rsidP="00806D5A">
            <w:pPr>
              <w:jc w:val="right"/>
              <w:rPr>
                <w:rFonts w:cs="Calibri"/>
                <w:b/>
                <w:sz w:val="18"/>
                <w:szCs w:val="18"/>
              </w:rPr>
            </w:pPr>
          </w:p>
        </w:tc>
        <w:tc>
          <w:tcPr>
            <w:tcW w:w="1040" w:type="dxa"/>
            <w:tcBorders>
              <w:bottom w:val="single" w:sz="4" w:space="0" w:color="auto"/>
            </w:tcBorders>
            <w:noWrap/>
            <w:tcMar>
              <w:top w:w="0" w:type="dxa"/>
              <w:left w:w="17" w:type="dxa"/>
              <w:bottom w:w="0" w:type="dxa"/>
              <w:right w:w="17" w:type="dxa"/>
            </w:tcMar>
          </w:tcPr>
          <w:p w:rsidR="003401C3" w:rsidRPr="00A35A0F" w:rsidRDefault="003401C3" w:rsidP="00806D5A">
            <w:pPr>
              <w:jc w:val="right"/>
              <w:rPr>
                <w:rFonts w:cs="Calibri"/>
                <w:b/>
                <w:sz w:val="18"/>
                <w:szCs w:val="18"/>
              </w:rPr>
            </w:pPr>
          </w:p>
        </w:tc>
        <w:tc>
          <w:tcPr>
            <w:tcW w:w="1040" w:type="dxa"/>
            <w:tcBorders>
              <w:bottom w:val="single" w:sz="4" w:space="0" w:color="auto"/>
            </w:tcBorders>
            <w:noWrap/>
            <w:tcMar>
              <w:top w:w="0" w:type="dxa"/>
              <w:left w:w="17" w:type="dxa"/>
              <w:bottom w:w="0" w:type="dxa"/>
              <w:right w:w="17" w:type="dxa"/>
            </w:tcMar>
          </w:tcPr>
          <w:p w:rsidR="003401C3" w:rsidRPr="00A35A0F" w:rsidRDefault="003401C3" w:rsidP="00806D5A">
            <w:pPr>
              <w:jc w:val="right"/>
              <w:rPr>
                <w:rFonts w:cs="Calibri"/>
                <w:b/>
                <w:sz w:val="18"/>
                <w:szCs w:val="18"/>
              </w:rPr>
            </w:pPr>
          </w:p>
        </w:tc>
        <w:tc>
          <w:tcPr>
            <w:tcW w:w="1040" w:type="dxa"/>
            <w:tcBorders>
              <w:bottom w:val="single" w:sz="4" w:space="0" w:color="auto"/>
            </w:tcBorders>
            <w:noWrap/>
            <w:tcMar>
              <w:top w:w="0" w:type="dxa"/>
              <w:left w:w="17" w:type="dxa"/>
              <w:bottom w:w="0" w:type="dxa"/>
              <w:right w:w="17" w:type="dxa"/>
            </w:tcMar>
          </w:tcPr>
          <w:p w:rsidR="003401C3" w:rsidRPr="00A35A0F" w:rsidRDefault="003401C3" w:rsidP="00806D5A">
            <w:pPr>
              <w:jc w:val="right"/>
              <w:rPr>
                <w:rFonts w:cs="Calibri"/>
                <w:b/>
                <w:sz w:val="18"/>
                <w:szCs w:val="18"/>
              </w:rPr>
            </w:pPr>
          </w:p>
        </w:tc>
        <w:tc>
          <w:tcPr>
            <w:tcW w:w="1040" w:type="dxa"/>
            <w:tcBorders>
              <w:bottom w:val="single" w:sz="4" w:space="0" w:color="auto"/>
            </w:tcBorders>
            <w:noWrap/>
            <w:tcMar>
              <w:top w:w="0" w:type="dxa"/>
              <w:left w:w="17" w:type="dxa"/>
              <w:bottom w:w="0" w:type="dxa"/>
              <w:right w:w="17" w:type="dxa"/>
            </w:tcMar>
          </w:tcPr>
          <w:p w:rsidR="003401C3" w:rsidRPr="00F3335C" w:rsidRDefault="003401C3" w:rsidP="00806D5A">
            <w:pPr>
              <w:jc w:val="right"/>
              <w:rPr>
                <w:rFonts w:cs="Calibri"/>
                <w:b/>
                <w:sz w:val="18"/>
                <w:szCs w:val="18"/>
              </w:rPr>
            </w:pPr>
          </w:p>
        </w:tc>
        <w:tc>
          <w:tcPr>
            <w:tcW w:w="1040" w:type="dxa"/>
            <w:tcBorders>
              <w:bottom w:val="single" w:sz="4" w:space="0" w:color="auto"/>
            </w:tcBorders>
            <w:noWrap/>
            <w:tcMar>
              <w:top w:w="0" w:type="dxa"/>
              <w:left w:w="17" w:type="dxa"/>
              <w:bottom w:w="0" w:type="dxa"/>
              <w:right w:w="17" w:type="dxa"/>
            </w:tcMar>
          </w:tcPr>
          <w:p w:rsidR="003401C3" w:rsidRPr="00173793" w:rsidRDefault="003401C3" w:rsidP="00806D5A">
            <w:pPr>
              <w:jc w:val="right"/>
              <w:rPr>
                <w:rFonts w:cs="Calibri"/>
                <w:sz w:val="18"/>
                <w:szCs w:val="18"/>
              </w:rPr>
            </w:pPr>
          </w:p>
        </w:tc>
      </w:tr>
      <w:tr w:rsidR="003401C3" w:rsidRPr="00173793" w:rsidTr="00ED6FA0">
        <w:trPr>
          <w:trHeight w:val="240"/>
        </w:trPr>
        <w:tc>
          <w:tcPr>
            <w:tcW w:w="3063" w:type="dxa"/>
            <w:tcBorders>
              <w:top w:val="single" w:sz="4" w:space="0" w:color="auto"/>
              <w:bottom w:val="single" w:sz="4" w:space="0" w:color="auto"/>
            </w:tcBorders>
            <w:noWrap/>
            <w:tcMar>
              <w:top w:w="0" w:type="dxa"/>
              <w:left w:w="17" w:type="dxa"/>
              <w:bottom w:w="0" w:type="dxa"/>
              <w:right w:w="17" w:type="dxa"/>
            </w:tcMar>
          </w:tcPr>
          <w:p w:rsidR="003401C3" w:rsidRPr="00173793" w:rsidRDefault="003401C3" w:rsidP="00806D5A">
            <w:pPr>
              <w:keepNext/>
              <w:rPr>
                <w:rFonts w:cs="Calibri"/>
                <w:b/>
                <w:bCs/>
                <w:sz w:val="18"/>
                <w:szCs w:val="18"/>
                <w:lang w:eastAsia="en-AU"/>
              </w:rPr>
            </w:pPr>
            <w:r w:rsidRPr="00173793">
              <w:rPr>
                <w:rFonts w:cs="Calibri"/>
                <w:b/>
                <w:bCs/>
                <w:sz w:val="18"/>
                <w:szCs w:val="18"/>
                <w:lang w:eastAsia="en-AU"/>
              </w:rPr>
              <w:t>Total Controlled Capital Works</w:t>
            </w:r>
          </w:p>
        </w:tc>
        <w:tc>
          <w:tcPr>
            <w:tcW w:w="1040" w:type="dxa"/>
            <w:tcBorders>
              <w:top w:val="single" w:sz="4" w:space="0" w:color="auto"/>
              <w:bottom w:val="single" w:sz="4" w:space="0" w:color="auto"/>
            </w:tcBorders>
            <w:noWrap/>
            <w:tcMar>
              <w:top w:w="0" w:type="dxa"/>
              <w:left w:w="17" w:type="dxa"/>
              <w:bottom w:w="0" w:type="dxa"/>
              <w:right w:w="17" w:type="dxa"/>
            </w:tcMar>
          </w:tcPr>
          <w:p w:rsidR="003401C3" w:rsidRPr="00A35A0F" w:rsidRDefault="003401C3" w:rsidP="00806D5A">
            <w:pPr>
              <w:jc w:val="right"/>
              <w:rPr>
                <w:rFonts w:cs="Calibri"/>
                <w:b/>
                <w:sz w:val="18"/>
                <w:szCs w:val="18"/>
              </w:rPr>
            </w:pPr>
            <w:r w:rsidRPr="00A35A0F">
              <w:rPr>
                <w:rFonts w:cs="Calibri"/>
                <w:b/>
                <w:sz w:val="18"/>
                <w:szCs w:val="18"/>
              </w:rPr>
              <w:t>555,948</w:t>
            </w:r>
          </w:p>
        </w:tc>
        <w:tc>
          <w:tcPr>
            <w:tcW w:w="1040" w:type="dxa"/>
            <w:tcBorders>
              <w:top w:val="single" w:sz="4" w:space="0" w:color="auto"/>
              <w:bottom w:val="single" w:sz="4" w:space="0" w:color="auto"/>
            </w:tcBorders>
            <w:noWrap/>
            <w:tcMar>
              <w:top w:w="0" w:type="dxa"/>
              <w:left w:w="17" w:type="dxa"/>
              <w:bottom w:w="0" w:type="dxa"/>
              <w:right w:w="17" w:type="dxa"/>
            </w:tcMar>
          </w:tcPr>
          <w:p w:rsidR="003401C3" w:rsidRPr="00A35A0F" w:rsidRDefault="008D111F" w:rsidP="00806D5A">
            <w:pPr>
              <w:jc w:val="right"/>
              <w:rPr>
                <w:rFonts w:cs="Calibri"/>
                <w:b/>
                <w:sz w:val="18"/>
                <w:szCs w:val="18"/>
              </w:rPr>
            </w:pPr>
            <w:r>
              <w:rPr>
                <w:rFonts w:cs="Calibri"/>
                <w:b/>
                <w:sz w:val="18"/>
                <w:szCs w:val="18"/>
              </w:rPr>
              <w:t>304,775</w:t>
            </w:r>
          </w:p>
        </w:tc>
        <w:tc>
          <w:tcPr>
            <w:tcW w:w="1040" w:type="dxa"/>
            <w:tcBorders>
              <w:top w:val="single" w:sz="4" w:space="0" w:color="auto"/>
              <w:bottom w:val="single" w:sz="4" w:space="0" w:color="auto"/>
            </w:tcBorders>
            <w:noWrap/>
            <w:tcMar>
              <w:top w:w="0" w:type="dxa"/>
              <w:left w:w="17" w:type="dxa"/>
              <w:bottom w:w="0" w:type="dxa"/>
              <w:right w:w="17" w:type="dxa"/>
            </w:tcMar>
          </w:tcPr>
          <w:p w:rsidR="003401C3" w:rsidRPr="00A35A0F" w:rsidRDefault="003401C3" w:rsidP="00806D5A">
            <w:pPr>
              <w:jc w:val="right"/>
              <w:rPr>
                <w:rFonts w:cs="Calibri"/>
                <w:b/>
                <w:sz w:val="18"/>
                <w:szCs w:val="18"/>
              </w:rPr>
            </w:pPr>
            <w:r>
              <w:rPr>
                <w:rFonts w:cs="Calibri"/>
                <w:b/>
                <w:sz w:val="18"/>
                <w:szCs w:val="18"/>
              </w:rPr>
              <w:t>172</w:t>
            </w:r>
            <w:r w:rsidRPr="00A35A0F">
              <w:rPr>
                <w:rFonts w:cs="Calibri"/>
                <w:b/>
                <w:sz w:val="18"/>
                <w:szCs w:val="18"/>
              </w:rPr>
              <w:t>,287</w:t>
            </w:r>
          </w:p>
        </w:tc>
        <w:tc>
          <w:tcPr>
            <w:tcW w:w="1040" w:type="dxa"/>
            <w:tcBorders>
              <w:top w:val="single" w:sz="4" w:space="0" w:color="auto"/>
              <w:bottom w:val="single" w:sz="4" w:space="0" w:color="auto"/>
            </w:tcBorders>
            <w:noWrap/>
            <w:tcMar>
              <w:top w:w="0" w:type="dxa"/>
              <w:left w:w="17" w:type="dxa"/>
              <w:bottom w:w="0" w:type="dxa"/>
              <w:right w:w="17" w:type="dxa"/>
            </w:tcMar>
          </w:tcPr>
          <w:p w:rsidR="003401C3" w:rsidRPr="00A35A0F" w:rsidRDefault="003401C3" w:rsidP="00806D5A">
            <w:pPr>
              <w:jc w:val="right"/>
              <w:rPr>
                <w:rFonts w:cs="Calibri"/>
                <w:b/>
                <w:sz w:val="18"/>
                <w:szCs w:val="18"/>
              </w:rPr>
            </w:pPr>
            <w:r w:rsidRPr="00A35A0F">
              <w:rPr>
                <w:rFonts w:cs="Calibri"/>
                <w:b/>
                <w:sz w:val="18"/>
                <w:szCs w:val="18"/>
              </w:rPr>
              <w:t>72,924</w:t>
            </w:r>
          </w:p>
        </w:tc>
        <w:tc>
          <w:tcPr>
            <w:tcW w:w="1040" w:type="dxa"/>
            <w:tcBorders>
              <w:top w:val="single" w:sz="4" w:space="0" w:color="auto"/>
              <w:bottom w:val="single" w:sz="4" w:space="0" w:color="auto"/>
            </w:tcBorders>
            <w:noWrap/>
            <w:tcMar>
              <w:top w:w="0" w:type="dxa"/>
              <w:left w:w="17" w:type="dxa"/>
              <w:bottom w:w="0" w:type="dxa"/>
              <w:right w:w="17" w:type="dxa"/>
            </w:tcMar>
          </w:tcPr>
          <w:p w:rsidR="003401C3" w:rsidRPr="00F3335C" w:rsidRDefault="003401C3" w:rsidP="00806D5A">
            <w:pPr>
              <w:jc w:val="right"/>
              <w:rPr>
                <w:rFonts w:cs="Calibri"/>
                <w:b/>
                <w:sz w:val="18"/>
                <w:szCs w:val="18"/>
              </w:rPr>
            </w:pPr>
            <w:r w:rsidRPr="00F3335C">
              <w:rPr>
                <w:rFonts w:cs="Calibri"/>
                <w:b/>
                <w:sz w:val="18"/>
                <w:szCs w:val="18"/>
              </w:rPr>
              <w:t>3,292</w:t>
            </w:r>
          </w:p>
        </w:tc>
        <w:tc>
          <w:tcPr>
            <w:tcW w:w="1040" w:type="dxa"/>
            <w:tcBorders>
              <w:top w:val="single" w:sz="4" w:space="0" w:color="auto"/>
              <w:bottom w:val="single" w:sz="4" w:space="0" w:color="auto"/>
            </w:tcBorders>
            <w:noWrap/>
            <w:tcMar>
              <w:top w:w="0" w:type="dxa"/>
              <w:left w:w="17" w:type="dxa"/>
              <w:bottom w:w="0" w:type="dxa"/>
              <w:right w:w="17" w:type="dxa"/>
            </w:tcMar>
          </w:tcPr>
          <w:p w:rsidR="003401C3" w:rsidRPr="00173793" w:rsidRDefault="003401C3" w:rsidP="00806D5A">
            <w:pPr>
              <w:jc w:val="right"/>
              <w:rPr>
                <w:rFonts w:cs="Calibri"/>
                <w:b/>
                <w:bCs/>
                <w:sz w:val="18"/>
                <w:szCs w:val="18"/>
              </w:rPr>
            </w:pPr>
          </w:p>
        </w:tc>
      </w:tr>
    </w:tbl>
    <w:p w:rsidR="003401C3" w:rsidRPr="00173793" w:rsidRDefault="003401C3" w:rsidP="003401C3">
      <w:pPr>
        <w:pStyle w:val="NoteHeading"/>
      </w:pPr>
      <w:r w:rsidRPr="00173793">
        <w:t>Notes:</w:t>
      </w:r>
    </w:p>
    <w:p w:rsidR="003401C3" w:rsidRPr="003401C3" w:rsidRDefault="003401C3" w:rsidP="00547D64">
      <w:pPr>
        <w:pStyle w:val="NoteHeading"/>
        <w:numPr>
          <w:ilvl w:val="0"/>
          <w:numId w:val="36"/>
        </w:numPr>
        <w:spacing w:before="0"/>
        <w:ind w:left="284" w:hanging="284"/>
        <w:rPr>
          <w:b w:val="0"/>
        </w:rPr>
      </w:pPr>
      <w:r w:rsidRPr="00173793">
        <w:rPr>
          <w:b w:val="0"/>
        </w:rPr>
        <w:t>An additional $2.667 million is forecast for the 2016-17 financial year</w:t>
      </w:r>
      <w:r>
        <w:rPr>
          <w:b w:val="0"/>
        </w:rPr>
        <w:t>.</w:t>
      </w:r>
    </w:p>
    <w:p w:rsidR="002606BB" w:rsidRDefault="002606BB" w:rsidP="00547D64">
      <w:pPr>
        <w:pStyle w:val="NoteHeading"/>
        <w:numPr>
          <w:ilvl w:val="0"/>
          <w:numId w:val="36"/>
        </w:numPr>
        <w:spacing w:before="0"/>
        <w:ind w:left="284" w:hanging="284"/>
        <w:rPr>
          <w:b w:val="0"/>
        </w:rPr>
      </w:pPr>
      <w:r>
        <w:rPr>
          <w:b w:val="0"/>
        </w:rPr>
        <w:t>This funding profile reflects the expected timing of payments.</w:t>
      </w:r>
    </w:p>
    <w:p w:rsidR="003401C3" w:rsidRDefault="003401C3" w:rsidP="00547D64">
      <w:pPr>
        <w:pStyle w:val="NoteHeading"/>
        <w:numPr>
          <w:ilvl w:val="0"/>
          <w:numId w:val="36"/>
        </w:numPr>
        <w:spacing w:before="0"/>
        <w:ind w:left="284" w:hanging="284"/>
        <w:rPr>
          <w:b w:val="0"/>
        </w:rPr>
      </w:pPr>
      <w:r>
        <w:rPr>
          <w:b w:val="0"/>
        </w:rPr>
        <w:t>These projects are completed but are in defects liability period.</w:t>
      </w:r>
    </w:p>
    <w:p w:rsidR="0075638A" w:rsidRDefault="00ED6FA0" w:rsidP="00ED6FA0">
      <w:pPr>
        <w:pStyle w:val="Heading3"/>
        <w:spacing w:before="0"/>
      </w:pPr>
      <w:r>
        <w:br w:type="page"/>
      </w:r>
    </w:p>
    <w:p w:rsidR="00ED6FA0" w:rsidRDefault="00ED6FA0" w:rsidP="00ED6FA0">
      <w:pPr>
        <w:pStyle w:val="Heading3"/>
        <w:spacing w:before="0"/>
      </w:pPr>
      <w:proofErr w:type="gramStart"/>
      <w:r>
        <w:lastRenderedPageBreak/>
        <w:t>2013-14 Capital Works Program cont.</w:t>
      </w:r>
      <w:proofErr w:type="gramEnd"/>
    </w:p>
    <w:tbl>
      <w:tblPr>
        <w:tblW w:w="9356" w:type="dxa"/>
        <w:tblLayout w:type="fixed"/>
        <w:tblCellMar>
          <w:left w:w="0" w:type="dxa"/>
          <w:right w:w="0" w:type="dxa"/>
        </w:tblCellMar>
        <w:tblLook w:val="0000"/>
      </w:tblPr>
      <w:tblGrid>
        <w:gridCol w:w="3093"/>
        <w:gridCol w:w="1043"/>
        <w:gridCol w:w="1043"/>
        <w:gridCol w:w="1043"/>
        <w:gridCol w:w="1043"/>
        <w:gridCol w:w="1043"/>
        <w:gridCol w:w="1048"/>
      </w:tblGrid>
      <w:tr w:rsidR="00ED6FA0" w:rsidRPr="00470E6B" w:rsidTr="00806D5A">
        <w:trPr>
          <w:trHeight w:val="240"/>
        </w:trPr>
        <w:tc>
          <w:tcPr>
            <w:tcW w:w="3093" w:type="dxa"/>
            <w:tcBorders>
              <w:top w:val="single" w:sz="4" w:space="0" w:color="auto"/>
              <w:left w:val="nil"/>
              <w:bottom w:val="nil"/>
              <w:right w:val="nil"/>
            </w:tcBorders>
            <w:noWrap/>
            <w:tcMar>
              <w:top w:w="17" w:type="dxa"/>
              <w:left w:w="17" w:type="dxa"/>
              <w:bottom w:w="0" w:type="dxa"/>
              <w:right w:w="17" w:type="dxa"/>
            </w:tcMar>
            <w:vAlign w:val="bottom"/>
          </w:tcPr>
          <w:p w:rsidR="00ED6FA0" w:rsidRPr="00173793" w:rsidRDefault="00ED6FA0" w:rsidP="00806D5A">
            <w:pPr>
              <w:keepNext/>
              <w:rPr>
                <w:rFonts w:cs="Calibri"/>
                <w:b/>
                <w:sz w:val="18"/>
                <w:szCs w:val="18"/>
              </w:rPr>
            </w:pPr>
            <w:r w:rsidRPr="00173793">
              <w:rPr>
                <w:rFonts w:cs="Calibri"/>
                <w:b/>
                <w:sz w:val="18"/>
                <w:szCs w:val="18"/>
              </w:rPr>
              <w:t> Territorial</w:t>
            </w:r>
          </w:p>
        </w:tc>
        <w:tc>
          <w:tcPr>
            <w:tcW w:w="1043" w:type="dxa"/>
            <w:tcBorders>
              <w:top w:val="single" w:sz="4" w:space="0" w:color="auto"/>
              <w:left w:val="nil"/>
              <w:bottom w:val="nil"/>
              <w:right w:val="nil"/>
            </w:tcBorders>
            <w:noWrap/>
            <w:tcMar>
              <w:top w:w="0" w:type="dxa"/>
              <w:left w:w="17" w:type="dxa"/>
              <w:bottom w:w="0" w:type="dxa"/>
              <w:right w:w="17" w:type="dxa"/>
            </w:tcMar>
          </w:tcPr>
          <w:p w:rsidR="00ED6FA0" w:rsidRPr="00173793" w:rsidRDefault="00ED6FA0" w:rsidP="00806D5A">
            <w:pPr>
              <w:keepNext/>
              <w:jc w:val="right"/>
              <w:rPr>
                <w:b/>
                <w:sz w:val="18"/>
                <w:szCs w:val="24"/>
              </w:rPr>
            </w:pPr>
            <w:r w:rsidRPr="00173793">
              <w:rPr>
                <w:b/>
                <w:sz w:val="18"/>
                <w:szCs w:val="24"/>
              </w:rPr>
              <w:t>Estimated</w:t>
            </w:r>
          </w:p>
        </w:tc>
        <w:tc>
          <w:tcPr>
            <w:tcW w:w="1043" w:type="dxa"/>
            <w:tcBorders>
              <w:top w:val="single" w:sz="4" w:space="0" w:color="auto"/>
              <w:left w:val="nil"/>
              <w:bottom w:val="nil"/>
              <w:right w:val="nil"/>
            </w:tcBorders>
            <w:noWrap/>
            <w:tcMar>
              <w:top w:w="17" w:type="dxa"/>
              <w:left w:w="17" w:type="dxa"/>
              <w:bottom w:w="0" w:type="dxa"/>
              <w:right w:w="17" w:type="dxa"/>
            </w:tcMar>
          </w:tcPr>
          <w:p w:rsidR="00ED6FA0" w:rsidRPr="00173793" w:rsidRDefault="00ED6FA0" w:rsidP="00806D5A">
            <w:pPr>
              <w:keepNext/>
              <w:jc w:val="right"/>
              <w:rPr>
                <w:b/>
                <w:sz w:val="18"/>
                <w:szCs w:val="24"/>
              </w:rPr>
            </w:pPr>
            <w:r w:rsidRPr="00173793">
              <w:rPr>
                <w:b/>
                <w:sz w:val="18"/>
                <w:szCs w:val="24"/>
              </w:rPr>
              <w:t>Estimated</w:t>
            </w:r>
          </w:p>
        </w:tc>
        <w:tc>
          <w:tcPr>
            <w:tcW w:w="1043" w:type="dxa"/>
            <w:tcBorders>
              <w:top w:val="single" w:sz="4" w:space="0" w:color="auto"/>
              <w:left w:val="nil"/>
              <w:bottom w:val="nil"/>
              <w:right w:val="nil"/>
            </w:tcBorders>
            <w:noWrap/>
            <w:tcMar>
              <w:top w:w="17" w:type="dxa"/>
              <w:left w:w="17" w:type="dxa"/>
              <w:bottom w:w="0" w:type="dxa"/>
              <w:right w:w="17" w:type="dxa"/>
            </w:tcMar>
          </w:tcPr>
          <w:p w:rsidR="00ED6FA0" w:rsidRPr="00173793" w:rsidRDefault="00ED6FA0" w:rsidP="00806D5A">
            <w:pPr>
              <w:keepNext/>
              <w:jc w:val="right"/>
              <w:rPr>
                <w:b/>
                <w:sz w:val="18"/>
                <w:szCs w:val="24"/>
              </w:rPr>
            </w:pPr>
            <w:r w:rsidRPr="00173793">
              <w:rPr>
                <w:b/>
                <w:sz w:val="18"/>
                <w:szCs w:val="24"/>
              </w:rPr>
              <w:t>2013-14</w:t>
            </w:r>
          </w:p>
        </w:tc>
        <w:tc>
          <w:tcPr>
            <w:tcW w:w="1043" w:type="dxa"/>
            <w:tcBorders>
              <w:top w:val="single" w:sz="4" w:space="0" w:color="auto"/>
              <w:left w:val="nil"/>
              <w:bottom w:val="nil"/>
              <w:right w:val="nil"/>
            </w:tcBorders>
            <w:noWrap/>
            <w:tcMar>
              <w:top w:w="17" w:type="dxa"/>
              <w:left w:w="17" w:type="dxa"/>
              <w:bottom w:w="0" w:type="dxa"/>
              <w:right w:w="17" w:type="dxa"/>
            </w:tcMar>
          </w:tcPr>
          <w:p w:rsidR="00ED6FA0" w:rsidRPr="00173793" w:rsidRDefault="00ED6FA0" w:rsidP="00806D5A">
            <w:pPr>
              <w:keepNext/>
              <w:jc w:val="right"/>
              <w:rPr>
                <w:b/>
                <w:sz w:val="18"/>
                <w:szCs w:val="24"/>
              </w:rPr>
            </w:pPr>
            <w:r w:rsidRPr="00173793">
              <w:rPr>
                <w:b/>
                <w:sz w:val="18"/>
                <w:szCs w:val="24"/>
              </w:rPr>
              <w:t>2014-15</w:t>
            </w:r>
          </w:p>
        </w:tc>
        <w:tc>
          <w:tcPr>
            <w:tcW w:w="1043" w:type="dxa"/>
            <w:tcBorders>
              <w:top w:val="single" w:sz="4" w:space="0" w:color="auto"/>
              <w:left w:val="nil"/>
              <w:bottom w:val="nil"/>
              <w:right w:val="nil"/>
            </w:tcBorders>
            <w:noWrap/>
            <w:tcMar>
              <w:top w:w="17" w:type="dxa"/>
              <w:left w:w="17" w:type="dxa"/>
              <w:bottom w:w="0" w:type="dxa"/>
              <w:right w:w="17" w:type="dxa"/>
            </w:tcMar>
          </w:tcPr>
          <w:p w:rsidR="00ED6FA0" w:rsidRPr="00173793" w:rsidRDefault="00ED6FA0" w:rsidP="00806D5A">
            <w:pPr>
              <w:keepNext/>
              <w:jc w:val="right"/>
              <w:rPr>
                <w:b/>
                <w:sz w:val="18"/>
                <w:szCs w:val="24"/>
              </w:rPr>
            </w:pPr>
            <w:r w:rsidRPr="00173793">
              <w:rPr>
                <w:b/>
                <w:sz w:val="18"/>
                <w:szCs w:val="24"/>
              </w:rPr>
              <w:t>2015-16</w:t>
            </w:r>
          </w:p>
        </w:tc>
        <w:tc>
          <w:tcPr>
            <w:tcW w:w="1048" w:type="dxa"/>
            <w:tcBorders>
              <w:top w:val="single" w:sz="4" w:space="0" w:color="auto"/>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r w:rsidRPr="00173793">
              <w:rPr>
                <w:b/>
                <w:sz w:val="18"/>
                <w:szCs w:val="24"/>
              </w:rPr>
              <w:t>Physical</w:t>
            </w:r>
          </w:p>
        </w:tc>
      </w:tr>
      <w:tr w:rsidR="00ED6FA0" w:rsidRPr="00470E6B" w:rsidTr="00806D5A">
        <w:trPr>
          <w:trHeight w:val="240"/>
        </w:trPr>
        <w:tc>
          <w:tcPr>
            <w:tcW w:w="3093" w:type="dxa"/>
            <w:tcBorders>
              <w:top w:val="nil"/>
              <w:left w:val="nil"/>
              <w:bottom w:val="nil"/>
              <w:right w:val="nil"/>
            </w:tcBorders>
            <w:noWrap/>
            <w:tcMar>
              <w:top w:w="17" w:type="dxa"/>
              <w:left w:w="17" w:type="dxa"/>
              <w:bottom w:w="0" w:type="dxa"/>
              <w:right w:w="17" w:type="dxa"/>
            </w:tcMar>
            <w:vAlign w:val="bottom"/>
          </w:tcPr>
          <w:p w:rsidR="00ED6FA0" w:rsidRPr="00470E6B" w:rsidRDefault="00ED6FA0" w:rsidP="00806D5A">
            <w:pPr>
              <w:jc w:val="right"/>
              <w:rPr>
                <w:rFonts w:cs="Calibri"/>
                <w:sz w:val="18"/>
                <w:szCs w:val="18"/>
                <w:highlight w:val="yellow"/>
              </w:rPr>
            </w:pPr>
          </w:p>
        </w:tc>
        <w:tc>
          <w:tcPr>
            <w:tcW w:w="1043"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Total</w:t>
            </w:r>
          </w:p>
        </w:tc>
        <w:tc>
          <w:tcPr>
            <w:tcW w:w="1043"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Expenditure</w:t>
            </w:r>
          </w:p>
        </w:tc>
        <w:tc>
          <w:tcPr>
            <w:tcW w:w="1043"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Financing</w:t>
            </w:r>
          </w:p>
        </w:tc>
        <w:tc>
          <w:tcPr>
            <w:tcW w:w="1043"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Financing</w:t>
            </w:r>
          </w:p>
        </w:tc>
        <w:tc>
          <w:tcPr>
            <w:tcW w:w="1043"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Financing</w:t>
            </w:r>
          </w:p>
        </w:tc>
        <w:tc>
          <w:tcPr>
            <w:tcW w:w="1048"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Completion</w:t>
            </w:r>
          </w:p>
        </w:tc>
      </w:tr>
      <w:tr w:rsidR="00ED6FA0" w:rsidRPr="00470E6B" w:rsidTr="00806D5A">
        <w:trPr>
          <w:trHeight w:val="240"/>
        </w:trPr>
        <w:tc>
          <w:tcPr>
            <w:tcW w:w="3093" w:type="dxa"/>
            <w:tcBorders>
              <w:top w:val="nil"/>
              <w:left w:val="nil"/>
              <w:bottom w:val="nil"/>
              <w:right w:val="nil"/>
            </w:tcBorders>
            <w:noWrap/>
            <w:tcMar>
              <w:top w:w="17" w:type="dxa"/>
              <w:left w:w="17" w:type="dxa"/>
              <w:bottom w:w="0" w:type="dxa"/>
              <w:right w:w="17" w:type="dxa"/>
            </w:tcMar>
            <w:vAlign w:val="bottom"/>
          </w:tcPr>
          <w:p w:rsidR="00ED6FA0" w:rsidRPr="00470E6B" w:rsidRDefault="00ED6FA0" w:rsidP="00806D5A">
            <w:pPr>
              <w:tabs>
                <w:tab w:val="center" w:pos="4153"/>
                <w:tab w:val="right" w:pos="8306"/>
              </w:tabs>
              <w:jc w:val="right"/>
              <w:rPr>
                <w:rFonts w:cs="Calibri"/>
                <w:sz w:val="18"/>
                <w:szCs w:val="18"/>
                <w:highlight w:val="yellow"/>
              </w:rPr>
            </w:pPr>
          </w:p>
        </w:tc>
        <w:tc>
          <w:tcPr>
            <w:tcW w:w="1043"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Cost</w:t>
            </w:r>
          </w:p>
        </w:tc>
        <w:tc>
          <w:tcPr>
            <w:tcW w:w="1043"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Pre 2013-14</w:t>
            </w:r>
          </w:p>
        </w:tc>
        <w:tc>
          <w:tcPr>
            <w:tcW w:w="1043"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p>
        </w:tc>
        <w:tc>
          <w:tcPr>
            <w:tcW w:w="1043"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p>
        </w:tc>
        <w:tc>
          <w:tcPr>
            <w:tcW w:w="1043"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p>
        </w:tc>
        <w:tc>
          <w:tcPr>
            <w:tcW w:w="1048" w:type="dxa"/>
            <w:tcBorders>
              <w:top w:val="nil"/>
              <w:left w:val="nil"/>
              <w:bottom w:val="nil"/>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Date</w:t>
            </w:r>
          </w:p>
        </w:tc>
      </w:tr>
      <w:tr w:rsidR="00ED6FA0" w:rsidRPr="00470E6B" w:rsidTr="00806D5A">
        <w:trPr>
          <w:trHeight w:val="240"/>
        </w:trPr>
        <w:tc>
          <w:tcPr>
            <w:tcW w:w="3093" w:type="dxa"/>
            <w:tcBorders>
              <w:top w:val="nil"/>
              <w:left w:val="nil"/>
              <w:bottom w:val="single" w:sz="4" w:space="0" w:color="auto"/>
              <w:right w:val="nil"/>
            </w:tcBorders>
            <w:noWrap/>
            <w:tcMar>
              <w:top w:w="17" w:type="dxa"/>
              <w:left w:w="17" w:type="dxa"/>
              <w:bottom w:w="0" w:type="dxa"/>
              <w:right w:w="17" w:type="dxa"/>
            </w:tcMar>
            <w:vAlign w:val="bottom"/>
          </w:tcPr>
          <w:p w:rsidR="00ED6FA0" w:rsidRPr="00470E6B" w:rsidRDefault="00ED6FA0" w:rsidP="00806D5A">
            <w:pPr>
              <w:jc w:val="right"/>
              <w:rPr>
                <w:rFonts w:cs="Calibri"/>
                <w:sz w:val="18"/>
                <w:szCs w:val="18"/>
                <w:highlight w:val="yellow"/>
              </w:rPr>
            </w:pPr>
          </w:p>
        </w:tc>
        <w:tc>
          <w:tcPr>
            <w:tcW w:w="1043" w:type="dxa"/>
            <w:tcBorders>
              <w:top w:val="nil"/>
              <w:left w:val="nil"/>
              <w:bottom w:val="single" w:sz="4" w:space="0" w:color="auto"/>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$’000</w:t>
            </w:r>
          </w:p>
        </w:tc>
        <w:tc>
          <w:tcPr>
            <w:tcW w:w="1043" w:type="dxa"/>
            <w:tcBorders>
              <w:top w:val="nil"/>
              <w:left w:val="nil"/>
              <w:bottom w:val="single" w:sz="4" w:space="0" w:color="auto"/>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$’000</w:t>
            </w:r>
          </w:p>
        </w:tc>
        <w:tc>
          <w:tcPr>
            <w:tcW w:w="1043" w:type="dxa"/>
            <w:tcBorders>
              <w:top w:val="nil"/>
              <w:left w:val="nil"/>
              <w:bottom w:val="single" w:sz="4" w:space="0" w:color="auto"/>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$’000</w:t>
            </w:r>
          </w:p>
        </w:tc>
        <w:tc>
          <w:tcPr>
            <w:tcW w:w="1043" w:type="dxa"/>
            <w:tcBorders>
              <w:top w:val="nil"/>
              <w:left w:val="nil"/>
              <w:bottom w:val="single" w:sz="4" w:space="0" w:color="auto"/>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$’000</w:t>
            </w:r>
          </w:p>
        </w:tc>
        <w:tc>
          <w:tcPr>
            <w:tcW w:w="1043" w:type="dxa"/>
            <w:tcBorders>
              <w:top w:val="nil"/>
              <w:left w:val="nil"/>
              <w:bottom w:val="single" w:sz="4" w:space="0" w:color="auto"/>
              <w:right w:val="nil"/>
            </w:tcBorders>
            <w:noWrap/>
            <w:tcMar>
              <w:top w:w="17" w:type="dxa"/>
              <w:left w:w="17" w:type="dxa"/>
              <w:bottom w:w="0" w:type="dxa"/>
              <w:right w:w="17" w:type="dxa"/>
            </w:tcMar>
          </w:tcPr>
          <w:p w:rsidR="00ED6FA0" w:rsidRDefault="00ED6FA0" w:rsidP="00806D5A">
            <w:pPr>
              <w:keepNext/>
              <w:jc w:val="right"/>
              <w:rPr>
                <w:b/>
                <w:sz w:val="18"/>
                <w:szCs w:val="24"/>
              </w:rPr>
            </w:pPr>
            <w:r>
              <w:rPr>
                <w:b/>
                <w:sz w:val="18"/>
                <w:szCs w:val="24"/>
              </w:rPr>
              <w:t>$’000</w:t>
            </w:r>
          </w:p>
        </w:tc>
        <w:tc>
          <w:tcPr>
            <w:tcW w:w="1048" w:type="dxa"/>
            <w:tcBorders>
              <w:top w:val="nil"/>
              <w:left w:val="nil"/>
              <w:bottom w:val="single" w:sz="4" w:space="0" w:color="auto"/>
              <w:right w:val="nil"/>
            </w:tcBorders>
            <w:noWrap/>
            <w:tcMar>
              <w:top w:w="0" w:type="dxa"/>
              <w:left w:w="17" w:type="dxa"/>
              <w:bottom w:w="0" w:type="dxa"/>
              <w:right w:w="17" w:type="dxa"/>
            </w:tcMar>
          </w:tcPr>
          <w:p w:rsidR="00ED6FA0" w:rsidRDefault="00ED6FA0" w:rsidP="00806D5A">
            <w:pPr>
              <w:keepNext/>
              <w:jc w:val="right"/>
              <w:rPr>
                <w:b/>
                <w:sz w:val="18"/>
                <w:szCs w:val="24"/>
              </w:rPr>
            </w:pPr>
            <w:r>
              <w:rPr>
                <w:b/>
                <w:sz w:val="18"/>
                <w:szCs w:val="24"/>
              </w:rPr>
              <w:t> </w:t>
            </w:r>
          </w:p>
        </w:tc>
      </w:tr>
      <w:tr w:rsidR="00ED6FA0" w:rsidRPr="00470E6B" w:rsidTr="00806D5A">
        <w:trPr>
          <w:trHeight w:val="240"/>
        </w:trPr>
        <w:tc>
          <w:tcPr>
            <w:tcW w:w="3093" w:type="dxa"/>
            <w:tcBorders>
              <w:top w:val="nil"/>
              <w:left w:val="nil"/>
              <w:bottom w:val="nil"/>
              <w:right w:val="nil"/>
            </w:tcBorders>
            <w:noWrap/>
            <w:tcMar>
              <w:top w:w="17" w:type="dxa"/>
              <w:left w:w="17" w:type="dxa"/>
              <w:bottom w:w="0" w:type="dxa"/>
              <w:right w:w="17" w:type="dxa"/>
            </w:tcMar>
          </w:tcPr>
          <w:p w:rsidR="00ED6FA0" w:rsidRPr="00470E6B" w:rsidRDefault="00ED6FA0" w:rsidP="00806D5A">
            <w:pPr>
              <w:keepNext/>
              <w:rPr>
                <w:rFonts w:cs="Calibri"/>
                <w:b/>
                <w:sz w:val="18"/>
                <w:szCs w:val="18"/>
                <w:highlight w:val="yellow"/>
                <w:lang w:eastAsia="en-AU"/>
              </w:rPr>
            </w:pPr>
          </w:p>
        </w:tc>
        <w:tc>
          <w:tcPr>
            <w:tcW w:w="1043" w:type="dxa"/>
            <w:tcBorders>
              <w:top w:val="nil"/>
              <w:left w:val="nil"/>
              <w:bottom w:val="nil"/>
              <w:right w:val="nil"/>
            </w:tcBorders>
            <w:noWrap/>
            <w:tcMar>
              <w:top w:w="17" w:type="dxa"/>
              <w:left w:w="17" w:type="dxa"/>
              <w:bottom w:w="0" w:type="dxa"/>
              <w:right w:w="17" w:type="dxa"/>
            </w:tcMar>
          </w:tcPr>
          <w:p w:rsidR="00ED6FA0" w:rsidRPr="00470E6B" w:rsidRDefault="00ED6FA0" w:rsidP="00806D5A">
            <w:pPr>
              <w:jc w:val="right"/>
              <w:rPr>
                <w:rFonts w:cs="Calibri"/>
                <w:sz w:val="18"/>
                <w:szCs w:val="18"/>
                <w:highlight w:val="yellow"/>
              </w:rPr>
            </w:pPr>
          </w:p>
        </w:tc>
        <w:tc>
          <w:tcPr>
            <w:tcW w:w="1043" w:type="dxa"/>
            <w:tcBorders>
              <w:top w:val="nil"/>
              <w:left w:val="nil"/>
              <w:bottom w:val="nil"/>
              <w:right w:val="nil"/>
            </w:tcBorders>
            <w:noWrap/>
            <w:tcMar>
              <w:top w:w="17" w:type="dxa"/>
              <w:left w:w="17" w:type="dxa"/>
              <w:bottom w:w="0" w:type="dxa"/>
              <w:right w:w="17" w:type="dxa"/>
            </w:tcMar>
          </w:tcPr>
          <w:p w:rsidR="00ED6FA0" w:rsidRPr="00470E6B" w:rsidRDefault="00ED6FA0" w:rsidP="00806D5A">
            <w:pPr>
              <w:jc w:val="right"/>
              <w:rPr>
                <w:rFonts w:cs="Calibri"/>
                <w:sz w:val="18"/>
                <w:szCs w:val="18"/>
                <w:highlight w:val="yellow"/>
              </w:rPr>
            </w:pPr>
          </w:p>
        </w:tc>
        <w:tc>
          <w:tcPr>
            <w:tcW w:w="1043" w:type="dxa"/>
            <w:tcBorders>
              <w:top w:val="nil"/>
              <w:left w:val="nil"/>
              <w:bottom w:val="nil"/>
              <w:right w:val="nil"/>
            </w:tcBorders>
            <w:noWrap/>
            <w:tcMar>
              <w:top w:w="17" w:type="dxa"/>
              <w:left w:w="17" w:type="dxa"/>
              <w:bottom w:w="0" w:type="dxa"/>
              <w:right w:w="17" w:type="dxa"/>
            </w:tcMar>
          </w:tcPr>
          <w:p w:rsidR="00ED6FA0" w:rsidRPr="00470E6B" w:rsidRDefault="00ED6FA0" w:rsidP="00806D5A">
            <w:pPr>
              <w:jc w:val="right"/>
              <w:rPr>
                <w:rFonts w:cs="Calibri"/>
                <w:sz w:val="18"/>
                <w:szCs w:val="18"/>
                <w:highlight w:val="yellow"/>
              </w:rPr>
            </w:pPr>
          </w:p>
        </w:tc>
        <w:tc>
          <w:tcPr>
            <w:tcW w:w="1043" w:type="dxa"/>
            <w:tcBorders>
              <w:top w:val="nil"/>
              <w:left w:val="nil"/>
              <w:bottom w:val="nil"/>
              <w:right w:val="nil"/>
            </w:tcBorders>
            <w:noWrap/>
            <w:tcMar>
              <w:top w:w="17" w:type="dxa"/>
              <w:left w:w="17" w:type="dxa"/>
              <w:bottom w:w="0" w:type="dxa"/>
              <w:right w:w="17" w:type="dxa"/>
            </w:tcMar>
          </w:tcPr>
          <w:p w:rsidR="00ED6FA0" w:rsidRPr="00470E6B" w:rsidRDefault="00ED6FA0" w:rsidP="00806D5A">
            <w:pPr>
              <w:jc w:val="right"/>
              <w:rPr>
                <w:rFonts w:cs="Calibri"/>
                <w:sz w:val="18"/>
                <w:szCs w:val="18"/>
                <w:highlight w:val="yellow"/>
              </w:rPr>
            </w:pPr>
          </w:p>
        </w:tc>
        <w:tc>
          <w:tcPr>
            <w:tcW w:w="1043" w:type="dxa"/>
            <w:tcBorders>
              <w:top w:val="nil"/>
              <w:left w:val="nil"/>
              <w:bottom w:val="nil"/>
              <w:right w:val="nil"/>
            </w:tcBorders>
            <w:noWrap/>
            <w:tcMar>
              <w:top w:w="17" w:type="dxa"/>
              <w:left w:w="17" w:type="dxa"/>
              <w:bottom w:w="0" w:type="dxa"/>
              <w:right w:w="17" w:type="dxa"/>
            </w:tcMar>
          </w:tcPr>
          <w:p w:rsidR="00ED6FA0" w:rsidRPr="00470E6B" w:rsidRDefault="00ED6FA0" w:rsidP="00806D5A">
            <w:pPr>
              <w:jc w:val="right"/>
              <w:rPr>
                <w:rFonts w:cs="Calibri"/>
                <w:sz w:val="18"/>
                <w:szCs w:val="18"/>
                <w:highlight w:val="yellow"/>
              </w:rPr>
            </w:pPr>
          </w:p>
        </w:tc>
        <w:tc>
          <w:tcPr>
            <w:tcW w:w="1048" w:type="dxa"/>
            <w:tcBorders>
              <w:top w:val="nil"/>
              <w:left w:val="nil"/>
              <w:bottom w:val="nil"/>
              <w:right w:val="nil"/>
            </w:tcBorders>
            <w:noWrap/>
            <w:tcMar>
              <w:top w:w="17" w:type="dxa"/>
              <w:left w:w="17" w:type="dxa"/>
              <w:bottom w:w="0" w:type="dxa"/>
              <w:right w:w="17" w:type="dxa"/>
            </w:tcMar>
          </w:tcPr>
          <w:p w:rsidR="00ED6FA0" w:rsidRPr="00470E6B" w:rsidRDefault="00ED6FA0" w:rsidP="00806D5A">
            <w:pPr>
              <w:jc w:val="right"/>
              <w:rPr>
                <w:rFonts w:cs="Calibri"/>
                <w:sz w:val="18"/>
                <w:szCs w:val="18"/>
                <w:highlight w:val="yellow"/>
              </w:rPr>
            </w:pPr>
          </w:p>
        </w:tc>
      </w:tr>
      <w:tr w:rsidR="00ED6FA0" w:rsidRPr="00DB7D86" w:rsidTr="00806D5A">
        <w:trPr>
          <w:trHeight w:val="240"/>
        </w:trPr>
        <w:tc>
          <w:tcPr>
            <w:tcW w:w="3093" w:type="dxa"/>
            <w:tcBorders>
              <w:top w:val="nil"/>
              <w:left w:val="nil"/>
              <w:bottom w:val="nil"/>
              <w:right w:val="nil"/>
            </w:tcBorders>
            <w:noWrap/>
            <w:tcMar>
              <w:top w:w="17" w:type="dxa"/>
              <w:left w:w="17" w:type="dxa"/>
              <w:bottom w:w="0" w:type="dxa"/>
              <w:right w:w="17" w:type="dxa"/>
            </w:tcMar>
          </w:tcPr>
          <w:p w:rsidR="00ED6FA0" w:rsidRPr="00DB7D86" w:rsidRDefault="00ED6FA0" w:rsidP="00806D5A">
            <w:pPr>
              <w:keepNext/>
              <w:rPr>
                <w:rFonts w:cs="Calibri"/>
                <w:b/>
                <w:sz w:val="18"/>
                <w:szCs w:val="18"/>
                <w:lang w:eastAsia="en-AU"/>
              </w:rPr>
            </w:pPr>
            <w:r w:rsidRPr="00DB7D86">
              <w:rPr>
                <w:rFonts w:cs="Calibri"/>
                <w:b/>
                <w:sz w:val="18"/>
                <w:szCs w:val="18"/>
                <w:lang w:eastAsia="en-AU"/>
              </w:rPr>
              <w:t>Capital Upgrades</w:t>
            </w: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8"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r>
      <w:tr w:rsidR="00ED6FA0" w:rsidRPr="00DB7D86" w:rsidTr="00806D5A">
        <w:trPr>
          <w:trHeight w:val="240"/>
        </w:trPr>
        <w:tc>
          <w:tcPr>
            <w:tcW w:w="3093" w:type="dxa"/>
            <w:tcBorders>
              <w:top w:val="nil"/>
              <w:left w:val="nil"/>
              <w:bottom w:val="nil"/>
              <w:right w:val="nil"/>
            </w:tcBorders>
            <w:noWrap/>
            <w:tcMar>
              <w:top w:w="17" w:type="dxa"/>
              <w:left w:w="17" w:type="dxa"/>
              <w:bottom w:w="0" w:type="dxa"/>
              <w:right w:w="17" w:type="dxa"/>
            </w:tcMar>
          </w:tcPr>
          <w:p w:rsidR="00ED6FA0" w:rsidRPr="00DB7D86" w:rsidRDefault="00ED6FA0" w:rsidP="00806D5A">
            <w:pPr>
              <w:ind w:left="142" w:hanging="142"/>
              <w:rPr>
                <w:rFonts w:cs="Calibri"/>
                <w:sz w:val="18"/>
                <w:szCs w:val="18"/>
                <w:lang w:eastAsia="en-AU"/>
              </w:rPr>
            </w:pPr>
            <w:r w:rsidRPr="00DB7D86">
              <w:rPr>
                <w:rFonts w:cs="Calibri"/>
                <w:sz w:val="18"/>
                <w:szCs w:val="18"/>
                <w:lang w:eastAsia="en-AU"/>
              </w:rPr>
              <w:t>Liquid Oxygen Vessel Upgrade</w:t>
            </w: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15</w:t>
            </w: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r>
              <w:rPr>
                <w:rFonts w:cs="Calibri"/>
                <w:sz w:val="18"/>
                <w:szCs w:val="18"/>
              </w:rPr>
              <w:t>- </w:t>
            </w: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15</w:t>
            </w: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8" w:type="dxa"/>
            <w:tcBorders>
              <w:top w:val="nil"/>
              <w:left w:val="nil"/>
              <w:bottom w:val="nil"/>
              <w:right w:val="nil"/>
            </w:tcBorders>
            <w:noWrap/>
            <w:tcMar>
              <w:top w:w="0"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Jun 2014</w:t>
            </w:r>
          </w:p>
        </w:tc>
      </w:tr>
      <w:tr w:rsidR="00ED6FA0" w:rsidRPr="00DB7D86" w:rsidTr="00806D5A">
        <w:trPr>
          <w:trHeight w:val="240"/>
        </w:trPr>
        <w:tc>
          <w:tcPr>
            <w:tcW w:w="3093" w:type="dxa"/>
            <w:tcBorders>
              <w:top w:val="nil"/>
              <w:left w:val="nil"/>
              <w:bottom w:val="nil"/>
              <w:right w:val="nil"/>
            </w:tcBorders>
            <w:noWrap/>
            <w:tcMar>
              <w:top w:w="17" w:type="dxa"/>
              <w:left w:w="17" w:type="dxa"/>
              <w:bottom w:w="0" w:type="dxa"/>
              <w:right w:w="17" w:type="dxa"/>
            </w:tcMar>
          </w:tcPr>
          <w:p w:rsidR="00ED6FA0" w:rsidRPr="00DB7D86" w:rsidRDefault="00ED6FA0" w:rsidP="00806D5A">
            <w:pPr>
              <w:ind w:left="142" w:hanging="142"/>
              <w:rPr>
                <w:rFonts w:cs="Calibri"/>
                <w:sz w:val="18"/>
                <w:szCs w:val="18"/>
                <w:lang w:eastAsia="en-AU"/>
              </w:rPr>
            </w:pPr>
            <w:r w:rsidRPr="00DB7D86">
              <w:rPr>
                <w:rFonts w:cs="Calibri"/>
                <w:sz w:val="18"/>
                <w:szCs w:val="18"/>
                <w:lang w:eastAsia="en-AU"/>
              </w:rPr>
              <w:t xml:space="preserve">Building Management System Upgrade </w:t>
            </w: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100</w:t>
            </w: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r>
              <w:rPr>
                <w:rFonts w:cs="Calibri"/>
                <w:sz w:val="18"/>
                <w:szCs w:val="18"/>
              </w:rPr>
              <w:t>- </w:t>
            </w: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100</w:t>
            </w: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bottom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8" w:type="dxa"/>
            <w:tcBorders>
              <w:top w:val="nil"/>
              <w:left w:val="nil"/>
              <w:bottom w:val="nil"/>
              <w:right w:val="nil"/>
            </w:tcBorders>
            <w:noWrap/>
            <w:tcMar>
              <w:top w:w="0"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Jun 2014</w:t>
            </w:r>
          </w:p>
        </w:tc>
      </w:tr>
      <w:tr w:rsidR="00ED6FA0" w:rsidRPr="00DB7D86" w:rsidTr="00806D5A">
        <w:trPr>
          <w:trHeight w:val="240"/>
        </w:trPr>
        <w:tc>
          <w:tcPr>
            <w:tcW w:w="3093" w:type="dxa"/>
            <w:tcBorders>
              <w:top w:val="nil"/>
              <w:left w:val="nil"/>
              <w:right w:val="nil"/>
            </w:tcBorders>
            <w:noWrap/>
            <w:tcMar>
              <w:top w:w="17" w:type="dxa"/>
              <w:left w:w="17" w:type="dxa"/>
              <w:bottom w:w="0" w:type="dxa"/>
              <w:right w:w="17" w:type="dxa"/>
            </w:tcMar>
          </w:tcPr>
          <w:p w:rsidR="00ED6FA0" w:rsidRPr="00DB7D86" w:rsidRDefault="00ED6FA0" w:rsidP="00806D5A">
            <w:pPr>
              <w:ind w:left="142" w:hanging="142"/>
              <w:rPr>
                <w:rFonts w:cs="Calibri"/>
                <w:sz w:val="18"/>
                <w:szCs w:val="18"/>
                <w:lang w:eastAsia="en-AU"/>
              </w:rPr>
            </w:pPr>
            <w:r w:rsidRPr="00DB7D86">
              <w:rPr>
                <w:rFonts w:cs="Calibri"/>
                <w:sz w:val="18"/>
                <w:szCs w:val="18"/>
                <w:lang w:eastAsia="en-AU"/>
              </w:rPr>
              <w:t>Environmental Improvements to Cooling System</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300</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r>
              <w:rPr>
                <w:rFonts w:cs="Calibri"/>
                <w:sz w:val="18"/>
                <w:szCs w:val="18"/>
              </w:rPr>
              <w:t>- </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300</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8" w:type="dxa"/>
            <w:tcBorders>
              <w:top w:val="nil"/>
              <w:left w:val="nil"/>
              <w:right w:val="nil"/>
            </w:tcBorders>
            <w:noWrap/>
            <w:tcMar>
              <w:top w:w="0"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Jun 2014</w:t>
            </w:r>
          </w:p>
        </w:tc>
      </w:tr>
      <w:tr w:rsidR="00ED6FA0" w:rsidRPr="00DB7D86" w:rsidTr="00806D5A">
        <w:trPr>
          <w:trHeight w:val="240"/>
        </w:trPr>
        <w:tc>
          <w:tcPr>
            <w:tcW w:w="3093" w:type="dxa"/>
            <w:tcBorders>
              <w:top w:val="nil"/>
              <w:left w:val="nil"/>
              <w:right w:val="nil"/>
            </w:tcBorders>
            <w:noWrap/>
            <w:tcMar>
              <w:top w:w="17" w:type="dxa"/>
              <w:left w:w="17" w:type="dxa"/>
              <w:bottom w:w="0" w:type="dxa"/>
              <w:right w:w="17" w:type="dxa"/>
            </w:tcMar>
          </w:tcPr>
          <w:p w:rsidR="00ED6FA0" w:rsidRPr="00DB7D86" w:rsidRDefault="00ED6FA0" w:rsidP="00806D5A">
            <w:pPr>
              <w:ind w:left="142" w:hanging="142"/>
              <w:rPr>
                <w:rFonts w:cs="Calibri"/>
                <w:sz w:val="18"/>
                <w:szCs w:val="18"/>
                <w:lang w:eastAsia="en-AU"/>
              </w:rPr>
            </w:pPr>
            <w:r w:rsidRPr="00DB7D86">
              <w:rPr>
                <w:rFonts w:cs="Calibri"/>
                <w:sz w:val="18"/>
                <w:szCs w:val="18"/>
                <w:lang w:eastAsia="en-AU"/>
              </w:rPr>
              <w:t xml:space="preserve">Fire Safety System Upgrade </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200</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r>
              <w:rPr>
                <w:rFonts w:cs="Calibri"/>
                <w:sz w:val="18"/>
                <w:szCs w:val="18"/>
              </w:rPr>
              <w:t>- </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200</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8" w:type="dxa"/>
            <w:tcBorders>
              <w:top w:val="nil"/>
              <w:left w:val="nil"/>
              <w:right w:val="nil"/>
            </w:tcBorders>
            <w:noWrap/>
            <w:tcMar>
              <w:top w:w="0"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Jun 2014</w:t>
            </w:r>
          </w:p>
        </w:tc>
      </w:tr>
      <w:tr w:rsidR="00ED6FA0" w:rsidRPr="00DB7D86" w:rsidTr="00806D5A">
        <w:trPr>
          <w:trHeight w:val="240"/>
        </w:trPr>
        <w:tc>
          <w:tcPr>
            <w:tcW w:w="3093" w:type="dxa"/>
            <w:tcBorders>
              <w:top w:val="nil"/>
              <w:left w:val="nil"/>
              <w:right w:val="nil"/>
            </w:tcBorders>
            <w:noWrap/>
            <w:tcMar>
              <w:top w:w="17" w:type="dxa"/>
              <w:left w:w="17" w:type="dxa"/>
              <w:bottom w:w="0" w:type="dxa"/>
              <w:right w:w="17" w:type="dxa"/>
            </w:tcMar>
          </w:tcPr>
          <w:p w:rsidR="00ED6FA0" w:rsidRPr="00DB7D86" w:rsidRDefault="00B53F6C" w:rsidP="00806D5A">
            <w:pPr>
              <w:ind w:left="142" w:hanging="142"/>
              <w:rPr>
                <w:rFonts w:cs="Calibri"/>
                <w:sz w:val="18"/>
                <w:szCs w:val="18"/>
                <w:lang w:eastAsia="en-AU"/>
              </w:rPr>
            </w:pPr>
            <w:r>
              <w:rPr>
                <w:rFonts w:cs="Calibri"/>
                <w:sz w:val="18"/>
                <w:szCs w:val="18"/>
                <w:lang w:eastAsia="en-AU"/>
              </w:rPr>
              <w:t>Xavier Building Floor R</w:t>
            </w:r>
            <w:r w:rsidR="00ED6FA0" w:rsidRPr="00DB7D86">
              <w:rPr>
                <w:rFonts w:cs="Calibri"/>
                <w:sz w:val="18"/>
                <w:szCs w:val="18"/>
                <w:lang w:eastAsia="en-AU"/>
              </w:rPr>
              <w:t xml:space="preserve">eplacement </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150</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r>
              <w:rPr>
                <w:rFonts w:cs="Calibri"/>
                <w:sz w:val="18"/>
                <w:szCs w:val="18"/>
              </w:rPr>
              <w:t>- </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150</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8" w:type="dxa"/>
            <w:tcBorders>
              <w:top w:val="nil"/>
              <w:left w:val="nil"/>
              <w:right w:val="nil"/>
            </w:tcBorders>
            <w:noWrap/>
            <w:tcMar>
              <w:top w:w="0" w:type="dxa"/>
              <w:left w:w="17" w:type="dxa"/>
              <w:bottom w:w="0" w:type="dxa"/>
              <w:right w:w="17" w:type="dxa"/>
            </w:tcMar>
          </w:tcPr>
          <w:p w:rsidR="00ED6FA0" w:rsidRPr="00DB7D86" w:rsidRDefault="00ED6FA0" w:rsidP="00806D5A">
            <w:pPr>
              <w:jc w:val="right"/>
              <w:rPr>
                <w:rFonts w:cs="Calibri"/>
                <w:bCs/>
                <w:sz w:val="18"/>
                <w:szCs w:val="18"/>
              </w:rPr>
            </w:pPr>
            <w:r w:rsidRPr="00DB7D86">
              <w:rPr>
                <w:rFonts w:cs="Calibri"/>
                <w:bCs/>
                <w:sz w:val="18"/>
                <w:szCs w:val="18"/>
              </w:rPr>
              <w:t>Jun 2014</w:t>
            </w:r>
          </w:p>
        </w:tc>
      </w:tr>
      <w:tr w:rsidR="00ED6FA0" w:rsidRPr="00DB7D86" w:rsidTr="00806D5A">
        <w:trPr>
          <w:trHeight w:val="240"/>
        </w:trPr>
        <w:tc>
          <w:tcPr>
            <w:tcW w:w="3093" w:type="dxa"/>
            <w:tcBorders>
              <w:top w:val="nil"/>
              <w:left w:val="nil"/>
              <w:right w:val="nil"/>
            </w:tcBorders>
            <w:noWrap/>
            <w:tcMar>
              <w:top w:w="17" w:type="dxa"/>
              <w:left w:w="17" w:type="dxa"/>
              <w:bottom w:w="0" w:type="dxa"/>
              <w:right w:w="17" w:type="dxa"/>
            </w:tcMar>
          </w:tcPr>
          <w:p w:rsidR="00ED6FA0" w:rsidRPr="00DB7D86" w:rsidRDefault="00ED6FA0" w:rsidP="00806D5A">
            <w:pPr>
              <w:ind w:left="142" w:hanging="142"/>
              <w:rPr>
                <w:rFonts w:cs="Calibri"/>
                <w:sz w:val="18"/>
                <w:szCs w:val="18"/>
                <w:lang w:eastAsia="en-AU"/>
              </w:rPr>
            </w:pP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8" w:type="dxa"/>
            <w:tcBorders>
              <w:top w:val="nil"/>
              <w:left w:val="nil"/>
              <w:right w:val="nil"/>
            </w:tcBorders>
            <w:noWrap/>
            <w:tcMar>
              <w:top w:w="0" w:type="dxa"/>
              <w:left w:w="17" w:type="dxa"/>
              <w:bottom w:w="0" w:type="dxa"/>
              <w:right w:w="17" w:type="dxa"/>
            </w:tcMar>
          </w:tcPr>
          <w:p w:rsidR="00ED6FA0" w:rsidRPr="00DB7D86" w:rsidRDefault="00ED6FA0" w:rsidP="00806D5A">
            <w:pPr>
              <w:jc w:val="right"/>
              <w:rPr>
                <w:rFonts w:cs="Calibri"/>
                <w:bCs/>
                <w:sz w:val="18"/>
                <w:szCs w:val="18"/>
              </w:rPr>
            </w:pPr>
          </w:p>
        </w:tc>
      </w:tr>
      <w:tr w:rsidR="00ED6FA0" w:rsidRPr="00DB7D86" w:rsidTr="00806D5A">
        <w:trPr>
          <w:trHeight w:val="240"/>
        </w:trPr>
        <w:tc>
          <w:tcPr>
            <w:tcW w:w="3093" w:type="dxa"/>
            <w:tcBorders>
              <w:top w:val="nil"/>
              <w:left w:val="nil"/>
              <w:right w:val="nil"/>
            </w:tcBorders>
            <w:noWrap/>
            <w:tcMar>
              <w:top w:w="17" w:type="dxa"/>
              <w:left w:w="17" w:type="dxa"/>
              <w:bottom w:w="0" w:type="dxa"/>
              <w:right w:w="17" w:type="dxa"/>
            </w:tcMar>
          </w:tcPr>
          <w:p w:rsidR="00ED6FA0" w:rsidRPr="00DB7D86" w:rsidRDefault="00ED6FA0" w:rsidP="00806D5A">
            <w:pPr>
              <w:keepNext/>
              <w:rPr>
                <w:rFonts w:cs="Calibri"/>
                <w:b/>
                <w:bCs/>
                <w:sz w:val="18"/>
                <w:szCs w:val="18"/>
                <w:lang w:eastAsia="en-AU"/>
              </w:rPr>
            </w:pPr>
            <w:r w:rsidRPr="00DB7D86">
              <w:rPr>
                <w:rFonts w:cs="Calibri"/>
                <w:b/>
                <w:bCs/>
                <w:sz w:val="18"/>
                <w:szCs w:val="18"/>
                <w:lang w:eastAsia="en-AU"/>
              </w:rPr>
              <w:t>Total Capital Upgrades</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r w:rsidRPr="00DB7D86">
              <w:rPr>
                <w:rFonts w:cs="Calibri"/>
                <w:b/>
                <w:bCs/>
                <w:sz w:val="18"/>
                <w:szCs w:val="18"/>
              </w:rPr>
              <w:t>765</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r>
              <w:rPr>
                <w:rFonts w:cs="Calibri"/>
                <w:b/>
                <w:bCs/>
                <w:sz w:val="18"/>
                <w:szCs w:val="18"/>
              </w:rPr>
              <w:t>- </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r w:rsidRPr="00DB7D86">
              <w:rPr>
                <w:rFonts w:cs="Calibri"/>
                <w:b/>
                <w:bCs/>
                <w:sz w:val="18"/>
                <w:szCs w:val="18"/>
              </w:rPr>
              <w:t>765</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p>
        </w:tc>
        <w:tc>
          <w:tcPr>
            <w:tcW w:w="1048" w:type="dxa"/>
            <w:tcBorders>
              <w:top w:val="nil"/>
              <w:left w:val="nil"/>
              <w:right w:val="nil"/>
            </w:tcBorders>
            <w:noWrap/>
            <w:tcMar>
              <w:top w:w="0" w:type="dxa"/>
              <w:left w:w="17" w:type="dxa"/>
              <w:bottom w:w="0" w:type="dxa"/>
              <w:right w:w="17" w:type="dxa"/>
            </w:tcMar>
          </w:tcPr>
          <w:p w:rsidR="00ED6FA0" w:rsidRPr="00DB7D86" w:rsidRDefault="00ED6FA0" w:rsidP="00806D5A">
            <w:pPr>
              <w:jc w:val="right"/>
              <w:rPr>
                <w:rFonts w:cs="Calibri"/>
                <w:b/>
                <w:bCs/>
                <w:sz w:val="18"/>
                <w:szCs w:val="18"/>
              </w:rPr>
            </w:pPr>
          </w:p>
        </w:tc>
      </w:tr>
      <w:tr w:rsidR="00ED6FA0" w:rsidRPr="00DB7D86" w:rsidTr="00806D5A">
        <w:trPr>
          <w:trHeight w:val="142"/>
        </w:trPr>
        <w:tc>
          <w:tcPr>
            <w:tcW w:w="3093" w:type="dxa"/>
            <w:tcBorders>
              <w:left w:val="nil"/>
              <w:right w:val="nil"/>
            </w:tcBorders>
            <w:noWrap/>
            <w:tcMar>
              <w:top w:w="17" w:type="dxa"/>
              <w:left w:w="17" w:type="dxa"/>
              <w:bottom w:w="0" w:type="dxa"/>
              <w:right w:w="17" w:type="dxa"/>
            </w:tcMar>
          </w:tcPr>
          <w:p w:rsidR="00ED6FA0" w:rsidRPr="00DB7D86" w:rsidRDefault="00ED6FA0" w:rsidP="00806D5A">
            <w:pPr>
              <w:keepNext/>
              <w:rPr>
                <w:rFonts w:cs="Calibri"/>
                <w:b/>
                <w:bCs/>
                <w:sz w:val="18"/>
                <w:szCs w:val="18"/>
                <w:lang w:eastAsia="en-AU"/>
              </w:rPr>
            </w:pPr>
          </w:p>
        </w:tc>
        <w:tc>
          <w:tcPr>
            <w:tcW w:w="1043" w:type="dxa"/>
            <w:tcBorders>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left w:val="nil"/>
              <w:right w:val="nil"/>
            </w:tcBorders>
            <w:noWrap/>
            <w:tcMar>
              <w:top w:w="17" w:type="dxa"/>
              <w:left w:w="17" w:type="dxa"/>
              <w:bottom w:w="0" w:type="dxa"/>
              <w:right w:w="17" w:type="dxa"/>
            </w:tcMar>
          </w:tcPr>
          <w:p w:rsidR="00ED6FA0" w:rsidRPr="00DB7D86" w:rsidRDefault="00ED6FA0" w:rsidP="00806D5A">
            <w:pPr>
              <w:jc w:val="right"/>
              <w:rPr>
                <w:rFonts w:cs="Calibri"/>
                <w:sz w:val="18"/>
                <w:szCs w:val="18"/>
              </w:rPr>
            </w:pPr>
          </w:p>
        </w:tc>
        <w:tc>
          <w:tcPr>
            <w:tcW w:w="1048" w:type="dxa"/>
            <w:tcBorders>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p>
        </w:tc>
      </w:tr>
      <w:tr w:rsidR="00ED6FA0" w:rsidRPr="00DB7D86" w:rsidTr="00806D5A">
        <w:trPr>
          <w:trHeight w:val="240"/>
        </w:trPr>
        <w:tc>
          <w:tcPr>
            <w:tcW w:w="3093" w:type="dxa"/>
            <w:tcBorders>
              <w:top w:val="nil"/>
              <w:left w:val="nil"/>
              <w:right w:val="nil"/>
            </w:tcBorders>
            <w:noWrap/>
            <w:tcMar>
              <w:top w:w="17" w:type="dxa"/>
              <w:left w:w="17" w:type="dxa"/>
              <w:bottom w:w="0" w:type="dxa"/>
              <w:right w:w="17" w:type="dxa"/>
            </w:tcMar>
          </w:tcPr>
          <w:p w:rsidR="00ED6FA0" w:rsidRPr="00DB7D86" w:rsidRDefault="00ED6FA0" w:rsidP="00806D5A">
            <w:pPr>
              <w:keepNext/>
              <w:rPr>
                <w:rFonts w:cs="Calibri"/>
                <w:b/>
                <w:bCs/>
                <w:sz w:val="18"/>
                <w:szCs w:val="18"/>
                <w:lang w:eastAsia="en-AU"/>
              </w:rPr>
            </w:pPr>
            <w:r w:rsidRPr="00DB7D86">
              <w:rPr>
                <w:rFonts w:cs="Calibri"/>
                <w:b/>
                <w:bCs/>
                <w:sz w:val="18"/>
                <w:szCs w:val="18"/>
                <w:lang w:eastAsia="en-AU"/>
              </w:rPr>
              <w:t>Total New Works</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r w:rsidRPr="00DB7D86">
              <w:rPr>
                <w:rFonts w:cs="Calibri"/>
                <w:b/>
                <w:bCs/>
                <w:sz w:val="18"/>
                <w:szCs w:val="18"/>
              </w:rPr>
              <w:t>765</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r>
              <w:rPr>
                <w:rFonts w:cs="Calibri"/>
                <w:b/>
                <w:bCs/>
                <w:sz w:val="18"/>
                <w:szCs w:val="18"/>
              </w:rPr>
              <w:t>- </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r w:rsidRPr="00DB7D86">
              <w:rPr>
                <w:rFonts w:cs="Calibri"/>
                <w:b/>
                <w:bCs/>
                <w:sz w:val="18"/>
                <w:szCs w:val="18"/>
              </w:rPr>
              <w:t>765</w:t>
            </w: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p>
        </w:tc>
        <w:tc>
          <w:tcPr>
            <w:tcW w:w="1043"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p>
        </w:tc>
        <w:tc>
          <w:tcPr>
            <w:tcW w:w="1048" w:type="dxa"/>
            <w:tcBorders>
              <w:top w:val="nil"/>
              <w:left w:val="nil"/>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p>
        </w:tc>
      </w:tr>
      <w:tr w:rsidR="00ED6FA0" w:rsidRPr="00DB7D86" w:rsidTr="00806D5A">
        <w:trPr>
          <w:trHeight w:hRule="exact" w:val="227"/>
        </w:trPr>
        <w:tc>
          <w:tcPr>
            <w:tcW w:w="3093" w:type="dxa"/>
            <w:tcBorders>
              <w:top w:val="nil"/>
              <w:left w:val="nil"/>
              <w:bottom w:val="single" w:sz="4" w:space="0" w:color="auto"/>
              <w:right w:val="nil"/>
            </w:tcBorders>
            <w:noWrap/>
            <w:tcMar>
              <w:top w:w="0" w:type="dxa"/>
              <w:left w:w="17" w:type="dxa"/>
              <w:bottom w:w="0" w:type="dxa"/>
              <w:right w:w="17" w:type="dxa"/>
            </w:tcMar>
          </w:tcPr>
          <w:p w:rsidR="00ED6FA0" w:rsidRPr="00DB7D86" w:rsidRDefault="00ED6FA0" w:rsidP="00806D5A">
            <w:pPr>
              <w:keepNext/>
              <w:rPr>
                <w:rFonts w:cs="Calibri"/>
                <w:b/>
                <w:sz w:val="18"/>
                <w:szCs w:val="18"/>
                <w:lang w:eastAsia="en-AU"/>
              </w:rPr>
            </w:pPr>
          </w:p>
        </w:tc>
        <w:tc>
          <w:tcPr>
            <w:tcW w:w="1043" w:type="dxa"/>
            <w:tcBorders>
              <w:top w:val="nil"/>
              <w:left w:val="nil"/>
              <w:bottom w:val="single" w:sz="4" w:space="0" w:color="auto"/>
              <w:right w:val="nil"/>
            </w:tcBorders>
            <w:noWrap/>
            <w:tcMar>
              <w:top w:w="0"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bottom w:val="single" w:sz="4" w:space="0" w:color="auto"/>
              <w:right w:val="nil"/>
            </w:tcBorders>
            <w:noWrap/>
            <w:tcMar>
              <w:top w:w="0"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bottom w:val="single" w:sz="4" w:space="0" w:color="auto"/>
              <w:right w:val="nil"/>
            </w:tcBorders>
            <w:noWrap/>
            <w:tcMar>
              <w:top w:w="0"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bottom w:val="single" w:sz="4" w:space="0" w:color="auto"/>
              <w:right w:val="nil"/>
            </w:tcBorders>
            <w:noWrap/>
            <w:tcMar>
              <w:top w:w="0" w:type="dxa"/>
              <w:left w:w="17" w:type="dxa"/>
              <w:bottom w:w="0" w:type="dxa"/>
              <w:right w:w="17" w:type="dxa"/>
            </w:tcMar>
          </w:tcPr>
          <w:p w:rsidR="00ED6FA0" w:rsidRPr="00DB7D86" w:rsidRDefault="00ED6FA0" w:rsidP="00806D5A">
            <w:pPr>
              <w:jc w:val="right"/>
              <w:rPr>
                <w:rFonts w:cs="Calibri"/>
                <w:sz w:val="18"/>
                <w:szCs w:val="18"/>
              </w:rPr>
            </w:pPr>
          </w:p>
        </w:tc>
        <w:tc>
          <w:tcPr>
            <w:tcW w:w="1043" w:type="dxa"/>
            <w:tcBorders>
              <w:top w:val="nil"/>
              <w:left w:val="nil"/>
              <w:bottom w:val="single" w:sz="4" w:space="0" w:color="auto"/>
              <w:right w:val="nil"/>
            </w:tcBorders>
            <w:noWrap/>
            <w:tcMar>
              <w:top w:w="0" w:type="dxa"/>
              <w:left w:w="17" w:type="dxa"/>
              <w:bottom w:w="0" w:type="dxa"/>
              <w:right w:w="17" w:type="dxa"/>
            </w:tcMar>
          </w:tcPr>
          <w:p w:rsidR="00ED6FA0" w:rsidRPr="00DB7D86" w:rsidRDefault="00ED6FA0" w:rsidP="00806D5A">
            <w:pPr>
              <w:jc w:val="right"/>
              <w:rPr>
                <w:rFonts w:cs="Calibri"/>
                <w:sz w:val="18"/>
                <w:szCs w:val="18"/>
              </w:rPr>
            </w:pPr>
          </w:p>
        </w:tc>
        <w:tc>
          <w:tcPr>
            <w:tcW w:w="1048" w:type="dxa"/>
            <w:tcBorders>
              <w:top w:val="nil"/>
              <w:left w:val="nil"/>
              <w:bottom w:val="single" w:sz="4" w:space="0" w:color="auto"/>
              <w:right w:val="nil"/>
            </w:tcBorders>
            <w:noWrap/>
            <w:tcMar>
              <w:top w:w="0" w:type="dxa"/>
              <w:left w:w="17" w:type="dxa"/>
              <w:bottom w:w="0" w:type="dxa"/>
              <w:right w:w="17" w:type="dxa"/>
            </w:tcMar>
          </w:tcPr>
          <w:p w:rsidR="00ED6FA0" w:rsidRPr="00DB7D86" w:rsidRDefault="00ED6FA0" w:rsidP="00806D5A">
            <w:pPr>
              <w:jc w:val="right"/>
              <w:rPr>
                <w:rFonts w:cs="Calibri"/>
                <w:sz w:val="18"/>
                <w:szCs w:val="18"/>
              </w:rPr>
            </w:pPr>
          </w:p>
        </w:tc>
      </w:tr>
      <w:tr w:rsidR="00ED6FA0" w:rsidRPr="00645B9F" w:rsidTr="00806D5A">
        <w:trPr>
          <w:trHeight w:val="240"/>
        </w:trPr>
        <w:tc>
          <w:tcPr>
            <w:tcW w:w="3093" w:type="dxa"/>
            <w:tcBorders>
              <w:top w:val="single" w:sz="4" w:space="0" w:color="auto"/>
              <w:left w:val="nil"/>
              <w:bottom w:val="single" w:sz="4" w:space="0" w:color="auto"/>
              <w:right w:val="nil"/>
            </w:tcBorders>
            <w:noWrap/>
          </w:tcPr>
          <w:p w:rsidR="00ED6FA0" w:rsidRPr="00DB7D86" w:rsidRDefault="00ED6FA0" w:rsidP="00806D5A">
            <w:pPr>
              <w:keepNext/>
              <w:rPr>
                <w:rFonts w:cs="Calibri"/>
                <w:b/>
                <w:bCs/>
                <w:sz w:val="18"/>
                <w:szCs w:val="18"/>
                <w:lang w:eastAsia="en-AU"/>
              </w:rPr>
            </w:pPr>
            <w:r w:rsidRPr="00DB7D86">
              <w:rPr>
                <w:rFonts w:cs="Calibri"/>
                <w:b/>
                <w:bCs/>
                <w:sz w:val="18"/>
                <w:szCs w:val="18"/>
                <w:lang w:eastAsia="en-AU"/>
              </w:rPr>
              <w:t>Total Territorial Capital Works</w:t>
            </w:r>
          </w:p>
        </w:tc>
        <w:tc>
          <w:tcPr>
            <w:tcW w:w="1043" w:type="dxa"/>
            <w:tcBorders>
              <w:top w:val="single" w:sz="4" w:space="0" w:color="auto"/>
              <w:left w:val="nil"/>
              <w:bottom w:val="single" w:sz="4" w:space="0" w:color="auto"/>
              <w:right w:val="nil"/>
            </w:tcBorders>
            <w:noWrap/>
            <w:tcMar>
              <w:top w:w="0" w:type="dxa"/>
              <w:left w:w="17" w:type="dxa"/>
              <w:bottom w:w="0" w:type="dxa"/>
              <w:right w:w="17" w:type="dxa"/>
            </w:tcMar>
          </w:tcPr>
          <w:p w:rsidR="00ED6FA0" w:rsidRPr="00DB7D86" w:rsidRDefault="00ED6FA0" w:rsidP="00806D5A">
            <w:pPr>
              <w:jc w:val="right"/>
              <w:rPr>
                <w:rFonts w:cs="Calibri"/>
                <w:b/>
                <w:bCs/>
                <w:sz w:val="18"/>
                <w:szCs w:val="18"/>
              </w:rPr>
            </w:pPr>
            <w:r w:rsidRPr="00DB7D86">
              <w:rPr>
                <w:rFonts w:cs="Calibri"/>
                <w:b/>
                <w:bCs/>
                <w:sz w:val="18"/>
                <w:szCs w:val="18"/>
              </w:rPr>
              <w:t>765</w:t>
            </w:r>
          </w:p>
        </w:tc>
        <w:tc>
          <w:tcPr>
            <w:tcW w:w="1043" w:type="dxa"/>
            <w:tcBorders>
              <w:top w:val="single" w:sz="4" w:space="0" w:color="auto"/>
              <w:left w:val="nil"/>
              <w:bottom w:val="single" w:sz="4" w:space="0" w:color="auto"/>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r>
              <w:rPr>
                <w:rFonts w:cs="Calibri"/>
                <w:b/>
                <w:bCs/>
                <w:sz w:val="18"/>
                <w:szCs w:val="18"/>
              </w:rPr>
              <w:t>- </w:t>
            </w:r>
          </w:p>
        </w:tc>
        <w:tc>
          <w:tcPr>
            <w:tcW w:w="1043" w:type="dxa"/>
            <w:tcBorders>
              <w:top w:val="single" w:sz="4" w:space="0" w:color="auto"/>
              <w:left w:val="nil"/>
              <w:bottom w:val="single" w:sz="4" w:space="0" w:color="auto"/>
              <w:right w:val="nil"/>
            </w:tcBorders>
            <w:noWrap/>
            <w:tcMar>
              <w:top w:w="0" w:type="dxa"/>
              <w:left w:w="17" w:type="dxa"/>
              <w:bottom w:w="0" w:type="dxa"/>
              <w:right w:w="17" w:type="dxa"/>
            </w:tcMar>
          </w:tcPr>
          <w:p w:rsidR="00ED6FA0" w:rsidRPr="00DB7D86" w:rsidRDefault="00ED6FA0" w:rsidP="00806D5A">
            <w:pPr>
              <w:jc w:val="right"/>
              <w:rPr>
                <w:rFonts w:cs="Calibri"/>
                <w:b/>
                <w:bCs/>
                <w:sz w:val="18"/>
                <w:szCs w:val="18"/>
              </w:rPr>
            </w:pPr>
            <w:r w:rsidRPr="00DB7D86">
              <w:rPr>
                <w:rFonts w:cs="Calibri"/>
                <w:b/>
                <w:bCs/>
                <w:sz w:val="18"/>
                <w:szCs w:val="18"/>
              </w:rPr>
              <w:t>765</w:t>
            </w:r>
          </w:p>
        </w:tc>
        <w:tc>
          <w:tcPr>
            <w:tcW w:w="1043" w:type="dxa"/>
            <w:tcBorders>
              <w:top w:val="single" w:sz="4" w:space="0" w:color="auto"/>
              <w:left w:val="nil"/>
              <w:bottom w:val="single" w:sz="4" w:space="0" w:color="auto"/>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p>
        </w:tc>
        <w:tc>
          <w:tcPr>
            <w:tcW w:w="1043" w:type="dxa"/>
            <w:tcBorders>
              <w:top w:val="single" w:sz="4" w:space="0" w:color="auto"/>
              <w:left w:val="nil"/>
              <w:bottom w:val="single" w:sz="4" w:space="0" w:color="auto"/>
              <w:right w:val="nil"/>
            </w:tcBorders>
            <w:noWrap/>
            <w:tcMar>
              <w:top w:w="17" w:type="dxa"/>
              <w:left w:w="17" w:type="dxa"/>
              <w:bottom w:w="0" w:type="dxa"/>
              <w:right w:w="17" w:type="dxa"/>
            </w:tcMar>
          </w:tcPr>
          <w:p w:rsidR="00ED6FA0" w:rsidRPr="00DB7D86" w:rsidRDefault="00ED6FA0" w:rsidP="00806D5A">
            <w:pPr>
              <w:jc w:val="right"/>
              <w:rPr>
                <w:rFonts w:cs="Calibri"/>
                <w:b/>
                <w:bCs/>
                <w:sz w:val="18"/>
                <w:szCs w:val="18"/>
              </w:rPr>
            </w:pPr>
          </w:p>
        </w:tc>
        <w:tc>
          <w:tcPr>
            <w:tcW w:w="1048" w:type="dxa"/>
            <w:tcBorders>
              <w:top w:val="single" w:sz="4" w:space="0" w:color="auto"/>
              <w:left w:val="nil"/>
              <w:bottom w:val="single" w:sz="4" w:space="0" w:color="auto"/>
              <w:right w:val="nil"/>
            </w:tcBorders>
            <w:noWrap/>
            <w:tcMar>
              <w:top w:w="17" w:type="dxa"/>
              <w:left w:w="17" w:type="dxa"/>
              <w:bottom w:w="0" w:type="dxa"/>
              <w:right w:w="17" w:type="dxa"/>
            </w:tcMar>
          </w:tcPr>
          <w:p w:rsidR="00ED6FA0" w:rsidRPr="00645B9F" w:rsidRDefault="00ED6FA0" w:rsidP="00806D5A">
            <w:pPr>
              <w:jc w:val="right"/>
              <w:rPr>
                <w:rFonts w:cs="Calibri"/>
                <w:b/>
                <w:bCs/>
                <w:sz w:val="18"/>
                <w:szCs w:val="18"/>
              </w:rPr>
            </w:pPr>
          </w:p>
        </w:tc>
      </w:tr>
    </w:tbl>
    <w:p w:rsidR="00003B41" w:rsidRDefault="00003B41" w:rsidP="00405C2E">
      <w:pPr>
        <w:pStyle w:val="Heading3TopofPage"/>
      </w:pPr>
    </w:p>
    <w:p w:rsidR="00806D5A" w:rsidRDefault="00003B41" w:rsidP="00003B41">
      <w:pPr>
        <w:pStyle w:val="BodyText"/>
      </w:pPr>
      <w:r>
        <w:br w:type="page"/>
      </w:r>
    </w:p>
    <w:tbl>
      <w:tblPr>
        <w:tblW w:w="9356" w:type="dxa"/>
        <w:tblLook w:val="04A0"/>
      </w:tblPr>
      <w:tblGrid>
        <w:gridCol w:w="1051"/>
        <w:gridCol w:w="2383"/>
        <w:gridCol w:w="1102"/>
        <w:gridCol w:w="1050"/>
        <w:gridCol w:w="620"/>
        <w:gridCol w:w="1050"/>
        <w:gridCol w:w="1050"/>
        <w:gridCol w:w="1050"/>
      </w:tblGrid>
      <w:tr w:rsidR="00806D5A" w:rsidTr="00806D5A">
        <w:trPr>
          <w:tblHeader/>
        </w:trPr>
        <w:tc>
          <w:tcPr>
            <w:tcW w:w="9356" w:type="dxa"/>
            <w:gridSpan w:val="8"/>
            <w:tcBorders>
              <w:top w:val="nil"/>
              <w:left w:val="nil"/>
              <w:bottom w:val="nil"/>
              <w:right w:val="nil"/>
            </w:tcBorders>
            <w:shd w:val="clear" w:color="000000" w:fill="FFFFFF"/>
            <w:hideMark/>
          </w:tcPr>
          <w:p w:rsidR="00806D5A" w:rsidRPr="007152A9" w:rsidRDefault="00806D5A" w:rsidP="00806D5A">
            <w:pPr>
              <w:jc w:val="center"/>
              <w:rPr>
                <w:rFonts w:ascii="Arial" w:hAnsi="Arial" w:cs="Arial"/>
                <w:b/>
                <w:bCs/>
                <w:szCs w:val="24"/>
              </w:rPr>
            </w:pPr>
            <w:bookmarkStart w:id="4" w:name="RANGE!A1:H45"/>
            <w:r w:rsidRPr="007152A9">
              <w:rPr>
                <w:rFonts w:ascii="Arial" w:hAnsi="Arial" w:cs="Arial"/>
                <w:b/>
                <w:bCs/>
                <w:szCs w:val="24"/>
              </w:rPr>
              <w:lastRenderedPageBreak/>
              <w:t>Health Directorate</w:t>
            </w:r>
            <w:bookmarkEnd w:id="4"/>
          </w:p>
        </w:tc>
      </w:tr>
      <w:tr w:rsidR="00806D5A" w:rsidTr="00806D5A">
        <w:trPr>
          <w:tblHeader/>
        </w:trPr>
        <w:tc>
          <w:tcPr>
            <w:tcW w:w="9356" w:type="dxa"/>
            <w:gridSpan w:val="8"/>
            <w:tcBorders>
              <w:top w:val="nil"/>
              <w:left w:val="nil"/>
              <w:bottom w:val="nil"/>
              <w:right w:val="nil"/>
            </w:tcBorders>
            <w:shd w:val="clear" w:color="000000" w:fill="FFFFFF"/>
            <w:hideMark/>
          </w:tcPr>
          <w:p w:rsidR="00806D5A" w:rsidRPr="007152A9" w:rsidRDefault="00806D5A" w:rsidP="00806D5A">
            <w:pPr>
              <w:jc w:val="center"/>
              <w:rPr>
                <w:rFonts w:ascii="Arial" w:hAnsi="Arial" w:cs="Arial"/>
                <w:b/>
                <w:bCs/>
                <w:szCs w:val="24"/>
              </w:rPr>
            </w:pPr>
            <w:r w:rsidRPr="007152A9">
              <w:rPr>
                <w:rFonts w:ascii="Arial" w:hAnsi="Arial" w:cs="Arial"/>
                <w:b/>
                <w:bCs/>
                <w:szCs w:val="24"/>
              </w:rPr>
              <w:t>Operating Statement</w:t>
            </w:r>
          </w:p>
        </w:tc>
      </w:tr>
      <w:tr w:rsidR="00806D5A" w:rsidTr="00806D5A">
        <w:trPr>
          <w:tblHeader/>
        </w:trPr>
        <w:tc>
          <w:tcPr>
            <w:tcW w:w="1051" w:type="dxa"/>
            <w:tcBorders>
              <w:top w:val="single" w:sz="4" w:space="0" w:color="auto"/>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2012-13</w:t>
            </w:r>
          </w:p>
        </w:tc>
        <w:tc>
          <w:tcPr>
            <w:tcW w:w="2383" w:type="dxa"/>
            <w:tcBorders>
              <w:top w:val="single" w:sz="4" w:space="0" w:color="auto"/>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2013-14</w:t>
            </w:r>
          </w:p>
        </w:tc>
        <w:tc>
          <w:tcPr>
            <w:tcW w:w="620" w:type="dxa"/>
            <w:tcBorders>
              <w:top w:val="single" w:sz="4" w:space="0" w:color="auto"/>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2016-17</w:t>
            </w:r>
          </w:p>
        </w:tc>
      </w:tr>
      <w:tr w:rsidR="00806D5A" w:rsidTr="00806D5A">
        <w:trPr>
          <w:tblHeader/>
        </w:trPr>
        <w:tc>
          <w:tcPr>
            <w:tcW w:w="1051"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Budget</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Budget</w:t>
            </w:r>
          </w:p>
        </w:tc>
        <w:tc>
          <w:tcPr>
            <w:tcW w:w="62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proofErr w:type="spellStart"/>
            <w:r>
              <w:rPr>
                <w:b/>
                <w:bCs/>
                <w:sz w:val="18"/>
                <w:szCs w:val="18"/>
              </w:rPr>
              <w:t>Var</w:t>
            </w:r>
            <w:proofErr w:type="spellEnd"/>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Estimate</w:t>
            </w:r>
          </w:p>
        </w:tc>
      </w:tr>
      <w:tr w:rsidR="00806D5A" w:rsidTr="00806D5A">
        <w:trPr>
          <w:tblHeader/>
        </w:trPr>
        <w:tc>
          <w:tcPr>
            <w:tcW w:w="1051" w:type="dxa"/>
            <w:tcBorders>
              <w:top w:val="nil"/>
              <w:left w:val="nil"/>
              <w:bottom w:val="single" w:sz="4" w:space="0" w:color="auto"/>
              <w:right w:val="nil"/>
            </w:tcBorders>
            <w:shd w:val="clear" w:color="000000" w:fill="FFFFFF"/>
            <w:hideMark/>
          </w:tcPr>
          <w:p w:rsidR="00806D5A" w:rsidRDefault="00806D5A" w:rsidP="00806D5A">
            <w:pPr>
              <w:ind w:left="-283"/>
              <w:jc w:val="right"/>
              <w:rPr>
                <w:b/>
                <w:bCs/>
                <w:sz w:val="18"/>
                <w:szCs w:val="18"/>
              </w:rPr>
            </w:pPr>
            <w:r>
              <w:rPr>
                <w:b/>
                <w:bCs/>
                <w:sz w:val="18"/>
                <w:szCs w:val="18"/>
              </w:rPr>
              <w:t>$'000</w:t>
            </w:r>
          </w:p>
        </w:tc>
        <w:tc>
          <w:tcPr>
            <w:tcW w:w="2383" w:type="dxa"/>
            <w:tcBorders>
              <w:top w:val="nil"/>
              <w:left w:val="nil"/>
              <w:bottom w:val="single" w:sz="4" w:space="0" w:color="auto"/>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806D5A" w:rsidRDefault="00806D5A" w:rsidP="00806D5A">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806D5A" w:rsidRDefault="00806D5A" w:rsidP="00806D5A">
            <w:pPr>
              <w:ind w:left="-283"/>
              <w:jc w:val="right"/>
              <w:rPr>
                <w:b/>
                <w:bCs/>
                <w:sz w:val="18"/>
                <w:szCs w:val="18"/>
              </w:rPr>
            </w:pPr>
            <w:r>
              <w:rPr>
                <w:b/>
                <w:bCs/>
                <w:sz w:val="18"/>
                <w:szCs w:val="18"/>
              </w:rPr>
              <w:t>$'000</w:t>
            </w:r>
          </w:p>
        </w:tc>
        <w:tc>
          <w:tcPr>
            <w:tcW w:w="620" w:type="dxa"/>
            <w:tcBorders>
              <w:top w:val="nil"/>
              <w:left w:val="nil"/>
              <w:bottom w:val="single" w:sz="4" w:space="0" w:color="auto"/>
              <w:right w:val="nil"/>
            </w:tcBorders>
            <w:shd w:val="clear" w:color="000000" w:fill="FFFFFF"/>
            <w:hideMark/>
          </w:tcPr>
          <w:p w:rsidR="00806D5A" w:rsidRDefault="00806D5A" w:rsidP="00806D5A">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806D5A" w:rsidRDefault="00806D5A" w:rsidP="00806D5A">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806D5A" w:rsidRDefault="00806D5A" w:rsidP="00806D5A">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806D5A" w:rsidRDefault="00806D5A" w:rsidP="00806D5A">
            <w:pPr>
              <w:ind w:left="-283"/>
              <w:jc w:val="right"/>
              <w:rPr>
                <w:b/>
                <w:bCs/>
                <w:sz w:val="18"/>
                <w:szCs w:val="18"/>
              </w:rPr>
            </w:pPr>
            <w:r>
              <w:rPr>
                <w:b/>
                <w:bCs/>
                <w:sz w:val="18"/>
                <w:szCs w:val="18"/>
              </w:rPr>
              <w:t>$'000</w:t>
            </w:r>
          </w:p>
        </w:tc>
      </w:tr>
      <w:tr w:rsidR="00806D5A" w:rsidTr="00806D5A">
        <w:trPr>
          <w:tblHeader/>
        </w:trPr>
        <w:tc>
          <w:tcPr>
            <w:tcW w:w="1051" w:type="dxa"/>
            <w:tcBorders>
              <w:top w:val="nil"/>
              <w:left w:val="nil"/>
              <w:bottom w:val="nil"/>
              <w:right w:val="nil"/>
            </w:tcBorders>
            <w:shd w:val="clear" w:color="000000" w:fill="FFFFFF"/>
            <w:hideMark/>
          </w:tcPr>
          <w:p w:rsidR="00806D5A" w:rsidRDefault="00806D5A" w:rsidP="00806D5A">
            <w:pPr>
              <w:ind w:left="-283"/>
              <w:jc w:val="right"/>
              <w:rPr>
                <w:b/>
                <w:bCs/>
                <w:i/>
                <w:iCs/>
                <w:sz w:val="18"/>
                <w:szCs w:val="18"/>
              </w:rPr>
            </w:pPr>
            <w:r>
              <w:rPr>
                <w:b/>
                <w:bCs/>
                <w:i/>
                <w:iCs/>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i/>
                <w:iCs/>
                <w:sz w:val="18"/>
                <w:szCs w:val="18"/>
              </w:rPr>
            </w:pPr>
            <w:r>
              <w:rPr>
                <w:b/>
                <w:bCs/>
                <w:i/>
                <w:iCs/>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i/>
                <w:iCs/>
                <w:sz w:val="18"/>
                <w:szCs w:val="18"/>
              </w:rPr>
            </w:pPr>
            <w:r>
              <w:rPr>
                <w:b/>
                <w:bCs/>
                <w:i/>
                <w:iCs/>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365,860</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xml:space="preserve">Government Payment for </w:t>
            </w:r>
            <w:r>
              <w:rPr>
                <w:sz w:val="18"/>
                <w:szCs w:val="18"/>
              </w:rPr>
              <w:br/>
              <w:t xml:space="preserve">   Outputs</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366,337</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231,100</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-37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240,721</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258,533</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279,156</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100,803</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xml:space="preserve">User Charges - Non ACT </w:t>
            </w:r>
            <w:r>
              <w:rPr>
                <w:sz w:val="18"/>
                <w:szCs w:val="18"/>
              </w:rPr>
              <w:br/>
              <w:t xml:space="preserve">   Government</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100,803</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102,448</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104,806</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107,372</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109,766</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546,730</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xml:space="preserve">User Charges - ACT </w:t>
            </w:r>
            <w:r>
              <w:rPr>
                <w:sz w:val="18"/>
                <w:szCs w:val="18"/>
              </w:rPr>
              <w:br/>
              <w:t xml:space="preserve">   Government</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546,730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718,290</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31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764,892</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822,180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891,883</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0</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Grants from the Commonwealth</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4,000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4,120</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4,245</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4,370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4,495</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278</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100</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100</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0</w:t>
            </w:r>
          </w:p>
        </w:tc>
        <w:tc>
          <w:tcPr>
            <w:tcW w:w="2383" w:type="dxa"/>
            <w:tcBorders>
              <w:top w:val="nil"/>
              <w:left w:val="nil"/>
              <w:bottom w:val="nil"/>
              <w:right w:val="nil"/>
            </w:tcBorders>
            <w:shd w:val="clear" w:color="000000" w:fill="FFFFFF"/>
            <w:hideMark/>
          </w:tcPr>
          <w:p w:rsidR="00806D5A" w:rsidRDefault="00806D5A" w:rsidP="00806D5A">
            <w:pPr>
              <w:ind w:left="142" w:hanging="142"/>
              <w:rPr>
                <w:sz w:val="18"/>
                <w:szCs w:val="18"/>
              </w:rPr>
            </w:pPr>
            <w:r>
              <w:rPr>
                <w:sz w:val="18"/>
                <w:szCs w:val="18"/>
              </w:rPr>
              <w:t>Distribution from Investments with the Territory Banking Account</w:t>
            </w:r>
            <w:r>
              <w:rPr>
                <w:sz w:val="18"/>
                <w:szCs w:val="18"/>
                <w:vertAlign w:val="superscript"/>
              </w:rPr>
              <w:t>1</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178</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178</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178</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178</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178</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16,746</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12,746</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13,230</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13,722</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14,183</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14,633</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758</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Resources Received</w:t>
            </w:r>
            <w:r>
              <w:rPr>
                <w:sz w:val="18"/>
                <w:szCs w:val="18"/>
              </w:rPr>
              <w:br/>
              <w:t xml:space="preserve">   Free of Charge</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758</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780</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792</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804</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824</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1,031,175</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1,031,652</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1,070,246</w:t>
            </w:r>
          </w:p>
        </w:tc>
        <w:tc>
          <w:tcPr>
            <w:tcW w:w="62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1,129,456</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1,207,720</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1,301,035</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Gains</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1,524</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Other Gains</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1,524</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1,544</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1,574</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1,604</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1,624</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1,524</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Gains</w:t>
            </w:r>
          </w:p>
        </w:tc>
        <w:tc>
          <w:tcPr>
            <w:tcW w:w="1102"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1,524</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1,544</w:t>
            </w:r>
          </w:p>
        </w:tc>
        <w:tc>
          <w:tcPr>
            <w:tcW w:w="62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1,574</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1,604</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1,624</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1,032,699</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1,033,176</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1,071,790</w:t>
            </w:r>
          </w:p>
        </w:tc>
        <w:tc>
          <w:tcPr>
            <w:tcW w:w="62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1,131,030</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1,209,324</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1,302,659</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553,280</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555,715</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576,404</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611,750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652,814</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708,908</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69,116</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69,236</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72,099</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75,076</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78,150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82,232</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301,234</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311,240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318,133</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334,451</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363,640</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390,988</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35,882</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xml:space="preserve">Depreciation and </w:t>
            </w:r>
            <w:r>
              <w:rPr>
                <w:sz w:val="18"/>
                <w:szCs w:val="18"/>
              </w:rPr>
              <w:br/>
              <w:t xml:space="preserve">   Amortisation</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29,882</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35,673</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19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41,395</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42,451</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43,485</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401</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Borrowing Costs</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401</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401</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401</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401</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401</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15,394</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Cost of Goods Sold</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9,894</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10,551</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7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10,934</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11,353</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11,773</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76,920</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xml:space="preserve">Grants and Purchased </w:t>
            </w:r>
            <w:r>
              <w:rPr>
                <w:sz w:val="18"/>
                <w:szCs w:val="18"/>
              </w:rPr>
              <w:br/>
              <w:t xml:space="preserve">   Services</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81,272</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84,023</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87,185</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90,447</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94,679</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11,060</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12,093</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12,425</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12,857</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13,481</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14,025</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1,063,287</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Ordinary Expenses</w:t>
            </w:r>
          </w:p>
        </w:tc>
        <w:tc>
          <w:tcPr>
            <w:tcW w:w="1102"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1,069,733</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1,109,709</w:t>
            </w:r>
          </w:p>
        </w:tc>
        <w:tc>
          <w:tcPr>
            <w:tcW w:w="62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1,174,049</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1,252,737</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1,346,491</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-30,588</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-36,557</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-37,919</w:t>
            </w:r>
          </w:p>
        </w:tc>
        <w:tc>
          <w:tcPr>
            <w:tcW w:w="62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-43,019</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-43,413</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-43,832</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62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r>
      <w:tr w:rsidR="00806D5A" w:rsidTr="00806D5A">
        <w:tc>
          <w:tcPr>
            <w:tcW w:w="1051"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-30,588</w:t>
            </w:r>
          </w:p>
        </w:tc>
        <w:tc>
          <w:tcPr>
            <w:tcW w:w="2383"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-36,557</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-37,919</w:t>
            </w:r>
          </w:p>
        </w:tc>
        <w:tc>
          <w:tcPr>
            <w:tcW w:w="62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-43,019</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-43,413</w:t>
            </w:r>
          </w:p>
        </w:tc>
        <w:tc>
          <w:tcPr>
            <w:tcW w:w="1050"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-43,832</w:t>
            </w:r>
          </w:p>
        </w:tc>
      </w:tr>
      <w:tr w:rsidR="00806D5A" w:rsidTr="00806D5A">
        <w:tc>
          <w:tcPr>
            <w:tcW w:w="1051"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83" w:type="dxa"/>
            <w:tcBorders>
              <w:top w:val="nil"/>
              <w:left w:val="nil"/>
              <w:bottom w:val="single" w:sz="4" w:space="0" w:color="auto"/>
              <w:right w:val="nil"/>
            </w:tcBorders>
            <w:shd w:val="clear" w:color="000000" w:fill="FFFFFF"/>
            <w:hideMark/>
          </w:tcPr>
          <w:p w:rsidR="00806D5A" w:rsidRDefault="00806D5A" w:rsidP="00806D5A">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0"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r>
    </w:tbl>
    <w:p w:rsidR="00806D5A" w:rsidRDefault="00806D5A" w:rsidP="00806D5A">
      <w:pPr>
        <w:pStyle w:val="Notes"/>
        <w:rPr>
          <w:sz w:val="16"/>
          <w:szCs w:val="16"/>
        </w:rPr>
      </w:pPr>
      <w:r>
        <w:rPr>
          <w:sz w:val="16"/>
          <w:szCs w:val="16"/>
        </w:rPr>
        <w:t>Note:</w:t>
      </w:r>
    </w:p>
    <w:p w:rsidR="00806D5A" w:rsidRPr="00DF2E34" w:rsidRDefault="00806D5A" w:rsidP="00547D64">
      <w:pPr>
        <w:pStyle w:val="AINotes"/>
        <w:numPr>
          <w:ilvl w:val="0"/>
          <w:numId w:val="44"/>
        </w:numPr>
      </w:pPr>
      <w:r>
        <w:rPr>
          <w:lang w:val="en-US"/>
        </w:rPr>
        <w:t>Interest received from investments with the Territory Banking Account is no longer presented as Interest Income.  These amounts are now reflected under the line item Distributions from the Territory Banking Account.  This treatment is not reflected in the 2012</w:t>
      </w:r>
      <w:r>
        <w:rPr>
          <w:lang w:val="en-US"/>
        </w:rPr>
        <w:noBreakHyphen/>
        <w:t>13 Budget figures.</w:t>
      </w:r>
    </w:p>
    <w:p w:rsidR="00806D5A" w:rsidRDefault="00806D5A" w:rsidP="00003B41">
      <w:pPr>
        <w:pStyle w:val="BodyText"/>
      </w:pPr>
      <w:r>
        <w:br w:type="page"/>
      </w:r>
    </w:p>
    <w:tbl>
      <w:tblPr>
        <w:tblW w:w="9356" w:type="dxa"/>
        <w:tblLook w:val="04A0"/>
      </w:tblPr>
      <w:tblGrid>
        <w:gridCol w:w="1054"/>
        <w:gridCol w:w="2392"/>
        <w:gridCol w:w="1106"/>
        <w:gridCol w:w="1054"/>
        <w:gridCol w:w="624"/>
        <w:gridCol w:w="1054"/>
        <w:gridCol w:w="1054"/>
        <w:gridCol w:w="1054"/>
      </w:tblGrid>
      <w:tr w:rsidR="00806D5A" w:rsidTr="00806D5A">
        <w:trPr>
          <w:tblHeader/>
        </w:trPr>
        <w:tc>
          <w:tcPr>
            <w:tcW w:w="9392" w:type="dxa"/>
            <w:gridSpan w:val="8"/>
            <w:tcBorders>
              <w:top w:val="nil"/>
              <w:left w:val="nil"/>
              <w:bottom w:val="nil"/>
              <w:right w:val="nil"/>
            </w:tcBorders>
            <w:shd w:val="clear" w:color="000000" w:fill="FFFFFF"/>
            <w:noWrap/>
            <w:vAlign w:val="bottom"/>
            <w:hideMark/>
          </w:tcPr>
          <w:p w:rsidR="00806D5A" w:rsidRPr="007152A9" w:rsidRDefault="00806D5A" w:rsidP="00806D5A">
            <w:pPr>
              <w:jc w:val="center"/>
              <w:rPr>
                <w:rFonts w:ascii="Arial" w:hAnsi="Arial" w:cs="Arial"/>
                <w:b/>
                <w:bCs/>
                <w:szCs w:val="24"/>
              </w:rPr>
            </w:pPr>
            <w:bookmarkStart w:id="5" w:name="RANGE!A1:H53"/>
            <w:r w:rsidRPr="007152A9">
              <w:rPr>
                <w:rFonts w:ascii="Arial" w:hAnsi="Arial" w:cs="Arial"/>
                <w:b/>
                <w:bCs/>
                <w:szCs w:val="24"/>
              </w:rPr>
              <w:lastRenderedPageBreak/>
              <w:t>Health Directorate</w:t>
            </w:r>
            <w:bookmarkEnd w:id="5"/>
          </w:p>
        </w:tc>
      </w:tr>
      <w:tr w:rsidR="00806D5A" w:rsidTr="00806D5A">
        <w:trPr>
          <w:tblHeader/>
        </w:trPr>
        <w:tc>
          <w:tcPr>
            <w:tcW w:w="9392" w:type="dxa"/>
            <w:gridSpan w:val="8"/>
            <w:tcBorders>
              <w:top w:val="nil"/>
              <w:left w:val="nil"/>
              <w:bottom w:val="nil"/>
              <w:right w:val="nil"/>
            </w:tcBorders>
            <w:shd w:val="clear" w:color="000000" w:fill="FFFFFF"/>
            <w:noWrap/>
            <w:vAlign w:val="bottom"/>
            <w:hideMark/>
          </w:tcPr>
          <w:p w:rsidR="00806D5A" w:rsidRPr="007152A9" w:rsidRDefault="00806D5A" w:rsidP="00806D5A">
            <w:pPr>
              <w:jc w:val="center"/>
              <w:rPr>
                <w:rFonts w:ascii="Arial" w:hAnsi="Arial" w:cs="Arial"/>
                <w:b/>
                <w:bCs/>
                <w:szCs w:val="24"/>
              </w:rPr>
            </w:pPr>
            <w:r w:rsidRPr="007152A9">
              <w:rPr>
                <w:rFonts w:ascii="Arial" w:hAnsi="Arial" w:cs="Arial"/>
                <w:b/>
                <w:bCs/>
                <w:szCs w:val="24"/>
              </w:rPr>
              <w:t>Balance Sheet</w:t>
            </w:r>
          </w:p>
        </w:tc>
      </w:tr>
      <w:tr w:rsidR="00806D5A" w:rsidTr="00806D5A">
        <w:trPr>
          <w:tblHeader/>
        </w:trPr>
        <w:tc>
          <w:tcPr>
            <w:tcW w:w="105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806D5A" w:rsidRDefault="00806D5A" w:rsidP="00806D5A">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Estimate</w:t>
            </w:r>
          </w:p>
        </w:tc>
      </w:tr>
      <w:tr w:rsidR="00806D5A" w:rsidTr="00806D5A">
        <w:trPr>
          <w:tblHeader/>
        </w:trPr>
        <w:tc>
          <w:tcPr>
            <w:tcW w:w="105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806D5A" w:rsidRDefault="00806D5A" w:rsidP="00806D5A">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30/6/17</w:t>
            </w:r>
          </w:p>
        </w:tc>
      </w:tr>
      <w:tr w:rsidR="00806D5A" w:rsidTr="00806D5A">
        <w:trPr>
          <w:tblHeader/>
        </w:trPr>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r>
      <w:tr w:rsidR="00806D5A" w:rsidTr="00806D5A">
        <w:trPr>
          <w:tblHeader/>
        </w:trPr>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i/>
                <w:iCs/>
                <w:sz w:val="18"/>
                <w:szCs w:val="18"/>
              </w:rPr>
            </w:pPr>
            <w:r>
              <w:rPr>
                <w:i/>
                <w:iCs/>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1,522</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24,832</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23,803</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22,265</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20,227</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17,689</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47,572</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64,777</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67,010</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69,752</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72,994</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76,736</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2,990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2,990</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2,990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2,990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2,990</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8,066</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Inventories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7,753</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7,953</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8,153</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8,353</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8,553</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127</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Assets Held for Sale</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168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168</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168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168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168</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2,516</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2,615</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2,715</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2,815</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2,915</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3,015</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59,803</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103,135</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104,639</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106,143</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107,647</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109,151</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2,235</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200</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400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500</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3,000</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0</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785,281</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765,710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1,002,588</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31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1,162,229</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1,155,928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1,144,684</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33,872</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8,577</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21,023</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145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33,538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37,553</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31,568</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301,294</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212,785</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127,925</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-40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20,000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8,000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0</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1,125,682</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987,172</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1,151,736</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17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1,216,067</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1,201,881</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1,176,752</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1,185,485</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1,090,307</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1,256,375</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15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1,322,210</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1,309,528</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1,285,903</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56,597</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59,651</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59,851</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60,051</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60,251</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60,451</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3,099</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3,388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3,488</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3,588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3,688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3,788</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159,114</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170,027</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181,438</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192,758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203,988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215,218</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5,462</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856</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1,056</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23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1,256</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1,456</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1,656</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224,272</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233,922</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245,833</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257,653</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269,383</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281,113</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3,099</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1,902</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2,002</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2,102</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2,202</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2,302</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18,392</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16,714</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18,282</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19,850</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21,418</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22,986</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1,503</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Other</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1,503</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1,503</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1,503</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1,503</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1,503</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22,994</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20,119</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21,787</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8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23,455</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25,123</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26,791</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247,266</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254,041</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267,620</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281,108</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294,506</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307,904</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938,219</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836,266</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988,755</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18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1,041,102</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1,015,022</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977,999</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806D5A" w:rsidRDefault="00806D5A" w:rsidP="00806D5A">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793,218</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692,259</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844,748</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897,095</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871,015</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833,992</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145,001</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144,007</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144,007</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144,007</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144,007</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144,007</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938,219</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836,266</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988,755</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 xml:space="preserve">18 </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1,041,102</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1,015,022</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8"/>
                <w:szCs w:val="18"/>
              </w:rPr>
            </w:pPr>
            <w:r>
              <w:rPr>
                <w:b/>
                <w:bCs/>
                <w:sz w:val="18"/>
                <w:szCs w:val="18"/>
              </w:rPr>
              <w:t>977,999</w:t>
            </w:r>
          </w:p>
        </w:tc>
      </w:tr>
      <w:tr w:rsidR="00806D5A" w:rsidTr="00806D5A">
        <w:tc>
          <w:tcPr>
            <w:tcW w:w="1054"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806D5A" w:rsidRDefault="00806D5A" w:rsidP="00806D5A">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06D5A" w:rsidRDefault="00806D5A" w:rsidP="00806D5A">
            <w:pPr>
              <w:ind w:left="-283"/>
              <w:jc w:val="right"/>
              <w:rPr>
                <w:sz w:val="18"/>
                <w:szCs w:val="18"/>
              </w:rPr>
            </w:pPr>
            <w:r>
              <w:rPr>
                <w:sz w:val="18"/>
                <w:szCs w:val="18"/>
              </w:rPr>
              <w:t> </w:t>
            </w:r>
          </w:p>
        </w:tc>
      </w:tr>
    </w:tbl>
    <w:p w:rsidR="00806D5A" w:rsidRDefault="00806D5A" w:rsidP="00003B41">
      <w:pPr>
        <w:pStyle w:val="BodyText"/>
      </w:pPr>
    </w:p>
    <w:p w:rsidR="00806D5A" w:rsidRDefault="00806D5A" w:rsidP="00003B41">
      <w:pPr>
        <w:pStyle w:val="BodyText"/>
      </w:pPr>
      <w:r>
        <w:br w:type="page"/>
      </w:r>
    </w:p>
    <w:tbl>
      <w:tblPr>
        <w:tblW w:w="9356" w:type="dxa"/>
        <w:tblLook w:val="04A0"/>
      </w:tblPr>
      <w:tblGrid>
        <w:gridCol w:w="1054"/>
        <w:gridCol w:w="2392"/>
        <w:gridCol w:w="1106"/>
        <w:gridCol w:w="1054"/>
        <w:gridCol w:w="624"/>
        <w:gridCol w:w="1054"/>
        <w:gridCol w:w="1054"/>
        <w:gridCol w:w="1054"/>
      </w:tblGrid>
      <w:tr w:rsidR="00806D5A" w:rsidTr="00806D5A">
        <w:trPr>
          <w:tblHeader/>
        </w:trPr>
        <w:tc>
          <w:tcPr>
            <w:tcW w:w="9392" w:type="dxa"/>
            <w:gridSpan w:val="8"/>
            <w:tcBorders>
              <w:top w:val="nil"/>
              <w:left w:val="nil"/>
              <w:bottom w:val="nil"/>
              <w:right w:val="nil"/>
            </w:tcBorders>
            <w:shd w:val="clear" w:color="000000" w:fill="FFFFFF"/>
            <w:noWrap/>
            <w:vAlign w:val="bottom"/>
            <w:hideMark/>
          </w:tcPr>
          <w:p w:rsidR="00806D5A" w:rsidRPr="007152A9" w:rsidRDefault="00806D5A" w:rsidP="00806D5A">
            <w:pPr>
              <w:jc w:val="center"/>
              <w:rPr>
                <w:rFonts w:ascii="Arial" w:hAnsi="Arial" w:cs="Arial"/>
                <w:b/>
                <w:bCs/>
                <w:szCs w:val="24"/>
              </w:rPr>
            </w:pPr>
            <w:bookmarkStart w:id="6" w:name="RANGE!A1:H33"/>
            <w:r w:rsidRPr="007152A9">
              <w:rPr>
                <w:rFonts w:ascii="Arial" w:hAnsi="Arial" w:cs="Arial"/>
                <w:b/>
                <w:bCs/>
                <w:szCs w:val="24"/>
              </w:rPr>
              <w:lastRenderedPageBreak/>
              <w:t>Health Directorate</w:t>
            </w:r>
            <w:bookmarkEnd w:id="6"/>
          </w:p>
        </w:tc>
      </w:tr>
      <w:tr w:rsidR="00806D5A" w:rsidTr="00806D5A">
        <w:trPr>
          <w:tblHeader/>
        </w:trPr>
        <w:tc>
          <w:tcPr>
            <w:tcW w:w="9392" w:type="dxa"/>
            <w:gridSpan w:val="8"/>
            <w:tcBorders>
              <w:top w:val="nil"/>
              <w:left w:val="nil"/>
              <w:bottom w:val="nil"/>
              <w:right w:val="nil"/>
            </w:tcBorders>
            <w:shd w:val="clear" w:color="000000" w:fill="FFFFFF"/>
            <w:noWrap/>
            <w:vAlign w:val="bottom"/>
            <w:hideMark/>
          </w:tcPr>
          <w:p w:rsidR="00806D5A" w:rsidRPr="007152A9" w:rsidRDefault="00806D5A" w:rsidP="00806D5A">
            <w:pPr>
              <w:jc w:val="center"/>
              <w:rPr>
                <w:rFonts w:ascii="Arial" w:hAnsi="Arial" w:cs="Arial"/>
                <w:b/>
                <w:bCs/>
                <w:szCs w:val="24"/>
              </w:rPr>
            </w:pPr>
            <w:r w:rsidRPr="007152A9">
              <w:rPr>
                <w:rFonts w:ascii="Arial" w:hAnsi="Arial" w:cs="Arial"/>
                <w:b/>
                <w:bCs/>
                <w:szCs w:val="24"/>
              </w:rPr>
              <w:t>Statement of Changes in Equity</w:t>
            </w:r>
          </w:p>
        </w:tc>
      </w:tr>
      <w:tr w:rsidR="00806D5A" w:rsidTr="00806D5A">
        <w:trPr>
          <w:tblHeader/>
        </w:trPr>
        <w:tc>
          <w:tcPr>
            <w:tcW w:w="105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806D5A" w:rsidRDefault="00806D5A" w:rsidP="00806D5A">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Estimate</w:t>
            </w:r>
          </w:p>
        </w:tc>
      </w:tr>
      <w:tr w:rsidR="00806D5A" w:rsidTr="00806D5A">
        <w:trPr>
          <w:tblHeader/>
        </w:trPr>
        <w:tc>
          <w:tcPr>
            <w:tcW w:w="105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806D5A" w:rsidRDefault="00806D5A" w:rsidP="00806D5A">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806D5A" w:rsidRDefault="00806D5A" w:rsidP="00806D5A">
            <w:pPr>
              <w:ind w:left="-283"/>
              <w:jc w:val="right"/>
              <w:rPr>
                <w:b/>
                <w:bCs/>
                <w:sz w:val="16"/>
                <w:szCs w:val="16"/>
              </w:rPr>
            </w:pPr>
            <w:r>
              <w:rPr>
                <w:b/>
                <w:bCs/>
                <w:sz w:val="16"/>
                <w:szCs w:val="16"/>
              </w:rPr>
              <w:t>as at 30/6/17</w:t>
            </w:r>
          </w:p>
        </w:tc>
      </w:tr>
      <w:tr w:rsidR="00806D5A" w:rsidTr="00806D5A">
        <w:trPr>
          <w:tblHeader/>
        </w:trPr>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806D5A" w:rsidRDefault="00806D5A" w:rsidP="00806D5A">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$'000</w:t>
            </w:r>
          </w:p>
        </w:tc>
      </w:tr>
      <w:tr w:rsidR="00806D5A" w:rsidTr="00806D5A">
        <w:trPr>
          <w:tblHeader/>
        </w:trPr>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585,924</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585,682</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692,259</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xml:space="preserve">18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844,748</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897,095</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871,015</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145,001</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144,007</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144,007</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144,007</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144,007</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144,007</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730,925</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729,689</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836,266</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xml:space="preserve">15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988,755</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1,041,102</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1,015,022</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-30,588</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-36,557</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-37,919</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-43,019</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-43,413</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-43,832</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-30,588</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-36,557</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-37,919</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-43,019</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-43,413</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-43,832</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806D5A" w:rsidRDefault="00806D5A" w:rsidP="00806D5A">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0</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806D5A" w:rsidRDefault="00806D5A" w:rsidP="00806D5A">
            <w:pPr>
              <w:ind w:left="142" w:hanging="142"/>
              <w:rPr>
                <w:b/>
                <w:bCs/>
                <w:sz w:val="18"/>
                <w:szCs w:val="18"/>
              </w:rPr>
            </w:pPr>
            <w:r>
              <w:rPr>
                <w:b/>
                <w:bCs/>
                <w:sz w:val="18"/>
                <w:szCs w:val="18"/>
              </w:rPr>
              <w:t>Transactions Involving Owners</w:t>
            </w:r>
          </w:p>
          <w:p w:rsidR="00806D5A" w:rsidRDefault="00806D5A" w:rsidP="00806D5A">
            <w:pPr>
              <w:ind w:left="142" w:hanging="142"/>
              <w:rPr>
                <w:b/>
                <w:bCs/>
                <w:sz w:val="18"/>
                <w:szCs w:val="18"/>
              </w:rPr>
            </w:pPr>
            <w:r>
              <w:rPr>
                <w:b/>
                <w:bCs/>
                <w:sz w:val="18"/>
                <w:szCs w:val="18"/>
              </w:rPr>
              <w:t xml:space="preserve">   Affecting Accumulated Funds</w:t>
            </w:r>
          </w:p>
          <w:p w:rsidR="00806D5A" w:rsidRDefault="00806D5A" w:rsidP="00806D5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237,882</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143,134</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190,408</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xml:space="preserve">33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95,366</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17,333</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6,809</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237,882</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143,134</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190,408</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xml:space="preserve">33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95,366</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17,333</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6,809</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793,218</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692,259</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844,748</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897,095</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871,015</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833,992</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145,001</w:t>
            </w:r>
          </w:p>
        </w:tc>
        <w:tc>
          <w:tcPr>
            <w:tcW w:w="2392" w:type="dxa"/>
            <w:tcBorders>
              <w:top w:val="nil"/>
              <w:left w:val="nil"/>
              <w:bottom w:val="nil"/>
              <w:right w:val="nil"/>
            </w:tcBorders>
            <w:shd w:val="clear" w:color="000000" w:fill="FFFFFF"/>
            <w:hideMark/>
          </w:tcPr>
          <w:p w:rsidR="00806D5A" w:rsidRDefault="00806D5A" w:rsidP="00806D5A">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144,007</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144,007</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144,007</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144,007</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144,007</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06D5A" w:rsidRDefault="00806D5A" w:rsidP="00806D5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sz w:val="18"/>
                <w:szCs w:val="18"/>
              </w:rPr>
            </w:pPr>
            <w:r>
              <w:rPr>
                <w:sz w:val="18"/>
                <w:szCs w:val="18"/>
              </w:rPr>
              <w:t> </w:t>
            </w:r>
          </w:p>
        </w:tc>
      </w:tr>
      <w:tr w:rsidR="00806D5A" w:rsidTr="00806D5A">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938,219</w:t>
            </w:r>
          </w:p>
        </w:tc>
        <w:tc>
          <w:tcPr>
            <w:tcW w:w="2392" w:type="dxa"/>
            <w:tcBorders>
              <w:top w:val="nil"/>
              <w:left w:val="nil"/>
              <w:bottom w:val="nil"/>
              <w:right w:val="nil"/>
            </w:tcBorders>
            <w:shd w:val="clear" w:color="000000" w:fill="FFFFFF"/>
            <w:hideMark/>
          </w:tcPr>
          <w:p w:rsidR="00806D5A" w:rsidRDefault="00806D5A" w:rsidP="00806D5A">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836,266</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988,755</w:t>
            </w:r>
          </w:p>
        </w:tc>
        <w:tc>
          <w:tcPr>
            <w:tcW w:w="62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 xml:space="preserve">18 </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1,041,102</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1,015,022</w:t>
            </w:r>
          </w:p>
        </w:tc>
        <w:tc>
          <w:tcPr>
            <w:tcW w:w="1054" w:type="dxa"/>
            <w:tcBorders>
              <w:top w:val="nil"/>
              <w:left w:val="nil"/>
              <w:bottom w:val="nil"/>
              <w:right w:val="nil"/>
            </w:tcBorders>
            <w:shd w:val="clear" w:color="000000" w:fill="FFFFFF"/>
            <w:noWrap/>
            <w:hideMark/>
          </w:tcPr>
          <w:p w:rsidR="00806D5A" w:rsidRDefault="00806D5A" w:rsidP="00806D5A">
            <w:pPr>
              <w:ind w:left="-283"/>
              <w:jc w:val="right"/>
              <w:rPr>
                <w:b/>
                <w:bCs/>
                <w:sz w:val="18"/>
                <w:szCs w:val="18"/>
              </w:rPr>
            </w:pPr>
            <w:r>
              <w:rPr>
                <w:b/>
                <w:bCs/>
                <w:sz w:val="18"/>
                <w:szCs w:val="18"/>
              </w:rPr>
              <w:t>977,999</w:t>
            </w:r>
          </w:p>
        </w:tc>
      </w:tr>
      <w:tr w:rsidR="00806D5A" w:rsidTr="00806D5A">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806D5A" w:rsidRDefault="00806D5A" w:rsidP="00806D5A">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806D5A" w:rsidRDefault="00806D5A" w:rsidP="00806D5A">
            <w:pPr>
              <w:ind w:left="-283"/>
              <w:jc w:val="right"/>
              <w:rPr>
                <w:b/>
                <w:bCs/>
                <w:sz w:val="18"/>
                <w:szCs w:val="18"/>
              </w:rPr>
            </w:pPr>
            <w:r>
              <w:rPr>
                <w:b/>
                <w:bCs/>
                <w:sz w:val="18"/>
                <w:szCs w:val="18"/>
              </w:rPr>
              <w:t> </w:t>
            </w:r>
          </w:p>
        </w:tc>
      </w:tr>
    </w:tbl>
    <w:p w:rsidR="00806D5A" w:rsidRDefault="00806D5A" w:rsidP="00003B41">
      <w:pPr>
        <w:pStyle w:val="BodyText"/>
      </w:pPr>
    </w:p>
    <w:p w:rsidR="003C6BD4" w:rsidRDefault="00806D5A" w:rsidP="00003B41">
      <w:pPr>
        <w:pStyle w:val="BodyText"/>
      </w:pPr>
      <w:r>
        <w:br w:type="page"/>
      </w:r>
    </w:p>
    <w:tbl>
      <w:tblPr>
        <w:tblW w:w="9392" w:type="dxa"/>
        <w:tblLook w:val="04A0"/>
      </w:tblPr>
      <w:tblGrid>
        <w:gridCol w:w="1054"/>
        <w:gridCol w:w="2392"/>
        <w:gridCol w:w="1106"/>
        <w:gridCol w:w="1054"/>
        <w:gridCol w:w="624"/>
        <w:gridCol w:w="1054"/>
        <w:gridCol w:w="1054"/>
        <w:gridCol w:w="1054"/>
      </w:tblGrid>
      <w:tr w:rsidR="003C6BD4" w:rsidTr="00762D07">
        <w:trPr>
          <w:tblHeader/>
        </w:trPr>
        <w:tc>
          <w:tcPr>
            <w:tcW w:w="9392" w:type="dxa"/>
            <w:gridSpan w:val="8"/>
            <w:tcBorders>
              <w:top w:val="nil"/>
              <w:left w:val="nil"/>
              <w:bottom w:val="nil"/>
              <w:right w:val="nil"/>
            </w:tcBorders>
            <w:shd w:val="clear" w:color="000000" w:fill="FFFFFF"/>
            <w:noWrap/>
            <w:vAlign w:val="bottom"/>
            <w:hideMark/>
          </w:tcPr>
          <w:p w:rsidR="003C6BD4" w:rsidRPr="007152A9" w:rsidRDefault="003C6BD4" w:rsidP="00762D07">
            <w:pPr>
              <w:jc w:val="center"/>
              <w:rPr>
                <w:rFonts w:ascii="Arial" w:hAnsi="Arial" w:cs="Arial"/>
                <w:b/>
                <w:bCs/>
                <w:szCs w:val="24"/>
              </w:rPr>
            </w:pPr>
            <w:r w:rsidRPr="007152A9">
              <w:rPr>
                <w:rFonts w:ascii="Arial" w:hAnsi="Arial" w:cs="Arial"/>
                <w:b/>
                <w:bCs/>
                <w:szCs w:val="24"/>
              </w:rPr>
              <w:lastRenderedPageBreak/>
              <w:t>Health Directorate</w:t>
            </w:r>
          </w:p>
        </w:tc>
      </w:tr>
      <w:tr w:rsidR="003C6BD4" w:rsidTr="00762D07">
        <w:trPr>
          <w:tblHeader/>
        </w:trPr>
        <w:tc>
          <w:tcPr>
            <w:tcW w:w="9392" w:type="dxa"/>
            <w:gridSpan w:val="8"/>
            <w:tcBorders>
              <w:top w:val="nil"/>
              <w:left w:val="nil"/>
              <w:bottom w:val="nil"/>
              <w:right w:val="nil"/>
            </w:tcBorders>
            <w:shd w:val="clear" w:color="000000" w:fill="FFFFFF"/>
            <w:noWrap/>
            <w:vAlign w:val="bottom"/>
            <w:hideMark/>
          </w:tcPr>
          <w:p w:rsidR="003C6BD4" w:rsidRPr="007152A9" w:rsidRDefault="003C6BD4" w:rsidP="00762D07">
            <w:pPr>
              <w:jc w:val="center"/>
              <w:rPr>
                <w:rFonts w:ascii="Arial" w:hAnsi="Arial" w:cs="Arial"/>
                <w:b/>
                <w:bCs/>
                <w:szCs w:val="24"/>
              </w:rPr>
            </w:pPr>
            <w:r w:rsidRPr="007152A9">
              <w:rPr>
                <w:rFonts w:ascii="Arial" w:hAnsi="Arial" w:cs="Arial"/>
                <w:b/>
                <w:bCs/>
                <w:szCs w:val="24"/>
              </w:rPr>
              <w:t>Cash Flow Statement</w:t>
            </w:r>
          </w:p>
        </w:tc>
      </w:tr>
      <w:tr w:rsidR="003C6BD4" w:rsidTr="00762D07">
        <w:trPr>
          <w:tblHeader/>
        </w:trPr>
        <w:tc>
          <w:tcPr>
            <w:tcW w:w="1054" w:type="dxa"/>
            <w:tcBorders>
              <w:top w:val="single" w:sz="4" w:space="0" w:color="auto"/>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3C6BD4" w:rsidRDefault="003C6BD4" w:rsidP="00762D0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2016-17</w:t>
            </w:r>
          </w:p>
        </w:tc>
      </w:tr>
      <w:tr w:rsidR="003C6BD4" w:rsidTr="00762D07">
        <w:trPr>
          <w:tblHeader/>
        </w:trPr>
        <w:tc>
          <w:tcPr>
            <w:tcW w:w="1054" w:type="dxa"/>
            <w:tcBorders>
              <w:top w:val="nil"/>
              <w:left w:val="nil"/>
              <w:bottom w:val="nil"/>
              <w:right w:val="nil"/>
            </w:tcBorders>
            <w:shd w:val="clear" w:color="000000" w:fill="FFFFFF"/>
            <w:hideMark/>
          </w:tcPr>
          <w:p w:rsidR="003C6BD4" w:rsidRDefault="003C6BD4" w:rsidP="00762D07">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C6BD4" w:rsidRDefault="003C6BD4" w:rsidP="00762D07">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3C6BD4" w:rsidRDefault="003C6BD4" w:rsidP="00762D07">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3C6BD4" w:rsidRDefault="003C6BD4" w:rsidP="00762D07">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Estimate</w:t>
            </w:r>
          </w:p>
        </w:tc>
      </w:tr>
      <w:tr w:rsidR="003C6BD4" w:rsidTr="00762D07">
        <w:trPr>
          <w:tblHeader/>
        </w:trPr>
        <w:tc>
          <w:tcPr>
            <w:tcW w:w="105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3C6BD4" w:rsidRDefault="003C6BD4" w:rsidP="00762D07">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$'000</w:t>
            </w:r>
          </w:p>
        </w:tc>
      </w:tr>
      <w:tr w:rsidR="003C6BD4" w:rsidRPr="007152A9" w:rsidTr="00762D07">
        <w:trPr>
          <w:tblHeader/>
        </w:trPr>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sz w:val="10"/>
                <w:szCs w:val="10"/>
              </w:rPr>
            </w:pPr>
            <w:r w:rsidRPr="007152A9">
              <w:rPr>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3C6BD4" w:rsidRDefault="003C6BD4" w:rsidP="00762D07">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r>
      <w:tr w:rsidR="003C6BD4" w:rsidRPr="007152A9" w:rsidTr="00762D07">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b/>
                <w:bCs/>
                <w:sz w:val="10"/>
                <w:szCs w:val="10"/>
              </w:rPr>
            </w:pPr>
            <w:r w:rsidRPr="007152A9">
              <w:rPr>
                <w:b/>
                <w:bCs/>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365,860</w:t>
            </w:r>
          </w:p>
        </w:tc>
        <w:tc>
          <w:tcPr>
            <w:tcW w:w="2392" w:type="dxa"/>
            <w:tcBorders>
              <w:top w:val="nil"/>
              <w:left w:val="nil"/>
              <w:bottom w:val="nil"/>
              <w:right w:val="nil"/>
            </w:tcBorders>
            <w:shd w:val="clear" w:color="000000" w:fill="FFFFFF"/>
            <w:hideMark/>
          </w:tcPr>
          <w:p w:rsidR="003C6BD4" w:rsidRDefault="003C6BD4" w:rsidP="00762D07">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366,337</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231,100</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-37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240,721</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258,533</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279,156</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647,487</w:t>
            </w:r>
          </w:p>
        </w:tc>
        <w:tc>
          <w:tcPr>
            <w:tcW w:w="2392" w:type="dxa"/>
            <w:tcBorders>
              <w:top w:val="nil"/>
              <w:left w:val="nil"/>
              <w:bottom w:val="nil"/>
              <w:right w:val="nil"/>
            </w:tcBorders>
            <w:shd w:val="clear" w:color="000000" w:fill="FFFFFF"/>
            <w:noWrap/>
            <w:hideMark/>
          </w:tcPr>
          <w:p w:rsidR="003C6BD4" w:rsidRDefault="003C6BD4" w:rsidP="00762D07">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641,487</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820,496</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28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869,456</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929,310</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1,001,387</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C6BD4" w:rsidRDefault="003C6BD4" w:rsidP="00762D07">
            <w:pPr>
              <w:rPr>
                <w:sz w:val="18"/>
                <w:szCs w:val="18"/>
              </w:rPr>
            </w:pPr>
            <w:r>
              <w:rPr>
                <w:sz w:val="18"/>
                <w:szCs w:val="18"/>
              </w:rPr>
              <w:t>Grants Received from the</w:t>
            </w:r>
            <w:r>
              <w:rPr>
                <w:sz w:val="18"/>
                <w:szCs w:val="18"/>
              </w:rPr>
              <w:br/>
              <w:t xml:space="preserve">   Commonwealth</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4,000</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4,120</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4,245</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4,370</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4,495</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278</w:t>
            </w:r>
          </w:p>
        </w:tc>
        <w:tc>
          <w:tcPr>
            <w:tcW w:w="2392" w:type="dxa"/>
            <w:tcBorders>
              <w:top w:val="nil"/>
              <w:left w:val="nil"/>
              <w:bottom w:val="nil"/>
              <w:right w:val="nil"/>
            </w:tcBorders>
            <w:shd w:val="clear" w:color="000000" w:fill="FFFFFF"/>
            <w:noWrap/>
            <w:hideMark/>
          </w:tcPr>
          <w:p w:rsidR="003C6BD4" w:rsidRDefault="003C6BD4" w:rsidP="00762D07">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100</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100</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100</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100</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100</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C6BD4" w:rsidRDefault="003C6BD4" w:rsidP="00762D07">
            <w:pPr>
              <w:ind w:left="142" w:hanging="142"/>
              <w:rPr>
                <w:sz w:val="18"/>
                <w:szCs w:val="18"/>
              </w:rPr>
            </w:pPr>
            <w:r>
              <w:rPr>
                <w:sz w:val="18"/>
                <w:szCs w:val="18"/>
              </w:rPr>
              <w:t>Distribution from Investments with the Territory Banking Account</w:t>
            </w:r>
            <w:r w:rsidR="00AB2E13">
              <w:rPr>
                <w:sz w:val="18"/>
                <w:szCs w:val="18"/>
                <w:vertAlign w:val="superscript"/>
              </w:rPr>
              <w:t>1</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178</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178</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178</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178</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178</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104,670</w:t>
            </w:r>
          </w:p>
        </w:tc>
        <w:tc>
          <w:tcPr>
            <w:tcW w:w="2392" w:type="dxa"/>
            <w:tcBorders>
              <w:top w:val="nil"/>
              <w:left w:val="nil"/>
              <w:bottom w:val="nil"/>
              <w:right w:val="nil"/>
            </w:tcBorders>
            <w:shd w:val="clear" w:color="000000" w:fill="FFFFFF"/>
            <w:noWrap/>
            <w:hideMark/>
          </w:tcPr>
          <w:p w:rsidR="003C6BD4" w:rsidRDefault="003C6BD4" w:rsidP="00762D07">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80,670</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82,174</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82,696</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83,187</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83,657</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1,118,295</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1,092,772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1,138,168</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1,197,396</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1,275,678</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1,368,973</w:t>
            </w:r>
          </w:p>
        </w:tc>
      </w:tr>
      <w:tr w:rsidR="003C6BD4" w:rsidRPr="007152A9" w:rsidTr="00762D07">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b/>
                <w:bCs/>
                <w:sz w:val="10"/>
                <w:szCs w:val="10"/>
              </w:rPr>
            </w:pPr>
            <w:r w:rsidRPr="007152A9">
              <w:rPr>
                <w:b/>
                <w:bCs/>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551,238</w:t>
            </w:r>
          </w:p>
        </w:tc>
        <w:tc>
          <w:tcPr>
            <w:tcW w:w="2392" w:type="dxa"/>
            <w:tcBorders>
              <w:top w:val="nil"/>
              <w:left w:val="nil"/>
              <w:bottom w:val="nil"/>
              <w:right w:val="nil"/>
            </w:tcBorders>
            <w:shd w:val="clear" w:color="000000" w:fill="FFFFFF"/>
            <w:noWrap/>
            <w:hideMark/>
          </w:tcPr>
          <w:p w:rsidR="003C6BD4" w:rsidRDefault="003C6BD4" w:rsidP="00762D07">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553,304</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563,462</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598,899</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639,990</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696,084</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69,116</w:t>
            </w:r>
          </w:p>
        </w:tc>
        <w:tc>
          <w:tcPr>
            <w:tcW w:w="2392" w:type="dxa"/>
            <w:tcBorders>
              <w:top w:val="nil"/>
              <w:left w:val="nil"/>
              <w:bottom w:val="nil"/>
              <w:right w:val="nil"/>
            </w:tcBorders>
            <w:shd w:val="clear" w:color="000000" w:fill="FFFFFF"/>
            <w:noWrap/>
            <w:hideMark/>
          </w:tcPr>
          <w:p w:rsidR="003C6BD4" w:rsidRDefault="003C6BD4" w:rsidP="00762D07">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69,236</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72,099</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75,076</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78,150</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82,232</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296,432</w:t>
            </w:r>
          </w:p>
        </w:tc>
        <w:tc>
          <w:tcPr>
            <w:tcW w:w="2392" w:type="dxa"/>
            <w:tcBorders>
              <w:top w:val="nil"/>
              <w:left w:val="nil"/>
              <w:bottom w:val="nil"/>
              <w:right w:val="nil"/>
            </w:tcBorders>
            <w:shd w:val="clear" w:color="000000" w:fill="FFFFFF"/>
            <w:hideMark/>
          </w:tcPr>
          <w:p w:rsidR="003C6BD4" w:rsidRDefault="003C6BD4" w:rsidP="00762D07">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327,438</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318,937</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335,280</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364,538</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390,886</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401</w:t>
            </w:r>
          </w:p>
        </w:tc>
        <w:tc>
          <w:tcPr>
            <w:tcW w:w="2392" w:type="dxa"/>
            <w:tcBorders>
              <w:top w:val="nil"/>
              <w:left w:val="nil"/>
              <w:bottom w:val="nil"/>
              <w:right w:val="nil"/>
            </w:tcBorders>
            <w:shd w:val="clear" w:color="000000" w:fill="FFFFFF"/>
            <w:noWrap/>
            <w:hideMark/>
          </w:tcPr>
          <w:p w:rsidR="003C6BD4" w:rsidRDefault="003C6BD4" w:rsidP="00762D07">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401</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401</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401</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401</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401</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76,920</w:t>
            </w:r>
          </w:p>
        </w:tc>
        <w:tc>
          <w:tcPr>
            <w:tcW w:w="2392" w:type="dxa"/>
            <w:tcBorders>
              <w:top w:val="nil"/>
              <w:left w:val="nil"/>
              <w:bottom w:val="nil"/>
              <w:right w:val="nil"/>
            </w:tcBorders>
            <w:shd w:val="clear" w:color="000000" w:fill="FFFFFF"/>
            <w:noWrap/>
            <w:hideMark/>
          </w:tcPr>
          <w:p w:rsidR="003C6BD4" w:rsidRDefault="003C6BD4" w:rsidP="00762D07">
            <w:pPr>
              <w:ind w:left="142" w:hanging="142"/>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81,272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84,023</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87,185</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90,447</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95,679</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112,660</w:t>
            </w:r>
          </w:p>
        </w:tc>
        <w:tc>
          <w:tcPr>
            <w:tcW w:w="2392" w:type="dxa"/>
            <w:tcBorders>
              <w:top w:val="nil"/>
              <w:left w:val="nil"/>
              <w:bottom w:val="nil"/>
              <w:right w:val="nil"/>
            </w:tcBorders>
            <w:shd w:val="clear" w:color="000000" w:fill="FFFFFF"/>
            <w:noWrap/>
            <w:hideMark/>
          </w:tcPr>
          <w:p w:rsidR="003C6BD4" w:rsidRDefault="003C6BD4" w:rsidP="00762D07">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87,702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90,545</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91,832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93,357</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94,781</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1,106,767</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1,119,353</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1,129,467</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1,188,673</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1,266,883</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1,360,063</w:t>
            </w:r>
          </w:p>
        </w:tc>
      </w:tr>
      <w:tr w:rsidR="003C6BD4" w:rsidRPr="007152A9" w:rsidTr="00762D07">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sz w:val="10"/>
                <w:szCs w:val="10"/>
              </w:rPr>
            </w:pPr>
            <w:r w:rsidRPr="007152A9">
              <w:rPr>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11,528</w:t>
            </w:r>
          </w:p>
        </w:tc>
        <w:tc>
          <w:tcPr>
            <w:tcW w:w="2392" w:type="dxa"/>
            <w:tcBorders>
              <w:top w:val="nil"/>
              <w:left w:val="nil"/>
              <w:bottom w:val="nil"/>
              <w:right w:val="nil"/>
            </w:tcBorders>
            <w:shd w:val="clear" w:color="000000" w:fill="FFFFFF"/>
            <w:hideMark/>
          </w:tcPr>
          <w:p w:rsidR="003C6BD4" w:rsidRDefault="003C6BD4" w:rsidP="00762D07">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-26,581</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8,701</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xml:space="preserve">133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8,723</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8,795</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8,910</w:t>
            </w:r>
          </w:p>
        </w:tc>
      </w:tr>
      <w:tr w:rsidR="003C6BD4" w:rsidRPr="007152A9" w:rsidTr="00762D07">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b/>
                <w:bCs/>
                <w:sz w:val="10"/>
                <w:szCs w:val="10"/>
              </w:rPr>
            </w:pPr>
            <w:r w:rsidRPr="007152A9">
              <w:rPr>
                <w:b/>
                <w:bCs/>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color w:val="0000FF"/>
                <w:sz w:val="10"/>
                <w:szCs w:val="10"/>
              </w:rPr>
            </w:pPr>
            <w:r w:rsidRPr="007152A9">
              <w:rPr>
                <w:color w:val="0000FF"/>
                <w:sz w:val="10"/>
                <w:szCs w:val="10"/>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3C6BD4" w:rsidRDefault="003C6BD4" w:rsidP="00762D07">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r>
      <w:tr w:rsidR="003C6BD4" w:rsidRPr="007152A9" w:rsidTr="00762D07">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b/>
                <w:bCs/>
                <w:sz w:val="10"/>
                <w:szCs w:val="10"/>
              </w:rPr>
            </w:pPr>
            <w:r w:rsidRPr="007152A9">
              <w:rPr>
                <w:b/>
                <w:bCs/>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color w:val="0000FF"/>
                <w:sz w:val="18"/>
                <w:szCs w:val="18"/>
              </w:rPr>
            </w:pPr>
            <w:r>
              <w:rPr>
                <w:color w:val="0000FF"/>
                <w:sz w:val="18"/>
                <w:szCs w:val="18"/>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247,996</w:t>
            </w:r>
          </w:p>
        </w:tc>
        <w:tc>
          <w:tcPr>
            <w:tcW w:w="2392" w:type="dxa"/>
            <w:tcBorders>
              <w:top w:val="nil"/>
              <w:left w:val="nil"/>
              <w:bottom w:val="nil"/>
              <w:right w:val="nil"/>
            </w:tcBorders>
            <w:shd w:val="clear" w:color="000000" w:fill="FFFFFF"/>
            <w:hideMark/>
          </w:tcPr>
          <w:p w:rsidR="003C6BD4" w:rsidRDefault="003C6BD4" w:rsidP="00762D07">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159,648</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198,686</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104,175</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26,714</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16,805</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247,996</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159,648</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198,686</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xml:space="preserve">24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104,175</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26,714</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16,805</w:t>
            </w:r>
          </w:p>
        </w:tc>
      </w:tr>
      <w:tr w:rsidR="003C6BD4" w:rsidRPr="007152A9" w:rsidTr="00762D07">
        <w:tc>
          <w:tcPr>
            <w:tcW w:w="1054" w:type="dxa"/>
            <w:tcBorders>
              <w:top w:val="nil"/>
              <w:left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2392" w:type="dxa"/>
            <w:tcBorders>
              <w:top w:val="nil"/>
              <w:left w:val="nil"/>
              <w:right w:val="nil"/>
            </w:tcBorders>
            <w:shd w:val="clear" w:color="000000" w:fill="FFFFFF"/>
            <w:noWrap/>
            <w:hideMark/>
          </w:tcPr>
          <w:p w:rsidR="003C6BD4" w:rsidRPr="007152A9" w:rsidRDefault="003C6BD4" w:rsidP="00762D07">
            <w:pPr>
              <w:rPr>
                <w:sz w:val="10"/>
                <w:szCs w:val="10"/>
              </w:rPr>
            </w:pPr>
            <w:r w:rsidRPr="007152A9">
              <w:rPr>
                <w:sz w:val="10"/>
                <w:szCs w:val="10"/>
              </w:rPr>
              <w:t> </w:t>
            </w:r>
          </w:p>
        </w:tc>
        <w:tc>
          <w:tcPr>
            <w:tcW w:w="1106" w:type="dxa"/>
            <w:tcBorders>
              <w:top w:val="nil"/>
              <w:left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624" w:type="dxa"/>
            <w:tcBorders>
              <w:top w:val="nil"/>
              <w:left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r>
      <w:tr w:rsidR="003C6BD4" w:rsidTr="00762D07">
        <w:tc>
          <w:tcPr>
            <w:tcW w:w="105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-247,996</w:t>
            </w:r>
          </w:p>
        </w:tc>
        <w:tc>
          <w:tcPr>
            <w:tcW w:w="2392" w:type="dxa"/>
            <w:tcBorders>
              <w:top w:val="nil"/>
              <w:left w:val="nil"/>
              <w:bottom w:val="single" w:sz="4" w:space="0" w:color="auto"/>
              <w:right w:val="nil"/>
            </w:tcBorders>
            <w:shd w:val="clear" w:color="000000" w:fill="FFFFFF"/>
            <w:hideMark/>
          </w:tcPr>
          <w:p w:rsidR="003C6BD4" w:rsidRDefault="003C6BD4" w:rsidP="00762D07">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-159,648</w:t>
            </w:r>
          </w:p>
        </w:tc>
        <w:tc>
          <w:tcPr>
            <w:tcW w:w="105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-198,686</w:t>
            </w:r>
          </w:p>
        </w:tc>
        <w:tc>
          <w:tcPr>
            <w:tcW w:w="62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 xml:space="preserve">-24 </w:t>
            </w:r>
          </w:p>
        </w:tc>
        <w:tc>
          <w:tcPr>
            <w:tcW w:w="105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-104,175</w:t>
            </w:r>
          </w:p>
        </w:tc>
        <w:tc>
          <w:tcPr>
            <w:tcW w:w="105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-26,714</w:t>
            </w:r>
          </w:p>
        </w:tc>
        <w:tc>
          <w:tcPr>
            <w:tcW w:w="1054" w:type="dxa"/>
            <w:tcBorders>
              <w:top w:val="nil"/>
              <w:left w:val="nil"/>
              <w:bottom w:val="single" w:sz="4" w:space="0" w:color="auto"/>
              <w:right w:val="nil"/>
            </w:tcBorders>
            <w:shd w:val="clear" w:color="000000" w:fill="FFFFFF"/>
            <w:noWrap/>
            <w:hideMark/>
          </w:tcPr>
          <w:p w:rsidR="003C6BD4" w:rsidRDefault="003C6BD4" w:rsidP="00762D07">
            <w:pPr>
              <w:ind w:left="-283"/>
              <w:jc w:val="right"/>
              <w:rPr>
                <w:b/>
                <w:bCs/>
                <w:sz w:val="18"/>
                <w:szCs w:val="18"/>
              </w:rPr>
            </w:pPr>
            <w:r>
              <w:rPr>
                <w:b/>
                <w:bCs/>
                <w:sz w:val="18"/>
                <w:szCs w:val="18"/>
              </w:rPr>
              <w:t>-16,805</w:t>
            </w:r>
          </w:p>
        </w:tc>
      </w:tr>
      <w:tr w:rsidR="003C6BD4" w:rsidRPr="007152A9" w:rsidTr="00762D07">
        <w:tc>
          <w:tcPr>
            <w:tcW w:w="1054" w:type="dxa"/>
            <w:tcBorders>
              <w:top w:val="single" w:sz="4" w:space="0" w:color="auto"/>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2392" w:type="dxa"/>
            <w:tcBorders>
              <w:top w:val="single" w:sz="4" w:space="0" w:color="auto"/>
              <w:left w:val="nil"/>
              <w:bottom w:val="nil"/>
              <w:right w:val="nil"/>
            </w:tcBorders>
            <w:shd w:val="clear" w:color="000000" w:fill="FFFFFF"/>
            <w:noWrap/>
            <w:hideMark/>
          </w:tcPr>
          <w:p w:rsidR="003C6BD4" w:rsidRPr="007152A9" w:rsidRDefault="003C6BD4" w:rsidP="00762D07">
            <w:pPr>
              <w:rPr>
                <w:b/>
                <w:bCs/>
                <w:sz w:val="10"/>
                <w:szCs w:val="10"/>
              </w:rPr>
            </w:pPr>
            <w:r w:rsidRPr="007152A9">
              <w:rPr>
                <w:b/>
                <w:bCs/>
                <w:sz w:val="10"/>
                <w:szCs w:val="10"/>
              </w:rPr>
              <w:t> </w:t>
            </w:r>
          </w:p>
        </w:tc>
        <w:tc>
          <w:tcPr>
            <w:tcW w:w="1106" w:type="dxa"/>
            <w:tcBorders>
              <w:top w:val="single" w:sz="4" w:space="0" w:color="auto"/>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single" w:sz="4" w:space="0" w:color="auto"/>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624" w:type="dxa"/>
            <w:tcBorders>
              <w:top w:val="single" w:sz="4" w:space="0" w:color="auto"/>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single" w:sz="4" w:space="0" w:color="auto"/>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single" w:sz="4" w:space="0" w:color="auto"/>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single" w:sz="4" w:space="0" w:color="auto"/>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r>
    </w:tbl>
    <w:p w:rsidR="003C6BD4" w:rsidRDefault="003C6BD4" w:rsidP="00003B41">
      <w:pPr>
        <w:pStyle w:val="BodyText"/>
      </w:pPr>
    </w:p>
    <w:p w:rsidR="003C6BD4" w:rsidRDefault="003C6BD4" w:rsidP="00003B41">
      <w:pPr>
        <w:pStyle w:val="BodyText"/>
      </w:pPr>
      <w:r>
        <w:br w:type="page"/>
      </w:r>
    </w:p>
    <w:tbl>
      <w:tblPr>
        <w:tblW w:w="9392" w:type="dxa"/>
        <w:tblLook w:val="04A0"/>
      </w:tblPr>
      <w:tblGrid>
        <w:gridCol w:w="1054"/>
        <w:gridCol w:w="2392"/>
        <w:gridCol w:w="1106"/>
        <w:gridCol w:w="1054"/>
        <w:gridCol w:w="624"/>
        <w:gridCol w:w="1054"/>
        <w:gridCol w:w="1054"/>
        <w:gridCol w:w="1054"/>
      </w:tblGrid>
      <w:tr w:rsidR="003C6BD4" w:rsidTr="00762D07">
        <w:trPr>
          <w:tblHeader/>
        </w:trPr>
        <w:tc>
          <w:tcPr>
            <w:tcW w:w="9392" w:type="dxa"/>
            <w:gridSpan w:val="8"/>
            <w:tcBorders>
              <w:top w:val="nil"/>
              <w:left w:val="nil"/>
              <w:bottom w:val="nil"/>
              <w:right w:val="nil"/>
            </w:tcBorders>
            <w:shd w:val="clear" w:color="000000" w:fill="FFFFFF"/>
            <w:noWrap/>
            <w:vAlign w:val="bottom"/>
            <w:hideMark/>
          </w:tcPr>
          <w:p w:rsidR="003C6BD4" w:rsidRPr="007152A9" w:rsidRDefault="003C6BD4" w:rsidP="00762D07">
            <w:pPr>
              <w:jc w:val="center"/>
              <w:rPr>
                <w:rFonts w:ascii="Arial" w:hAnsi="Arial" w:cs="Arial"/>
                <w:b/>
                <w:bCs/>
                <w:szCs w:val="24"/>
              </w:rPr>
            </w:pPr>
            <w:r w:rsidRPr="007152A9">
              <w:rPr>
                <w:rFonts w:ascii="Arial" w:hAnsi="Arial" w:cs="Arial"/>
                <w:b/>
                <w:bCs/>
                <w:szCs w:val="24"/>
              </w:rPr>
              <w:lastRenderedPageBreak/>
              <w:t>Health Directorate</w:t>
            </w:r>
          </w:p>
        </w:tc>
      </w:tr>
      <w:tr w:rsidR="003C6BD4" w:rsidTr="00762D07">
        <w:trPr>
          <w:tblHeader/>
        </w:trPr>
        <w:tc>
          <w:tcPr>
            <w:tcW w:w="9392" w:type="dxa"/>
            <w:gridSpan w:val="8"/>
            <w:tcBorders>
              <w:top w:val="nil"/>
              <w:left w:val="nil"/>
              <w:bottom w:val="single" w:sz="4" w:space="0" w:color="auto"/>
              <w:right w:val="nil"/>
            </w:tcBorders>
            <w:shd w:val="clear" w:color="000000" w:fill="FFFFFF"/>
            <w:noWrap/>
            <w:vAlign w:val="bottom"/>
            <w:hideMark/>
          </w:tcPr>
          <w:p w:rsidR="003C6BD4" w:rsidRPr="007152A9" w:rsidRDefault="003C6BD4" w:rsidP="00762D07">
            <w:pPr>
              <w:jc w:val="center"/>
              <w:rPr>
                <w:rFonts w:ascii="Arial" w:hAnsi="Arial" w:cs="Arial"/>
                <w:b/>
                <w:bCs/>
                <w:szCs w:val="24"/>
              </w:rPr>
            </w:pPr>
            <w:r w:rsidRPr="007152A9">
              <w:rPr>
                <w:rFonts w:ascii="Arial" w:hAnsi="Arial" w:cs="Arial"/>
                <w:b/>
                <w:bCs/>
                <w:szCs w:val="24"/>
              </w:rPr>
              <w:t>Cash Flow Statement</w:t>
            </w:r>
            <w:r>
              <w:rPr>
                <w:rFonts w:ascii="Arial" w:hAnsi="Arial" w:cs="Arial"/>
                <w:b/>
                <w:bCs/>
                <w:szCs w:val="24"/>
              </w:rPr>
              <w:t xml:space="preserve"> cont.</w:t>
            </w:r>
          </w:p>
        </w:tc>
      </w:tr>
      <w:tr w:rsidR="003C6BD4" w:rsidRPr="00B3483A" w:rsidTr="00762D07">
        <w:tc>
          <w:tcPr>
            <w:tcW w:w="1054" w:type="dxa"/>
            <w:tcBorders>
              <w:top w:val="single" w:sz="4" w:space="0" w:color="auto"/>
              <w:left w:val="nil"/>
              <w:bottom w:val="nil"/>
              <w:right w:val="nil"/>
            </w:tcBorders>
            <w:shd w:val="clear" w:color="000000" w:fill="FFFFFF"/>
            <w:noWrap/>
            <w:hideMark/>
          </w:tcPr>
          <w:p w:rsidR="003C6BD4" w:rsidRPr="00B3483A" w:rsidRDefault="003C6BD4" w:rsidP="00762D07">
            <w:pPr>
              <w:ind w:left="-283"/>
              <w:jc w:val="right"/>
              <w:rPr>
                <w:sz w:val="10"/>
                <w:szCs w:val="10"/>
              </w:rPr>
            </w:pPr>
          </w:p>
        </w:tc>
        <w:tc>
          <w:tcPr>
            <w:tcW w:w="3498" w:type="dxa"/>
            <w:gridSpan w:val="2"/>
            <w:tcBorders>
              <w:top w:val="single" w:sz="4" w:space="0" w:color="auto"/>
              <w:left w:val="nil"/>
              <w:bottom w:val="nil"/>
              <w:right w:val="nil"/>
            </w:tcBorders>
            <w:shd w:val="clear" w:color="000000" w:fill="FFFFFF"/>
            <w:hideMark/>
          </w:tcPr>
          <w:p w:rsidR="003C6BD4" w:rsidRPr="00B3483A" w:rsidRDefault="003C6BD4" w:rsidP="00762D07">
            <w:pPr>
              <w:rPr>
                <w:b/>
                <w:bCs/>
                <w:sz w:val="10"/>
                <w:szCs w:val="10"/>
              </w:rPr>
            </w:pPr>
          </w:p>
        </w:tc>
        <w:tc>
          <w:tcPr>
            <w:tcW w:w="1054" w:type="dxa"/>
            <w:tcBorders>
              <w:top w:val="single" w:sz="4" w:space="0" w:color="auto"/>
              <w:left w:val="nil"/>
              <w:bottom w:val="nil"/>
              <w:right w:val="nil"/>
            </w:tcBorders>
            <w:shd w:val="clear" w:color="000000" w:fill="FFFFFF"/>
            <w:noWrap/>
            <w:hideMark/>
          </w:tcPr>
          <w:p w:rsidR="003C6BD4" w:rsidRPr="00B3483A" w:rsidRDefault="003C6BD4" w:rsidP="00762D07">
            <w:pPr>
              <w:ind w:left="-283"/>
              <w:jc w:val="right"/>
              <w:rPr>
                <w:sz w:val="10"/>
                <w:szCs w:val="10"/>
              </w:rPr>
            </w:pPr>
          </w:p>
        </w:tc>
        <w:tc>
          <w:tcPr>
            <w:tcW w:w="624" w:type="dxa"/>
            <w:tcBorders>
              <w:top w:val="single" w:sz="4" w:space="0" w:color="auto"/>
              <w:left w:val="nil"/>
              <w:bottom w:val="nil"/>
              <w:right w:val="nil"/>
            </w:tcBorders>
            <w:shd w:val="clear" w:color="000000" w:fill="FFFFFF"/>
            <w:noWrap/>
            <w:hideMark/>
          </w:tcPr>
          <w:p w:rsidR="003C6BD4" w:rsidRPr="00B3483A" w:rsidRDefault="003C6BD4" w:rsidP="00762D07">
            <w:pPr>
              <w:ind w:left="-283"/>
              <w:jc w:val="right"/>
              <w:rPr>
                <w:sz w:val="10"/>
                <w:szCs w:val="10"/>
              </w:rPr>
            </w:pPr>
          </w:p>
        </w:tc>
        <w:tc>
          <w:tcPr>
            <w:tcW w:w="1054" w:type="dxa"/>
            <w:tcBorders>
              <w:top w:val="single" w:sz="4" w:space="0" w:color="auto"/>
              <w:left w:val="nil"/>
              <w:bottom w:val="nil"/>
              <w:right w:val="nil"/>
            </w:tcBorders>
            <w:shd w:val="clear" w:color="000000" w:fill="FFFFFF"/>
            <w:noWrap/>
            <w:hideMark/>
          </w:tcPr>
          <w:p w:rsidR="003C6BD4" w:rsidRPr="00B3483A" w:rsidRDefault="003C6BD4" w:rsidP="00762D07">
            <w:pPr>
              <w:ind w:left="-283"/>
              <w:jc w:val="right"/>
              <w:rPr>
                <w:sz w:val="10"/>
                <w:szCs w:val="10"/>
              </w:rPr>
            </w:pPr>
          </w:p>
        </w:tc>
        <w:tc>
          <w:tcPr>
            <w:tcW w:w="1054" w:type="dxa"/>
            <w:tcBorders>
              <w:top w:val="single" w:sz="4" w:space="0" w:color="auto"/>
              <w:left w:val="nil"/>
              <w:bottom w:val="nil"/>
              <w:right w:val="nil"/>
            </w:tcBorders>
            <w:shd w:val="clear" w:color="000000" w:fill="FFFFFF"/>
            <w:noWrap/>
            <w:hideMark/>
          </w:tcPr>
          <w:p w:rsidR="003C6BD4" w:rsidRPr="00B3483A" w:rsidRDefault="003C6BD4" w:rsidP="00762D07">
            <w:pPr>
              <w:ind w:left="-283"/>
              <w:jc w:val="right"/>
              <w:rPr>
                <w:sz w:val="10"/>
                <w:szCs w:val="10"/>
              </w:rPr>
            </w:pPr>
          </w:p>
        </w:tc>
        <w:tc>
          <w:tcPr>
            <w:tcW w:w="1054" w:type="dxa"/>
            <w:tcBorders>
              <w:top w:val="single" w:sz="4" w:space="0" w:color="auto"/>
              <w:left w:val="nil"/>
              <w:bottom w:val="nil"/>
              <w:right w:val="nil"/>
            </w:tcBorders>
            <w:shd w:val="clear" w:color="000000" w:fill="FFFFFF"/>
            <w:noWrap/>
            <w:hideMark/>
          </w:tcPr>
          <w:p w:rsidR="003C6BD4" w:rsidRPr="00B3483A" w:rsidRDefault="003C6BD4" w:rsidP="00762D07">
            <w:pPr>
              <w:ind w:left="-283"/>
              <w:jc w:val="right"/>
              <w:rPr>
                <w:sz w:val="10"/>
                <w:szCs w:val="10"/>
              </w:rPr>
            </w:pP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3C6BD4" w:rsidRDefault="003C6BD4" w:rsidP="00762D07">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r>
      <w:tr w:rsidR="003C6BD4" w:rsidRPr="007152A9" w:rsidTr="00762D07">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b/>
                <w:bCs/>
                <w:sz w:val="10"/>
                <w:szCs w:val="10"/>
              </w:rPr>
            </w:pPr>
            <w:r w:rsidRPr="007152A9">
              <w:rPr>
                <w:b/>
                <w:bCs/>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237,882</w:t>
            </w:r>
          </w:p>
        </w:tc>
        <w:tc>
          <w:tcPr>
            <w:tcW w:w="2392" w:type="dxa"/>
            <w:tcBorders>
              <w:top w:val="nil"/>
              <w:left w:val="nil"/>
              <w:bottom w:val="nil"/>
              <w:right w:val="nil"/>
            </w:tcBorders>
            <w:shd w:val="clear" w:color="000000" w:fill="FFFFFF"/>
            <w:hideMark/>
          </w:tcPr>
          <w:p w:rsidR="003C6BD4" w:rsidRDefault="003C6BD4" w:rsidP="00762D07">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143,134</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190,408</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33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95,366</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17,333</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6,809</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237,882</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143,134</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190,408</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xml:space="preserve">33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95,366</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17,333</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6,809</w:t>
            </w:r>
          </w:p>
        </w:tc>
      </w:tr>
      <w:tr w:rsidR="003C6BD4" w:rsidRPr="007152A9" w:rsidTr="00762D07">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b/>
                <w:bCs/>
                <w:sz w:val="10"/>
                <w:szCs w:val="10"/>
              </w:rPr>
            </w:pPr>
            <w:r w:rsidRPr="007152A9">
              <w:rPr>
                <w:b/>
                <w:bCs/>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1,452</w:t>
            </w:r>
          </w:p>
        </w:tc>
        <w:tc>
          <w:tcPr>
            <w:tcW w:w="2392" w:type="dxa"/>
            <w:tcBorders>
              <w:top w:val="nil"/>
              <w:left w:val="nil"/>
              <w:bottom w:val="nil"/>
              <w:right w:val="nil"/>
            </w:tcBorders>
            <w:shd w:val="clear" w:color="000000" w:fill="FFFFFF"/>
            <w:noWrap/>
            <w:hideMark/>
          </w:tcPr>
          <w:p w:rsidR="003C6BD4" w:rsidRDefault="003C6BD4" w:rsidP="00762D07">
            <w:pPr>
              <w:rPr>
                <w:sz w:val="18"/>
                <w:szCs w:val="18"/>
              </w:rPr>
            </w:pPr>
            <w:r>
              <w:rPr>
                <w:sz w:val="18"/>
                <w:szCs w:val="18"/>
              </w:rPr>
              <w:t>Repayment of Finance Leases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1,452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1,452</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1,452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1,452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sz w:val="18"/>
                <w:szCs w:val="18"/>
              </w:rPr>
            </w:pPr>
            <w:r>
              <w:rPr>
                <w:sz w:val="18"/>
                <w:szCs w:val="18"/>
              </w:rPr>
              <w:t>1,452</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1,452</w:t>
            </w:r>
          </w:p>
        </w:tc>
        <w:tc>
          <w:tcPr>
            <w:tcW w:w="2392" w:type="dxa"/>
            <w:tcBorders>
              <w:top w:val="nil"/>
              <w:left w:val="nil"/>
              <w:bottom w:val="nil"/>
              <w:right w:val="nil"/>
            </w:tcBorders>
            <w:shd w:val="clear" w:color="000000" w:fill="FFFFFF"/>
            <w:noWrap/>
            <w:hideMark/>
          </w:tcPr>
          <w:p w:rsidR="003C6BD4" w:rsidRDefault="003C6BD4" w:rsidP="00762D07">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1,452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1,452</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1,452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1,452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1,452</w:t>
            </w:r>
          </w:p>
        </w:tc>
      </w:tr>
      <w:tr w:rsidR="003C6BD4" w:rsidRPr="007152A9" w:rsidTr="00762D07">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b/>
                <w:bCs/>
                <w:sz w:val="10"/>
                <w:szCs w:val="10"/>
              </w:rPr>
            </w:pPr>
            <w:r w:rsidRPr="007152A9">
              <w:rPr>
                <w:b/>
                <w:bCs/>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236,430</w:t>
            </w:r>
          </w:p>
        </w:tc>
        <w:tc>
          <w:tcPr>
            <w:tcW w:w="2392" w:type="dxa"/>
            <w:tcBorders>
              <w:top w:val="nil"/>
              <w:left w:val="nil"/>
              <w:bottom w:val="nil"/>
              <w:right w:val="nil"/>
            </w:tcBorders>
            <w:shd w:val="clear" w:color="000000" w:fill="FFFFFF"/>
            <w:hideMark/>
          </w:tcPr>
          <w:p w:rsidR="003C6BD4" w:rsidRDefault="003C6BD4" w:rsidP="00762D07">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141,682</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188,956</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xml:space="preserve">33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93,914</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15,881</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5,357</w:t>
            </w:r>
          </w:p>
        </w:tc>
      </w:tr>
      <w:tr w:rsidR="003C6BD4" w:rsidRPr="007152A9" w:rsidTr="00762D07">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b/>
                <w:bCs/>
                <w:sz w:val="10"/>
                <w:szCs w:val="10"/>
              </w:rPr>
            </w:pPr>
            <w:r w:rsidRPr="007152A9">
              <w:rPr>
                <w:b/>
                <w:bCs/>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r>
      <w:tr w:rsidR="003C6BD4" w:rsidTr="00762D07">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-38</w:t>
            </w:r>
          </w:p>
        </w:tc>
        <w:tc>
          <w:tcPr>
            <w:tcW w:w="2392" w:type="dxa"/>
            <w:tcBorders>
              <w:top w:val="nil"/>
              <w:left w:val="nil"/>
              <w:bottom w:val="nil"/>
              <w:right w:val="nil"/>
            </w:tcBorders>
            <w:shd w:val="clear" w:color="000000" w:fill="FFFFFF"/>
            <w:hideMark/>
          </w:tcPr>
          <w:p w:rsidR="003C6BD4" w:rsidRDefault="003C6BD4" w:rsidP="00762D07">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-44,547</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-1,029</w:t>
            </w:r>
          </w:p>
        </w:tc>
        <w:tc>
          <w:tcPr>
            <w:tcW w:w="62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xml:space="preserve">98 </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-1,538</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-2,038</w:t>
            </w:r>
          </w:p>
        </w:tc>
        <w:tc>
          <w:tcPr>
            <w:tcW w:w="1054" w:type="dxa"/>
            <w:tcBorders>
              <w:top w:val="nil"/>
              <w:left w:val="nil"/>
              <w:bottom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-2,538</w:t>
            </w:r>
          </w:p>
        </w:tc>
      </w:tr>
      <w:tr w:rsidR="003C6BD4" w:rsidRPr="007152A9" w:rsidTr="00762D07">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2392" w:type="dxa"/>
            <w:tcBorders>
              <w:top w:val="nil"/>
              <w:left w:val="nil"/>
              <w:bottom w:val="nil"/>
              <w:right w:val="nil"/>
            </w:tcBorders>
            <w:shd w:val="clear" w:color="000000" w:fill="FFFFFF"/>
            <w:noWrap/>
            <w:hideMark/>
          </w:tcPr>
          <w:p w:rsidR="003C6BD4" w:rsidRPr="007152A9" w:rsidRDefault="003C6BD4" w:rsidP="00762D07">
            <w:pPr>
              <w:rPr>
                <w:sz w:val="10"/>
                <w:szCs w:val="10"/>
              </w:rPr>
            </w:pPr>
            <w:r w:rsidRPr="007152A9">
              <w:rPr>
                <w:sz w:val="10"/>
                <w:szCs w:val="10"/>
              </w:rPr>
              <w:t> </w:t>
            </w:r>
          </w:p>
        </w:tc>
        <w:tc>
          <w:tcPr>
            <w:tcW w:w="1106"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624" w:type="dxa"/>
            <w:tcBorders>
              <w:top w:val="nil"/>
              <w:left w:val="nil"/>
              <w:bottom w:val="nil"/>
              <w:right w:val="nil"/>
            </w:tcBorders>
            <w:shd w:val="clear" w:color="000000" w:fill="FFFFFF"/>
            <w:noWrap/>
            <w:hideMark/>
          </w:tcPr>
          <w:p w:rsidR="003C6BD4" w:rsidRPr="007152A9" w:rsidRDefault="003C6BD4" w:rsidP="00762D07">
            <w:pPr>
              <w:ind w:left="-283"/>
              <w:jc w:val="right"/>
              <w:rPr>
                <w:sz w:val="10"/>
                <w:szCs w:val="10"/>
              </w:rPr>
            </w:pPr>
            <w:r w:rsidRPr="007152A9">
              <w:rPr>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c>
          <w:tcPr>
            <w:tcW w:w="1054" w:type="dxa"/>
            <w:tcBorders>
              <w:top w:val="nil"/>
              <w:left w:val="nil"/>
              <w:bottom w:val="nil"/>
              <w:right w:val="nil"/>
            </w:tcBorders>
            <w:shd w:val="clear" w:color="000000" w:fill="FFFFFF"/>
            <w:noWrap/>
            <w:hideMark/>
          </w:tcPr>
          <w:p w:rsidR="003C6BD4" w:rsidRPr="007152A9" w:rsidRDefault="003C6BD4" w:rsidP="00762D07">
            <w:pPr>
              <w:ind w:left="-283"/>
              <w:jc w:val="right"/>
              <w:rPr>
                <w:b/>
                <w:bCs/>
                <w:sz w:val="10"/>
                <w:szCs w:val="10"/>
              </w:rPr>
            </w:pPr>
            <w:r w:rsidRPr="007152A9">
              <w:rPr>
                <w:b/>
                <w:bCs/>
                <w:sz w:val="10"/>
                <w:szCs w:val="10"/>
              </w:rPr>
              <w:t> </w:t>
            </w:r>
          </w:p>
        </w:tc>
      </w:tr>
      <w:tr w:rsidR="003C6BD4" w:rsidTr="00762D07">
        <w:tc>
          <w:tcPr>
            <w:tcW w:w="1054" w:type="dxa"/>
            <w:tcBorders>
              <w:top w:val="nil"/>
              <w:left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1,560</w:t>
            </w:r>
          </w:p>
        </w:tc>
        <w:tc>
          <w:tcPr>
            <w:tcW w:w="2392" w:type="dxa"/>
            <w:tcBorders>
              <w:top w:val="nil"/>
              <w:left w:val="nil"/>
              <w:right w:val="nil"/>
            </w:tcBorders>
            <w:shd w:val="clear" w:color="000000" w:fill="FFFFFF"/>
            <w:hideMark/>
          </w:tcPr>
          <w:p w:rsidR="003C6BD4" w:rsidRDefault="003C6BD4" w:rsidP="00762D07">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69,379</w:t>
            </w:r>
          </w:p>
        </w:tc>
        <w:tc>
          <w:tcPr>
            <w:tcW w:w="1054" w:type="dxa"/>
            <w:tcBorders>
              <w:top w:val="nil"/>
              <w:left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24,832</w:t>
            </w:r>
          </w:p>
        </w:tc>
        <w:tc>
          <w:tcPr>
            <w:tcW w:w="624" w:type="dxa"/>
            <w:tcBorders>
              <w:top w:val="nil"/>
              <w:left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 xml:space="preserve">-64 </w:t>
            </w:r>
          </w:p>
        </w:tc>
        <w:tc>
          <w:tcPr>
            <w:tcW w:w="1054" w:type="dxa"/>
            <w:tcBorders>
              <w:top w:val="nil"/>
              <w:left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23,803</w:t>
            </w:r>
          </w:p>
        </w:tc>
        <w:tc>
          <w:tcPr>
            <w:tcW w:w="1054" w:type="dxa"/>
            <w:tcBorders>
              <w:top w:val="nil"/>
              <w:left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22,265</w:t>
            </w:r>
          </w:p>
        </w:tc>
        <w:tc>
          <w:tcPr>
            <w:tcW w:w="1054" w:type="dxa"/>
            <w:tcBorders>
              <w:top w:val="nil"/>
              <w:left w:val="nil"/>
              <w:right w:val="nil"/>
            </w:tcBorders>
            <w:shd w:val="clear" w:color="000000" w:fill="FFFFFF"/>
            <w:noWrap/>
            <w:hideMark/>
          </w:tcPr>
          <w:p w:rsidR="003C6BD4" w:rsidRDefault="003C6BD4" w:rsidP="00762D07">
            <w:pPr>
              <w:ind w:left="-283"/>
              <w:jc w:val="right"/>
              <w:rPr>
                <w:b/>
                <w:bCs/>
                <w:sz w:val="18"/>
                <w:szCs w:val="18"/>
              </w:rPr>
            </w:pPr>
            <w:r>
              <w:rPr>
                <w:b/>
                <w:bCs/>
                <w:sz w:val="18"/>
                <w:szCs w:val="18"/>
              </w:rPr>
              <w:t>20,227</w:t>
            </w:r>
          </w:p>
        </w:tc>
      </w:tr>
      <w:tr w:rsidR="003C6BD4" w:rsidTr="00762D07">
        <w:tc>
          <w:tcPr>
            <w:tcW w:w="1054" w:type="dxa"/>
            <w:tcBorders>
              <w:top w:val="nil"/>
              <w:left w:val="nil"/>
              <w:bottom w:val="single" w:sz="4" w:space="0" w:color="auto"/>
              <w:right w:val="nil"/>
            </w:tcBorders>
            <w:shd w:val="clear" w:color="000000" w:fill="FFFFFF"/>
            <w:noWrap/>
            <w:hideMark/>
          </w:tcPr>
          <w:p w:rsidR="003C6BD4" w:rsidRDefault="003C6BD4" w:rsidP="00762D07">
            <w:pPr>
              <w:spacing w:before="60"/>
              <w:ind w:left="-283"/>
              <w:jc w:val="right"/>
              <w:rPr>
                <w:b/>
                <w:bCs/>
                <w:sz w:val="18"/>
                <w:szCs w:val="18"/>
              </w:rPr>
            </w:pPr>
            <w:r>
              <w:rPr>
                <w:b/>
                <w:bCs/>
                <w:sz w:val="18"/>
                <w:szCs w:val="18"/>
              </w:rPr>
              <w:t>1,522</w:t>
            </w:r>
          </w:p>
        </w:tc>
        <w:tc>
          <w:tcPr>
            <w:tcW w:w="2392" w:type="dxa"/>
            <w:tcBorders>
              <w:top w:val="nil"/>
              <w:left w:val="nil"/>
              <w:bottom w:val="single" w:sz="4" w:space="0" w:color="auto"/>
              <w:right w:val="nil"/>
            </w:tcBorders>
            <w:shd w:val="clear" w:color="000000" w:fill="FFFFFF"/>
            <w:hideMark/>
          </w:tcPr>
          <w:p w:rsidR="003C6BD4" w:rsidRDefault="003C6BD4" w:rsidP="00762D07">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single" w:sz="4" w:space="0" w:color="auto"/>
              <w:right w:val="nil"/>
            </w:tcBorders>
            <w:shd w:val="clear" w:color="000000" w:fill="FFFFFF"/>
            <w:noWrap/>
            <w:hideMark/>
          </w:tcPr>
          <w:p w:rsidR="003C6BD4" w:rsidRDefault="003C6BD4" w:rsidP="00762D07">
            <w:pPr>
              <w:spacing w:before="60"/>
              <w:ind w:left="-283"/>
              <w:jc w:val="right"/>
              <w:rPr>
                <w:b/>
                <w:bCs/>
                <w:sz w:val="18"/>
                <w:szCs w:val="18"/>
              </w:rPr>
            </w:pPr>
            <w:r>
              <w:rPr>
                <w:b/>
                <w:bCs/>
                <w:sz w:val="18"/>
                <w:szCs w:val="18"/>
              </w:rPr>
              <w:t>24,832</w:t>
            </w:r>
          </w:p>
        </w:tc>
        <w:tc>
          <w:tcPr>
            <w:tcW w:w="1054" w:type="dxa"/>
            <w:tcBorders>
              <w:top w:val="nil"/>
              <w:left w:val="nil"/>
              <w:bottom w:val="single" w:sz="4" w:space="0" w:color="auto"/>
              <w:right w:val="nil"/>
            </w:tcBorders>
            <w:shd w:val="clear" w:color="000000" w:fill="FFFFFF"/>
            <w:noWrap/>
            <w:hideMark/>
          </w:tcPr>
          <w:p w:rsidR="003C6BD4" w:rsidRDefault="003C6BD4" w:rsidP="00762D07">
            <w:pPr>
              <w:spacing w:before="60"/>
              <w:ind w:left="-283"/>
              <w:jc w:val="right"/>
              <w:rPr>
                <w:b/>
                <w:bCs/>
                <w:sz w:val="18"/>
                <w:szCs w:val="18"/>
              </w:rPr>
            </w:pPr>
            <w:r>
              <w:rPr>
                <w:b/>
                <w:bCs/>
                <w:sz w:val="18"/>
                <w:szCs w:val="18"/>
              </w:rPr>
              <w:t>23,803</w:t>
            </w:r>
          </w:p>
        </w:tc>
        <w:tc>
          <w:tcPr>
            <w:tcW w:w="624" w:type="dxa"/>
            <w:tcBorders>
              <w:top w:val="nil"/>
              <w:left w:val="nil"/>
              <w:bottom w:val="single" w:sz="4" w:space="0" w:color="auto"/>
              <w:right w:val="nil"/>
            </w:tcBorders>
            <w:shd w:val="clear" w:color="000000" w:fill="FFFFFF"/>
            <w:noWrap/>
            <w:hideMark/>
          </w:tcPr>
          <w:p w:rsidR="003C6BD4" w:rsidRDefault="003C6BD4" w:rsidP="00762D07">
            <w:pPr>
              <w:spacing w:before="60"/>
              <w:ind w:left="-283"/>
              <w:jc w:val="right"/>
              <w:rPr>
                <w:b/>
                <w:bCs/>
                <w:sz w:val="18"/>
                <w:szCs w:val="18"/>
              </w:rPr>
            </w:pPr>
            <w:r>
              <w:rPr>
                <w:b/>
                <w:bCs/>
                <w:sz w:val="18"/>
                <w:szCs w:val="18"/>
              </w:rPr>
              <w:t xml:space="preserve">-4 </w:t>
            </w:r>
          </w:p>
        </w:tc>
        <w:tc>
          <w:tcPr>
            <w:tcW w:w="1054" w:type="dxa"/>
            <w:tcBorders>
              <w:top w:val="nil"/>
              <w:left w:val="nil"/>
              <w:bottom w:val="single" w:sz="4" w:space="0" w:color="auto"/>
              <w:right w:val="nil"/>
            </w:tcBorders>
            <w:shd w:val="clear" w:color="000000" w:fill="FFFFFF"/>
            <w:noWrap/>
            <w:hideMark/>
          </w:tcPr>
          <w:p w:rsidR="003C6BD4" w:rsidRDefault="003C6BD4" w:rsidP="00762D07">
            <w:pPr>
              <w:spacing w:before="60"/>
              <w:ind w:left="-283"/>
              <w:jc w:val="right"/>
              <w:rPr>
                <w:b/>
                <w:bCs/>
                <w:sz w:val="18"/>
                <w:szCs w:val="18"/>
              </w:rPr>
            </w:pPr>
            <w:r>
              <w:rPr>
                <w:b/>
                <w:bCs/>
                <w:sz w:val="18"/>
                <w:szCs w:val="18"/>
              </w:rPr>
              <w:t>22,265</w:t>
            </w:r>
          </w:p>
        </w:tc>
        <w:tc>
          <w:tcPr>
            <w:tcW w:w="1054" w:type="dxa"/>
            <w:tcBorders>
              <w:top w:val="nil"/>
              <w:left w:val="nil"/>
              <w:bottom w:val="single" w:sz="4" w:space="0" w:color="auto"/>
              <w:right w:val="nil"/>
            </w:tcBorders>
            <w:shd w:val="clear" w:color="000000" w:fill="FFFFFF"/>
            <w:noWrap/>
            <w:hideMark/>
          </w:tcPr>
          <w:p w:rsidR="003C6BD4" w:rsidRDefault="003C6BD4" w:rsidP="00762D07">
            <w:pPr>
              <w:spacing w:before="60"/>
              <w:ind w:left="-283"/>
              <w:jc w:val="right"/>
              <w:rPr>
                <w:b/>
                <w:bCs/>
                <w:sz w:val="18"/>
                <w:szCs w:val="18"/>
              </w:rPr>
            </w:pPr>
            <w:r>
              <w:rPr>
                <w:b/>
                <w:bCs/>
                <w:sz w:val="18"/>
                <w:szCs w:val="18"/>
              </w:rPr>
              <w:t>20,227</w:t>
            </w:r>
          </w:p>
        </w:tc>
        <w:tc>
          <w:tcPr>
            <w:tcW w:w="1054" w:type="dxa"/>
            <w:tcBorders>
              <w:top w:val="nil"/>
              <w:left w:val="nil"/>
              <w:bottom w:val="single" w:sz="4" w:space="0" w:color="auto"/>
              <w:right w:val="nil"/>
            </w:tcBorders>
            <w:shd w:val="clear" w:color="000000" w:fill="FFFFFF"/>
            <w:noWrap/>
            <w:hideMark/>
          </w:tcPr>
          <w:p w:rsidR="003C6BD4" w:rsidRDefault="003C6BD4" w:rsidP="00762D07">
            <w:pPr>
              <w:spacing w:before="60"/>
              <w:ind w:left="-283"/>
              <w:jc w:val="right"/>
              <w:rPr>
                <w:b/>
                <w:bCs/>
                <w:sz w:val="18"/>
                <w:szCs w:val="18"/>
              </w:rPr>
            </w:pPr>
            <w:r>
              <w:rPr>
                <w:b/>
                <w:bCs/>
                <w:sz w:val="18"/>
                <w:szCs w:val="18"/>
              </w:rPr>
              <w:t>17,689</w:t>
            </w:r>
          </w:p>
        </w:tc>
      </w:tr>
    </w:tbl>
    <w:p w:rsidR="00AB2E13" w:rsidRDefault="00AB2E13" w:rsidP="00AB2E13">
      <w:pPr>
        <w:pStyle w:val="Notes"/>
        <w:rPr>
          <w:sz w:val="16"/>
          <w:szCs w:val="16"/>
        </w:rPr>
      </w:pPr>
      <w:r>
        <w:rPr>
          <w:sz w:val="16"/>
          <w:szCs w:val="16"/>
        </w:rPr>
        <w:t>Note:</w:t>
      </w:r>
    </w:p>
    <w:p w:rsidR="00AB2E13" w:rsidRPr="00DF2E34" w:rsidRDefault="00AB2E13" w:rsidP="00547D64">
      <w:pPr>
        <w:pStyle w:val="AINotes"/>
        <w:numPr>
          <w:ilvl w:val="0"/>
          <w:numId w:val="45"/>
        </w:numPr>
      </w:pPr>
      <w:r w:rsidRPr="00AB2E13">
        <w:rPr>
          <w:lang w:val="en-US"/>
        </w:rPr>
        <w:t>Interest received from investments with the Territory Banking Account is no longer presented as Interest Income.  These amounts are now reflected under the line item Distributions from the Territory Banking Account.  This treatment is not reflected in the 2012</w:t>
      </w:r>
      <w:r w:rsidRPr="00AB2E13">
        <w:rPr>
          <w:lang w:val="en-US"/>
        </w:rPr>
        <w:noBreakHyphen/>
        <w:t>13 Budget figures.</w:t>
      </w:r>
    </w:p>
    <w:p w:rsidR="0075638A" w:rsidRDefault="000F1960" w:rsidP="00405C2E">
      <w:pPr>
        <w:pStyle w:val="Heading3TopofPage"/>
      </w:pPr>
      <w:r>
        <w:br w:type="page"/>
      </w:r>
    </w:p>
    <w:p w:rsidR="0036627A" w:rsidRPr="00405C2E" w:rsidRDefault="0036627A" w:rsidP="00405C2E">
      <w:pPr>
        <w:pStyle w:val="Heading3TopofPage"/>
      </w:pPr>
      <w:r w:rsidRPr="00405C2E">
        <w:lastRenderedPageBreak/>
        <w:t>Notes to the Budget Statements</w:t>
      </w:r>
    </w:p>
    <w:p w:rsidR="0036627A" w:rsidRPr="00723135" w:rsidRDefault="0036627A" w:rsidP="00723135">
      <w:pPr>
        <w:pStyle w:val="BodyText"/>
      </w:pPr>
      <w:r w:rsidRPr="00723135">
        <w:t>Significant variations are as follows:</w:t>
      </w:r>
    </w:p>
    <w:p w:rsidR="0036627A" w:rsidRPr="00970915" w:rsidRDefault="0036627A" w:rsidP="00CC238F">
      <w:pPr>
        <w:pStyle w:val="Heading4"/>
      </w:pPr>
      <w:r w:rsidRPr="00970915">
        <w:t>Operating Statement</w:t>
      </w:r>
    </w:p>
    <w:p w:rsidR="0036627A" w:rsidRPr="00405C2E" w:rsidRDefault="0036627A" w:rsidP="00405C2E">
      <w:pPr>
        <w:pStyle w:val="BodyTextIndent"/>
      </w:pPr>
      <w:proofErr w:type="gramStart"/>
      <w:r w:rsidRPr="00405C2E">
        <w:t>government</w:t>
      </w:r>
      <w:proofErr w:type="gramEnd"/>
      <w:r w:rsidRPr="00405C2E">
        <w:t xml:space="preserve"> payment for outputs:</w:t>
      </w:r>
      <w:r w:rsidR="001A4BEC" w:rsidRPr="00405C2E">
        <w:t xml:space="preserve">  </w:t>
      </w:r>
      <w:r w:rsidRPr="00405C2E">
        <w:t>the decrease of $</w:t>
      </w:r>
      <w:r w:rsidR="00D917F5" w:rsidRPr="00405C2E">
        <w:t>135.237</w:t>
      </w:r>
      <w:r w:rsidRPr="00405C2E">
        <w:t> million in the 201</w:t>
      </w:r>
      <w:r w:rsidR="002D34FF" w:rsidRPr="00405C2E">
        <w:t>3</w:t>
      </w:r>
      <w:r w:rsidR="00E57809" w:rsidRPr="00405C2E">
        <w:noBreakHyphen/>
      </w:r>
      <w:r w:rsidRPr="00405C2E">
        <w:t>1</w:t>
      </w:r>
      <w:r w:rsidR="002D34FF" w:rsidRPr="00405C2E">
        <w:t>4</w:t>
      </w:r>
      <w:r w:rsidRPr="00405C2E">
        <w:t> Budget from the 20</w:t>
      </w:r>
      <w:r w:rsidR="002D34FF" w:rsidRPr="00405C2E">
        <w:t>12</w:t>
      </w:r>
      <w:r w:rsidR="00BE3530" w:rsidRPr="00405C2E">
        <w:noBreakHyphen/>
      </w:r>
      <w:r w:rsidRPr="00405C2E">
        <w:t>1</w:t>
      </w:r>
      <w:r w:rsidR="002D34FF" w:rsidRPr="00405C2E">
        <w:t>3</w:t>
      </w:r>
      <w:r w:rsidR="003A247D" w:rsidRPr="00405C2E">
        <w:t> </w:t>
      </w:r>
      <w:r w:rsidRPr="00405C2E">
        <w:t xml:space="preserve">estimated outcome is mainly due to </w:t>
      </w:r>
      <w:r w:rsidR="002D34FF" w:rsidRPr="00405C2E">
        <w:t xml:space="preserve">a realignment of </w:t>
      </w:r>
      <w:r w:rsidRPr="00405C2E">
        <w:t xml:space="preserve">funding </w:t>
      </w:r>
      <w:r w:rsidR="002D34FF" w:rsidRPr="00405C2E">
        <w:t xml:space="preserve">between </w:t>
      </w:r>
      <w:r w:rsidRPr="00405C2E">
        <w:t>the ACT Local Hospital Network Directorate (ACT</w:t>
      </w:r>
      <w:r w:rsidR="00C03696" w:rsidRPr="00405C2E">
        <w:t> </w:t>
      </w:r>
      <w:r w:rsidRPr="00405C2E">
        <w:t xml:space="preserve">LHN) </w:t>
      </w:r>
      <w:r w:rsidR="002D34FF" w:rsidRPr="00405C2E">
        <w:t>and the Health</w:t>
      </w:r>
      <w:r w:rsidR="00483AD8" w:rsidRPr="00405C2E">
        <w:t> </w:t>
      </w:r>
      <w:r w:rsidR="002D34FF" w:rsidRPr="00405C2E">
        <w:t>Directorate</w:t>
      </w:r>
      <w:r w:rsidRPr="00405C2E">
        <w:t>.</w:t>
      </w:r>
    </w:p>
    <w:p w:rsidR="0036627A" w:rsidRPr="00405C2E" w:rsidRDefault="00214A68" w:rsidP="00405C2E">
      <w:pPr>
        <w:pStyle w:val="BodyTextIndent"/>
      </w:pPr>
      <w:proofErr w:type="gramStart"/>
      <w:r w:rsidRPr="00405C2E">
        <w:t>u</w:t>
      </w:r>
      <w:r w:rsidR="0036627A" w:rsidRPr="00405C2E">
        <w:t>ser</w:t>
      </w:r>
      <w:proofErr w:type="gramEnd"/>
      <w:r w:rsidRPr="00405C2E">
        <w:t> </w:t>
      </w:r>
      <w:r w:rsidR="0036627A" w:rsidRPr="00405C2E">
        <w:t>charges</w:t>
      </w:r>
      <w:r w:rsidRPr="00405C2E">
        <w:t> </w:t>
      </w:r>
      <w:r w:rsidR="00CA1A0A" w:rsidRPr="00405C2E">
        <w:t>—</w:t>
      </w:r>
      <w:r w:rsidRPr="00405C2E">
        <w:t> </w:t>
      </w:r>
      <w:r w:rsidR="0036627A" w:rsidRPr="00405C2E">
        <w:t>ACT Government:</w:t>
      </w:r>
      <w:r w:rsidR="0027023E" w:rsidRPr="00405C2E">
        <w:t xml:space="preserve">  </w:t>
      </w:r>
      <w:r w:rsidR="0036627A" w:rsidRPr="00405C2E">
        <w:t>the increase of $</w:t>
      </w:r>
      <w:r w:rsidR="00D917F5" w:rsidRPr="00405C2E">
        <w:t>171.560</w:t>
      </w:r>
      <w:r w:rsidR="00C03696" w:rsidRPr="00405C2E">
        <w:t> </w:t>
      </w:r>
      <w:r w:rsidR="0036627A" w:rsidRPr="00405C2E">
        <w:t>million i</w:t>
      </w:r>
      <w:r w:rsidR="002D34FF" w:rsidRPr="00405C2E">
        <w:t>n the 2013</w:t>
      </w:r>
      <w:r w:rsidR="00F66A1A" w:rsidRPr="00405C2E">
        <w:noBreakHyphen/>
      </w:r>
      <w:r w:rsidR="0036627A" w:rsidRPr="00405C2E">
        <w:t>1</w:t>
      </w:r>
      <w:r w:rsidR="002D34FF" w:rsidRPr="00405C2E">
        <w:t>4</w:t>
      </w:r>
      <w:r w:rsidR="0036627A" w:rsidRPr="00405C2E">
        <w:t> Budget from the 201</w:t>
      </w:r>
      <w:r w:rsidR="002D34FF" w:rsidRPr="00405C2E">
        <w:t>2</w:t>
      </w:r>
      <w:r w:rsidR="00F66A1A" w:rsidRPr="00405C2E">
        <w:noBreakHyphen/>
      </w:r>
      <w:r w:rsidR="0036627A" w:rsidRPr="00405C2E">
        <w:t>1</w:t>
      </w:r>
      <w:r w:rsidR="002D34FF" w:rsidRPr="00405C2E">
        <w:t>3</w:t>
      </w:r>
      <w:r w:rsidR="00483AD8" w:rsidRPr="00405C2E">
        <w:t> </w:t>
      </w:r>
      <w:r w:rsidR="0036627A" w:rsidRPr="00405C2E">
        <w:t xml:space="preserve">estimated outcome is </w:t>
      </w:r>
      <w:r w:rsidR="002D34FF" w:rsidRPr="00405C2E">
        <w:t>due to a realignment of funding between the ACT</w:t>
      </w:r>
      <w:r w:rsidR="00C03696" w:rsidRPr="00405C2E">
        <w:t> </w:t>
      </w:r>
      <w:r w:rsidR="002D34FF" w:rsidRPr="00405C2E">
        <w:t>LHN and the Health</w:t>
      </w:r>
      <w:r w:rsidR="00C03696" w:rsidRPr="00405C2E">
        <w:t> </w:t>
      </w:r>
      <w:r w:rsidR="002D34FF" w:rsidRPr="00405C2E">
        <w:t>Directorate</w:t>
      </w:r>
      <w:r w:rsidR="003A247D" w:rsidRPr="00405C2E">
        <w:t>.</w:t>
      </w:r>
      <w:r w:rsidR="002D34FF" w:rsidRPr="00405C2E">
        <w:t xml:space="preserve"> </w:t>
      </w:r>
      <w:r w:rsidR="003A247D" w:rsidRPr="00405C2E">
        <w:t xml:space="preserve"> This </w:t>
      </w:r>
      <w:r w:rsidR="002D34FF" w:rsidRPr="00405C2E">
        <w:t>offsets the reduction in government payment for outputs mentioned above.</w:t>
      </w:r>
    </w:p>
    <w:p w:rsidR="00C03696" w:rsidRPr="00405C2E" w:rsidRDefault="00C03696" w:rsidP="00405C2E">
      <w:pPr>
        <w:pStyle w:val="BodyTextIndent"/>
      </w:pPr>
      <w:proofErr w:type="gramStart"/>
      <w:r w:rsidRPr="00405C2E">
        <w:t>grants</w:t>
      </w:r>
      <w:proofErr w:type="gramEnd"/>
      <w:r w:rsidRPr="00405C2E">
        <w:t xml:space="preserve"> from the </w:t>
      </w:r>
      <w:r w:rsidR="007F78C0" w:rsidRPr="007F78C0">
        <w:t>C</w:t>
      </w:r>
      <w:r w:rsidRPr="007F78C0">
        <w:t>ommonwealth</w:t>
      </w:r>
      <w:r w:rsidRPr="00405C2E">
        <w:t>:  the increase of $4 million in the 2012</w:t>
      </w:r>
      <w:r w:rsidRPr="00405C2E">
        <w:noBreakHyphen/>
        <w:t xml:space="preserve">13 estimated outcome from the original budget is due to </w:t>
      </w:r>
      <w:r w:rsidR="00B1747B" w:rsidRPr="00405C2E">
        <w:t xml:space="preserve">the Aged Care Funding Agreement ($3 million) and the Aged Care </w:t>
      </w:r>
      <w:r w:rsidR="00665A8C">
        <w:t xml:space="preserve">Assessment Program ($1 million).  These are now paid to Health </w:t>
      </w:r>
      <w:r w:rsidR="002606BB">
        <w:t xml:space="preserve">Directorate </w:t>
      </w:r>
      <w:r w:rsidR="00665A8C">
        <w:t>directly and replace funding paid through GPO transfers.</w:t>
      </w:r>
    </w:p>
    <w:p w:rsidR="0036627A" w:rsidRPr="00405C2E" w:rsidRDefault="0036627A" w:rsidP="00405C2E">
      <w:pPr>
        <w:pStyle w:val="BodyTextIndent"/>
      </w:pPr>
      <w:proofErr w:type="gramStart"/>
      <w:r w:rsidRPr="00405C2E">
        <w:t>other</w:t>
      </w:r>
      <w:proofErr w:type="gramEnd"/>
      <w:r w:rsidRPr="00405C2E">
        <w:t xml:space="preserve"> revenue:</w:t>
      </w:r>
      <w:r w:rsidR="0027023E" w:rsidRPr="00405C2E">
        <w:t xml:space="preserve">  </w:t>
      </w:r>
      <w:r w:rsidRPr="00405C2E">
        <w:t xml:space="preserve">the </w:t>
      </w:r>
      <w:r w:rsidR="002D34FF" w:rsidRPr="00405C2E">
        <w:t>de</w:t>
      </w:r>
      <w:r w:rsidRPr="00405C2E">
        <w:t>crease of $4 million in the 201</w:t>
      </w:r>
      <w:r w:rsidR="002D34FF" w:rsidRPr="00405C2E">
        <w:t>2</w:t>
      </w:r>
      <w:r w:rsidR="00CA1A0A" w:rsidRPr="00405C2E">
        <w:noBreakHyphen/>
      </w:r>
      <w:r w:rsidRPr="00405C2E">
        <w:t>1</w:t>
      </w:r>
      <w:r w:rsidR="002D34FF" w:rsidRPr="00405C2E">
        <w:t>3</w:t>
      </w:r>
      <w:r w:rsidR="00483AD8" w:rsidRPr="00405C2E">
        <w:t> </w:t>
      </w:r>
      <w:r w:rsidRPr="00405C2E">
        <w:t xml:space="preserve">estimated outcome from the original budget is mainly due to </w:t>
      </w:r>
      <w:r w:rsidR="008152C9" w:rsidRPr="00405C2E">
        <w:t xml:space="preserve">a decreased volume in </w:t>
      </w:r>
      <w:r w:rsidR="00CA1A0A" w:rsidRPr="00405C2E">
        <w:t xml:space="preserve">the </w:t>
      </w:r>
      <w:r w:rsidR="008152C9" w:rsidRPr="00405C2E">
        <w:t>sale of medical and surgical supplies to private hospitals</w:t>
      </w:r>
      <w:r w:rsidR="002606BB">
        <w:t xml:space="preserve"> (</w:t>
      </w:r>
      <w:r w:rsidR="002606BB" w:rsidRPr="00405C2E">
        <w:t>$5.5 million</w:t>
      </w:r>
      <w:r w:rsidR="002606BB">
        <w:t>)</w:t>
      </w:r>
      <w:r w:rsidR="003534A3">
        <w:t xml:space="preserve">, partially </w:t>
      </w:r>
      <w:r w:rsidR="008152C9" w:rsidRPr="00405C2E">
        <w:t>offset by an increase in grant revenue</w:t>
      </w:r>
      <w:r w:rsidRPr="00405C2E">
        <w:t>.</w:t>
      </w:r>
    </w:p>
    <w:p w:rsidR="0036627A" w:rsidRPr="00405C2E" w:rsidRDefault="0036627A" w:rsidP="00405C2E">
      <w:pPr>
        <w:pStyle w:val="BodyTextIndent"/>
      </w:pPr>
      <w:proofErr w:type="gramStart"/>
      <w:r w:rsidRPr="00405C2E">
        <w:t>employee</w:t>
      </w:r>
      <w:proofErr w:type="gramEnd"/>
      <w:r w:rsidRPr="00405C2E">
        <w:t xml:space="preserve"> expenses:</w:t>
      </w:r>
      <w:r w:rsidR="0027023E" w:rsidRPr="00405C2E">
        <w:t xml:space="preserve">  </w:t>
      </w:r>
      <w:r w:rsidRPr="00405C2E">
        <w:t>the increase of $</w:t>
      </w:r>
      <w:r w:rsidR="00D917F5" w:rsidRPr="00405C2E">
        <w:t>20.689</w:t>
      </w:r>
      <w:r w:rsidRPr="00405C2E">
        <w:t> million in the 201</w:t>
      </w:r>
      <w:r w:rsidR="002D34FF" w:rsidRPr="00405C2E">
        <w:t>3</w:t>
      </w:r>
      <w:r w:rsidR="00CA1A0A" w:rsidRPr="00405C2E">
        <w:noBreakHyphen/>
      </w:r>
      <w:r w:rsidRPr="00405C2E">
        <w:t>1</w:t>
      </w:r>
      <w:r w:rsidR="002D34FF" w:rsidRPr="00405C2E">
        <w:t>4</w:t>
      </w:r>
      <w:r w:rsidR="00B1747B" w:rsidRPr="00405C2E">
        <w:t> </w:t>
      </w:r>
      <w:r w:rsidRPr="00405C2E">
        <w:t>Budget from the 201</w:t>
      </w:r>
      <w:r w:rsidR="002D34FF" w:rsidRPr="00405C2E">
        <w:t>2</w:t>
      </w:r>
      <w:r w:rsidR="00CA1A0A" w:rsidRPr="00405C2E">
        <w:noBreakHyphen/>
      </w:r>
      <w:r w:rsidRPr="00405C2E">
        <w:t>1</w:t>
      </w:r>
      <w:r w:rsidR="002D34FF" w:rsidRPr="00405C2E">
        <w:t>3</w:t>
      </w:r>
      <w:r w:rsidR="006A3312" w:rsidRPr="00405C2E">
        <w:t> </w:t>
      </w:r>
      <w:r w:rsidRPr="00405C2E">
        <w:t xml:space="preserve">estimated outcome is mainly due to </w:t>
      </w:r>
      <w:r w:rsidR="002837ED">
        <w:t>planned growth in expenses, and new and continuing initiatives</w:t>
      </w:r>
      <w:r w:rsidRPr="00405C2E">
        <w:t>.</w:t>
      </w:r>
    </w:p>
    <w:p w:rsidR="0036627A" w:rsidRPr="003B77F4" w:rsidRDefault="0036627A" w:rsidP="003B77F4">
      <w:pPr>
        <w:pStyle w:val="BodyTextIndent"/>
      </w:pPr>
      <w:r w:rsidRPr="003B77F4">
        <w:t>supplies and services:</w:t>
      </w:r>
    </w:p>
    <w:p w:rsidR="0036627A" w:rsidRPr="00565DB3" w:rsidRDefault="0036627A" w:rsidP="0036627A">
      <w:pPr>
        <w:pStyle w:val="BodyTextIndent2"/>
      </w:pPr>
      <w:r w:rsidRPr="00565DB3">
        <w:t xml:space="preserve">the </w:t>
      </w:r>
      <w:r w:rsidR="00C870C7">
        <w:t>in</w:t>
      </w:r>
      <w:r w:rsidRPr="00565DB3">
        <w:t>crease of $</w:t>
      </w:r>
      <w:r w:rsidR="00D917F5">
        <w:t>10.006</w:t>
      </w:r>
      <w:r w:rsidRPr="00565DB3">
        <w:t> million in the 201</w:t>
      </w:r>
      <w:r w:rsidR="00C870C7">
        <w:t>2</w:t>
      </w:r>
      <w:r w:rsidR="0051134B">
        <w:noBreakHyphen/>
      </w:r>
      <w:r w:rsidRPr="00565DB3">
        <w:t>1</w:t>
      </w:r>
      <w:r w:rsidR="00C870C7">
        <w:t>3</w:t>
      </w:r>
      <w:r w:rsidR="00483AD8">
        <w:t> </w:t>
      </w:r>
      <w:r w:rsidRPr="00565DB3">
        <w:t>estimated outcome f</w:t>
      </w:r>
      <w:r>
        <w:t xml:space="preserve">rom the original budget is due to </w:t>
      </w:r>
      <w:r w:rsidR="00C870C7">
        <w:t xml:space="preserve">one-off expenditure on </w:t>
      </w:r>
      <w:r w:rsidR="008152C9">
        <w:t>Health W</w:t>
      </w:r>
      <w:r w:rsidR="00C870C7">
        <w:t xml:space="preserve">orkforce </w:t>
      </w:r>
      <w:r w:rsidR="008152C9">
        <w:t xml:space="preserve">Australia </w:t>
      </w:r>
      <w:r w:rsidR="00C870C7">
        <w:t xml:space="preserve">projects </w:t>
      </w:r>
      <w:r w:rsidR="00633110">
        <w:t xml:space="preserve">and </w:t>
      </w:r>
      <w:r w:rsidR="008152C9">
        <w:t>other roll-overs from 2011</w:t>
      </w:r>
      <w:r w:rsidR="0051134B">
        <w:noBreakHyphen/>
      </w:r>
      <w:r w:rsidR="008152C9">
        <w:t>12</w:t>
      </w:r>
      <w:r w:rsidRPr="00565DB3">
        <w:t>; and</w:t>
      </w:r>
    </w:p>
    <w:p w:rsidR="0036627A" w:rsidRPr="00565DB3" w:rsidRDefault="0036627A" w:rsidP="0036627A">
      <w:pPr>
        <w:pStyle w:val="BodyTextIndent2"/>
      </w:pPr>
      <w:proofErr w:type="gramStart"/>
      <w:r w:rsidRPr="00565DB3">
        <w:t>the</w:t>
      </w:r>
      <w:proofErr w:type="gramEnd"/>
      <w:r w:rsidRPr="00565DB3">
        <w:t xml:space="preserve"> increase of $</w:t>
      </w:r>
      <w:r w:rsidR="003A765D">
        <w:t>6.8</w:t>
      </w:r>
      <w:r w:rsidR="00B1747B">
        <w:t>9</w:t>
      </w:r>
      <w:r w:rsidR="003A765D">
        <w:t>3</w:t>
      </w:r>
      <w:r w:rsidRPr="00565DB3">
        <w:t> million in the 201</w:t>
      </w:r>
      <w:r w:rsidR="008152C9">
        <w:t>3</w:t>
      </w:r>
      <w:r w:rsidR="0051134B">
        <w:noBreakHyphen/>
      </w:r>
      <w:r w:rsidRPr="00565DB3">
        <w:t>1</w:t>
      </w:r>
      <w:r w:rsidR="008152C9">
        <w:t>4</w:t>
      </w:r>
      <w:r w:rsidRPr="00565DB3">
        <w:t> Budget from the 201</w:t>
      </w:r>
      <w:r w:rsidR="008152C9">
        <w:t>2</w:t>
      </w:r>
      <w:r w:rsidR="0051134B">
        <w:noBreakHyphen/>
      </w:r>
      <w:r w:rsidRPr="00565DB3">
        <w:t>1</w:t>
      </w:r>
      <w:r w:rsidR="008152C9">
        <w:t>3</w:t>
      </w:r>
      <w:r w:rsidR="00483AD8">
        <w:t> </w:t>
      </w:r>
      <w:r w:rsidRPr="00565DB3">
        <w:t xml:space="preserve">estimated outcome </w:t>
      </w:r>
      <w:r>
        <w:t>is mainly due</w:t>
      </w:r>
      <w:r w:rsidRPr="00565DB3">
        <w:t xml:space="preserve"> to indexation</w:t>
      </w:r>
      <w:r w:rsidR="00B1747B">
        <w:t xml:space="preserve"> </w:t>
      </w:r>
      <w:r w:rsidR="003A765D">
        <w:t>and</w:t>
      </w:r>
      <w:r w:rsidRPr="00565DB3">
        <w:t xml:space="preserve"> </w:t>
      </w:r>
      <w:r w:rsidR="002606BB">
        <w:t>new</w:t>
      </w:r>
      <w:r w:rsidRPr="00565DB3">
        <w:t xml:space="preserve"> initiatives .</w:t>
      </w:r>
    </w:p>
    <w:p w:rsidR="008152C9" w:rsidRDefault="0036627A" w:rsidP="0036627A">
      <w:pPr>
        <w:pStyle w:val="BodyTextIndent"/>
      </w:pPr>
      <w:r w:rsidRPr="008A256A">
        <w:t>depreciation and amortisation:</w:t>
      </w:r>
    </w:p>
    <w:p w:rsidR="0036627A" w:rsidRDefault="0036627A" w:rsidP="008152C9">
      <w:pPr>
        <w:pStyle w:val="BodyTextIndent2"/>
      </w:pPr>
      <w:r w:rsidRPr="008A256A">
        <w:t xml:space="preserve">the </w:t>
      </w:r>
      <w:r w:rsidR="008152C9">
        <w:t>de</w:t>
      </w:r>
      <w:r w:rsidRPr="008A256A">
        <w:t>crease of $</w:t>
      </w:r>
      <w:r w:rsidR="008152C9">
        <w:t>6</w:t>
      </w:r>
      <w:r w:rsidRPr="008A256A">
        <w:t> million in the 2012</w:t>
      </w:r>
      <w:r w:rsidR="00FE7158">
        <w:noBreakHyphen/>
      </w:r>
      <w:r w:rsidRPr="008A256A">
        <w:t>13</w:t>
      </w:r>
      <w:r w:rsidR="00483AD8">
        <w:t> </w:t>
      </w:r>
      <w:r w:rsidR="008152C9">
        <w:t xml:space="preserve">estimated outcome from the original budget </w:t>
      </w:r>
      <w:r w:rsidRPr="008A256A">
        <w:t xml:space="preserve">is mainly due to </w:t>
      </w:r>
      <w:r w:rsidR="008152C9">
        <w:t xml:space="preserve">delay in </w:t>
      </w:r>
      <w:r w:rsidRPr="008A256A">
        <w:t xml:space="preserve">the completion of </w:t>
      </w:r>
      <w:r>
        <w:t>HIP projects,</w:t>
      </w:r>
      <w:r w:rsidRPr="008A256A">
        <w:t xml:space="preserve"> including </w:t>
      </w:r>
      <w:r>
        <w:t xml:space="preserve">elements of the </w:t>
      </w:r>
      <w:r w:rsidRPr="008A256A">
        <w:t>information technology project</w:t>
      </w:r>
      <w:r>
        <w:t xml:space="preserve">, </w:t>
      </w:r>
      <w:r w:rsidRPr="008A256A">
        <w:t>‘An E</w:t>
      </w:r>
      <w:r>
        <w:noBreakHyphen/>
      </w:r>
      <w:proofErr w:type="spellStart"/>
      <w:r w:rsidRPr="008A256A">
        <w:t>Healthy</w:t>
      </w:r>
      <w:proofErr w:type="spellEnd"/>
      <w:r w:rsidRPr="008A256A">
        <w:t xml:space="preserve"> Future’</w:t>
      </w:r>
      <w:r w:rsidR="008152C9">
        <w:t>; and</w:t>
      </w:r>
    </w:p>
    <w:p w:rsidR="000A3DD7" w:rsidRDefault="008152C9" w:rsidP="000A3DD7">
      <w:pPr>
        <w:pStyle w:val="BodyTextIndent2"/>
      </w:pPr>
      <w:proofErr w:type="gramStart"/>
      <w:r>
        <w:t>the</w:t>
      </w:r>
      <w:proofErr w:type="gramEnd"/>
      <w:r>
        <w:t xml:space="preserve"> increase of </w:t>
      </w:r>
      <w:r w:rsidRPr="00565DB3">
        <w:t>$</w:t>
      </w:r>
      <w:r w:rsidR="003A765D">
        <w:t>5.791</w:t>
      </w:r>
      <w:r w:rsidRPr="00565DB3">
        <w:t> million in the 201</w:t>
      </w:r>
      <w:r>
        <w:t>3</w:t>
      </w:r>
      <w:r w:rsidR="00FE7158">
        <w:noBreakHyphen/>
      </w:r>
      <w:r w:rsidRPr="00565DB3">
        <w:t>1</w:t>
      </w:r>
      <w:r>
        <w:t>4</w:t>
      </w:r>
      <w:r w:rsidRPr="00565DB3">
        <w:t> Budget from the 201</w:t>
      </w:r>
      <w:r>
        <w:t>2</w:t>
      </w:r>
      <w:r w:rsidR="00FE7158">
        <w:noBreakHyphen/>
      </w:r>
      <w:r w:rsidRPr="00565DB3">
        <w:t>1</w:t>
      </w:r>
      <w:r>
        <w:t>3</w:t>
      </w:r>
      <w:r w:rsidR="00B1747B">
        <w:t> </w:t>
      </w:r>
      <w:r w:rsidRPr="00565DB3">
        <w:t xml:space="preserve">estimated outcome </w:t>
      </w:r>
      <w:r>
        <w:t>is mainly due</w:t>
      </w:r>
      <w:r w:rsidRPr="00565DB3">
        <w:t xml:space="preserve"> to</w:t>
      </w:r>
      <w:r>
        <w:t xml:space="preserve"> the expect</w:t>
      </w:r>
      <w:r w:rsidR="00FE7158">
        <w:t>ed</w:t>
      </w:r>
      <w:r>
        <w:t xml:space="preserve"> completion of HIP projects.</w:t>
      </w:r>
    </w:p>
    <w:p w:rsidR="000A3DD7" w:rsidRPr="003B77F4" w:rsidRDefault="000A3DD7" w:rsidP="003B77F4">
      <w:pPr>
        <w:pStyle w:val="BodyTextIndent"/>
      </w:pPr>
      <w:proofErr w:type="gramStart"/>
      <w:r w:rsidRPr="003B77F4">
        <w:t>cost</w:t>
      </w:r>
      <w:proofErr w:type="gramEnd"/>
      <w:r w:rsidRPr="003B77F4">
        <w:t xml:space="preserve"> of goods sold:  </w:t>
      </w:r>
      <w:r w:rsidR="0036627A" w:rsidRPr="003B77F4">
        <w:t>the decrease of $</w:t>
      </w:r>
      <w:r w:rsidR="008152C9" w:rsidRPr="003B77F4">
        <w:t>5.5</w:t>
      </w:r>
      <w:r w:rsidR="0036627A" w:rsidRPr="003B77F4">
        <w:t> million in the 201</w:t>
      </w:r>
      <w:r w:rsidR="008152C9" w:rsidRPr="003B77F4">
        <w:t>2</w:t>
      </w:r>
      <w:r w:rsidR="00FE7158" w:rsidRPr="003B77F4">
        <w:noBreakHyphen/>
      </w:r>
      <w:r w:rsidR="0036627A" w:rsidRPr="003B77F4">
        <w:t>1</w:t>
      </w:r>
      <w:r w:rsidR="008152C9" w:rsidRPr="003B77F4">
        <w:t>3</w:t>
      </w:r>
      <w:r w:rsidR="0036627A" w:rsidRPr="003B77F4">
        <w:t> estimated outcome from the original budget is mainly due to a decreased volume in sale of medical and surgical supplies to private hospitals.</w:t>
      </w:r>
    </w:p>
    <w:p w:rsidR="003B77F4" w:rsidRDefault="0036627A" w:rsidP="00FE7158">
      <w:pPr>
        <w:pStyle w:val="BodyTextIndent"/>
      </w:pPr>
      <w:proofErr w:type="gramStart"/>
      <w:r w:rsidRPr="008A256A">
        <w:t>grants</w:t>
      </w:r>
      <w:proofErr w:type="gramEnd"/>
      <w:r w:rsidRPr="008A256A">
        <w:t xml:space="preserve"> and purchased services:</w:t>
      </w:r>
      <w:r w:rsidR="000A3DD7">
        <w:t xml:space="preserve">  </w:t>
      </w:r>
      <w:r w:rsidRPr="008A256A">
        <w:t xml:space="preserve">the </w:t>
      </w:r>
      <w:r w:rsidR="00EC097A">
        <w:t>in</w:t>
      </w:r>
      <w:r w:rsidRPr="008A256A">
        <w:t>crease of $</w:t>
      </w:r>
      <w:r w:rsidR="00EC097A">
        <w:t>4.352</w:t>
      </w:r>
      <w:r w:rsidRPr="008A256A">
        <w:t> million in the 2012</w:t>
      </w:r>
      <w:r w:rsidR="00FE7158">
        <w:noBreakHyphen/>
      </w:r>
      <w:r w:rsidRPr="008A256A">
        <w:t>13 </w:t>
      </w:r>
      <w:r w:rsidR="00EC097A">
        <w:t xml:space="preserve">estimated outcome </w:t>
      </w:r>
      <w:r w:rsidRPr="008A256A">
        <w:t xml:space="preserve">from the </w:t>
      </w:r>
      <w:r w:rsidR="00EC097A">
        <w:t xml:space="preserve">original budget </w:t>
      </w:r>
      <w:r w:rsidRPr="008A256A">
        <w:t xml:space="preserve">is mainly due </w:t>
      </w:r>
      <w:r w:rsidR="0051134B">
        <w:t xml:space="preserve">to the </w:t>
      </w:r>
      <w:r w:rsidR="00FE7158">
        <w:t xml:space="preserve">transfer </w:t>
      </w:r>
      <w:r w:rsidR="00EC097A">
        <w:t>of Commonwealth funding to Calvary Public Hospital for the refurbishment of the emergency department</w:t>
      </w:r>
      <w:r w:rsidRPr="008A256A">
        <w:t>.</w:t>
      </w:r>
    </w:p>
    <w:p w:rsidR="0036627A" w:rsidRPr="00565DB3" w:rsidRDefault="003B77F4" w:rsidP="003B77F4">
      <w:pPr>
        <w:pStyle w:val="Heading4"/>
      </w:pPr>
      <w:r>
        <w:br w:type="page"/>
      </w:r>
      <w:r w:rsidR="0036627A" w:rsidRPr="00565DB3">
        <w:lastRenderedPageBreak/>
        <w:t>Balance Sheet</w:t>
      </w:r>
    </w:p>
    <w:p w:rsidR="00DE307B" w:rsidRPr="003B77F4" w:rsidRDefault="00DE307B" w:rsidP="003B77F4">
      <w:pPr>
        <w:pStyle w:val="BodyTextIndent"/>
      </w:pPr>
      <w:proofErr w:type="gramStart"/>
      <w:r w:rsidRPr="003B77F4">
        <w:t>cash</w:t>
      </w:r>
      <w:proofErr w:type="gramEnd"/>
      <w:r w:rsidRPr="003B77F4">
        <w:t xml:space="preserve"> and cash equivalents: </w:t>
      </w:r>
      <w:r w:rsidR="009B07E8" w:rsidRPr="003B77F4">
        <w:t xml:space="preserve"> </w:t>
      </w:r>
      <w:r w:rsidRPr="003B77F4">
        <w:t xml:space="preserve">the increase of </w:t>
      </w:r>
      <w:r w:rsidR="00FE7158" w:rsidRPr="003B77F4">
        <w:t>$</w:t>
      </w:r>
      <w:r w:rsidRPr="003B77F4">
        <w:t>23.310</w:t>
      </w:r>
      <w:r w:rsidR="00FE7158" w:rsidRPr="003B77F4">
        <w:t> </w:t>
      </w:r>
      <w:r w:rsidRPr="003B77F4">
        <w:t>million in the 2012</w:t>
      </w:r>
      <w:r w:rsidR="00FE7158" w:rsidRPr="003B77F4">
        <w:noBreakHyphen/>
      </w:r>
      <w:r w:rsidRPr="003B77F4">
        <w:t>13 estimated outcome from the original budget reflects an increase in payables flowing from the 2011</w:t>
      </w:r>
      <w:r w:rsidR="00FE7158" w:rsidRPr="003B77F4">
        <w:noBreakHyphen/>
      </w:r>
      <w:r w:rsidRPr="003B77F4">
        <w:t>12 audited outcome and the timing of capital expenditure on plant and equipment and IT systems.</w:t>
      </w:r>
    </w:p>
    <w:p w:rsidR="0036627A" w:rsidRPr="008A256A" w:rsidRDefault="0036627A" w:rsidP="00FE7158">
      <w:pPr>
        <w:pStyle w:val="BodyTextIndent"/>
      </w:pPr>
      <w:proofErr w:type="gramStart"/>
      <w:r w:rsidRPr="008A256A">
        <w:t>current</w:t>
      </w:r>
      <w:proofErr w:type="gramEnd"/>
      <w:r w:rsidRPr="008A256A">
        <w:t xml:space="preserve"> and non</w:t>
      </w:r>
      <w:r w:rsidR="00E76D06">
        <w:t>-</w:t>
      </w:r>
      <w:r w:rsidRPr="008A256A">
        <w:t>current receivables:</w:t>
      </w:r>
      <w:r w:rsidR="003A247D">
        <w:t xml:space="preserve">  </w:t>
      </w:r>
      <w:r w:rsidRPr="008A256A">
        <w:t xml:space="preserve">the </w:t>
      </w:r>
      <w:r w:rsidR="00DE307B">
        <w:t>in</w:t>
      </w:r>
      <w:r w:rsidRPr="008A256A">
        <w:t>crease of $</w:t>
      </w:r>
      <w:r w:rsidR="00DE307B">
        <w:t>1</w:t>
      </w:r>
      <w:r w:rsidRPr="008A256A">
        <w:t>5.</w:t>
      </w:r>
      <w:r w:rsidR="00DE307B">
        <w:t>070</w:t>
      </w:r>
      <w:r w:rsidRPr="008A256A">
        <w:t> million in the 201</w:t>
      </w:r>
      <w:r w:rsidR="00DE307B">
        <w:t>2</w:t>
      </w:r>
      <w:r w:rsidR="00FE7158">
        <w:noBreakHyphen/>
      </w:r>
      <w:r w:rsidRPr="008A256A">
        <w:t>1</w:t>
      </w:r>
      <w:r w:rsidR="00DE307B">
        <w:t>3</w:t>
      </w:r>
      <w:r w:rsidR="003A247D">
        <w:t> </w:t>
      </w:r>
      <w:r w:rsidRPr="008A256A">
        <w:t>estimated outcome from the original budget is due to the 201</w:t>
      </w:r>
      <w:r w:rsidR="00DE307B">
        <w:t>1</w:t>
      </w:r>
      <w:r w:rsidR="00FE7158">
        <w:noBreakHyphen/>
      </w:r>
      <w:r w:rsidRPr="008A256A">
        <w:t>1</w:t>
      </w:r>
      <w:r w:rsidR="00DE307B">
        <w:t>2</w:t>
      </w:r>
      <w:r w:rsidRPr="008A256A">
        <w:t xml:space="preserve"> audited outcome flow-on effect.</w:t>
      </w:r>
    </w:p>
    <w:p w:rsidR="0036627A" w:rsidRPr="003B77F4" w:rsidRDefault="0036627A" w:rsidP="003B77F4">
      <w:pPr>
        <w:pStyle w:val="BodyTextIndent"/>
      </w:pPr>
      <w:r w:rsidRPr="003B77F4">
        <w:t>property, plant and equipment:</w:t>
      </w:r>
    </w:p>
    <w:p w:rsidR="0036627A" w:rsidRPr="003B77F4" w:rsidRDefault="0036627A" w:rsidP="003B77F4">
      <w:pPr>
        <w:pStyle w:val="BodyTextIndent2"/>
      </w:pPr>
      <w:r w:rsidRPr="003B77F4">
        <w:t>the</w:t>
      </w:r>
      <w:r w:rsidR="00DE307B" w:rsidRPr="003B77F4">
        <w:t xml:space="preserve"> de</w:t>
      </w:r>
      <w:r w:rsidRPr="003B77F4">
        <w:t>crease of $</w:t>
      </w:r>
      <w:r w:rsidR="009C55B6" w:rsidRPr="003B77F4">
        <w:t>19.</w:t>
      </w:r>
      <w:r w:rsidR="00232074" w:rsidRPr="003B77F4">
        <w:t>571</w:t>
      </w:r>
      <w:r w:rsidRPr="003B77F4">
        <w:t> million in the 201</w:t>
      </w:r>
      <w:r w:rsidR="00DE307B" w:rsidRPr="003B77F4">
        <w:t>2</w:t>
      </w:r>
      <w:r w:rsidR="00FE7158" w:rsidRPr="003B77F4">
        <w:noBreakHyphen/>
      </w:r>
      <w:r w:rsidRPr="003B77F4">
        <w:t>1</w:t>
      </w:r>
      <w:r w:rsidR="00DE307B" w:rsidRPr="003B77F4">
        <w:t>3</w:t>
      </w:r>
      <w:r w:rsidR="00385EAE" w:rsidRPr="003B77F4">
        <w:t> </w:t>
      </w:r>
      <w:r w:rsidRPr="003B77F4">
        <w:t xml:space="preserve">estimated outcome from the original budget is mainly due to </w:t>
      </w:r>
      <w:r w:rsidR="00E65949" w:rsidRPr="003B77F4">
        <w:t xml:space="preserve">delays in </w:t>
      </w:r>
      <w:r w:rsidRPr="003B77F4">
        <w:t xml:space="preserve">projects under </w:t>
      </w:r>
      <w:r w:rsidR="00FE7158" w:rsidRPr="003B77F4">
        <w:t>HIP</w:t>
      </w:r>
      <w:r w:rsidRPr="003B77F4">
        <w:t>; and</w:t>
      </w:r>
    </w:p>
    <w:p w:rsidR="0036627A" w:rsidRPr="003B77F4" w:rsidRDefault="0036627A" w:rsidP="003B77F4">
      <w:pPr>
        <w:pStyle w:val="BodyTextIndent2"/>
      </w:pPr>
      <w:proofErr w:type="gramStart"/>
      <w:r w:rsidRPr="003B77F4">
        <w:t>the</w:t>
      </w:r>
      <w:proofErr w:type="gramEnd"/>
      <w:r w:rsidRPr="003B77F4">
        <w:t xml:space="preserve"> increase of $</w:t>
      </w:r>
      <w:r w:rsidR="00385EAE" w:rsidRPr="003B77F4">
        <w:t>236</w:t>
      </w:r>
      <w:r w:rsidR="009C55B6" w:rsidRPr="003B77F4">
        <w:t>.</w:t>
      </w:r>
      <w:r w:rsidR="00385EAE" w:rsidRPr="003B77F4">
        <w:t>878</w:t>
      </w:r>
      <w:r w:rsidR="00FE7158" w:rsidRPr="003B77F4">
        <w:t> </w:t>
      </w:r>
      <w:r w:rsidRPr="003B77F4">
        <w:t>million in the 201</w:t>
      </w:r>
      <w:r w:rsidR="00E65949" w:rsidRPr="003B77F4">
        <w:t>3</w:t>
      </w:r>
      <w:r w:rsidR="00FE7158" w:rsidRPr="003B77F4">
        <w:noBreakHyphen/>
      </w:r>
      <w:r w:rsidRPr="003B77F4">
        <w:t>1</w:t>
      </w:r>
      <w:r w:rsidR="00E65949" w:rsidRPr="003B77F4">
        <w:t>4</w:t>
      </w:r>
      <w:r w:rsidRPr="003B77F4">
        <w:t> Budget from the 201</w:t>
      </w:r>
      <w:r w:rsidR="00E65949" w:rsidRPr="003B77F4">
        <w:t>2</w:t>
      </w:r>
      <w:r w:rsidR="00FE7158" w:rsidRPr="003B77F4">
        <w:noBreakHyphen/>
      </w:r>
      <w:r w:rsidRPr="003B77F4">
        <w:t>1</w:t>
      </w:r>
      <w:r w:rsidR="00E65949" w:rsidRPr="003B77F4">
        <w:t>3</w:t>
      </w:r>
      <w:r w:rsidRPr="003B77F4">
        <w:t xml:space="preserve"> estimated outcome is mainly due to expected completion of HIP projects.</w:t>
      </w:r>
    </w:p>
    <w:p w:rsidR="0036627A" w:rsidRPr="003B77F4" w:rsidRDefault="0036627A" w:rsidP="003B77F4">
      <w:pPr>
        <w:pStyle w:val="BodyTextIndent"/>
      </w:pPr>
      <w:r w:rsidRPr="003B77F4">
        <w:t>intangibles:</w:t>
      </w:r>
    </w:p>
    <w:p w:rsidR="0036627A" w:rsidRPr="003B77F4" w:rsidRDefault="0036627A" w:rsidP="003B77F4">
      <w:pPr>
        <w:pStyle w:val="BodyTextIndent2"/>
      </w:pPr>
      <w:r w:rsidRPr="003B77F4">
        <w:t>the decrease of $</w:t>
      </w:r>
      <w:r w:rsidR="00E65949" w:rsidRPr="003B77F4">
        <w:t>25.295</w:t>
      </w:r>
      <w:r w:rsidRPr="003B77F4">
        <w:t> million in the 201</w:t>
      </w:r>
      <w:r w:rsidR="00E65949" w:rsidRPr="003B77F4">
        <w:t>2</w:t>
      </w:r>
      <w:r w:rsidR="00FE7158" w:rsidRPr="003B77F4">
        <w:noBreakHyphen/>
      </w:r>
      <w:r w:rsidRPr="003B77F4">
        <w:t>1</w:t>
      </w:r>
      <w:r w:rsidR="00E65949" w:rsidRPr="003B77F4">
        <w:t>3</w:t>
      </w:r>
      <w:r w:rsidRPr="003B77F4">
        <w:t xml:space="preserve"> estimated outcome from the original budget is mainly due to delays in ‘An E</w:t>
      </w:r>
      <w:r w:rsidRPr="003B77F4">
        <w:noBreakHyphen/>
      </w:r>
      <w:proofErr w:type="spellStart"/>
      <w:r w:rsidRPr="003B77F4">
        <w:t>Healthy</w:t>
      </w:r>
      <w:proofErr w:type="spellEnd"/>
      <w:r w:rsidRPr="003B77F4">
        <w:t xml:space="preserve"> Future’ capital program and the reclassification of some assets as plant and equipment; and</w:t>
      </w:r>
    </w:p>
    <w:p w:rsidR="0036627A" w:rsidRPr="003B77F4" w:rsidRDefault="0036627A" w:rsidP="003B77F4">
      <w:pPr>
        <w:pStyle w:val="BodyTextIndent2"/>
      </w:pPr>
      <w:proofErr w:type="gramStart"/>
      <w:r w:rsidRPr="003B77F4">
        <w:t>the</w:t>
      </w:r>
      <w:proofErr w:type="gramEnd"/>
      <w:r w:rsidRPr="003B77F4">
        <w:t xml:space="preserve"> increase of $1</w:t>
      </w:r>
      <w:r w:rsidR="00E65949" w:rsidRPr="003B77F4">
        <w:t>2</w:t>
      </w:r>
      <w:r w:rsidRPr="003B77F4">
        <w:t>.</w:t>
      </w:r>
      <w:r w:rsidR="00E65949" w:rsidRPr="003B77F4">
        <w:t>446</w:t>
      </w:r>
      <w:r w:rsidRPr="003B77F4">
        <w:t> million in 201</w:t>
      </w:r>
      <w:r w:rsidR="00E65949" w:rsidRPr="003B77F4">
        <w:t>3</w:t>
      </w:r>
      <w:r w:rsidR="00FE7158" w:rsidRPr="003B77F4">
        <w:noBreakHyphen/>
      </w:r>
      <w:r w:rsidRPr="003B77F4">
        <w:t>1</w:t>
      </w:r>
      <w:r w:rsidR="00E65949" w:rsidRPr="003B77F4">
        <w:t>4</w:t>
      </w:r>
      <w:r w:rsidRPr="003B77F4">
        <w:t> Budget from the 201</w:t>
      </w:r>
      <w:r w:rsidR="00E65949" w:rsidRPr="003B77F4">
        <w:t>2</w:t>
      </w:r>
      <w:r w:rsidR="00FE7158" w:rsidRPr="003B77F4">
        <w:noBreakHyphen/>
      </w:r>
      <w:r w:rsidRPr="003B77F4">
        <w:t>1</w:t>
      </w:r>
      <w:r w:rsidR="00E65949" w:rsidRPr="003B77F4">
        <w:t>3</w:t>
      </w:r>
      <w:r w:rsidR="00385EAE" w:rsidRPr="003B77F4">
        <w:t> </w:t>
      </w:r>
      <w:r w:rsidRPr="003B77F4">
        <w:t>estimated outcome is due to the expected completion of projects under the ‘An E</w:t>
      </w:r>
      <w:r w:rsidRPr="003B77F4">
        <w:noBreakHyphen/>
      </w:r>
      <w:proofErr w:type="spellStart"/>
      <w:r w:rsidRPr="003B77F4">
        <w:t>Healthy</w:t>
      </w:r>
      <w:proofErr w:type="spellEnd"/>
      <w:r w:rsidRPr="003B77F4">
        <w:t> Future’ capital program.</w:t>
      </w:r>
    </w:p>
    <w:p w:rsidR="008A2F63" w:rsidRDefault="0036627A" w:rsidP="00E5261A">
      <w:pPr>
        <w:pStyle w:val="BodyTextIndent"/>
        <w:keepNext w:val="0"/>
        <w:keepLines w:val="0"/>
      </w:pPr>
      <w:proofErr w:type="gramStart"/>
      <w:r w:rsidRPr="00565DB3">
        <w:t>capital</w:t>
      </w:r>
      <w:proofErr w:type="gramEnd"/>
      <w:r w:rsidRPr="00565DB3">
        <w:t xml:space="preserve"> works in progress:</w:t>
      </w:r>
      <w:r w:rsidR="003534A3">
        <w:t xml:space="preserve">  </w:t>
      </w:r>
      <w:r w:rsidRPr="00565DB3">
        <w:t>the decrease of $</w:t>
      </w:r>
      <w:r w:rsidR="002A1654">
        <w:t>88.509</w:t>
      </w:r>
      <w:r w:rsidRPr="00565DB3">
        <w:t> million in the 201</w:t>
      </w:r>
      <w:r w:rsidR="002A1654">
        <w:t>2</w:t>
      </w:r>
      <w:r w:rsidR="00E5261A">
        <w:noBreakHyphen/>
      </w:r>
      <w:r w:rsidRPr="00565DB3">
        <w:t>1</w:t>
      </w:r>
      <w:r w:rsidR="002A1654">
        <w:t>3</w:t>
      </w:r>
      <w:r w:rsidRPr="00565DB3">
        <w:t xml:space="preserve"> estimated outcome from the original budget and the </w:t>
      </w:r>
      <w:r w:rsidR="002A1654">
        <w:t>dec</w:t>
      </w:r>
      <w:r w:rsidRPr="00565DB3">
        <w:t>rease of $</w:t>
      </w:r>
      <w:r w:rsidR="002A1654">
        <w:t>84.860</w:t>
      </w:r>
      <w:r w:rsidRPr="00565DB3">
        <w:t> million in the</w:t>
      </w:r>
      <w:r>
        <w:t xml:space="preserve"> </w:t>
      </w:r>
      <w:r w:rsidRPr="00565DB3">
        <w:t>201</w:t>
      </w:r>
      <w:r w:rsidR="002A1654">
        <w:t>3</w:t>
      </w:r>
      <w:r>
        <w:noBreakHyphen/>
      </w:r>
      <w:r w:rsidRPr="00565DB3">
        <w:t>1</w:t>
      </w:r>
      <w:r w:rsidR="002A1654">
        <w:t>4</w:t>
      </w:r>
      <w:r w:rsidRPr="00565DB3">
        <w:t> Budget from the 201</w:t>
      </w:r>
      <w:r w:rsidR="002A1654">
        <w:t>2</w:t>
      </w:r>
      <w:r w:rsidR="00E5261A">
        <w:noBreakHyphen/>
      </w:r>
      <w:r w:rsidRPr="00565DB3">
        <w:t>1</w:t>
      </w:r>
      <w:r w:rsidR="002A1654">
        <w:t>3</w:t>
      </w:r>
      <w:r w:rsidR="00A9414A">
        <w:t> </w:t>
      </w:r>
      <w:r>
        <w:t>estimated outcome is mainly due to</w:t>
      </w:r>
      <w:r w:rsidRPr="00565DB3">
        <w:t xml:space="preserve"> the timing of </w:t>
      </w:r>
      <w:r>
        <w:t>HIP</w:t>
      </w:r>
      <w:r w:rsidRPr="00565DB3">
        <w:t xml:space="preserve"> </w:t>
      </w:r>
      <w:r>
        <w:t xml:space="preserve">projects </w:t>
      </w:r>
      <w:r w:rsidRPr="00565DB3">
        <w:t>currently underway or commencing in 201</w:t>
      </w:r>
      <w:r w:rsidR="002A1654">
        <w:t>3</w:t>
      </w:r>
      <w:r w:rsidR="00F66A1A">
        <w:noBreakHyphen/>
      </w:r>
      <w:r w:rsidRPr="00565DB3">
        <w:t>1</w:t>
      </w:r>
      <w:r w:rsidR="002A1654">
        <w:t>4</w:t>
      </w:r>
      <w:r w:rsidRPr="00565DB3">
        <w:t>.</w:t>
      </w:r>
    </w:p>
    <w:p w:rsidR="00E5261A" w:rsidRDefault="0036627A" w:rsidP="0036627A">
      <w:pPr>
        <w:pStyle w:val="BodyTextIndent"/>
        <w:keepNext w:val="0"/>
        <w:keepLines w:val="0"/>
      </w:pPr>
      <w:r w:rsidRPr="008A256A">
        <w:t>current employee benefits:</w:t>
      </w:r>
    </w:p>
    <w:p w:rsidR="008A2F63" w:rsidRDefault="0036627A" w:rsidP="00E5261A">
      <w:pPr>
        <w:pStyle w:val="BodyTextIndent2"/>
      </w:pPr>
      <w:r w:rsidRPr="008A256A">
        <w:t>the increase of $1</w:t>
      </w:r>
      <w:r w:rsidR="002A1654">
        <w:t>0</w:t>
      </w:r>
      <w:r w:rsidRPr="008A256A">
        <w:t>.</w:t>
      </w:r>
      <w:r w:rsidR="002A1654">
        <w:t>913</w:t>
      </w:r>
      <w:r w:rsidR="00A9414A">
        <w:t> </w:t>
      </w:r>
      <w:r w:rsidRPr="008A256A">
        <w:t>million in the 201</w:t>
      </w:r>
      <w:r w:rsidR="002A1654">
        <w:t>2</w:t>
      </w:r>
      <w:r w:rsidR="00E5261A">
        <w:noBreakHyphen/>
      </w:r>
      <w:r w:rsidRPr="008A256A">
        <w:t>1</w:t>
      </w:r>
      <w:r w:rsidR="002A1654">
        <w:t>3</w:t>
      </w:r>
      <w:r w:rsidR="00A9414A">
        <w:t> </w:t>
      </w:r>
      <w:r w:rsidRPr="008A256A">
        <w:t>estimated outcome from the original budget is mainly due to the impact of the discount rate on the long service leave liability</w:t>
      </w:r>
      <w:r w:rsidR="003B77F4">
        <w:t>; and</w:t>
      </w:r>
    </w:p>
    <w:p w:rsidR="003A247D" w:rsidRDefault="003B77F4" w:rsidP="00E5261A">
      <w:pPr>
        <w:pStyle w:val="BodyTextIndent2"/>
      </w:pPr>
      <w:proofErr w:type="gramStart"/>
      <w:r>
        <w:t>t</w:t>
      </w:r>
      <w:r w:rsidR="003A247D">
        <w:t>he</w:t>
      </w:r>
      <w:proofErr w:type="gramEnd"/>
      <w:r w:rsidR="003A247D">
        <w:t xml:space="preserve"> increase of $11.411 million in the 2013</w:t>
      </w:r>
      <w:r w:rsidR="003A247D">
        <w:noBreakHyphen/>
        <w:t>14 Budget from the 2012</w:t>
      </w:r>
      <w:r w:rsidR="003A247D">
        <w:noBreakHyphen/>
        <w:t xml:space="preserve">13 estimated outcome is </w:t>
      </w:r>
      <w:r w:rsidR="003A247D" w:rsidRPr="008A256A">
        <w:t xml:space="preserve">due to </w:t>
      </w:r>
      <w:r w:rsidR="002837ED">
        <w:t>planned growth in expenses, and new and continuing initiatives</w:t>
      </w:r>
      <w:r w:rsidR="003A247D">
        <w:t>.</w:t>
      </w:r>
    </w:p>
    <w:p w:rsidR="008A2F63" w:rsidRPr="003B77F4" w:rsidRDefault="0036627A" w:rsidP="00CC238F">
      <w:pPr>
        <w:pStyle w:val="Heading4"/>
      </w:pPr>
      <w:r w:rsidRPr="003B77F4">
        <w:t>Statement of Changes in Equity</w:t>
      </w:r>
    </w:p>
    <w:p w:rsidR="008A2F63" w:rsidRPr="003B77F4" w:rsidRDefault="0036627A" w:rsidP="003B77F4">
      <w:pPr>
        <w:pStyle w:val="BodyText"/>
      </w:pPr>
      <w:r w:rsidRPr="003B77F4">
        <w:t>Variations in the statement are explained in the notes above.</w:t>
      </w:r>
    </w:p>
    <w:p w:rsidR="008A2F63" w:rsidRPr="003B77F4" w:rsidRDefault="0036627A" w:rsidP="003B77F4">
      <w:pPr>
        <w:pStyle w:val="Heading4"/>
      </w:pPr>
      <w:r w:rsidRPr="003B77F4">
        <w:t>Cash Flow Statement</w:t>
      </w:r>
    </w:p>
    <w:p w:rsidR="0036627A" w:rsidRPr="003B77F4" w:rsidRDefault="0036627A" w:rsidP="003B77F4">
      <w:pPr>
        <w:pStyle w:val="BodyText"/>
      </w:pPr>
      <w:r w:rsidRPr="003B77F4">
        <w:t>Variations in the statement are explained in the notes above.</w:t>
      </w:r>
    </w:p>
    <w:p w:rsidR="00AB2E13" w:rsidRDefault="00AB2E13" w:rsidP="0036627A">
      <w:pPr>
        <w:pStyle w:val="BodyText"/>
      </w:pPr>
      <w:r>
        <w:br w:type="page"/>
      </w:r>
    </w:p>
    <w:tbl>
      <w:tblPr>
        <w:tblW w:w="9356" w:type="dxa"/>
        <w:tblLook w:val="04A0"/>
      </w:tblPr>
      <w:tblGrid>
        <w:gridCol w:w="1050"/>
        <w:gridCol w:w="2384"/>
        <w:gridCol w:w="1102"/>
        <w:gridCol w:w="1049"/>
        <w:gridCol w:w="621"/>
        <w:gridCol w:w="1050"/>
        <w:gridCol w:w="1050"/>
        <w:gridCol w:w="1050"/>
      </w:tblGrid>
      <w:tr w:rsidR="00AB2E13" w:rsidTr="00762D07">
        <w:trPr>
          <w:tblHeader/>
        </w:trPr>
        <w:tc>
          <w:tcPr>
            <w:tcW w:w="9392" w:type="dxa"/>
            <w:gridSpan w:val="8"/>
            <w:tcBorders>
              <w:top w:val="nil"/>
              <w:left w:val="nil"/>
              <w:bottom w:val="nil"/>
              <w:right w:val="nil"/>
            </w:tcBorders>
            <w:shd w:val="clear" w:color="000000" w:fill="FFFFFF"/>
            <w:hideMark/>
          </w:tcPr>
          <w:p w:rsidR="00AB2E13" w:rsidRDefault="00AB2E13" w:rsidP="00762D07">
            <w:pPr>
              <w:jc w:val="center"/>
              <w:rPr>
                <w:rFonts w:ascii="Arial" w:hAnsi="Arial" w:cs="Arial"/>
                <w:b/>
                <w:bCs/>
                <w:szCs w:val="24"/>
              </w:rPr>
            </w:pPr>
            <w:bookmarkStart w:id="7" w:name="RANGE!A1:H27"/>
            <w:r>
              <w:rPr>
                <w:rFonts w:ascii="Arial" w:hAnsi="Arial" w:cs="Arial"/>
                <w:b/>
                <w:bCs/>
              </w:rPr>
              <w:lastRenderedPageBreak/>
              <w:t>Health Directorate</w:t>
            </w:r>
            <w:bookmarkEnd w:id="7"/>
          </w:p>
        </w:tc>
      </w:tr>
      <w:tr w:rsidR="00AB2E13" w:rsidTr="00762D07">
        <w:trPr>
          <w:tblHeader/>
        </w:trPr>
        <w:tc>
          <w:tcPr>
            <w:tcW w:w="9392" w:type="dxa"/>
            <w:gridSpan w:val="8"/>
            <w:tcBorders>
              <w:top w:val="nil"/>
              <w:left w:val="nil"/>
              <w:bottom w:val="nil"/>
              <w:right w:val="nil"/>
            </w:tcBorders>
            <w:shd w:val="clear" w:color="000000" w:fill="FFFFFF"/>
            <w:hideMark/>
          </w:tcPr>
          <w:p w:rsidR="00AB2E13" w:rsidRDefault="00AB2E13" w:rsidP="00762D07">
            <w:pPr>
              <w:jc w:val="center"/>
              <w:rPr>
                <w:rFonts w:ascii="Arial" w:hAnsi="Arial" w:cs="Arial"/>
                <w:b/>
                <w:bCs/>
                <w:szCs w:val="24"/>
              </w:rPr>
            </w:pPr>
            <w:r>
              <w:rPr>
                <w:rFonts w:ascii="Arial" w:hAnsi="Arial" w:cs="Arial"/>
                <w:b/>
                <w:bCs/>
              </w:rPr>
              <w:t>Statement of Income and Expenses on Behalf of the Territory</w:t>
            </w:r>
          </w:p>
        </w:tc>
      </w:tr>
      <w:tr w:rsidR="00AB2E13" w:rsidTr="00762D07">
        <w:trPr>
          <w:tblHeader/>
        </w:trPr>
        <w:tc>
          <w:tcPr>
            <w:tcW w:w="1054" w:type="dxa"/>
            <w:tcBorders>
              <w:top w:val="single" w:sz="4" w:space="0" w:color="auto"/>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AB2E13" w:rsidRDefault="00AB2E13" w:rsidP="00762D0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2016-17</w:t>
            </w:r>
          </w:p>
        </w:tc>
      </w:tr>
      <w:tr w:rsidR="00AB2E13" w:rsidTr="00762D07">
        <w:trPr>
          <w:tblHeader/>
        </w:trPr>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Estimate</w:t>
            </w:r>
          </w:p>
        </w:tc>
      </w:tr>
      <w:tr w:rsidR="00AB2E13" w:rsidTr="00762D07">
        <w:trPr>
          <w:tblHeader/>
        </w:trPr>
        <w:tc>
          <w:tcPr>
            <w:tcW w:w="1054" w:type="dxa"/>
            <w:tcBorders>
              <w:top w:val="nil"/>
              <w:left w:val="nil"/>
              <w:bottom w:val="single" w:sz="4" w:space="0" w:color="auto"/>
              <w:right w:val="nil"/>
            </w:tcBorders>
            <w:shd w:val="clear" w:color="000000" w:fill="FFFFFF"/>
            <w:hideMark/>
          </w:tcPr>
          <w:p w:rsidR="00AB2E13" w:rsidRDefault="00AB2E13" w:rsidP="00762D0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AB2E13" w:rsidRDefault="00AB2E13" w:rsidP="00762D07">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AB2E13" w:rsidRDefault="00AB2E13"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B2E13" w:rsidRDefault="00AB2E13" w:rsidP="00762D0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AB2E13" w:rsidRDefault="00AB2E13" w:rsidP="00762D0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AB2E13" w:rsidRDefault="00AB2E13"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B2E13" w:rsidRDefault="00AB2E13"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B2E13" w:rsidRDefault="00AB2E13" w:rsidP="00762D07">
            <w:pPr>
              <w:ind w:left="-283"/>
              <w:jc w:val="right"/>
              <w:rPr>
                <w:b/>
                <w:bCs/>
                <w:sz w:val="18"/>
                <w:szCs w:val="18"/>
              </w:rPr>
            </w:pPr>
            <w:r>
              <w:rPr>
                <w:b/>
                <w:bCs/>
                <w:sz w:val="18"/>
                <w:szCs w:val="18"/>
              </w:rPr>
              <w:t>$'000</w:t>
            </w:r>
          </w:p>
        </w:tc>
      </w:tr>
      <w:tr w:rsidR="00AB2E13" w:rsidTr="00762D07">
        <w:trPr>
          <w:tblHeader/>
        </w:trPr>
        <w:tc>
          <w:tcPr>
            <w:tcW w:w="1054" w:type="dxa"/>
            <w:tcBorders>
              <w:top w:val="nil"/>
              <w:left w:val="nil"/>
              <w:bottom w:val="nil"/>
              <w:right w:val="nil"/>
            </w:tcBorders>
            <w:shd w:val="clear" w:color="000000" w:fill="FFFFFF"/>
            <w:hideMark/>
          </w:tcPr>
          <w:p w:rsidR="00AB2E13" w:rsidRDefault="00AB2E13" w:rsidP="00762D07">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B2E13" w:rsidRDefault="00AB2E13" w:rsidP="00762D0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i/>
                <w:iCs/>
                <w:sz w:val="18"/>
                <w:szCs w:val="18"/>
              </w:rPr>
            </w:pPr>
            <w:r>
              <w:rPr>
                <w:b/>
                <w:bCs/>
                <w:i/>
                <w:iCs/>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746</w:t>
            </w:r>
          </w:p>
        </w:tc>
        <w:tc>
          <w:tcPr>
            <w:tcW w:w="2392" w:type="dxa"/>
            <w:tcBorders>
              <w:top w:val="nil"/>
              <w:left w:val="nil"/>
              <w:bottom w:val="nil"/>
              <w:right w:val="nil"/>
            </w:tcBorders>
            <w:shd w:val="clear" w:color="000000" w:fill="FFFFFF"/>
            <w:hideMark/>
          </w:tcPr>
          <w:p w:rsidR="00AB2E13" w:rsidRDefault="00AB2E13" w:rsidP="00762D07">
            <w:pPr>
              <w:rPr>
                <w:sz w:val="18"/>
                <w:szCs w:val="18"/>
              </w:rPr>
            </w:pPr>
            <w:r>
              <w:rPr>
                <w:sz w:val="18"/>
                <w:szCs w:val="18"/>
              </w:rPr>
              <w:t xml:space="preserve">Payment for Expenses on </w:t>
            </w:r>
            <w:r>
              <w:rPr>
                <w:sz w:val="18"/>
                <w:szCs w:val="18"/>
              </w:rPr>
              <w:br/>
              <w:t xml:space="preserve">   behalf of Territory</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746</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4,615</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xml:space="preserve">519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784</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803</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823</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693</w:t>
            </w:r>
          </w:p>
        </w:tc>
        <w:tc>
          <w:tcPr>
            <w:tcW w:w="2392" w:type="dxa"/>
            <w:tcBorders>
              <w:top w:val="nil"/>
              <w:left w:val="nil"/>
              <w:bottom w:val="nil"/>
              <w:right w:val="nil"/>
            </w:tcBorders>
            <w:shd w:val="clear" w:color="000000" w:fill="FFFFFF"/>
            <w:hideMark/>
          </w:tcPr>
          <w:p w:rsidR="00AB2E13" w:rsidRDefault="00AB2E13" w:rsidP="00762D07">
            <w:pPr>
              <w:rPr>
                <w:sz w:val="18"/>
                <w:szCs w:val="18"/>
              </w:rPr>
            </w:pPr>
            <w:r>
              <w:rPr>
                <w:sz w:val="18"/>
                <w:szCs w:val="18"/>
              </w:rPr>
              <w:t>Taxes, Fees and Fines</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993</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1,230</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1,262</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1,295</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1,329</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1,439</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1,739</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5,845</w:t>
            </w:r>
          </w:p>
        </w:tc>
        <w:tc>
          <w:tcPr>
            <w:tcW w:w="62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xml:space="preserve">236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2,046</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2,098</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2,152</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1,439</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1,739</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5,845</w:t>
            </w:r>
          </w:p>
        </w:tc>
        <w:tc>
          <w:tcPr>
            <w:tcW w:w="62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xml:space="preserve">236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2,046</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2,098</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2,152</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746</w:t>
            </w:r>
          </w:p>
        </w:tc>
        <w:tc>
          <w:tcPr>
            <w:tcW w:w="2392" w:type="dxa"/>
            <w:tcBorders>
              <w:top w:val="nil"/>
              <w:left w:val="nil"/>
              <w:bottom w:val="nil"/>
              <w:right w:val="nil"/>
            </w:tcBorders>
            <w:shd w:val="clear" w:color="000000" w:fill="FFFFFF"/>
            <w:hideMark/>
          </w:tcPr>
          <w:p w:rsidR="00AB2E13" w:rsidRDefault="00AB2E13" w:rsidP="00762D07">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746</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4,615</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xml:space="preserve">519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784</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803</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823</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693</w:t>
            </w:r>
          </w:p>
        </w:tc>
        <w:tc>
          <w:tcPr>
            <w:tcW w:w="2392" w:type="dxa"/>
            <w:tcBorders>
              <w:top w:val="nil"/>
              <w:left w:val="nil"/>
              <w:bottom w:val="nil"/>
              <w:right w:val="nil"/>
            </w:tcBorders>
            <w:shd w:val="clear" w:color="000000" w:fill="FFFFFF"/>
            <w:hideMark/>
          </w:tcPr>
          <w:p w:rsidR="00AB2E13" w:rsidRDefault="00AB2E13" w:rsidP="00762D07">
            <w:pPr>
              <w:rPr>
                <w:sz w:val="18"/>
                <w:szCs w:val="18"/>
              </w:rPr>
            </w:pPr>
            <w:r>
              <w:rPr>
                <w:sz w:val="18"/>
                <w:szCs w:val="18"/>
              </w:rPr>
              <w:t>Transfer Expenses</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993</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1,230</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1,262</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1,295</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1,329</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1,439</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Total Expenses</w:t>
            </w:r>
          </w:p>
        </w:tc>
        <w:tc>
          <w:tcPr>
            <w:tcW w:w="1106"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1,739</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5,845</w:t>
            </w:r>
          </w:p>
        </w:tc>
        <w:tc>
          <w:tcPr>
            <w:tcW w:w="62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xml:space="preserve">236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2,046</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2,098</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2,152</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B2E13" w:rsidRDefault="00AB2E13" w:rsidP="00762D07">
            <w:pPr>
              <w:rPr>
                <w:sz w:val="18"/>
                <w:szCs w:val="18"/>
              </w:rPr>
            </w:pPr>
            <w:r>
              <w:rPr>
                <w:sz w:val="18"/>
                <w:szCs w:val="18"/>
              </w:rPr>
              <w:t> </w:t>
            </w:r>
          </w:p>
        </w:tc>
        <w:tc>
          <w:tcPr>
            <w:tcW w:w="1106"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sz w:val="18"/>
                <w:szCs w:val="18"/>
              </w:rPr>
            </w:pPr>
            <w:r>
              <w:rPr>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w:t>
            </w:r>
          </w:p>
        </w:tc>
      </w:tr>
      <w:tr w:rsidR="00AB2E13" w:rsidTr="00762D07">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B2E13" w:rsidRDefault="00AB2E13" w:rsidP="00762D07">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B2E13" w:rsidRDefault="00AB2E13" w:rsidP="00762D07">
            <w:pPr>
              <w:ind w:left="-283"/>
              <w:jc w:val="right"/>
              <w:rPr>
                <w:b/>
                <w:bCs/>
                <w:sz w:val="18"/>
                <w:szCs w:val="18"/>
              </w:rPr>
            </w:pPr>
            <w:r>
              <w:rPr>
                <w:b/>
                <w:bCs/>
                <w:sz w:val="18"/>
                <w:szCs w:val="18"/>
              </w:rPr>
              <w:t>0</w:t>
            </w:r>
          </w:p>
        </w:tc>
      </w:tr>
      <w:tr w:rsidR="00AB2E13" w:rsidTr="00762D07">
        <w:tc>
          <w:tcPr>
            <w:tcW w:w="1054" w:type="dxa"/>
            <w:tcBorders>
              <w:top w:val="nil"/>
              <w:left w:val="nil"/>
              <w:bottom w:val="single" w:sz="4" w:space="0" w:color="auto"/>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AB2E13" w:rsidRDefault="00AB2E13" w:rsidP="00762D07">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B2E13" w:rsidRDefault="00AB2E13"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B2E13" w:rsidRDefault="00AB2E13" w:rsidP="00762D07">
            <w:pPr>
              <w:ind w:left="-283"/>
              <w:jc w:val="right"/>
              <w:rPr>
                <w:sz w:val="18"/>
                <w:szCs w:val="18"/>
              </w:rPr>
            </w:pPr>
            <w:r>
              <w:rPr>
                <w:sz w:val="18"/>
                <w:szCs w:val="18"/>
              </w:rPr>
              <w:t> </w:t>
            </w:r>
          </w:p>
        </w:tc>
      </w:tr>
    </w:tbl>
    <w:p w:rsidR="008A2F63" w:rsidRDefault="008A2F63" w:rsidP="0036627A">
      <w:pPr>
        <w:pStyle w:val="BodyText"/>
      </w:pPr>
    </w:p>
    <w:tbl>
      <w:tblPr>
        <w:tblW w:w="9392" w:type="dxa"/>
        <w:tblLook w:val="04A0"/>
      </w:tblPr>
      <w:tblGrid>
        <w:gridCol w:w="1054"/>
        <w:gridCol w:w="2392"/>
        <w:gridCol w:w="1106"/>
        <w:gridCol w:w="1054"/>
        <w:gridCol w:w="624"/>
        <w:gridCol w:w="1054"/>
        <w:gridCol w:w="1054"/>
        <w:gridCol w:w="1054"/>
      </w:tblGrid>
      <w:tr w:rsidR="007F1B30" w:rsidTr="00DE43AB">
        <w:trPr>
          <w:tblHeader/>
        </w:trPr>
        <w:tc>
          <w:tcPr>
            <w:tcW w:w="9392" w:type="dxa"/>
            <w:gridSpan w:val="8"/>
            <w:tcBorders>
              <w:top w:val="nil"/>
              <w:left w:val="nil"/>
              <w:bottom w:val="nil"/>
              <w:right w:val="nil"/>
            </w:tcBorders>
            <w:shd w:val="clear" w:color="000000" w:fill="FFFFFF"/>
            <w:noWrap/>
            <w:vAlign w:val="bottom"/>
            <w:hideMark/>
          </w:tcPr>
          <w:p w:rsidR="007F1B30" w:rsidRPr="00B3483A" w:rsidRDefault="007F1B30" w:rsidP="00762D07">
            <w:pPr>
              <w:jc w:val="center"/>
              <w:rPr>
                <w:rFonts w:ascii="Arial" w:hAnsi="Arial" w:cs="Arial"/>
                <w:b/>
                <w:bCs/>
                <w:szCs w:val="24"/>
              </w:rPr>
            </w:pPr>
            <w:bookmarkStart w:id="8" w:name="RANGE!A1:H28"/>
            <w:r w:rsidRPr="00B3483A">
              <w:rPr>
                <w:rFonts w:ascii="Arial" w:hAnsi="Arial" w:cs="Arial"/>
                <w:b/>
                <w:bCs/>
                <w:szCs w:val="24"/>
              </w:rPr>
              <w:t>Health Directorate</w:t>
            </w:r>
            <w:bookmarkEnd w:id="8"/>
          </w:p>
        </w:tc>
      </w:tr>
      <w:tr w:rsidR="007F1B30" w:rsidTr="00DE43AB">
        <w:trPr>
          <w:tblHeader/>
        </w:trPr>
        <w:tc>
          <w:tcPr>
            <w:tcW w:w="9392" w:type="dxa"/>
            <w:gridSpan w:val="8"/>
            <w:tcBorders>
              <w:top w:val="nil"/>
              <w:left w:val="nil"/>
              <w:bottom w:val="nil"/>
              <w:right w:val="nil"/>
            </w:tcBorders>
            <w:shd w:val="clear" w:color="000000" w:fill="FFFFFF"/>
            <w:noWrap/>
            <w:vAlign w:val="bottom"/>
            <w:hideMark/>
          </w:tcPr>
          <w:p w:rsidR="007F1B30" w:rsidRPr="00B3483A" w:rsidRDefault="007F1B30" w:rsidP="00762D07">
            <w:pPr>
              <w:jc w:val="center"/>
              <w:rPr>
                <w:rFonts w:ascii="Arial" w:hAnsi="Arial" w:cs="Arial"/>
                <w:b/>
                <w:bCs/>
                <w:szCs w:val="24"/>
              </w:rPr>
            </w:pPr>
            <w:r w:rsidRPr="00B3483A">
              <w:rPr>
                <w:rFonts w:ascii="Arial" w:hAnsi="Arial" w:cs="Arial"/>
                <w:b/>
                <w:bCs/>
                <w:szCs w:val="24"/>
              </w:rPr>
              <w:t>Statement of Assets and Liabilities on Behalf of the Territory</w:t>
            </w:r>
          </w:p>
        </w:tc>
      </w:tr>
      <w:tr w:rsidR="007F1B30" w:rsidTr="00DE43AB">
        <w:trPr>
          <w:tblHeader/>
        </w:trPr>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7F1B30" w:rsidRDefault="007F1B30" w:rsidP="00762D0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Estimate</w:t>
            </w:r>
          </w:p>
        </w:tc>
      </w:tr>
      <w:tr w:rsidR="007F1B30" w:rsidTr="00DE43AB">
        <w:trPr>
          <w:tblHeader/>
        </w:trPr>
        <w:tc>
          <w:tcPr>
            <w:tcW w:w="105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7F1B30" w:rsidRDefault="007F1B30" w:rsidP="00762D07">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30/6/17</w:t>
            </w:r>
          </w:p>
        </w:tc>
      </w:tr>
      <w:tr w:rsidR="007F1B30" w:rsidTr="00DE43AB">
        <w:trPr>
          <w:tblHeader/>
        </w:trPr>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7F1B30" w:rsidRDefault="007F1B30" w:rsidP="00762D07">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r>
      <w:tr w:rsidR="007F1B30" w:rsidTr="00DE43AB">
        <w:trPr>
          <w:tblHeader/>
        </w:trPr>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i/>
                <w:iCs/>
                <w:sz w:val="18"/>
                <w:szCs w:val="18"/>
              </w:rPr>
            </w:pPr>
            <w:r>
              <w:rPr>
                <w:i/>
                <w:iCs/>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294</w:t>
            </w:r>
          </w:p>
        </w:tc>
        <w:tc>
          <w:tcPr>
            <w:tcW w:w="2392" w:type="dxa"/>
            <w:tcBorders>
              <w:top w:val="nil"/>
              <w:left w:val="nil"/>
              <w:bottom w:val="nil"/>
              <w:right w:val="nil"/>
            </w:tcBorders>
            <w:shd w:val="clear" w:color="000000" w:fill="FFFFFF"/>
            <w:hideMark/>
          </w:tcPr>
          <w:p w:rsidR="007F1B30" w:rsidRDefault="007F1B30" w:rsidP="00762D07">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6</w:t>
            </w:r>
          </w:p>
        </w:tc>
        <w:tc>
          <w:tcPr>
            <w:tcW w:w="2392" w:type="dxa"/>
            <w:tcBorders>
              <w:top w:val="nil"/>
              <w:left w:val="nil"/>
              <w:bottom w:val="nil"/>
              <w:right w:val="nil"/>
            </w:tcBorders>
            <w:shd w:val="clear" w:color="000000" w:fill="FFFFFF"/>
            <w:hideMark/>
          </w:tcPr>
          <w:p w:rsidR="007F1B30" w:rsidRDefault="007F1B30" w:rsidP="00762D07">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0</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62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62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c>
          <w:tcPr>
            <w:tcW w:w="2392" w:type="dxa"/>
            <w:tcBorders>
              <w:top w:val="nil"/>
              <w:left w:val="nil"/>
              <w:bottom w:val="nil"/>
              <w:right w:val="nil"/>
            </w:tcBorders>
            <w:shd w:val="clear" w:color="000000" w:fill="FFFFFF"/>
            <w:hideMark/>
          </w:tcPr>
          <w:p w:rsidR="007F1B30" w:rsidRDefault="007F1B30" w:rsidP="00762D07">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300</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62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62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300</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7F1B30" w:rsidRDefault="007F1B30" w:rsidP="00762D07">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0</w:t>
            </w:r>
          </w:p>
        </w:tc>
      </w:tr>
      <w:tr w:rsidR="007F1B30" w:rsidTr="00DE43AB">
        <w:tc>
          <w:tcPr>
            <w:tcW w:w="1054" w:type="dxa"/>
            <w:tcBorders>
              <w:top w:val="nil"/>
              <w:left w:val="nil"/>
              <w:bottom w:val="single" w:sz="4" w:space="0" w:color="auto"/>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7F1B30" w:rsidRDefault="007F1B30" w:rsidP="00762D07">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F1B30" w:rsidRDefault="007F1B30"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F1B30" w:rsidRDefault="007F1B30" w:rsidP="00762D07">
            <w:pPr>
              <w:ind w:left="-283"/>
              <w:jc w:val="right"/>
              <w:rPr>
                <w:sz w:val="18"/>
                <w:szCs w:val="18"/>
              </w:rPr>
            </w:pPr>
            <w:r>
              <w:rPr>
                <w:sz w:val="18"/>
                <w:szCs w:val="18"/>
              </w:rPr>
              <w:t> </w:t>
            </w:r>
          </w:p>
        </w:tc>
      </w:tr>
    </w:tbl>
    <w:p w:rsidR="0075638A" w:rsidRDefault="0075638A">
      <w:bookmarkStart w:id="9" w:name="RANGE!A1:H11"/>
      <w:r>
        <w:br w:type="page"/>
      </w:r>
    </w:p>
    <w:tbl>
      <w:tblPr>
        <w:tblW w:w="9392" w:type="dxa"/>
        <w:tblLook w:val="04A0"/>
      </w:tblPr>
      <w:tblGrid>
        <w:gridCol w:w="1054"/>
        <w:gridCol w:w="2392"/>
        <w:gridCol w:w="1106"/>
        <w:gridCol w:w="1054"/>
        <w:gridCol w:w="624"/>
        <w:gridCol w:w="1054"/>
        <w:gridCol w:w="1054"/>
        <w:gridCol w:w="1054"/>
      </w:tblGrid>
      <w:tr w:rsidR="007F1B30" w:rsidTr="00DE43AB">
        <w:trPr>
          <w:tblHeader/>
        </w:trPr>
        <w:tc>
          <w:tcPr>
            <w:tcW w:w="9392" w:type="dxa"/>
            <w:gridSpan w:val="8"/>
            <w:tcBorders>
              <w:top w:val="nil"/>
              <w:left w:val="nil"/>
              <w:bottom w:val="nil"/>
              <w:right w:val="nil"/>
            </w:tcBorders>
            <w:shd w:val="clear" w:color="000000" w:fill="FFFFFF"/>
            <w:noWrap/>
            <w:vAlign w:val="bottom"/>
            <w:hideMark/>
          </w:tcPr>
          <w:p w:rsidR="007F1B30" w:rsidRPr="00B3483A" w:rsidRDefault="007F1B30" w:rsidP="00762D07">
            <w:pPr>
              <w:jc w:val="center"/>
              <w:rPr>
                <w:rFonts w:ascii="Arial" w:hAnsi="Arial" w:cs="Arial"/>
                <w:b/>
                <w:bCs/>
                <w:szCs w:val="24"/>
              </w:rPr>
            </w:pPr>
            <w:r w:rsidRPr="00B3483A">
              <w:rPr>
                <w:rFonts w:ascii="Arial" w:hAnsi="Arial" w:cs="Arial"/>
                <w:b/>
                <w:bCs/>
                <w:szCs w:val="24"/>
              </w:rPr>
              <w:lastRenderedPageBreak/>
              <w:t>Health Directorate</w:t>
            </w:r>
            <w:bookmarkEnd w:id="9"/>
          </w:p>
        </w:tc>
      </w:tr>
      <w:tr w:rsidR="007F1B30" w:rsidTr="00DE43AB">
        <w:trPr>
          <w:tblHeader/>
        </w:trPr>
        <w:tc>
          <w:tcPr>
            <w:tcW w:w="9392" w:type="dxa"/>
            <w:gridSpan w:val="8"/>
            <w:tcBorders>
              <w:top w:val="nil"/>
              <w:left w:val="nil"/>
              <w:bottom w:val="nil"/>
              <w:right w:val="nil"/>
            </w:tcBorders>
            <w:shd w:val="clear" w:color="000000" w:fill="FFFFFF"/>
            <w:noWrap/>
            <w:vAlign w:val="bottom"/>
            <w:hideMark/>
          </w:tcPr>
          <w:p w:rsidR="007F1B30" w:rsidRPr="00B3483A" w:rsidRDefault="007F1B30" w:rsidP="00762D07">
            <w:pPr>
              <w:jc w:val="center"/>
              <w:rPr>
                <w:rFonts w:ascii="Arial" w:hAnsi="Arial" w:cs="Arial"/>
                <w:b/>
                <w:bCs/>
                <w:szCs w:val="24"/>
              </w:rPr>
            </w:pPr>
            <w:r w:rsidRPr="00B3483A">
              <w:rPr>
                <w:rFonts w:ascii="Arial" w:hAnsi="Arial" w:cs="Arial"/>
                <w:b/>
                <w:bCs/>
                <w:szCs w:val="24"/>
              </w:rPr>
              <w:t>Statement of Changes in Equity on Behalf of the Territory</w:t>
            </w:r>
          </w:p>
        </w:tc>
      </w:tr>
      <w:tr w:rsidR="007F1B30" w:rsidTr="00DE43AB">
        <w:trPr>
          <w:tblHeader/>
        </w:trPr>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7F1B30" w:rsidRDefault="007F1B30" w:rsidP="00762D07">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Estimate</w:t>
            </w:r>
          </w:p>
        </w:tc>
      </w:tr>
      <w:tr w:rsidR="007F1B30" w:rsidTr="00DE43AB">
        <w:trPr>
          <w:tblHeader/>
        </w:trPr>
        <w:tc>
          <w:tcPr>
            <w:tcW w:w="105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7F1B30" w:rsidRDefault="007F1B30" w:rsidP="00762D07">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6"/>
                <w:szCs w:val="16"/>
              </w:rPr>
            </w:pPr>
            <w:r>
              <w:rPr>
                <w:b/>
                <w:bCs/>
                <w:sz w:val="16"/>
                <w:szCs w:val="16"/>
              </w:rPr>
              <w:t>as at 30/6/17</w:t>
            </w:r>
          </w:p>
        </w:tc>
      </w:tr>
      <w:tr w:rsidR="007F1B30" w:rsidTr="00DE43AB">
        <w:trPr>
          <w:tblHeader/>
        </w:trPr>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7F1B30" w:rsidRDefault="007F1B30" w:rsidP="00762D07">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r>
      <w:tr w:rsidR="007F1B30" w:rsidTr="00DE43AB">
        <w:trPr>
          <w:tblHeader/>
        </w:trPr>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7F1B30" w:rsidRDefault="007F1B30" w:rsidP="00762D07">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r>
      <w:tr w:rsidR="007F1B30" w:rsidTr="00DE43AB">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7F1B30" w:rsidRDefault="007F1B30" w:rsidP="00762D07">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r>
      <w:tr w:rsidR="007F1B30" w:rsidTr="00DE43AB">
        <w:trPr>
          <w:tblHeader/>
        </w:trPr>
        <w:tc>
          <w:tcPr>
            <w:tcW w:w="9392" w:type="dxa"/>
            <w:gridSpan w:val="8"/>
            <w:tcBorders>
              <w:top w:val="nil"/>
              <w:left w:val="nil"/>
              <w:bottom w:val="nil"/>
              <w:right w:val="nil"/>
            </w:tcBorders>
            <w:shd w:val="clear" w:color="000000" w:fill="FFFFFF"/>
            <w:noWrap/>
            <w:vAlign w:val="bottom"/>
            <w:hideMark/>
          </w:tcPr>
          <w:p w:rsidR="007F1B30" w:rsidRPr="00B3483A" w:rsidRDefault="007F1B30" w:rsidP="00DE43AB">
            <w:pPr>
              <w:spacing w:before="240"/>
              <w:jc w:val="center"/>
              <w:rPr>
                <w:rFonts w:ascii="Arial" w:hAnsi="Arial" w:cs="Arial"/>
                <w:b/>
                <w:bCs/>
                <w:szCs w:val="24"/>
              </w:rPr>
            </w:pPr>
            <w:bookmarkStart w:id="10" w:name="RANGE!A1:H26"/>
            <w:r w:rsidRPr="00B3483A">
              <w:rPr>
                <w:rFonts w:ascii="Arial" w:hAnsi="Arial" w:cs="Arial"/>
                <w:b/>
                <w:bCs/>
                <w:szCs w:val="24"/>
              </w:rPr>
              <w:t>Health Directorate</w:t>
            </w:r>
            <w:bookmarkEnd w:id="10"/>
          </w:p>
        </w:tc>
      </w:tr>
      <w:tr w:rsidR="007F1B30" w:rsidTr="00DE43AB">
        <w:trPr>
          <w:tblHeader/>
        </w:trPr>
        <w:tc>
          <w:tcPr>
            <w:tcW w:w="9392" w:type="dxa"/>
            <w:gridSpan w:val="8"/>
            <w:tcBorders>
              <w:top w:val="nil"/>
              <w:left w:val="nil"/>
              <w:bottom w:val="nil"/>
              <w:right w:val="nil"/>
            </w:tcBorders>
            <w:shd w:val="clear" w:color="000000" w:fill="FFFFFF"/>
            <w:noWrap/>
            <w:vAlign w:val="bottom"/>
            <w:hideMark/>
          </w:tcPr>
          <w:p w:rsidR="007F1B30" w:rsidRPr="00B3483A" w:rsidRDefault="007F1B30" w:rsidP="00762D07">
            <w:pPr>
              <w:jc w:val="center"/>
              <w:rPr>
                <w:rFonts w:ascii="Arial" w:hAnsi="Arial" w:cs="Arial"/>
                <w:b/>
                <w:bCs/>
                <w:szCs w:val="24"/>
              </w:rPr>
            </w:pPr>
            <w:r w:rsidRPr="00B3483A">
              <w:rPr>
                <w:rFonts w:ascii="Arial" w:hAnsi="Arial" w:cs="Arial"/>
                <w:b/>
                <w:bCs/>
                <w:szCs w:val="24"/>
              </w:rPr>
              <w:t>Statement of Cash Flows on Behalf of the Territory</w:t>
            </w:r>
          </w:p>
        </w:tc>
      </w:tr>
      <w:tr w:rsidR="007F1B30" w:rsidTr="00DE43AB">
        <w:trPr>
          <w:tblHeader/>
        </w:trPr>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7F1B30" w:rsidRDefault="007F1B30" w:rsidP="00762D0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2016-17</w:t>
            </w:r>
          </w:p>
        </w:tc>
      </w:tr>
      <w:tr w:rsidR="007F1B30" w:rsidTr="00DE43AB">
        <w:trPr>
          <w:tblHeader/>
        </w:trPr>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7F1B30" w:rsidRDefault="007F1B30"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7F1B30" w:rsidRDefault="007F1B30" w:rsidP="00762D07">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Estimate</w:t>
            </w:r>
          </w:p>
        </w:tc>
      </w:tr>
      <w:tr w:rsidR="007F1B30" w:rsidTr="00DE43AB">
        <w:trPr>
          <w:tblHeader/>
        </w:trPr>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7F1B30" w:rsidRDefault="007F1B30" w:rsidP="00762D07">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$'000</w:t>
            </w:r>
          </w:p>
        </w:tc>
      </w:tr>
      <w:tr w:rsidR="007F1B30" w:rsidTr="00DE43AB">
        <w:trPr>
          <w:tblHeader/>
        </w:trPr>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7F1B30" w:rsidRDefault="007F1B30" w:rsidP="00762D07">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F1B30" w:rsidRDefault="007F1B30"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F1B30" w:rsidRDefault="007F1B30" w:rsidP="00762D07">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746</w:t>
            </w:r>
          </w:p>
        </w:tc>
        <w:tc>
          <w:tcPr>
            <w:tcW w:w="2392" w:type="dxa"/>
            <w:tcBorders>
              <w:top w:val="nil"/>
              <w:left w:val="nil"/>
              <w:bottom w:val="nil"/>
              <w:right w:val="nil"/>
            </w:tcBorders>
            <w:shd w:val="clear" w:color="000000" w:fill="FFFFFF"/>
            <w:hideMark/>
          </w:tcPr>
          <w:p w:rsidR="007F1B30" w:rsidRDefault="007F1B30" w:rsidP="00762D07">
            <w:pPr>
              <w:rPr>
                <w:sz w:val="18"/>
                <w:szCs w:val="18"/>
              </w:rPr>
            </w:pPr>
            <w:r>
              <w:rPr>
                <w:sz w:val="18"/>
                <w:szCs w:val="18"/>
              </w:rPr>
              <w:t>Cash from Government for</w:t>
            </w:r>
            <w:r>
              <w:rPr>
                <w:sz w:val="18"/>
                <w:szCs w:val="18"/>
              </w:rPr>
              <w:br/>
              <w:t xml:space="preserve">   EBT</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746</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4,615</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xml:space="preserve">519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784</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803</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823</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693</w:t>
            </w:r>
          </w:p>
        </w:tc>
        <w:tc>
          <w:tcPr>
            <w:tcW w:w="2392" w:type="dxa"/>
            <w:tcBorders>
              <w:top w:val="nil"/>
              <w:left w:val="nil"/>
              <w:bottom w:val="nil"/>
              <w:right w:val="nil"/>
            </w:tcBorders>
            <w:shd w:val="clear" w:color="000000" w:fill="FFFFFF"/>
            <w:noWrap/>
            <w:hideMark/>
          </w:tcPr>
          <w:p w:rsidR="007F1B30" w:rsidRDefault="007F1B30" w:rsidP="00762D07">
            <w:pPr>
              <w:rPr>
                <w:sz w:val="18"/>
                <w:szCs w:val="18"/>
              </w:rPr>
            </w:pPr>
            <w:r>
              <w:rPr>
                <w:sz w:val="18"/>
                <w:szCs w:val="18"/>
              </w:rPr>
              <w:t>Taxes, Fees and Fines</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993</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1,230</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1,262</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1,295</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1,329</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75</w:t>
            </w:r>
          </w:p>
        </w:tc>
        <w:tc>
          <w:tcPr>
            <w:tcW w:w="2392" w:type="dxa"/>
            <w:tcBorders>
              <w:top w:val="nil"/>
              <w:left w:val="nil"/>
              <w:bottom w:val="nil"/>
              <w:right w:val="nil"/>
            </w:tcBorders>
            <w:shd w:val="clear" w:color="000000" w:fill="FFFFFF"/>
            <w:noWrap/>
            <w:hideMark/>
          </w:tcPr>
          <w:p w:rsidR="007F1B30" w:rsidRDefault="007F1B30" w:rsidP="00762D07">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75</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462</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xml:space="preserve">516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79</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81</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82</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1,514</w:t>
            </w:r>
          </w:p>
        </w:tc>
        <w:tc>
          <w:tcPr>
            <w:tcW w:w="2392" w:type="dxa"/>
            <w:tcBorders>
              <w:top w:val="nil"/>
              <w:left w:val="nil"/>
              <w:bottom w:val="nil"/>
              <w:right w:val="nil"/>
            </w:tcBorders>
            <w:shd w:val="clear" w:color="000000" w:fill="FFFFFF"/>
            <w:noWrap/>
            <w:hideMark/>
          </w:tcPr>
          <w:p w:rsidR="007F1B30" w:rsidRDefault="007F1B30" w:rsidP="00762D07">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1,814</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6,307</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xml:space="preserve">248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2,125</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2,179</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2,234</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7F1B30" w:rsidRDefault="007F1B30" w:rsidP="00762D0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7F1B30" w:rsidRDefault="007F1B30" w:rsidP="00762D07">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color w:val="0000FF"/>
                <w:sz w:val="18"/>
                <w:szCs w:val="18"/>
              </w:rPr>
            </w:pPr>
            <w:r>
              <w:rPr>
                <w:color w:val="0000FF"/>
                <w:sz w:val="18"/>
                <w:szCs w:val="18"/>
              </w:rPr>
              <w:t> </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746</w:t>
            </w:r>
          </w:p>
        </w:tc>
        <w:tc>
          <w:tcPr>
            <w:tcW w:w="2392" w:type="dxa"/>
            <w:tcBorders>
              <w:top w:val="nil"/>
              <w:left w:val="nil"/>
              <w:bottom w:val="nil"/>
              <w:right w:val="nil"/>
            </w:tcBorders>
            <w:shd w:val="clear" w:color="000000" w:fill="FFFFFF"/>
            <w:noWrap/>
            <w:hideMark/>
          </w:tcPr>
          <w:p w:rsidR="007F1B30" w:rsidRDefault="007F1B30" w:rsidP="00762D07">
            <w:pPr>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746</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4,615</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xml:space="preserve">519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784</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803</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823</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75</w:t>
            </w:r>
          </w:p>
        </w:tc>
        <w:tc>
          <w:tcPr>
            <w:tcW w:w="2392" w:type="dxa"/>
            <w:tcBorders>
              <w:top w:val="nil"/>
              <w:left w:val="nil"/>
              <w:bottom w:val="nil"/>
              <w:right w:val="nil"/>
            </w:tcBorders>
            <w:shd w:val="clear" w:color="000000" w:fill="FFFFFF"/>
            <w:noWrap/>
            <w:hideMark/>
          </w:tcPr>
          <w:p w:rsidR="007F1B30" w:rsidRDefault="007F1B30" w:rsidP="00762D07">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75</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462</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xml:space="preserve">516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79</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81</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82</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693</w:t>
            </w:r>
          </w:p>
        </w:tc>
        <w:tc>
          <w:tcPr>
            <w:tcW w:w="2392" w:type="dxa"/>
            <w:tcBorders>
              <w:top w:val="nil"/>
              <w:left w:val="nil"/>
              <w:bottom w:val="nil"/>
              <w:right w:val="nil"/>
            </w:tcBorders>
            <w:shd w:val="clear" w:color="000000" w:fill="FFFFFF"/>
            <w:hideMark/>
          </w:tcPr>
          <w:p w:rsidR="007F1B30" w:rsidRDefault="007F1B30" w:rsidP="00762D07">
            <w:pPr>
              <w:rPr>
                <w:sz w:val="18"/>
                <w:szCs w:val="18"/>
              </w:rPr>
            </w:pPr>
            <w:r>
              <w:rPr>
                <w:sz w:val="18"/>
                <w:szCs w:val="18"/>
              </w:rPr>
              <w:t>Territory Receipts to</w:t>
            </w:r>
            <w:r>
              <w:rPr>
                <w:sz w:val="18"/>
                <w:szCs w:val="18"/>
              </w:rPr>
              <w:br/>
              <w:t xml:space="preserve">   Government</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993</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1,230</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1,262</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1,295</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1,329</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1,514</w:t>
            </w:r>
          </w:p>
        </w:tc>
        <w:tc>
          <w:tcPr>
            <w:tcW w:w="2392" w:type="dxa"/>
            <w:tcBorders>
              <w:top w:val="nil"/>
              <w:left w:val="nil"/>
              <w:bottom w:val="nil"/>
              <w:right w:val="nil"/>
            </w:tcBorders>
            <w:shd w:val="clear" w:color="000000" w:fill="FFFFFF"/>
            <w:noWrap/>
            <w:hideMark/>
          </w:tcPr>
          <w:p w:rsidR="007F1B30" w:rsidRDefault="007F1B30" w:rsidP="00762D07">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1,814</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6,307</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xml:space="preserve">248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2,125</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2,179</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2,234</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0</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F1B30" w:rsidRDefault="007F1B30" w:rsidP="00762D0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294</w:t>
            </w:r>
          </w:p>
        </w:tc>
        <w:tc>
          <w:tcPr>
            <w:tcW w:w="2392" w:type="dxa"/>
            <w:tcBorders>
              <w:top w:val="nil"/>
              <w:left w:val="nil"/>
              <w:bottom w:val="nil"/>
              <w:right w:val="nil"/>
            </w:tcBorders>
            <w:shd w:val="clear" w:color="000000" w:fill="FFFFFF"/>
            <w:hideMark/>
          </w:tcPr>
          <w:p w:rsidR="007F1B30" w:rsidRDefault="007F1B30" w:rsidP="00762D07">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300</w:t>
            </w:r>
          </w:p>
        </w:tc>
        <w:tc>
          <w:tcPr>
            <w:tcW w:w="62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noWrap/>
            <w:hideMark/>
          </w:tcPr>
          <w:p w:rsidR="007F1B30" w:rsidRDefault="007F1B30" w:rsidP="00762D07">
            <w:pPr>
              <w:ind w:left="-283"/>
              <w:jc w:val="right"/>
              <w:rPr>
                <w:b/>
                <w:bCs/>
                <w:sz w:val="18"/>
                <w:szCs w:val="18"/>
              </w:rPr>
            </w:pPr>
            <w:r>
              <w:rPr>
                <w:b/>
                <w:bCs/>
                <w:sz w:val="18"/>
                <w:szCs w:val="18"/>
              </w:rPr>
              <w:t>300</w:t>
            </w:r>
          </w:p>
        </w:tc>
      </w:tr>
      <w:tr w:rsidR="007F1B30" w:rsidTr="00DE43AB">
        <w:tc>
          <w:tcPr>
            <w:tcW w:w="1054" w:type="dxa"/>
            <w:tcBorders>
              <w:top w:val="nil"/>
              <w:left w:val="nil"/>
              <w:bottom w:val="nil"/>
              <w:right w:val="nil"/>
            </w:tcBorders>
            <w:shd w:val="clear" w:color="000000" w:fill="FFFFFF"/>
            <w:noWrap/>
            <w:hideMark/>
          </w:tcPr>
          <w:p w:rsidR="007F1B30" w:rsidRDefault="007F1B30" w:rsidP="00762D07">
            <w:pPr>
              <w:spacing w:before="60"/>
              <w:ind w:left="-283"/>
              <w:jc w:val="right"/>
              <w:rPr>
                <w:b/>
                <w:bCs/>
                <w:sz w:val="18"/>
                <w:szCs w:val="18"/>
              </w:rPr>
            </w:pPr>
            <w:r>
              <w:rPr>
                <w:b/>
                <w:bCs/>
                <w:sz w:val="18"/>
                <w:szCs w:val="18"/>
              </w:rPr>
              <w:t>294</w:t>
            </w:r>
          </w:p>
        </w:tc>
        <w:tc>
          <w:tcPr>
            <w:tcW w:w="2392" w:type="dxa"/>
            <w:tcBorders>
              <w:top w:val="nil"/>
              <w:left w:val="nil"/>
              <w:bottom w:val="nil"/>
              <w:right w:val="nil"/>
            </w:tcBorders>
            <w:shd w:val="clear" w:color="000000" w:fill="FFFFFF"/>
            <w:hideMark/>
          </w:tcPr>
          <w:p w:rsidR="007F1B30" w:rsidRDefault="007F1B30" w:rsidP="00762D07">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F1B30" w:rsidRDefault="007F1B30" w:rsidP="00762D07">
            <w:pPr>
              <w:spacing w:before="60"/>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noWrap/>
            <w:hideMark/>
          </w:tcPr>
          <w:p w:rsidR="007F1B30" w:rsidRDefault="007F1B30" w:rsidP="00762D07">
            <w:pPr>
              <w:spacing w:before="60"/>
              <w:ind w:left="-283"/>
              <w:jc w:val="right"/>
              <w:rPr>
                <w:b/>
                <w:bCs/>
                <w:sz w:val="18"/>
                <w:szCs w:val="18"/>
              </w:rPr>
            </w:pPr>
            <w:r>
              <w:rPr>
                <w:b/>
                <w:bCs/>
                <w:sz w:val="18"/>
                <w:szCs w:val="18"/>
              </w:rPr>
              <w:t>300</w:t>
            </w:r>
          </w:p>
        </w:tc>
        <w:tc>
          <w:tcPr>
            <w:tcW w:w="624" w:type="dxa"/>
            <w:tcBorders>
              <w:top w:val="nil"/>
              <w:left w:val="nil"/>
              <w:bottom w:val="nil"/>
              <w:right w:val="nil"/>
            </w:tcBorders>
            <w:shd w:val="clear" w:color="000000" w:fill="FFFFFF"/>
            <w:noWrap/>
            <w:hideMark/>
          </w:tcPr>
          <w:p w:rsidR="007F1B30" w:rsidRDefault="007F1B30" w:rsidP="00762D07">
            <w:pPr>
              <w:spacing w:before="60"/>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7F1B30" w:rsidRDefault="007F1B30" w:rsidP="00762D07">
            <w:pPr>
              <w:spacing w:before="60"/>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noWrap/>
            <w:hideMark/>
          </w:tcPr>
          <w:p w:rsidR="007F1B30" w:rsidRDefault="007F1B30" w:rsidP="00762D07">
            <w:pPr>
              <w:spacing w:before="60"/>
              <w:ind w:left="-283"/>
              <w:jc w:val="right"/>
              <w:rPr>
                <w:b/>
                <w:bCs/>
                <w:sz w:val="18"/>
                <w:szCs w:val="18"/>
              </w:rPr>
            </w:pPr>
            <w:r>
              <w:rPr>
                <w:b/>
                <w:bCs/>
                <w:sz w:val="18"/>
                <w:szCs w:val="18"/>
              </w:rPr>
              <w:t>300</w:t>
            </w:r>
          </w:p>
        </w:tc>
        <w:tc>
          <w:tcPr>
            <w:tcW w:w="1054" w:type="dxa"/>
            <w:tcBorders>
              <w:top w:val="nil"/>
              <w:left w:val="nil"/>
              <w:bottom w:val="nil"/>
              <w:right w:val="nil"/>
            </w:tcBorders>
            <w:shd w:val="clear" w:color="000000" w:fill="FFFFFF"/>
            <w:noWrap/>
            <w:hideMark/>
          </w:tcPr>
          <w:p w:rsidR="007F1B30" w:rsidRDefault="007F1B30" w:rsidP="00762D07">
            <w:pPr>
              <w:spacing w:before="60"/>
              <w:ind w:left="-283"/>
              <w:jc w:val="right"/>
              <w:rPr>
                <w:b/>
                <w:bCs/>
                <w:sz w:val="18"/>
                <w:szCs w:val="18"/>
              </w:rPr>
            </w:pPr>
            <w:r>
              <w:rPr>
                <w:b/>
                <w:bCs/>
                <w:sz w:val="18"/>
                <w:szCs w:val="18"/>
              </w:rPr>
              <w:t>300</w:t>
            </w:r>
          </w:p>
        </w:tc>
      </w:tr>
      <w:tr w:rsidR="007F1B30" w:rsidTr="00DE43AB">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7F1B30" w:rsidRDefault="007F1B30" w:rsidP="00762D07">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7F1B30" w:rsidRDefault="007F1B30" w:rsidP="00762D07">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7F1B30" w:rsidRDefault="007F1B30" w:rsidP="00762D07">
            <w:pPr>
              <w:ind w:left="-283"/>
              <w:jc w:val="right"/>
              <w:rPr>
                <w:sz w:val="18"/>
                <w:szCs w:val="18"/>
              </w:rPr>
            </w:pPr>
            <w:r>
              <w:rPr>
                <w:sz w:val="18"/>
                <w:szCs w:val="18"/>
              </w:rPr>
              <w:t> </w:t>
            </w:r>
          </w:p>
        </w:tc>
      </w:tr>
    </w:tbl>
    <w:p w:rsidR="008A2F63" w:rsidRDefault="008A2F63" w:rsidP="00DE43AB">
      <w:pPr>
        <w:pStyle w:val="Heading3TopofPage"/>
        <w:spacing w:before="240"/>
      </w:pPr>
      <w:r w:rsidRPr="00E76D06">
        <w:t>Notes to the Budget Statements</w:t>
      </w:r>
    </w:p>
    <w:p w:rsidR="00177862" w:rsidRPr="003B77F4" w:rsidRDefault="00177862" w:rsidP="003B77F4">
      <w:pPr>
        <w:pStyle w:val="BodyText"/>
      </w:pPr>
      <w:r w:rsidRPr="003B77F4">
        <w:t>Significant variations are as follows:</w:t>
      </w:r>
    </w:p>
    <w:p w:rsidR="00177862" w:rsidRPr="003B77F4" w:rsidRDefault="00177862" w:rsidP="003B77F4">
      <w:pPr>
        <w:pStyle w:val="Heading4"/>
      </w:pPr>
      <w:r w:rsidRPr="003B77F4">
        <w:t>Statement of Income and Expenses on Behalf of the Territory</w:t>
      </w:r>
    </w:p>
    <w:p w:rsidR="008A2F63" w:rsidRPr="003B77F4" w:rsidRDefault="00A9414A" w:rsidP="003B77F4">
      <w:pPr>
        <w:pStyle w:val="BodyTextIndent"/>
      </w:pPr>
      <w:proofErr w:type="gramStart"/>
      <w:r w:rsidRPr="003B77F4">
        <w:t>t</w:t>
      </w:r>
      <w:r w:rsidR="008A2F63" w:rsidRPr="003B77F4">
        <w:t>axes</w:t>
      </w:r>
      <w:proofErr w:type="gramEnd"/>
      <w:r w:rsidR="008A2F63" w:rsidRPr="003B77F4">
        <w:t>, fees and fines</w:t>
      </w:r>
      <w:r w:rsidR="00E56505" w:rsidRPr="003B77F4">
        <w:t xml:space="preserve"> and transfer expenses</w:t>
      </w:r>
      <w:r w:rsidR="008A2F63" w:rsidRPr="003B77F4">
        <w:t xml:space="preserve">: </w:t>
      </w:r>
      <w:r w:rsidR="00DE43AB">
        <w:t xml:space="preserve"> </w:t>
      </w:r>
      <w:r w:rsidR="008A2F63" w:rsidRPr="003B77F4">
        <w:t>the increase of $0.3</w:t>
      </w:r>
      <w:r w:rsidR="00E76D06" w:rsidRPr="003B77F4">
        <w:t> </w:t>
      </w:r>
      <w:r w:rsidR="008A2F63" w:rsidRPr="003B77F4">
        <w:t>million in the 2012</w:t>
      </w:r>
      <w:r w:rsidR="00E76D06" w:rsidRPr="003B77F4">
        <w:noBreakHyphen/>
      </w:r>
      <w:r w:rsidR="008A2F63" w:rsidRPr="003B77F4">
        <w:t>13</w:t>
      </w:r>
      <w:r w:rsidRPr="003B77F4">
        <w:t> </w:t>
      </w:r>
      <w:r w:rsidR="008A2F63" w:rsidRPr="003B77F4">
        <w:t xml:space="preserve">estimated outcome from the original </w:t>
      </w:r>
      <w:r w:rsidR="00E76D06" w:rsidRPr="003B77F4">
        <w:t>Budget</w:t>
      </w:r>
      <w:r w:rsidR="002606BB">
        <w:t>,</w:t>
      </w:r>
      <w:r w:rsidR="00E76D06" w:rsidRPr="003B77F4">
        <w:t xml:space="preserve"> </w:t>
      </w:r>
      <w:r w:rsidR="008A2F63" w:rsidRPr="003B77F4">
        <w:t>and the increase of $0.237</w:t>
      </w:r>
      <w:r w:rsidRPr="003B77F4">
        <w:t> </w:t>
      </w:r>
      <w:r w:rsidR="008A2F63" w:rsidRPr="003B77F4">
        <w:t>million in the 2013</w:t>
      </w:r>
      <w:r w:rsidR="00E56505" w:rsidRPr="003B77F4">
        <w:noBreakHyphen/>
      </w:r>
      <w:r w:rsidR="008A2F63" w:rsidRPr="003B77F4">
        <w:t>14</w:t>
      </w:r>
      <w:r w:rsidRPr="003B77F4">
        <w:t> </w:t>
      </w:r>
      <w:r w:rsidR="008A2F63" w:rsidRPr="003B77F4">
        <w:t>Budget from the 2012</w:t>
      </w:r>
      <w:r w:rsidR="008A2F63" w:rsidRPr="003B77F4">
        <w:noBreakHyphen/>
        <w:t>13</w:t>
      </w:r>
      <w:r w:rsidRPr="003B77F4">
        <w:t> </w:t>
      </w:r>
      <w:r w:rsidR="008A2F63" w:rsidRPr="003B77F4">
        <w:t xml:space="preserve">estimated outcome </w:t>
      </w:r>
      <w:r w:rsidR="002606BB">
        <w:t>are</w:t>
      </w:r>
      <w:r w:rsidR="008A2F63" w:rsidRPr="003B77F4">
        <w:t xml:space="preserve"> due </w:t>
      </w:r>
      <w:r w:rsidR="00E76D06" w:rsidRPr="003B77F4">
        <w:t xml:space="preserve">to </w:t>
      </w:r>
      <w:r w:rsidR="008A2F63" w:rsidRPr="003B77F4">
        <w:t>increases in licence fees under a number of public health regulations.</w:t>
      </w:r>
    </w:p>
    <w:p w:rsidR="00177862" w:rsidRPr="003B77F4" w:rsidRDefault="00177862" w:rsidP="00CC238F">
      <w:pPr>
        <w:pStyle w:val="Heading4"/>
      </w:pPr>
      <w:r w:rsidRPr="003B77F4">
        <w:t xml:space="preserve">Statement of </w:t>
      </w:r>
      <w:r w:rsidR="00D16771" w:rsidRPr="003B77F4">
        <w:t>Cash Flows</w:t>
      </w:r>
      <w:r w:rsidRPr="003B77F4">
        <w:t xml:space="preserve"> on Behalf of the Territory</w:t>
      </w:r>
    </w:p>
    <w:p w:rsidR="007F1B30" w:rsidRDefault="00D16771" w:rsidP="003B77F4">
      <w:pPr>
        <w:pStyle w:val="BodyText"/>
      </w:pPr>
      <w:r w:rsidRPr="003B77F4">
        <w:t>Variations in the statement are explained in the note above.</w:t>
      </w:r>
    </w:p>
    <w:sectPr w:rsidR="007F1B30" w:rsidSect="00E76D06">
      <w:pgSz w:w="11907" w:h="16840" w:code="9"/>
      <w:pgMar w:top="1151" w:right="1440" w:bottom="1729"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82D" w:rsidRDefault="003D782D">
      <w:r>
        <w:separator/>
      </w:r>
    </w:p>
  </w:endnote>
  <w:endnote w:type="continuationSeparator" w:id="0">
    <w:p w:rsidR="003D782D" w:rsidRDefault="003D78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B2" w:rsidRDefault="006B58B2">
    <w:pPr>
      <w:pStyle w:val="FooterBP"/>
    </w:pPr>
    <w:r>
      <w:t>2013-14 Budget Paper No. 4</w:t>
    </w:r>
    <w:r w:rsidRPr="00955284">
      <w:tab/>
    </w:r>
    <w:fldSimple w:instr=" PAGE   \* MERGEFORMAT ">
      <w:r w:rsidR="00D0645C">
        <w:rPr>
          <w:noProof/>
        </w:rPr>
        <w:t>85</w:t>
      </w:r>
    </w:fldSimple>
    <w:r>
      <w:tab/>
      <w:t>Health Directorate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82D" w:rsidRDefault="003D782D">
      <w:r>
        <w:separator/>
      </w:r>
    </w:p>
  </w:footnote>
  <w:footnote w:type="continuationSeparator" w:id="0">
    <w:p w:rsidR="003D782D" w:rsidRDefault="003D78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1E"/>
    <w:multiLevelType w:val="singleLevel"/>
    <w:tmpl w:val="E1762A3A"/>
    <w:lvl w:ilvl="0">
      <w:start w:val="1"/>
      <w:numFmt w:val="lowerLetter"/>
      <w:lvlText w:val="%1."/>
      <w:lvlJc w:val="left"/>
      <w:pPr>
        <w:ind w:left="318" w:hanging="318"/>
      </w:pPr>
      <w:rPr>
        <w:rFonts w:ascii="Calibri" w:hAnsi="Calibri" w:cs="Calibri" w:hint="default"/>
        <w:b w:val="0"/>
        <w:bCs w:val="0"/>
        <w:i w:val="0"/>
        <w:iCs w:val="0"/>
        <w:strike w:val="0"/>
        <w:color w:val="auto"/>
        <w:sz w:val="20"/>
        <w:szCs w:val="20"/>
        <w:u w:val="none"/>
      </w:rPr>
    </w:lvl>
  </w:abstractNum>
  <w:abstractNum w:abstractNumId="11">
    <w:nsid w:val="00000021"/>
    <w:multiLevelType w:val="singleLevel"/>
    <w:tmpl w:val="E75EB920"/>
    <w:lvl w:ilvl="0">
      <w:start w:val="1"/>
      <w:numFmt w:val="lowerLetter"/>
      <w:lvlText w:val="%1."/>
      <w:lvlJc w:val="left"/>
      <w:pPr>
        <w:ind w:left="318" w:hanging="318"/>
      </w:pPr>
      <w:rPr>
        <w:rFonts w:ascii="Calibri" w:hAnsi="Calibri" w:cs="Calibri" w:hint="default"/>
        <w:b w:val="0"/>
        <w:bCs w:val="0"/>
        <w:i w:val="0"/>
        <w:iCs w:val="0"/>
        <w:strike w:val="0"/>
        <w:color w:val="auto"/>
        <w:sz w:val="20"/>
        <w:szCs w:val="20"/>
        <w:u w:val="none"/>
      </w:rPr>
    </w:lvl>
  </w:abstractNum>
  <w:abstractNum w:abstractNumId="12">
    <w:nsid w:val="00000023"/>
    <w:multiLevelType w:val="singleLevel"/>
    <w:tmpl w:val="F6F479B2"/>
    <w:lvl w:ilvl="0">
      <w:start w:val="1"/>
      <w:numFmt w:val="lowerLetter"/>
      <w:lvlText w:val="%1."/>
      <w:lvlJc w:val="left"/>
      <w:pPr>
        <w:ind w:left="357" w:hanging="357"/>
      </w:pPr>
      <w:rPr>
        <w:rFonts w:ascii="Calibri" w:hAnsi="Calibri" w:cs="Calibri" w:hint="default"/>
        <w:b w:val="0"/>
        <w:bCs w:val="0"/>
        <w:i w:val="0"/>
        <w:iCs w:val="0"/>
        <w:strike w:val="0"/>
        <w:color w:val="auto"/>
        <w:sz w:val="20"/>
        <w:szCs w:val="20"/>
        <w:u w:val="none"/>
      </w:rPr>
    </w:lvl>
  </w:abstractNum>
  <w:abstractNum w:abstractNumId="13">
    <w:nsid w:val="03D41862"/>
    <w:multiLevelType w:val="hybridMultilevel"/>
    <w:tmpl w:val="AFE2E23E"/>
    <w:lvl w:ilvl="0" w:tplc="DF766BBE">
      <w:start w:val="1"/>
      <w:numFmt w:val="lowerLetter"/>
      <w:lvlText w:val="%1."/>
      <w:lvlJc w:val="left"/>
      <w:pPr>
        <w:tabs>
          <w:tab w:val="num" w:pos="0"/>
        </w:tabs>
        <w:ind w:left="318" w:hanging="318"/>
      </w:pPr>
      <w:rPr>
        <w:rFonts w:ascii="Calibri" w:hAnsi="Calibri" w:cs="Calibri" w:hint="default"/>
        <w:b w:val="0"/>
        <w:bCs w:val="0"/>
        <w:i w:val="0"/>
        <w:iCs w:val="0"/>
        <w:strike w:val="0"/>
        <w:color w:val="auto"/>
        <w:sz w:val="20"/>
        <w:szCs w:val="20"/>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5">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6">
    <w:nsid w:val="0C136A61"/>
    <w:multiLevelType w:val="hybridMultilevel"/>
    <w:tmpl w:val="AFE2E23E"/>
    <w:lvl w:ilvl="0" w:tplc="DF766BBE">
      <w:start w:val="1"/>
      <w:numFmt w:val="lowerLetter"/>
      <w:lvlText w:val="%1."/>
      <w:lvlJc w:val="left"/>
      <w:pPr>
        <w:tabs>
          <w:tab w:val="num" w:pos="0"/>
        </w:tabs>
        <w:ind w:left="318" w:hanging="318"/>
      </w:pPr>
      <w:rPr>
        <w:rFonts w:ascii="Calibri" w:hAnsi="Calibri" w:cs="Calibri" w:hint="default"/>
        <w:b w:val="0"/>
        <w:bCs w:val="0"/>
        <w:i w:val="0"/>
        <w:iCs w:val="0"/>
        <w:strike w:val="0"/>
        <w:color w:val="auto"/>
        <w:sz w:val="20"/>
        <w:szCs w:val="20"/>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0D1E5B76"/>
    <w:multiLevelType w:val="hybridMultilevel"/>
    <w:tmpl w:val="8932C33E"/>
    <w:lvl w:ilvl="0" w:tplc="0C09000F">
      <w:start w:val="1"/>
      <w:numFmt w:val="decimal"/>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8">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9">
    <w:nsid w:val="218241E2"/>
    <w:multiLevelType w:val="hybridMultilevel"/>
    <w:tmpl w:val="169260C2"/>
    <w:lvl w:ilvl="0" w:tplc="93B63412">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231E690E"/>
    <w:multiLevelType w:val="hybridMultilevel"/>
    <w:tmpl w:val="1D5808F0"/>
    <w:lvl w:ilvl="0" w:tplc="B4B636B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2412212"/>
    <w:multiLevelType w:val="hybridMultilevel"/>
    <w:tmpl w:val="1D5808F0"/>
    <w:lvl w:ilvl="0" w:tplc="B4B636B6">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3447419B"/>
    <w:multiLevelType w:val="singleLevel"/>
    <w:tmpl w:val="E1762A3A"/>
    <w:lvl w:ilvl="0">
      <w:start w:val="1"/>
      <w:numFmt w:val="lowerLetter"/>
      <w:lvlText w:val="%1."/>
      <w:lvlJc w:val="left"/>
      <w:pPr>
        <w:ind w:left="318" w:hanging="318"/>
      </w:pPr>
      <w:rPr>
        <w:rFonts w:ascii="Calibri" w:hAnsi="Calibri" w:cs="Calibri" w:hint="default"/>
        <w:b w:val="0"/>
        <w:bCs w:val="0"/>
        <w:i w:val="0"/>
        <w:iCs w:val="0"/>
        <w:strike w:val="0"/>
        <w:color w:val="auto"/>
        <w:sz w:val="20"/>
        <w:szCs w:val="20"/>
        <w:u w:val="none"/>
      </w:rPr>
    </w:lvl>
  </w:abstractNum>
  <w:abstractNum w:abstractNumId="24">
    <w:nsid w:val="3D9B2E41"/>
    <w:multiLevelType w:val="hybridMultilevel"/>
    <w:tmpl w:val="85F68E7A"/>
    <w:lvl w:ilvl="0" w:tplc="0C09000F">
      <w:start w:val="1"/>
      <w:numFmt w:val="decimal"/>
      <w:lvlText w:val="%1."/>
      <w:lvlJc w:val="left"/>
      <w:pPr>
        <w:ind w:left="388" w:hanging="360"/>
      </w:p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25">
    <w:nsid w:val="495F17F3"/>
    <w:multiLevelType w:val="hybridMultilevel"/>
    <w:tmpl w:val="85F68E7A"/>
    <w:lvl w:ilvl="0" w:tplc="0C09000F">
      <w:start w:val="1"/>
      <w:numFmt w:val="decimal"/>
      <w:lvlText w:val="%1."/>
      <w:lvlJc w:val="left"/>
      <w:pPr>
        <w:ind w:left="388" w:hanging="360"/>
      </w:p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26">
    <w:nsid w:val="51255168"/>
    <w:multiLevelType w:val="hybridMultilevel"/>
    <w:tmpl w:val="943A1E60"/>
    <w:lvl w:ilvl="0" w:tplc="93B63412">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7B90B9C"/>
    <w:multiLevelType w:val="hybridMultilevel"/>
    <w:tmpl w:val="3020BFE0"/>
    <w:lvl w:ilvl="0" w:tplc="93B63412">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C8A5585"/>
    <w:multiLevelType w:val="hybridMultilevel"/>
    <w:tmpl w:val="169260C2"/>
    <w:lvl w:ilvl="0" w:tplc="93B6341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nsid w:val="735141C2"/>
    <w:multiLevelType w:val="hybridMultilevel"/>
    <w:tmpl w:val="EFF06260"/>
    <w:lvl w:ilvl="0" w:tplc="D7B85C44">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770B28E4"/>
    <w:multiLevelType w:val="hybridMultilevel"/>
    <w:tmpl w:val="1D5808F0"/>
    <w:lvl w:ilvl="0" w:tplc="B4B636B6">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7F1B0FA6"/>
    <w:multiLevelType w:val="hybridMultilevel"/>
    <w:tmpl w:val="26700BA4"/>
    <w:lvl w:ilvl="0" w:tplc="D418570E">
      <w:start w:val="1"/>
      <w:numFmt w:val="lowerLetter"/>
      <w:pStyle w:val="Tabletextindenta"/>
      <w:lvlText w:val="%1."/>
      <w:lvlJc w:val="left"/>
      <w:pPr>
        <w:tabs>
          <w:tab w:val="num" w:pos="502"/>
        </w:tabs>
        <w:ind w:left="499"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1"/>
    <w:lvlOverride w:ilvl="0">
      <w:startOverride w:val="1"/>
    </w:lvlOverride>
  </w:num>
  <w:num w:numId="2">
    <w:abstractNumId w:val="34"/>
  </w:num>
  <w:num w:numId="3">
    <w:abstractNumId w:val="29"/>
  </w:num>
  <w:num w:numId="4">
    <w:abstractNumId w:val="31"/>
  </w:num>
  <w:num w:numId="5">
    <w:abstractNumId w:val="33"/>
  </w:num>
  <w:num w:numId="6">
    <w:abstractNumId w:val="20"/>
  </w:num>
  <w:num w:numId="7">
    <w:abstractNumId w:val="14"/>
  </w:num>
  <w:num w:numId="8">
    <w:abstractNumId w:val="18"/>
  </w:num>
  <w:num w:numId="9">
    <w:abstractNumId w:val="15"/>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6"/>
  </w:num>
  <w:num w:numId="22">
    <w:abstractNumId w:val="35"/>
  </w:num>
  <w:num w:numId="23">
    <w:abstractNumId w:val="31"/>
    <w:lvlOverride w:ilvl="0">
      <w:startOverride w:val="1"/>
    </w:lvlOverride>
  </w:num>
  <w:num w:numId="24">
    <w:abstractNumId w:val="31"/>
    <w:lvlOverride w:ilvl="0">
      <w:startOverride w:val="1"/>
    </w:lvlOverride>
  </w:num>
  <w:num w:numId="25">
    <w:abstractNumId w:val="31"/>
    <w:lvlOverride w:ilvl="0">
      <w:startOverride w:val="1"/>
    </w:lvlOverride>
  </w:num>
  <w:num w:numId="26">
    <w:abstractNumId w:val="31"/>
    <w:lvlOverride w:ilvl="0">
      <w:startOverride w:val="1"/>
    </w:lvlOverride>
  </w:num>
  <w:num w:numId="27">
    <w:abstractNumId w:val="31"/>
    <w:lvlOverride w:ilvl="0">
      <w:startOverride w:val="1"/>
    </w:lvlOverride>
  </w:num>
  <w:num w:numId="28">
    <w:abstractNumId w:val="10"/>
  </w:num>
  <w:num w:numId="29">
    <w:abstractNumId w:val="11"/>
  </w:num>
  <w:num w:numId="30">
    <w:abstractNumId w:val="12"/>
  </w:num>
  <w:num w:numId="31">
    <w:abstractNumId w:val="13"/>
  </w:num>
  <w:num w:numId="32">
    <w:abstractNumId w:val="27"/>
  </w:num>
  <w:num w:numId="33">
    <w:abstractNumId w:val="28"/>
  </w:num>
  <w:num w:numId="34">
    <w:abstractNumId w:val="21"/>
  </w:num>
  <w:num w:numId="35">
    <w:abstractNumId w:val="31"/>
    <w:lvlOverride w:ilvl="0">
      <w:startOverride w:val="1"/>
    </w:lvlOverride>
  </w:num>
  <w:num w:numId="36">
    <w:abstractNumId w:val="17"/>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num>
  <w:num w:numId="39">
    <w:abstractNumId w:val="23"/>
  </w:num>
  <w:num w:numId="40">
    <w:abstractNumId w:val="22"/>
  </w:num>
  <w:num w:numId="41">
    <w:abstractNumId w:val="32"/>
  </w:num>
  <w:num w:numId="42">
    <w:abstractNumId w:val="19"/>
  </w:num>
  <w:num w:numId="43">
    <w:abstractNumId w:val="16"/>
  </w:num>
  <w:num w:numId="44">
    <w:abstractNumId w:val="25"/>
  </w:num>
  <w:num w:numId="45">
    <w:abstractNumId w:val="2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00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C388E"/>
    <w:rsid w:val="0000036A"/>
    <w:rsid w:val="0000161A"/>
    <w:rsid w:val="00003B41"/>
    <w:rsid w:val="00004776"/>
    <w:rsid w:val="000066F8"/>
    <w:rsid w:val="0001257B"/>
    <w:rsid w:val="00015C37"/>
    <w:rsid w:val="00022603"/>
    <w:rsid w:val="000227E5"/>
    <w:rsid w:val="000242AA"/>
    <w:rsid w:val="0002486D"/>
    <w:rsid w:val="000324C3"/>
    <w:rsid w:val="00035607"/>
    <w:rsid w:val="00035700"/>
    <w:rsid w:val="00037EA1"/>
    <w:rsid w:val="00045406"/>
    <w:rsid w:val="000525E9"/>
    <w:rsid w:val="00062E83"/>
    <w:rsid w:val="00062E86"/>
    <w:rsid w:val="0006300C"/>
    <w:rsid w:val="00064D48"/>
    <w:rsid w:val="0006550A"/>
    <w:rsid w:val="00067DC3"/>
    <w:rsid w:val="00081E4D"/>
    <w:rsid w:val="00086F74"/>
    <w:rsid w:val="00090134"/>
    <w:rsid w:val="00092DE6"/>
    <w:rsid w:val="000A0522"/>
    <w:rsid w:val="000A3C43"/>
    <w:rsid w:val="000A3DD7"/>
    <w:rsid w:val="000A42C8"/>
    <w:rsid w:val="000A4F8A"/>
    <w:rsid w:val="000B564A"/>
    <w:rsid w:val="000C5450"/>
    <w:rsid w:val="000D1953"/>
    <w:rsid w:val="000E0648"/>
    <w:rsid w:val="000E0B2B"/>
    <w:rsid w:val="000E208C"/>
    <w:rsid w:val="000E5751"/>
    <w:rsid w:val="000E62A9"/>
    <w:rsid w:val="000F0628"/>
    <w:rsid w:val="000F1960"/>
    <w:rsid w:val="000F2CD4"/>
    <w:rsid w:val="000F2E16"/>
    <w:rsid w:val="001001D7"/>
    <w:rsid w:val="00102EE4"/>
    <w:rsid w:val="00103E9E"/>
    <w:rsid w:val="00121747"/>
    <w:rsid w:val="00126D0F"/>
    <w:rsid w:val="00134E23"/>
    <w:rsid w:val="001509CB"/>
    <w:rsid w:val="00155FFD"/>
    <w:rsid w:val="00165601"/>
    <w:rsid w:val="00165AAC"/>
    <w:rsid w:val="001707F1"/>
    <w:rsid w:val="00170F75"/>
    <w:rsid w:val="00174331"/>
    <w:rsid w:val="00174BF4"/>
    <w:rsid w:val="00175D3C"/>
    <w:rsid w:val="001777A7"/>
    <w:rsid w:val="00177862"/>
    <w:rsid w:val="00177E53"/>
    <w:rsid w:val="00180046"/>
    <w:rsid w:val="00182039"/>
    <w:rsid w:val="00190E45"/>
    <w:rsid w:val="001A086A"/>
    <w:rsid w:val="001A4BEC"/>
    <w:rsid w:val="001B0B6E"/>
    <w:rsid w:val="001B1109"/>
    <w:rsid w:val="001B7D3C"/>
    <w:rsid w:val="001C02C5"/>
    <w:rsid w:val="001C0E8C"/>
    <w:rsid w:val="001C1405"/>
    <w:rsid w:val="001C315E"/>
    <w:rsid w:val="001C5E7B"/>
    <w:rsid w:val="001D1B37"/>
    <w:rsid w:val="001D608D"/>
    <w:rsid w:val="001D77BB"/>
    <w:rsid w:val="001E1035"/>
    <w:rsid w:val="001E170E"/>
    <w:rsid w:val="001E33C3"/>
    <w:rsid w:val="001E3DB7"/>
    <w:rsid w:val="001F1A07"/>
    <w:rsid w:val="001F4D8F"/>
    <w:rsid w:val="001F7B1C"/>
    <w:rsid w:val="00200C75"/>
    <w:rsid w:val="00201705"/>
    <w:rsid w:val="002051DB"/>
    <w:rsid w:val="0021374B"/>
    <w:rsid w:val="00214A68"/>
    <w:rsid w:val="0022780F"/>
    <w:rsid w:val="00231D2B"/>
    <w:rsid w:val="00232074"/>
    <w:rsid w:val="00233132"/>
    <w:rsid w:val="00242338"/>
    <w:rsid w:val="00243254"/>
    <w:rsid w:val="00243ED2"/>
    <w:rsid w:val="00247A22"/>
    <w:rsid w:val="00252AB1"/>
    <w:rsid w:val="00255631"/>
    <w:rsid w:val="002606BB"/>
    <w:rsid w:val="00262469"/>
    <w:rsid w:val="002655FD"/>
    <w:rsid w:val="00267C7D"/>
    <w:rsid w:val="0027023E"/>
    <w:rsid w:val="002704B7"/>
    <w:rsid w:val="00276B55"/>
    <w:rsid w:val="002806B3"/>
    <w:rsid w:val="00280797"/>
    <w:rsid w:val="002822CE"/>
    <w:rsid w:val="002837ED"/>
    <w:rsid w:val="00284F70"/>
    <w:rsid w:val="0028593E"/>
    <w:rsid w:val="0028673A"/>
    <w:rsid w:val="00287377"/>
    <w:rsid w:val="002911FA"/>
    <w:rsid w:val="002917F4"/>
    <w:rsid w:val="0029185E"/>
    <w:rsid w:val="002939D2"/>
    <w:rsid w:val="002A1654"/>
    <w:rsid w:val="002A51E3"/>
    <w:rsid w:val="002A5AC2"/>
    <w:rsid w:val="002A6D0B"/>
    <w:rsid w:val="002A7CC7"/>
    <w:rsid w:val="002B63FE"/>
    <w:rsid w:val="002B7497"/>
    <w:rsid w:val="002C2C1D"/>
    <w:rsid w:val="002C6727"/>
    <w:rsid w:val="002D0B3A"/>
    <w:rsid w:val="002D34FF"/>
    <w:rsid w:val="002D5396"/>
    <w:rsid w:val="002D65C7"/>
    <w:rsid w:val="002E47D7"/>
    <w:rsid w:val="002E47D8"/>
    <w:rsid w:val="002E4C06"/>
    <w:rsid w:val="002E57A3"/>
    <w:rsid w:val="002F5569"/>
    <w:rsid w:val="002F5A42"/>
    <w:rsid w:val="002F77E5"/>
    <w:rsid w:val="003103B6"/>
    <w:rsid w:val="00310CF5"/>
    <w:rsid w:val="00312663"/>
    <w:rsid w:val="00315A18"/>
    <w:rsid w:val="00325E61"/>
    <w:rsid w:val="00325EB1"/>
    <w:rsid w:val="003369A1"/>
    <w:rsid w:val="00337F29"/>
    <w:rsid w:val="003401C3"/>
    <w:rsid w:val="00340F37"/>
    <w:rsid w:val="003429F7"/>
    <w:rsid w:val="003534A3"/>
    <w:rsid w:val="00354E29"/>
    <w:rsid w:val="00361C18"/>
    <w:rsid w:val="0036627A"/>
    <w:rsid w:val="00366926"/>
    <w:rsid w:val="00367128"/>
    <w:rsid w:val="00373267"/>
    <w:rsid w:val="00375BD0"/>
    <w:rsid w:val="00377026"/>
    <w:rsid w:val="00380962"/>
    <w:rsid w:val="00381890"/>
    <w:rsid w:val="00385647"/>
    <w:rsid w:val="00385EAE"/>
    <w:rsid w:val="003867DC"/>
    <w:rsid w:val="00392BFF"/>
    <w:rsid w:val="00395FCA"/>
    <w:rsid w:val="003A005E"/>
    <w:rsid w:val="003A247D"/>
    <w:rsid w:val="003A5212"/>
    <w:rsid w:val="003A765D"/>
    <w:rsid w:val="003B1FA5"/>
    <w:rsid w:val="003B1FAC"/>
    <w:rsid w:val="003B29FC"/>
    <w:rsid w:val="003B77F4"/>
    <w:rsid w:val="003C6BD4"/>
    <w:rsid w:val="003C6F25"/>
    <w:rsid w:val="003D17EE"/>
    <w:rsid w:val="003D43E9"/>
    <w:rsid w:val="003D782D"/>
    <w:rsid w:val="003E0674"/>
    <w:rsid w:val="003E3B01"/>
    <w:rsid w:val="003E7C25"/>
    <w:rsid w:val="003F0670"/>
    <w:rsid w:val="003F769B"/>
    <w:rsid w:val="00405C2E"/>
    <w:rsid w:val="0041020C"/>
    <w:rsid w:val="00413617"/>
    <w:rsid w:val="00416258"/>
    <w:rsid w:val="004162A3"/>
    <w:rsid w:val="00421898"/>
    <w:rsid w:val="0042440C"/>
    <w:rsid w:val="0042742E"/>
    <w:rsid w:val="00432DD9"/>
    <w:rsid w:val="00433EF2"/>
    <w:rsid w:val="00435D26"/>
    <w:rsid w:val="004376DC"/>
    <w:rsid w:val="00443046"/>
    <w:rsid w:val="004533E1"/>
    <w:rsid w:val="00453706"/>
    <w:rsid w:val="004574AB"/>
    <w:rsid w:val="004577A9"/>
    <w:rsid w:val="00461C93"/>
    <w:rsid w:val="004622D8"/>
    <w:rsid w:val="00465E58"/>
    <w:rsid w:val="004703CB"/>
    <w:rsid w:val="00483AD8"/>
    <w:rsid w:val="00490D96"/>
    <w:rsid w:val="00493176"/>
    <w:rsid w:val="00494C6D"/>
    <w:rsid w:val="004A15E7"/>
    <w:rsid w:val="004A278C"/>
    <w:rsid w:val="004A4AD4"/>
    <w:rsid w:val="004A56F8"/>
    <w:rsid w:val="004A7B5D"/>
    <w:rsid w:val="004B4163"/>
    <w:rsid w:val="004B5A23"/>
    <w:rsid w:val="004C52DB"/>
    <w:rsid w:val="004D33D5"/>
    <w:rsid w:val="004D500F"/>
    <w:rsid w:val="004D668D"/>
    <w:rsid w:val="004E50A8"/>
    <w:rsid w:val="004F188B"/>
    <w:rsid w:val="004F4551"/>
    <w:rsid w:val="004F5951"/>
    <w:rsid w:val="005003EB"/>
    <w:rsid w:val="005011DD"/>
    <w:rsid w:val="00506BCE"/>
    <w:rsid w:val="00510FD4"/>
    <w:rsid w:val="0051134B"/>
    <w:rsid w:val="005141CE"/>
    <w:rsid w:val="00514BA0"/>
    <w:rsid w:val="00516310"/>
    <w:rsid w:val="00520A1F"/>
    <w:rsid w:val="005228AC"/>
    <w:rsid w:val="0052762F"/>
    <w:rsid w:val="0053547A"/>
    <w:rsid w:val="00537A19"/>
    <w:rsid w:val="005430C0"/>
    <w:rsid w:val="00543B1E"/>
    <w:rsid w:val="00547D64"/>
    <w:rsid w:val="00562C1A"/>
    <w:rsid w:val="005638BD"/>
    <w:rsid w:val="00565DB3"/>
    <w:rsid w:val="00567807"/>
    <w:rsid w:val="005703F4"/>
    <w:rsid w:val="00574164"/>
    <w:rsid w:val="00575D84"/>
    <w:rsid w:val="00581DEF"/>
    <w:rsid w:val="00584A61"/>
    <w:rsid w:val="005907FC"/>
    <w:rsid w:val="00592B03"/>
    <w:rsid w:val="00593B18"/>
    <w:rsid w:val="0059643C"/>
    <w:rsid w:val="0059740C"/>
    <w:rsid w:val="005A1E2C"/>
    <w:rsid w:val="005A3160"/>
    <w:rsid w:val="005A5F78"/>
    <w:rsid w:val="005A60F2"/>
    <w:rsid w:val="005B0CC6"/>
    <w:rsid w:val="005B5BA0"/>
    <w:rsid w:val="005C1E7F"/>
    <w:rsid w:val="005C519C"/>
    <w:rsid w:val="005C6FF5"/>
    <w:rsid w:val="005D02CB"/>
    <w:rsid w:val="005D6B3F"/>
    <w:rsid w:val="005D74FC"/>
    <w:rsid w:val="005E70D7"/>
    <w:rsid w:val="005E7D7A"/>
    <w:rsid w:val="005F1536"/>
    <w:rsid w:val="005F17EE"/>
    <w:rsid w:val="005F4BB2"/>
    <w:rsid w:val="005F4C69"/>
    <w:rsid w:val="006040E3"/>
    <w:rsid w:val="00604B68"/>
    <w:rsid w:val="00611DC5"/>
    <w:rsid w:val="00612DED"/>
    <w:rsid w:val="00616AB3"/>
    <w:rsid w:val="00621374"/>
    <w:rsid w:val="00627509"/>
    <w:rsid w:val="00633110"/>
    <w:rsid w:val="00633393"/>
    <w:rsid w:val="00642E53"/>
    <w:rsid w:val="00642EB5"/>
    <w:rsid w:val="006443C3"/>
    <w:rsid w:val="00651115"/>
    <w:rsid w:val="006569C3"/>
    <w:rsid w:val="006623C8"/>
    <w:rsid w:val="00665408"/>
    <w:rsid w:val="00665A8C"/>
    <w:rsid w:val="006709AA"/>
    <w:rsid w:val="00670A39"/>
    <w:rsid w:val="006715E7"/>
    <w:rsid w:val="00672597"/>
    <w:rsid w:val="006818A1"/>
    <w:rsid w:val="0068618A"/>
    <w:rsid w:val="00687697"/>
    <w:rsid w:val="006928CF"/>
    <w:rsid w:val="00693AAA"/>
    <w:rsid w:val="00693EF5"/>
    <w:rsid w:val="0069504F"/>
    <w:rsid w:val="00697760"/>
    <w:rsid w:val="00697BC9"/>
    <w:rsid w:val="006A3312"/>
    <w:rsid w:val="006A47A0"/>
    <w:rsid w:val="006B58B2"/>
    <w:rsid w:val="006B68D6"/>
    <w:rsid w:val="006C5A05"/>
    <w:rsid w:val="006D1169"/>
    <w:rsid w:val="006D2C1C"/>
    <w:rsid w:val="006E417A"/>
    <w:rsid w:val="006E724F"/>
    <w:rsid w:val="006F53B4"/>
    <w:rsid w:val="00707BDE"/>
    <w:rsid w:val="00707E63"/>
    <w:rsid w:val="00707ED6"/>
    <w:rsid w:val="00711103"/>
    <w:rsid w:val="00711E73"/>
    <w:rsid w:val="007133AF"/>
    <w:rsid w:val="00715906"/>
    <w:rsid w:val="00715EC3"/>
    <w:rsid w:val="0071789B"/>
    <w:rsid w:val="00721100"/>
    <w:rsid w:val="00723135"/>
    <w:rsid w:val="00725B8E"/>
    <w:rsid w:val="007368A0"/>
    <w:rsid w:val="00736E26"/>
    <w:rsid w:val="007430A0"/>
    <w:rsid w:val="00746CE4"/>
    <w:rsid w:val="00750E12"/>
    <w:rsid w:val="0075638A"/>
    <w:rsid w:val="00762D07"/>
    <w:rsid w:val="00764192"/>
    <w:rsid w:val="0076490D"/>
    <w:rsid w:val="00767258"/>
    <w:rsid w:val="007700D4"/>
    <w:rsid w:val="00771E39"/>
    <w:rsid w:val="00774B44"/>
    <w:rsid w:val="007752BC"/>
    <w:rsid w:val="00782EAD"/>
    <w:rsid w:val="007841FF"/>
    <w:rsid w:val="00786C27"/>
    <w:rsid w:val="00790E7C"/>
    <w:rsid w:val="00797626"/>
    <w:rsid w:val="007A0B26"/>
    <w:rsid w:val="007A3185"/>
    <w:rsid w:val="007B0F46"/>
    <w:rsid w:val="007B2617"/>
    <w:rsid w:val="007B2C40"/>
    <w:rsid w:val="007C2A11"/>
    <w:rsid w:val="007C71EF"/>
    <w:rsid w:val="007D2BBB"/>
    <w:rsid w:val="007D4B9F"/>
    <w:rsid w:val="007D5BDF"/>
    <w:rsid w:val="007D607A"/>
    <w:rsid w:val="007D614A"/>
    <w:rsid w:val="007D777C"/>
    <w:rsid w:val="007E2904"/>
    <w:rsid w:val="007E384E"/>
    <w:rsid w:val="007E390E"/>
    <w:rsid w:val="007E4417"/>
    <w:rsid w:val="007E786A"/>
    <w:rsid w:val="007E7CC4"/>
    <w:rsid w:val="007F0EDE"/>
    <w:rsid w:val="007F1B30"/>
    <w:rsid w:val="007F1BE8"/>
    <w:rsid w:val="007F2782"/>
    <w:rsid w:val="007F4F72"/>
    <w:rsid w:val="007F6802"/>
    <w:rsid w:val="007F78C0"/>
    <w:rsid w:val="00801F3B"/>
    <w:rsid w:val="0080269F"/>
    <w:rsid w:val="00803A83"/>
    <w:rsid w:val="008067CC"/>
    <w:rsid w:val="00806D5A"/>
    <w:rsid w:val="00806DE3"/>
    <w:rsid w:val="0081007E"/>
    <w:rsid w:val="008123E4"/>
    <w:rsid w:val="00812B7D"/>
    <w:rsid w:val="008152C9"/>
    <w:rsid w:val="008429D4"/>
    <w:rsid w:val="00846419"/>
    <w:rsid w:val="0085679C"/>
    <w:rsid w:val="008602D4"/>
    <w:rsid w:val="008623BE"/>
    <w:rsid w:val="00862E7D"/>
    <w:rsid w:val="00867531"/>
    <w:rsid w:val="00880A83"/>
    <w:rsid w:val="00894FAF"/>
    <w:rsid w:val="008A256A"/>
    <w:rsid w:val="008A2F63"/>
    <w:rsid w:val="008A71A6"/>
    <w:rsid w:val="008B14FD"/>
    <w:rsid w:val="008C58B2"/>
    <w:rsid w:val="008D111F"/>
    <w:rsid w:val="008D3AEE"/>
    <w:rsid w:val="008D4B2B"/>
    <w:rsid w:val="008D7DAB"/>
    <w:rsid w:val="008F379A"/>
    <w:rsid w:val="008F3EE2"/>
    <w:rsid w:val="008F4894"/>
    <w:rsid w:val="009000AD"/>
    <w:rsid w:val="009022A8"/>
    <w:rsid w:val="00906819"/>
    <w:rsid w:val="00907990"/>
    <w:rsid w:val="00917181"/>
    <w:rsid w:val="0094002A"/>
    <w:rsid w:val="009455A8"/>
    <w:rsid w:val="00946A98"/>
    <w:rsid w:val="00955284"/>
    <w:rsid w:val="009561C8"/>
    <w:rsid w:val="009563EC"/>
    <w:rsid w:val="00956AB0"/>
    <w:rsid w:val="00961282"/>
    <w:rsid w:val="00961CB6"/>
    <w:rsid w:val="00966DC3"/>
    <w:rsid w:val="0097032F"/>
    <w:rsid w:val="00970915"/>
    <w:rsid w:val="00974674"/>
    <w:rsid w:val="009820D0"/>
    <w:rsid w:val="00982403"/>
    <w:rsid w:val="00991430"/>
    <w:rsid w:val="00994076"/>
    <w:rsid w:val="009A1224"/>
    <w:rsid w:val="009A45F6"/>
    <w:rsid w:val="009A5B72"/>
    <w:rsid w:val="009A6CAD"/>
    <w:rsid w:val="009B07E8"/>
    <w:rsid w:val="009B42AD"/>
    <w:rsid w:val="009B49F8"/>
    <w:rsid w:val="009B7330"/>
    <w:rsid w:val="009C149F"/>
    <w:rsid w:val="009C388E"/>
    <w:rsid w:val="009C4C8C"/>
    <w:rsid w:val="009C55B6"/>
    <w:rsid w:val="009D7190"/>
    <w:rsid w:val="009D7D1A"/>
    <w:rsid w:val="009E2940"/>
    <w:rsid w:val="009E498D"/>
    <w:rsid w:val="009F1A00"/>
    <w:rsid w:val="009F1F46"/>
    <w:rsid w:val="009F71C2"/>
    <w:rsid w:val="009F7294"/>
    <w:rsid w:val="00A0414B"/>
    <w:rsid w:val="00A1495E"/>
    <w:rsid w:val="00A24562"/>
    <w:rsid w:val="00A250C5"/>
    <w:rsid w:val="00A2577C"/>
    <w:rsid w:val="00A30DFA"/>
    <w:rsid w:val="00A31F44"/>
    <w:rsid w:val="00A352E1"/>
    <w:rsid w:val="00A37547"/>
    <w:rsid w:val="00A508FD"/>
    <w:rsid w:val="00A6284D"/>
    <w:rsid w:val="00A638EB"/>
    <w:rsid w:val="00A65891"/>
    <w:rsid w:val="00A66E91"/>
    <w:rsid w:val="00A72860"/>
    <w:rsid w:val="00A80AF1"/>
    <w:rsid w:val="00A81B97"/>
    <w:rsid w:val="00A84CC2"/>
    <w:rsid w:val="00A855A9"/>
    <w:rsid w:val="00A92527"/>
    <w:rsid w:val="00A92BD3"/>
    <w:rsid w:val="00A9414A"/>
    <w:rsid w:val="00A96F93"/>
    <w:rsid w:val="00AB2E13"/>
    <w:rsid w:val="00AB4DCB"/>
    <w:rsid w:val="00AC1EB6"/>
    <w:rsid w:val="00AD538B"/>
    <w:rsid w:val="00AE67D9"/>
    <w:rsid w:val="00AE6FE3"/>
    <w:rsid w:val="00AF0DC9"/>
    <w:rsid w:val="00AF0FF1"/>
    <w:rsid w:val="00AF4109"/>
    <w:rsid w:val="00AF5721"/>
    <w:rsid w:val="00AF59ED"/>
    <w:rsid w:val="00AF6271"/>
    <w:rsid w:val="00AF704C"/>
    <w:rsid w:val="00B059EB"/>
    <w:rsid w:val="00B1747B"/>
    <w:rsid w:val="00B21DC6"/>
    <w:rsid w:val="00B23980"/>
    <w:rsid w:val="00B30312"/>
    <w:rsid w:val="00B338E2"/>
    <w:rsid w:val="00B33A76"/>
    <w:rsid w:val="00B36172"/>
    <w:rsid w:val="00B43B48"/>
    <w:rsid w:val="00B47D41"/>
    <w:rsid w:val="00B502A4"/>
    <w:rsid w:val="00B504EE"/>
    <w:rsid w:val="00B526A4"/>
    <w:rsid w:val="00B53F6C"/>
    <w:rsid w:val="00B652D3"/>
    <w:rsid w:val="00B65B86"/>
    <w:rsid w:val="00B77DBB"/>
    <w:rsid w:val="00B82AA8"/>
    <w:rsid w:val="00B83DC0"/>
    <w:rsid w:val="00B92B5D"/>
    <w:rsid w:val="00B93FCE"/>
    <w:rsid w:val="00B96C79"/>
    <w:rsid w:val="00B974CD"/>
    <w:rsid w:val="00B977D1"/>
    <w:rsid w:val="00BC7008"/>
    <w:rsid w:val="00BD367A"/>
    <w:rsid w:val="00BD572C"/>
    <w:rsid w:val="00BE2F5F"/>
    <w:rsid w:val="00BE3530"/>
    <w:rsid w:val="00BE5641"/>
    <w:rsid w:val="00BE5B8B"/>
    <w:rsid w:val="00BE7B7F"/>
    <w:rsid w:val="00BF2BFE"/>
    <w:rsid w:val="00BF59EB"/>
    <w:rsid w:val="00C03696"/>
    <w:rsid w:val="00C03B37"/>
    <w:rsid w:val="00C04B7A"/>
    <w:rsid w:val="00C10A1F"/>
    <w:rsid w:val="00C203A9"/>
    <w:rsid w:val="00C204DD"/>
    <w:rsid w:val="00C20570"/>
    <w:rsid w:val="00C2290C"/>
    <w:rsid w:val="00C27E5A"/>
    <w:rsid w:val="00C32C37"/>
    <w:rsid w:val="00C36836"/>
    <w:rsid w:val="00C36FAE"/>
    <w:rsid w:val="00C37081"/>
    <w:rsid w:val="00C377BF"/>
    <w:rsid w:val="00C4447D"/>
    <w:rsid w:val="00C47331"/>
    <w:rsid w:val="00C47BE8"/>
    <w:rsid w:val="00C513C9"/>
    <w:rsid w:val="00C56948"/>
    <w:rsid w:val="00C56C86"/>
    <w:rsid w:val="00C57269"/>
    <w:rsid w:val="00C60FA5"/>
    <w:rsid w:val="00C63A8D"/>
    <w:rsid w:val="00C651EA"/>
    <w:rsid w:val="00C67CAE"/>
    <w:rsid w:val="00C765BF"/>
    <w:rsid w:val="00C77C49"/>
    <w:rsid w:val="00C80980"/>
    <w:rsid w:val="00C81982"/>
    <w:rsid w:val="00C84D86"/>
    <w:rsid w:val="00C870C7"/>
    <w:rsid w:val="00C91588"/>
    <w:rsid w:val="00C949BD"/>
    <w:rsid w:val="00C95747"/>
    <w:rsid w:val="00C95C37"/>
    <w:rsid w:val="00C977F5"/>
    <w:rsid w:val="00CA1A0A"/>
    <w:rsid w:val="00CA2DD2"/>
    <w:rsid w:val="00CA4EF2"/>
    <w:rsid w:val="00CA7A70"/>
    <w:rsid w:val="00CB1CEC"/>
    <w:rsid w:val="00CB70CA"/>
    <w:rsid w:val="00CC238F"/>
    <w:rsid w:val="00CC59C5"/>
    <w:rsid w:val="00CD3421"/>
    <w:rsid w:val="00CD6548"/>
    <w:rsid w:val="00CE0827"/>
    <w:rsid w:val="00CE50C4"/>
    <w:rsid w:val="00CE5936"/>
    <w:rsid w:val="00CF57AC"/>
    <w:rsid w:val="00CF6C2A"/>
    <w:rsid w:val="00CF6D19"/>
    <w:rsid w:val="00D0119B"/>
    <w:rsid w:val="00D01625"/>
    <w:rsid w:val="00D0581E"/>
    <w:rsid w:val="00D05F48"/>
    <w:rsid w:val="00D0645C"/>
    <w:rsid w:val="00D07595"/>
    <w:rsid w:val="00D13A92"/>
    <w:rsid w:val="00D16771"/>
    <w:rsid w:val="00D23B24"/>
    <w:rsid w:val="00D25E1F"/>
    <w:rsid w:val="00D30671"/>
    <w:rsid w:val="00D314F1"/>
    <w:rsid w:val="00D33F4E"/>
    <w:rsid w:val="00D34A95"/>
    <w:rsid w:val="00D40577"/>
    <w:rsid w:val="00D41A71"/>
    <w:rsid w:val="00D454D4"/>
    <w:rsid w:val="00D506C4"/>
    <w:rsid w:val="00D529A9"/>
    <w:rsid w:val="00D558B6"/>
    <w:rsid w:val="00D55B52"/>
    <w:rsid w:val="00D6435E"/>
    <w:rsid w:val="00D70F46"/>
    <w:rsid w:val="00D85775"/>
    <w:rsid w:val="00D85F12"/>
    <w:rsid w:val="00D86579"/>
    <w:rsid w:val="00D917F5"/>
    <w:rsid w:val="00D97E19"/>
    <w:rsid w:val="00DA23AD"/>
    <w:rsid w:val="00DA3864"/>
    <w:rsid w:val="00DB2EB1"/>
    <w:rsid w:val="00DB3116"/>
    <w:rsid w:val="00DB717E"/>
    <w:rsid w:val="00DC00A3"/>
    <w:rsid w:val="00DD31BF"/>
    <w:rsid w:val="00DD4A7D"/>
    <w:rsid w:val="00DE1C5E"/>
    <w:rsid w:val="00DE307B"/>
    <w:rsid w:val="00DE43AB"/>
    <w:rsid w:val="00DE7E74"/>
    <w:rsid w:val="00E031E0"/>
    <w:rsid w:val="00E0433D"/>
    <w:rsid w:val="00E06DB1"/>
    <w:rsid w:val="00E23CC1"/>
    <w:rsid w:val="00E24648"/>
    <w:rsid w:val="00E313F3"/>
    <w:rsid w:val="00E33474"/>
    <w:rsid w:val="00E37559"/>
    <w:rsid w:val="00E43815"/>
    <w:rsid w:val="00E4622A"/>
    <w:rsid w:val="00E52088"/>
    <w:rsid w:val="00E5261A"/>
    <w:rsid w:val="00E5489E"/>
    <w:rsid w:val="00E56505"/>
    <w:rsid w:val="00E57809"/>
    <w:rsid w:val="00E65949"/>
    <w:rsid w:val="00E67862"/>
    <w:rsid w:val="00E7325F"/>
    <w:rsid w:val="00E76D06"/>
    <w:rsid w:val="00E82EA9"/>
    <w:rsid w:val="00E978CE"/>
    <w:rsid w:val="00EA4AB5"/>
    <w:rsid w:val="00EA506D"/>
    <w:rsid w:val="00EC097A"/>
    <w:rsid w:val="00EC4226"/>
    <w:rsid w:val="00EC56CA"/>
    <w:rsid w:val="00ED31BF"/>
    <w:rsid w:val="00ED4857"/>
    <w:rsid w:val="00ED6FA0"/>
    <w:rsid w:val="00EE5886"/>
    <w:rsid w:val="00EE78EB"/>
    <w:rsid w:val="00F130A1"/>
    <w:rsid w:val="00F20E4D"/>
    <w:rsid w:val="00F24767"/>
    <w:rsid w:val="00F26DF5"/>
    <w:rsid w:val="00F36F63"/>
    <w:rsid w:val="00F468B4"/>
    <w:rsid w:val="00F46CCF"/>
    <w:rsid w:val="00F50660"/>
    <w:rsid w:val="00F51F6B"/>
    <w:rsid w:val="00F55D4A"/>
    <w:rsid w:val="00F56077"/>
    <w:rsid w:val="00F571D8"/>
    <w:rsid w:val="00F66A1A"/>
    <w:rsid w:val="00F8477E"/>
    <w:rsid w:val="00F863C2"/>
    <w:rsid w:val="00F90FC8"/>
    <w:rsid w:val="00F92B62"/>
    <w:rsid w:val="00F93FBE"/>
    <w:rsid w:val="00F942F3"/>
    <w:rsid w:val="00F955B9"/>
    <w:rsid w:val="00FA234A"/>
    <w:rsid w:val="00FA3E9A"/>
    <w:rsid w:val="00FA773D"/>
    <w:rsid w:val="00FB0C35"/>
    <w:rsid w:val="00FC3D26"/>
    <w:rsid w:val="00FD158A"/>
    <w:rsid w:val="00FE377A"/>
    <w:rsid w:val="00FE55C8"/>
    <w:rsid w:val="00FE7158"/>
    <w:rsid w:val="00FF53F5"/>
    <w:rsid w:val="00FF6F9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A1F"/>
    <w:rPr>
      <w:rFonts w:ascii="Calibri" w:hAnsi="Calibri"/>
      <w:sz w:val="24"/>
      <w:lang w:eastAsia="en-US"/>
    </w:rPr>
  </w:style>
  <w:style w:type="paragraph" w:styleId="Heading1">
    <w:name w:val="heading 1"/>
    <w:basedOn w:val="Normal"/>
    <w:next w:val="BodyText"/>
    <w:link w:val="Heading1Char"/>
    <w:qFormat/>
    <w:rsid w:val="00C10A1F"/>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C10A1F"/>
    <w:pPr>
      <w:keepNext/>
      <w:spacing w:before="60" w:after="60"/>
      <w:jc w:val="center"/>
      <w:outlineLvl w:val="1"/>
    </w:pPr>
    <w:rPr>
      <w:b/>
      <w:snapToGrid w:val="0"/>
      <w:sz w:val="20"/>
    </w:rPr>
  </w:style>
  <w:style w:type="paragraph" w:styleId="Heading3">
    <w:name w:val="heading 3"/>
    <w:basedOn w:val="Normal"/>
    <w:next w:val="BodyText"/>
    <w:link w:val="Heading3Char"/>
    <w:qFormat/>
    <w:rsid w:val="00C10A1F"/>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C10A1F"/>
    <w:pPr>
      <w:keepNext/>
      <w:keepLines/>
      <w:spacing w:before="120" w:after="120"/>
      <w:outlineLvl w:val="3"/>
    </w:pPr>
    <w:rPr>
      <w:i/>
    </w:rPr>
  </w:style>
  <w:style w:type="paragraph" w:styleId="Heading5">
    <w:name w:val="heading 5"/>
    <w:basedOn w:val="Normal"/>
    <w:next w:val="Normal"/>
    <w:link w:val="Heading5Char"/>
    <w:autoRedefine/>
    <w:qFormat/>
    <w:rsid w:val="00C10A1F"/>
    <w:pPr>
      <w:keepNext/>
      <w:numPr>
        <w:ilvl w:val="4"/>
        <w:numId w:val="10"/>
      </w:numPr>
      <w:outlineLvl w:val="4"/>
    </w:pPr>
    <w:rPr>
      <w:b/>
      <w:i/>
      <w:sz w:val="20"/>
    </w:rPr>
  </w:style>
  <w:style w:type="paragraph" w:styleId="Heading6">
    <w:name w:val="heading 6"/>
    <w:basedOn w:val="Normal"/>
    <w:next w:val="Normal"/>
    <w:link w:val="Heading6Char"/>
    <w:qFormat/>
    <w:rsid w:val="00C10A1F"/>
    <w:pPr>
      <w:keepNext/>
      <w:jc w:val="right"/>
      <w:outlineLvl w:val="5"/>
    </w:pPr>
    <w:rPr>
      <w:b/>
      <w:sz w:val="20"/>
    </w:rPr>
  </w:style>
  <w:style w:type="paragraph" w:styleId="Heading7">
    <w:name w:val="heading 7"/>
    <w:basedOn w:val="Normal"/>
    <w:next w:val="Normal"/>
    <w:link w:val="Heading7Char"/>
    <w:qFormat/>
    <w:rsid w:val="00C10A1F"/>
    <w:pPr>
      <w:keepNext/>
      <w:ind w:left="159" w:hanging="159"/>
      <w:outlineLvl w:val="6"/>
    </w:pPr>
    <w:rPr>
      <w:b/>
      <w:sz w:val="20"/>
    </w:rPr>
  </w:style>
  <w:style w:type="paragraph" w:styleId="Heading8">
    <w:name w:val="heading 8"/>
    <w:basedOn w:val="Normal"/>
    <w:next w:val="Normal"/>
    <w:link w:val="Heading8Char"/>
    <w:qFormat/>
    <w:rsid w:val="00C10A1F"/>
    <w:pPr>
      <w:keepNext/>
      <w:numPr>
        <w:ilvl w:val="7"/>
        <w:numId w:val="10"/>
      </w:numPr>
      <w:outlineLvl w:val="7"/>
    </w:pPr>
    <w:rPr>
      <w:rFonts w:ascii="Arial" w:hAnsi="Arial"/>
      <w:b/>
      <w:snapToGrid w:val="0"/>
      <w:color w:val="000000"/>
      <w:sz w:val="20"/>
    </w:rPr>
  </w:style>
  <w:style w:type="paragraph" w:styleId="Heading9">
    <w:name w:val="heading 9"/>
    <w:basedOn w:val="Normal"/>
    <w:next w:val="Normal"/>
    <w:link w:val="Heading9Char"/>
    <w:qFormat/>
    <w:rsid w:val="00C10A1F"/>
    <w:pPr>
      <w:keepNext/>
      <w:numPr>
        <w:ilvl w:val="8"/>
        <w:numId w:val="10"/>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C10A1F"/>
    <w:pPr>
      <w:keepNext/>
      <w:jc w:val="center"/>
    </w:pPr>
    <w:rPr>
      <w:b/>
      <w:sz w:val="20"/>
    </w:rPr>
  </w:style>
  <w:style w:type="character" w:customStyle="1" w:styleId="Heading3Char">
    <w:name w:val="Heading 3 Char"/>
    <w:basedOn w:val="DefaultParagraphFont"/>
    <w:link w:val="Heading3"/>
    <w:rsid w:val="007F4F72"/>
    <w:rPr>
      <w:rFonts w:ascii="Arial" w:hAnsi="Arial" w:cs="Arial"/>
      <w:b/>
      <w:bCs/>
      <w:sz w:val="24"/>
      <w:szCs w:val="26"/>
      <w:lang w:eastAsia="en-US"/>
    </w:rPr>
  </w:style>
  <w:style w:type="paragraph" w:styleId="BodyText">
    <w:name w:val="Body Text"/>
    <w:basedOn w:val="Normal"/>
    <w:link w:val="BodyTextChar"/>
    <w:rsid w:val="00C10A1F"/>
    <w:pPr>
      <w:keepNext/>
      <w:keepLines/>
      <w:spacing w:before="120" w:after="120"/>
      <w:jc w:val="both"/>
    </w:pPr>
  </w:style>
  <w:style w:type="paragraph" w:styleId="BodyTextIndent">
    <w:name w:val="Body Text Indent"/>
    <w:basedOn w:val="Normal"/>
    <w:next w:val="BodyText"/>
    <w:link w:val="BodyTextIndentChar"/>
    <w:rsid w:val="00C10A1F"/>
    <w:pPr>
      <w:keepNext/>
      <w:keepLines/>
      <w:numPr>
        <w:numId w:val="6"/>
      </w:numPr>
      <w:spacing w:after="120"/>
      <w:jc w:val="both"/>
    </w:pPr>
    <w:rPr>
      <w:szCs w:val="24"/>
    </w:rPr>
  </w:style>
  <w:style w:type="paragraph" w:styleId="BodyTextIndent2">
    <w:name w:val="Body Text Indent 2"/>
    <w:basedOn w:val="Normal"/>
    <w:link w:val="BodyTextIndent2Char"/>
    <w:rsid w:val="00C10A1F"/>
    <w:pPr>
      <w:keepNext/>
      <w:keepLines/>
      <w:numPr>
        <w:numId w:val="7"/>
      </w:numPr>
      <w:spacing w:after="120"/>
      <w:jc w:val="both"/>
    </w:pPr>
  </w:style>
  <w:style w:type="paragraph" w:styleId="BodyTextIndent3">
    <w:name w:val="Body Text Indent 3"/>
    <w:basedOn w:val="Normal"/>
    <w:link w:val="BodyTextIndent3Char"/>
    <w:rsid w:val="00C10A1F"/>
    <w:pPr>
      <w:keepNext/>
      <w:keepLines/>
      <w:numPr>
        <w:numId w:val="8"/>
      </w:numPr>
      <w:tabs>
        <w:tab w:val="left" w:pos="1134"/>
      </w:tabs>
      <w:spacing w:after="120"/>
      <w:jc w:val="both"/>
    </w:pPr>
    <w:rPr>
      <w:szCs w:val="24"/>
    </w:rPr>
  </w:style>
  <w:style w:type="paragraph" w:customStyle="1" w:styleId="BodyTextIndent4">
    <w:name w:val="Body Text Indent 4"/>
    <w:basedOn w:val="BodyText"/>
    <w:next w:val="BodyText"/>
    <w:rsid w:val="00C10A1F"/>
    <w:pPr>
      <w:numPr>
        <w:numId w:val="9"/>
      </w:numPr>
      <w:spacing w:before="0"/>
    </w:pPr>
  </w:style>
  <w:style w:type="paragraph" w:customStyle="1" w:styleId="SIHeading1">
    <w:name w:val="SI Heading 1"/>
    <w:basedOn w:val="Normal"/>
    <w:next w:val="BodyText"/>
    <w:link w:val="SIHeading1Char"/>
    <w:rsid w:val="00C10A1F"/>
    <w:pPr>
      <w:keepNext/>
      <w:keepLines/>
      <w:spacing w:before="240"/>
      <w:jc w:val="center"/>
      <w:outlineLvl w:val="0"/>
    </w:pPr>
    <w:rPr>
      <w:rFonts w:ascii="Arial" w:hAnsi="Arial"/>
      <w:b/>
      <w:kern w:val="28"/>
      <w:sz w:val="20"/>
    </w:rPr>
  </w:style>
  <w:style w:type="paragraph" w:customStyle="1" w:styleId="SIHeading2">
    <w:name w:val="SI Heading 2"/>
    <w:basedOn w:val="Normal"/>
    <w:next w:val="BodyText"/>
    <w:link w:val="SIHeading2Char"/>
    <w:rsid w:val="00C10A1F"/>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C32C37"/>
    <w:pPr>
      <w:numPr>
        <w:numId w:val="22"/>
      </w:numPr>
      <w:tabs>
        <w:tab w:val="clear" w:pos="502"/>
        <w:tab w:val="num" w:pos="284"/>
      </w:tabs>
      <w:ind w:left="284" w:hanging="284"/>
    </w:pPr>
    <w:rPr>
      <w:kern w:val="16"/>
      <w:sz w:val="20"/>
      <w:szCs w:val="24"/>
    </w:rPr>
  </w:style>
  <w:style w:type="paragraph" w:customStyle="1" w:styleId="TableTextRightBold">
    <w:name w:val="Table Text Right Bold"/>
    <w:basedOn w:val="Normal"/>
    <w:rsid w:val="00C10A1F"/>
    <w:pPr>
      <w:ind w:left="357" w:hanging="357"/>
      <w:jc w:val="right"/>
    </w:pPr>
    <w:rPr>
      <w:b/>
      <w:sz w:val="20"/>
    </w:rPr>
  </w:style>
  <w:style w:type="paragraph" w:customStyle="1" w:styleId="TableHeadingRight">
    <w:name w:val="Table Heading Right"/>
    <w:basedOn w:val="Normal"/>
    <w:rsid w:val="00C10A1F"/>
    <w:pPr>
      <w:keepNext/>
      <w:jc w:val="right"/>
    </w:pPr>
    <w:rPr>
      <w:b/>
      <w:sz w:val="20"/>
      <w:szCs w:val="24"/>
    </w:rPr>
  </w:style>
  <w:style w:type="paragraph" w:customStyle="1" w:styleId="NoteText">
    <w:name w:val="Note Text"/>
    <w:basedOn w:val="Normal"/>
    <w:link w:val="NoteTextChar"/>
    <w:rsid w:val="00C10A1F"/>
    <w:pPr>
      <w:jc w:val="both"/>
    </w:pPr>
    <w:rPr>
      <w:iCs/>
      <w:sz w:val="16"/>
    </w:rPr>
  </w:style>
  <w:style w:type="paragraph" w:styleId="Header">
    <w:name w:val="header"/>
    <w:basedOn w:val="Normal"/>
    <w:link w:val="HeaderChar"/>
    <w:semiHidden/>
    <w:rsid w:val="00C10A1F"/>
    <w:pPr>
      <w:tabs>
        <w:tab w:val="center" w:pos="4153"/>
        <w:tab w:val="right" w:pos="8306"/>
      </w:tabs>
    </w:pPr>
  </w:style>
  <w:style w:type="paragraph" w:customStyle="1" w:styleId="NoteHeading1">
    <w:name w:val="Note Heading1"/>
    <w:basedOn w:val="Normal"/>
    <w:link w:val="NoteheadingChar"/>
    <w:autoRedefine/>
    <w:semiHidden/>
    <w:rsid w:val="003B1FAC"/>
    <w:pPr>
      <w:spacing w:before="120"/>
      <w:ind w:left="28"/>
    </w:pPr>
    <w:rPr>
      <w:b/>
      <w:bCs/>
      <w:sz w:val="20"/>
    </w:rPr>
  </w:style>
  <w:style w:type="character" w:customStyle="1" w:styleId="BodyTextIndentChar">
    <w:name w:val="Body Text Indent Char"/>
    <w:basedOn w:val="DefaultParagraphFont"/>
    <w:link w:val="BodyTextIndent"/>
    <w:rsid w:val="007F4F72"/>
    <w:rPr>
      <w:rFonts w:ascii="Calibri" w:hAnsi="Calibri"/>
      <w:sz w:val="24"/>
      <w:szCs w:val="24"/>
      <w:lang w:eastAsia="en-US"/>
    </w:rPr>
  </w:style>
  <w:style w:type="paragraph" w:customStyle="1" w:styleId="TableHeadingLeft">
    <w:name w:val="Table Heading Left"/>
    <w:basedOn w:val="Normal"/>
    <w:link w:val="TableHeadingLeftChar"/>
    <w:rsid w:val="00C10A1F"/>
    <w:pPr>
      <w:keepNext/>
    </w:pPr>
    <w:rPr>
      <w:b/>
      <w:sz w:val="20"/>
      <w:lang w:eastAsia="en-AU"/>
    </w:rPr>
  </w:style>
  <w:style w:type="paragraph" w:customStyle="1" w:styleId="TableTextRight">
    <w:name w:val="Table Text Right"/>
    <w:basedOn w:val="Normal"/>
    <w:rsid w:val="00C10A1F"/>
    <w:pPr>
      <w:ind w:left="357" w:hanging="357"/>
      <w:jc w:val="right"/>
    </w:pPr>
    <w:rPr>
      <w:sz w:val="20"/>
    </w:rPr>
  </w:style>
  <w:style w:type="paragraph" w:customStyle="1" w:styleId="TableTextLeftBold">
    <w:name w:val="Table Text Left Bold"/>
    <w:basedOn w:val="Normal"/>
    <w:link w:val="TableTextLeftBoldChar"/>
    <w:rsid w:val="00C10A1F"/>
    <w:pPr>
      <w:ind w:left="357" w:hanging="357"/>
    </w:pPr>
    <w:rPr>
      <w:b/>
      <w:sz w:val="20"/>
    </w:rPr>
  </w:style>
  <w:style w:type="paragraph" w:customStyle="1" w:styleId="TableTextLeft">
    <w:name w:val="Table Text Left"/>
    <w:basedOn w:val="Normal"/>
    <w:rsid w:val="00C10A1F"/>
    <w:pPr>
      <w:ind w:left="357" w:hanging="357"/>
    </w:pPr>
    <w:rPr>
      <w:sz w:val="20"/>
      <w:szCs w:val="18"/>
    </w:rPr>
  </w:style>
  <w:style w:type="paragraph" w:customStyle="1" w:styleId="TableNumbersRight">
    <w:name w:val="Table Numbers Right"/>
    <w:basedOn w:val="TableHeadingRight"/>
    <w:rsid w:val="00C10A1F"/>
    <w:rPr>
      <w:b w:val="0"/>
    </w:rPr>
  </w:style>
  <w:style w:type="character" w:customStyle="1" w:styleId="TableHeadingLeftChar">
    <w:name w:val="Table Heading Left Char"/>
    <w:basedOn w:val="DefaultParagraphFont"/>
    <w:link w:val="TableHeadingLeft"/>
    <w:rsid w:val="007F4F72"/>
    <w:rPr>
      <w:rFonts w:ascii="Calibri" w:hAnsi="Calibri"/>
      <w:b/>
    </w:rPr>
  </w:style>
  <w:style w:type="paragraph" w:customStyle="1" w:styleId="FooterBP">
    <w:name w:val="Footer BP"/>
    <w:basedOn w:val="Normal"/>
    <w:next w:val="Normal"/>
    <w:rsid w:val="00C10A1F"/>
    <w:pPr>
      <w:pBdr>
        <w:top w:val="single" w:sz="4" w:space="1" w:color="auto"/>
      </w:pBdr>
      <w:tabs>
        <w:tab w:val="center" w:pos="4536"/>
        <w:tab w:val="right" w:pos="9356"/>
      </w:tabs>
      <w:ind w:left="-284" w:right="-329"/>
    </w:pPr>
    <w:rPr>
      <w:i/>
      <w:sz w:val="20"/>
    </w:rPr>
  </w:style>
  <w:style w:type="paragraph" w:styleId="Footer">
    <w:name w:val="footer"/>
    <w:basedOn w:val="Normal"/>
    <w:link w:val="FooterChar"/>
    <w:rsid w:val="00C10A1F"/>
    <w:pPr>
      <w:tabs>
        <w:tab w:val="center" w:pos="4153"/>
        <w:tab w:val="right" w:pos="8306"/>
      </w:tabs>
    </w:pPr>
  </w:style>
  <w:style w:type="character" w:customStyle="1" w:styleId="TableTextLeftBoldChar">
    <w:name w:val="Table Text Left Bold Char"/>
    <w:basedOn w:val="DefaultParagraphFont"/>
    <w:link w:val="TableTextLeftBold"/>
    <w:rsid w:val="007F4F72"/>
    <w:rPr>
      <w:rFonts w:ascii="Calibri" w:hAnsi="Calibri"/>
      <w:b/>
      <w:lang w:eastAsia="en-US"/>
    </w:rPr>
  </w:style>
  <w:style w:type="paragraph" w:customStyle="1" w:styleId="Heading3TopofPage">
    <w:name w:val="Heading 3 Top of Page"/>
    <w:basedOn w:val="Heading3"/>
    <w:next w:val="BodyText"/>
    <w:rsid w:val="00C10A1F"/>
    <w:pPr>
      <w:spacing w:before="0"/>
    </w:pPr>
    <w:rPr>
      <w:rFonts w:cs="Times New Roman"/>
      <w:lang w:eastAsia="en-AU"/>
    </w:rPr>
  </w:style>
  <w:style w:type="paragraph" w:customStyle="1" w:styleId="Heading3Centred">
    <w:name w:val="Heading 3 Centred"/>
    <w:basedOn w:val="Heading3"/>
    <w:next w:val="BodyText"/>
    <w:rsid w:val="00C10A1F"/>
    <w:pPr>
      <w:spacing w:before="0"/>
      <w:jc w:val="center"/>
    </w:pPr>
    <w:rPr>
      <w:rFonts w:cs="Times New Roman"/>
      <w:lang w:eastAsia="en-AU"/>
    </w:rPr>
  </w:style>
  <w:style w:type="numbering" w:styleId="ArticleSection">
    <w:name w:val="Outline List 3"/>
    <w:basedOn w:val="NoList"/>
    <w:semiHidden/>
    <w:rsid w:val="00C10A1F"/>
    <w:pPr>
      <w:numPr>
        <w:numId w:val="5"/>
      </w:numPr>
    </w:pPr>
  </w:style>
  <w:style w:type="paragraph" w:styleId="BodyText2">
    <w:name w:val="Body Text 2"/>
    <w:basedOn w:val="Normal"/>
    <w:link w:val="BodyText2Char"/>
    <w:semiHidden/>
    <w:rsid w:val="00C10A1F"/>
    <w:pPr>
      <w:spacing w:after="120" w:line="480" w:lineRule="auto"/>
    </w:pPr>
  </w:style>
  <w:style w:type="paragraph" w:customStyle="1" w:styleId="SinglePara">
    <w:name w:val="Single Para"/>
    <w:basedOn w:val="Normal"/>
    <w:semiHidden/>
    <w:rsid w:val="00C10A1F"/>
  </w:style>
  <w:style w:type="paragraph" w:customStyle="1" w:styleId="xl25">
    <w:name w:val="xl25"/>
    <w:basedOn w:val="Normal"/>
    <w:semiHidden/>
    <w:rsid w:val="00C10A1F"/>
    <w:pPr>
      <w:spacing w:before="100" w:beforeAutospacing="1" w:after="100" w:afterAutospacing="1"/>
    </w:pPr>
    <w:rPr>
      <w:rFonts w:eastAsia="Arial Unicode MS"/>
      <w:sz w:val="18"/>
      <w:szCs w:val="18"/>
    </w:rPr>
  </w:style>
  <w:style w:type="paragraph" w:styleId="PlainText">
    <w:name w:val="Plain Text"/>
    <w:basedOn w:val="Normal"/>
    <w:link w:val="PlainTextChar"/>
    <w:semiHidden/>
    <w:rsid w:val="00C10A1F"/>
    <w:rPr>
      <w:sz w:val="20"/>
      <w:lang w:val="en-US"/>
    </w:rPr>
  </w:style>
  <w:style w:type="paragraph" w:styleId="BalloonText">
    <w:name w:val="Balloon Text"/>
    <w:basedOn w:val="Normal"/>
    <w:link w:val="BalloonTextChar"/>
    <w:semiHidden/>
    <w:rsid w:val="00C10A1F"/>
    <w:rPr>
      <w:rFonts w:ascii="Tahoma" w:hAnsi="Tahoma" w:cs="Tahoma"/>
      <w:sz w:val="16"/>
      <w:szCs w:val="16"/>
    </w:rPr>
  </w:style>
  <w:style w:type="paragraph" w:customStyle="1" w:styleId="Sub-Heading">
    <w:name w:val="Sub-Heading"/>
    <w:basedOn w:val="Normal"/>
    <w:next w:val="BodyText"/>
    <w:rsid w:val="00C10A1F"/>
    <w:pPr>
      <w:keepNext/>
      <w:spacing w:before="240" w:after="120"/>
      <w:outlineLvl w:val="0"/>
    </w:pPr>
    <w:rPr>
      <w:rFonts w:ascii="Arial" w:hAnsi="Arial"/>
      <w:i/>
    </w:rPr>
  </w:style>
  <w:style w:type="paragraph" w:customStyle="1" w:styleId="Sub-Heading2">
    <w:name w:val="Sub-Heading 2"/>
    <w:basedOn w:val="BodyText"/>
    <w:semiHidden/>
    <w:rsid w:val="00C10A1F"/>
    <w:rPr>
      <w:i/>
    </w:rPr>
  </w:style>
  <w:style w:type="paragraph" w:customStyle="1" w:styleId="TableName">
    <w:name w:val="Table Name"/>
    <w:basedOn w:val="Normal"/>
    <w:rsid w:val="00C10A1F"/>
    <w:pPr>
      <w:keepNext/>
      <w:keepLines/>
      <w:spacing w:after="120"/>
      <w:jc w:val="center"/>
    </w:pPr>
    <w:rPr>
      <w:rFonts w:ascii="Arial" w:hAnsi="Arial"/>
      <w:b/>
      <w:sz w:val="20"/>
    </w:rPr>
  </w:style>
  <w:style w:type="paragraph" w:customStyle="1" w:styleId="AIblurb">
    <w:name w:val="AI blurb"/>
    <w:basedOn w:val="Normal"/>
    <w:rsid w:val="00C10A1F"/>
    <w:pPr>
      <w:spacing w:before="120" w:after="240"/>
      <w:ind w:left="380"/>
      <w:jc w:val="both"/>
    </w:pPr>
    <w:rPr>
      <w:sz w:val="20"/>
    </w:rPr>
  </w:style>
  <w:style w:type="paragraph" w:styleId="BodyText3">
    <w:name w:val="Body Text 3"/>
    <w:basedOn w:val="Normal"/>
    <w:link w:val="BodyText3Char"/>
    <w:semiHidden/>
    <w:rsid w:val="00C10A1F"/>
    <w:pPr>
      <w:spacing w:after="120"/>
    </w:pPr>
    <w:rPr>
      <w:sz w:val="16"/>
      <w:szCs w:val="16"/>
    </w:rPr>
  </w:style>
  <w:style w:type="paragraph" w:customStyle="1" w:styleId="AINotes">
    <w:name w:val="AI Notes"/>
    <w:basedOn w:val="Normal"/>
    <w:link w:val="AINotesCharChar"/>
    <w:rsid w:val="00C10A1F"/>
    <w:pPr>
      <w:numPr>
        <w:numId w:val="4"/>
      </w:numPr>
      <w:jc w:val="both"/>
    </w:pPr>
    <w:rPr>
      <w:sz w:val="16"/>
    </w:rPr>
  </w:style>
  <w:style w:type="paragraph" w:customStyle="1" w:styleId="n">
    <w:name w:val="n"/>
    <w:basedOn w:val="Normal"/>
    <w:semiHidden/>
    <w:rsid w:val="00C10A1F"/>
    <w:pPr>
      <w:jc w:val="both"/>
    </w:pPr>
    <w:rPr>
      <w:sz w:val="16"/>
      <w:szCs w:val="24"/>
    </w:rPr>
  </w:style>
  <w:style w:type="paragraph" w:customStyle="1" w:styleId="Notes">
    <w:name w:val="Notes"/>
    <w:basedOn w:val="Normal"/>
    <w:rsid w:val="00C10A1F"/>
    <w:pPr>
      <w:spacing w:before="120"/>
      <w:ind w:left="28"/>
    </w:pPr>
    <w:rPr>
      <w:b/>
      <w:sz w:val="20"/>
      <w:szCs w:val="24"/>
    </w:rPr>
  </w:style>
  <w:style w:type="numbering" w:styleId="1ai">
    <w:name w:val="Outline List 1"/>
    <w:basedOn w:val="NoList"/>
    <w:semiHidden/>
    <w:rsid w:val="00C10A1F"/>
    <w:pPr>
      <w:numPr>
        <w:numId w:val="3"/>
      </w:numPr>
    </w:pPr>
  </w:style>
  <w:style w:type="numbering" w:styleId="111111">
    <w:name w:val="Outline List 2"/>
    <w:basedOn w:val="NoList"/>
    <w:semiHidden/>
    <w:rsid w:val="00C10A1F"/>
    <w:pPr>
      <w:numPr>
        <w:numId w:val="2"/>
      </w:numPr>
    </w:pPr>
  </w:style>
  <w:style w:type="paragraph" w:styleId="BlockText">
    <w:name w:val="Block Text"/>
    <w:basedOn w:val="Normal"/>
    <w:semiHidden/>
    <w:rsid w:val="00C10A1F"/>
    <w:pPr>
      <w:spacing w:after="120"/>
      <w:ind w:left="1440" w:right="1440"/>
    </w:pPr>
  </w:style>
  <w:style w:type="paragraph" w:styleId="BodyTextFirstIndent">
    <w:name w:val="Body Text First Indent"/>
    <w:basedOn w:val="BodyText"/>
    <w:link w:val="BodyTextFirstIndentChar"/>
    <w:semiHidden/>
    <w:rsid w:val="00C10A1F"/>
    <w:pPr>
      <w:spacing w:before="0"/>
      <w:ind w:firstLine="210"/>
      <w:jc w:val="left"/>
    </w:pPr>
  </w:style>
  <w:style w:type="paragraph" w:styleId="BodyTextFirstIndent2">
    <w:name w:val="Body Text First Indent 2"/>
    <w:basedOn w:val="BodyTextIndent"/>
    <w:link w:val="BodyTextFirstIndent2Char"/>
    <w:semiHidden/>
    <w:rsid w:val="00C10A1F"/>
    <w:pPr>
      <w:numPr>
        <w:numId w:val="0"/>
      </w:numPr>
      <w:ind w:left="283" w:firstLine="210"/>
      <w:jc w:val="left"/>
    </w:pPr>
  </w:style>
  <w:style w:type="paragraph" w:styleId="Closing">
    <w:name w:val="Closing"/>
    <w:basedOn w:val="Normal"/>
    <w:link w:val="ClosingChar"/>
    <w:semiHidden/>
    <w:rsid w:val="00C10A1F"/>
    <w:pPr>
      <w:ind w:left="4252"/>
    </w:pPr>
  </w:style>
  <w:style w:type="paragraph" w:styleId="Date">
    <w:name w:val="Date"/>
    <w:basedOn w:val="Normal"/>
    <w:next w:val="Normal"/>
    <w:link w:val="DateChar"/>
    <w:semiHidden/>
    <w:rsid w:val="00C10A1F"/>
  </w:style>
  <w:style w:type="paragraph" w:styleId="E-mailSignature">
    <w:name w:val="E-mail Signature"/>
    <w:basedOn w:val="Normal"/>
    <w:link w:val="E-mailSignatureChar"/>
    <w:semiHidden/>
    <w:rsid w:val="00C10A1F"/>
  </w:style>
  <w:style w:type="character" w:styleId="Emphasis">
    <w:name w:val="Emphasis"/>
    <w:basedOn w:val="DefaultParagraphFont"/>
    <w:qFormat/>
    <w:rsid w:val="00C10A1F"/>
    <w:rPr>
      <w:rFonts w:ascii="Calibri" w:hAnsi="Calibri"/>
      <w:i/>
      <w:iCs/>
    </w:rPr>
  </w:style>
  <w:style w:type="paragraph" w:styleId="EnvelopeAddress">
    <w:name w:val="envelope address"/>
    <w:basedOn w:val="Normal"/>
    <w:semiHidden/>
    <w:rsid w:val="00C10A1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C10A1F"/>
    <w:rPr>
      <w:rFonts w:ascii="Arial" w:hAnsi="Arial" w:cs="Arial"/>
      <w:sz w:val="20"/>
    </w:rPr>
  </w:style>
  <w:style w:type="character" w:styleId="FollowedHyperlink">
    <w:name w:val="FollowedHyperlink"/>
    <w:basedOn w:val="DefaultParagraphFont"/>
    <w:semiHidden/>
    <w:rsid w:val="00C10A1F"/>
    <w:rPr>
      <w:color w:val="800080"/>
      <w:u w:val="single"/>
    </w:rPr>
  </w:style>
  <w:style w:type="character" w:styleId="HTMLAcronym">
    <w:name w:val="HTML Acronym"/>
    <w:basedOn w:val="DefaultParagraphFont"/>
    <w:semiHidden/>
    <w:rsid w:val="00C10A1F"/>
  </w:style>
  <w:style w:type="paragraph" w:styleId="HTMLAddress">
    <w:name w:val="HTML Address"/>
    <w:basedOn w:val="Normal"/>
    <w:link w:val="HTMLAddressChar"/>
    <w:semiHidden/>
    <w:rsid w:val="00C10A1F"/>
    <w:rPr>
      <w:i/>
      <w:iCs/>
    </w:rPr>
  </w:style>
  <w:style w:type="character" w:styleId="HTMLCite">
    <w:name w:val="HTML Cite"/>
    <w:basedOn w:val="DefaultParagraphFont"/>
    <w:semiHidden/>
    <w:rsid w:val="00C10A1F"/>
    <w:rPr>
      <w:i/>
      <w:iCs/>
    </w:rPr>
  </w:style>
  <w:style w:type="character" w:styleId="HTMLCode">
    <w:name w:val="HTML Code"/>
    <w:basedOn w:val="DefaultParagraphFont"/>
    <w:semiHidden/>
    <w:rsid w:val="00C10A1F"/>
    <w:rPr>
      <w:rFonts w:ascii="Courier New" w:hAnsi="Courier New" w:cs="Courier New"/>
      <w:sz w:val="20"/>
      <w:szCs w:val="20"/>
    </w:rPr>
  </w:style>
  <w:style w:type="character" w:styleId="HTMLDefinition">
    <w:name w:val="HTML Definition"/>
    <w:basedOn w:val="DefaultParagraphFont"/>
    <w:semiHidden/>
    <w:rsid w:val="00C10A1F"/>
    <w:rPr>
      <w:i/>
      <w:iCs/>
    </w:rPr>
  </w:style>
  <w:style w:type="character" w:styleId="HTMLKeyboard">
    <w:name w:val="HTML Keyboard"/>
    <w:basedOn w:val="DefaultParagraphFont"/>
    <w:semiHidden/>
    <w:rsid w:val="00C10A1F"/>
    <w:rPr>
      <w:rFonts w:ascii="Courier New" w:hAnsi="Courier New" w:cs="Courier New"/>
      <w:sz w:val="20"/>
      <w:szCs w:val="20"/>
    </w:rPr>
  </w:style>
  <w:style w:type="paragraph" w:styleId="HTMLPreformatted">
    <w:name w:val="HTML Preformatted"/>
    <w:basedOn w:val="Normal"/>
    <w:link w:val="HTMLPreformattedChar"/>
    <w:semiHidden/>
    <w:rsid w:val="00C10A1F"/>
    <w:rPr>
      <w:rFonts w:ascii="Courier New" w:hAnsi="Courier New" w:cs="Courier New"/>
      <w:sz w:val="20"/>
    </w:rPr>
  </w:style>
  <w:style w:type="character" w:styleId="HTMLSample">
    <w:name w:val="HTML Sample"/>
    <w:basedOn w:val="DefaultParagraphFont"/>
    <w:semiHidden/>
    <w:rsid w:val="00C10A1F"/>
    <w:rPr>
      <w:rFonts w:ascii="Courier New" w:hAnsi="Courier New" w:cs="Courier New"/>
    </w:rPr>
  </w:style>
  <w:style w:type="character" w:styleId="HTMLTypewriter">
    <w:name w:val="HTML Typewriter"/>
    <w:basedOn w:val="DefaultParagraphFont"/>
    <w:semiHidden/>
    <w:rsid w:val="00C10A1F"/>
    <w:rPr>
      <w:rFonts w:ascii="Courier New" w:hAnsi="Courier New" w:cs="Courier New"/>
      <w:sz w:val="20"/>
      <w:szCs w:val="20"/>
    </w:rPr>
  </w:style>
  <w:style w:type="character" w:styleId="HTMLVariable">
    <w:name w:val="HTML Variable"/>
    <w:basedOn w:val="DefaultParagraphFont"/>
    <w:semiHidden/>
    <w:rsid w:val="00C10A1F"/>
    <w:rPr>
      <w:i/>
      <w:iCs/>
    </w:rPr>
  </w:style>
  <w:style w:type="character" w:styleId="Hyperlink">
    <w:name w:val="Hyperlink"/>
    <w:basedOn w:val="DefaultParagraphFont"/>
    <w:semiHidden/>
    <w:rsid w:val="00C10A1F"/>
    <w:rPr>
      <w:color w:val="0000FF"/>
      <w:u w:val="single"/>
    </w:rPr>
  </w:style>
  <w:style w:type="character" w:styleId="LineNumber">
    <w:name w:val="line number"/>
    <w:basedOn w:val="DefaultParagraphFont"/>
    <w:semiHidden/>
    <w:rsid w:val="00C10A1F"/>
  </w:style>
  <w:style w:type="paragraph" w:styleId="List">
    <w:name w:val="List"/>
    <w:basedOn w:val="Normal"/>
    <w:semiHidden/>
    <w:rsid w:val="00C10A1F"/>
    <w:pPr>
      <w:ind w:left="283" w:hanging="283"/>
    </w:pPr>
  </w:style>
  <w:style w:type="paragraph" w:styleId="List2">
    <w:name w:val="List 2"/>
    <w:basedOn w:val="Normal"/>
    <w:semiHidden/>
    <w:rsid w:val="00C10A1F"/>
    <w:pPr>
      <w:ind w:left="566" w:hanging="283"/>
    </w:pPr>
  </w:style>
  <w:style w:type="paragraph" w:styleId="List3">
    <w:name w:val="List 3"/>
    <w:basedOn w:val="Normal"/>
    <w:semiHidden/>
    <w:rsid w:val="00C10A1F"/>
    <w:pPr>
      <w:ind w:left="849" w:hanging="283"/>
    </w:pPr>
  </w:style>
  <w:style w:type="paragraph" w:styleId="List4">
    <w:name w:val="List 4"/>
    <w:basedOn w:val="Normal"/>
    <w:semiHidden/>
    <w:rsid w:val="00C10A1F"/>
    <w:pPr>
      <w:ind w:left="1132" w:hanging="283"/>
    </w:pPr>
  </w:style>
  <w:style w:type="paragraph" w:styleId="List5">
    <w:name w:val="List 5"/>
    <w:basedOn w:val="Normal"/>
    <w:semiHidden/>
    <w:rsid w:val="00C10A1F"/>
    <w:pPr>
      <w:ind w:left="1415" w:hanging="283"/>
    </w:pPr>
  </w:style>
  <w:style w:type="paragraph" w:styleId="ListBullet">
    <w:name w:val="List Bullet"/>
    <w:basedOn w:val="Normal"/>
    <w:semiHidden/>
    <w:rsid w:val="00C10A1F"/>
    <w:pPr>
      <w:numPr>
        <w:numId w:val="11"/>
      </w:numPr>
    </w:pPr>
  </w:style>
  <w:style w:type="paragraph" w:styleId="ListBullet2">
    <w:name w:val="List Bullet 2"/>
    <w:basedOn w:val="Normal"/>
    <w:semiHidden/>
    <w:rsid w:val="00C10A1F"/>
    <w:pPr>
      <w:numPr>
        <w:numId w:val="12"/>
      </w:numPr>
    </w:pPr>
  </w:style>
  <w:style w:type="paragraph" w:styleId="ListBullet3">
    <w:name w:val="List Bullet 3"/>
    <w:basedOn w:val="Normal"/>
    <w:semiHidden/>
    <w:rsid w:val="00C10A1F"/>
    <w:pPr>
      <w:numPr>
        <w:numId w:val="13"/>
      </w:numPr>
    </w:pPr>
  </w:style>
  <w:style w:type="paragraph" w:styleId="ListBullet4">
    <w:name w:val="List Bullet 4"/>
    <w:basedOn w:val="Normal"/>
    <w:semiHidden/>
    <w:rsid w:val="00C10A1F"/>
    <w:pPr>
      <w:numPr>
        <w:numId w:val="14"/>
      </w:numPr>
    </w:pPr>
  </w:style>
  <w:style w:type="paragraph" w:styleId="ListBullet5">
    <w:name w:val="List Bullet 5"/>
    <w:basedOn w:val="Normal"/>
    <w:semiHidden/>
    <w:rsid w:val="00C10A1F"/>
    <w:pPr>
      <w:numPr>
        <w:numId w:val="15"/>
      </w:numPr>
    </w:pPr>
  </w:style>
  <w:style w:type="paragraph" w:styleId="ListContinue">
    <w:name w:val="List Continue"/>
    <w:basedOn w:val="Normal"/>
    <w:semiHidden/>
    <w:rsid w:val="00C10A1F"/>
    <w:pPr>
      <w:spacing w:after="120"/>
      <w:ind w:left="283"/>
    </w:pPr>
  </w:style>
  <w:style w:type="paragraph" w:styleId="ListContinue2">
    <w:name w:val="List Continue 2"/>
    <w:basedOn w:val="Normal"/>
    <w:semiHidden/>
    <w:rsid w:val="00C10A1F"/>
    <w:pPr>
      <w:spacing w:after="120"/>
      <w:ind w:left="566"/>
    </w:pPr>
  </w:style>
  <w:style w:type="paragraph" w:styleId="ListContinue3">
    <w:name w:val="List Continue 3"/>
    <w:basedOn w:val="Normal"/>
    <w:semiHidden/>
    <w:rsid w:val="00C10A1F"/>
    <w:pPr>
      <w:spacing w:after="120"/>
      <w:ind w:left="849"/>
    </w:pPr>
  </w:style>
  <w:style w:type="paragraph" w:styleId="ListContinue4">
    <w:name w:val="List Continue 4"/>
    <w:basedOn w:val="Normal"/>
    <w:semiHidden/>
    <w:rsid w:val="00C10A1F"/>
    <w:pPr>
      <w:spacing w:after="120"/>
      <w:ind w:left="1132"/>
    </w:pPr>
  </w:style>
  <w:style w:type="paragraph" w:styleId="ListContinue5">
    <w:name w:val="List Continue 5"/>
    <w:basedOn w:val="Normal"/>
    <w:semiHidden/>
    <w:rsid w:val="00C10A1F"/>
    <w:pPr>
      <w:spacing w:after="120"/>
      <w:ind w:left="1415"/>
    </w:pPr>
  </w:style>
  <w:style w:type="paragraph" w:styleId="ListNumber">
    <w:name w:val="List Number"/>
    <w:basedOn w:val="Normal"/>
    <w:semiHidden/>
    <w:rsid w:val="00C10A1F"/>
    <w:pPr>
      <w:numPr>
        <w:numId w:val="16"/>
      </w:numPr>
    </w:pPr>
  </w:style>
  <w:style w:type="paragraph" w:styleId="ListNumber2">
    <w:name w:val="List Number 2"/>
    <w:basedOn w:val="Normal"/>
    <w:semiHidden/>
    <w:rsid w:val="00C10A1F"/>
    <w:pPr>
      <w:numPr>
        <w:numId w:val="17"/>
      </w:numPr>
    </w:pPr>
  </w:style>
  <w:style w:type="paragraph" w:styleId="ListNumber3">
    <w:name w:val="List Number 3"/>
    <w:basedOn w:val="Normal"/>
    <w:semiHidden/>
    <w:rsid w:val="00C10A1F"/>
    <w:pPr>
      <w:numPr>
        <w:numId w:val="18"/>
      </w:numPr>
    </w:pPr>
  </w:style>
  <w:style w:type="paragraph" w:styleId="ListNumber4">
    <w:name w:val="List Number 4"/>
    <w:basedOn w:val="Normal"/>
    <w:semiHidden/>
    <w:rsid w:val="00C10A1F"/>
    <w:pPr>
      <w:numPr>
        <w:numId w:val="19"/>
      </w:numPr>
    </w:pPr>
  </w:style>
  <w:style w:type="paragraph" w:styleId="ListNumber5">
    <w:name w:val="List Number 5"/>
    <w:basedOn w:val="Normal"/>
    <w:semiHidden/>
    <w:rsid w:val="00C10A1F"/>
    <w:pPr>
      <w:numPr>
        <w:numId w:val="20"/>
      </w:numPr>
    </w:pPr>
  </w:style>
  <w:style w:type="paragraph" w:styleId="MessageHeader">
    <w:name w:val="Message Header"/>
    <w:basedOn w:val="Normal"/>
    <w:link w:val="MessageHeaderChar"/>
    <w:semiHidden/>
    <w:rsid w:val="00C10A1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C10A1F"/>
    <w:rPr>
      <w:szCs w:val="24"/>
    </w:rPr>
  </w:style>
  <w:style w:type="paragraph" w:styleId="NormalIndent">
    <w:name w:val="Normal Indent"/>
    <w:basedOn w:val="Normal"/>
    <w:semiHidden/>
    <w:rsid w:val="00C10A1F"/>
    <w:pPr>
      <w:ind w:left="720"/>
    </w:pPr>
  </w:style>
  <w:style w:type="character" w:styleId="PageNumber">
    <w:name w:val="page number"/>
    <w:basedOn w:val="DefaultParagraphFont"/>
    <w:semiHidden/>
    <w:rsid w:val="00C10A1F"/>
  </w:style>
  <w:style w:type="paragraph" w:styleId="Salutation">
    <w:name w:val="Salutation"/>
    <w:basedOn w:val="Normal"/>
    <w:next w:val="Normal"/>
    <w:link w:val="SalutationChar"/>
    <w:semiHidden/>
    <w:rsid w:val="00C10A1F"/>
  </w:style>
  <w:style w:type="paragraph" w:styleId="Signature">
    <w:name w:val="Signature"/>
    <w:basedOn w:val="Normal"/>
    <w:link w:val="SignatureChar"/>
    <w:semiHidden/>
    <w:rsid w:val="00C10A1F"/>
    <w:pPr>
      <w:ind w:left="4252"/>
    </w:pPr>
  </w:style>
  <w:style w:type="character" w:styleId="Strong">
    <w:name w:val="Strong"/>
    <w:basedOn w:val="DefaultParagraphFont"/>
    <w:qFormat/>
    <w:rsid w:val="00C10A1F"/>
    <w:rPr>
      <w:b/>
      <w:bCs/>
    </w:rPr>
  </w:style>
  <w:style w:type="paragraph" w:styleId="Subtitle">
    <w:name w:val="Subtitle"/>
    <w:basedOn w:val="Normal"/>
    <w:link w:val="SubtitleChar"/>
    <w:qFormat/>
    <w:rsid w:val="00C10A1F"/>
    <w:pPr>
      <w:spacing w:after="60"/>
      <w:jc w:val="center"/>
      <w:outlineLvl w:val="1"/>
    </w:pPr>
    <w:rPr>
      <w:rFonts w:ascii="Arial" w:hAnsi="Arial" w:cs="Arial"/>
      <w:szCs w:val="24"/>
    </w:rPr>
  </w:style>
  <w:style w:type="table" w:styleId="Table3Deffects1">
    <w:name w:val="Table 3D effects 1"/>
    <w:basedOn w:val="TableNormal"/>
    <w:semiHidden/>
    <w:rsid w:val="00C10A1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10A1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10A1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10A1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10A1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10A1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10A1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10A1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10A1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10A1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10A1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10A1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10A1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10A1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10A1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10A1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10A1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10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10A1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10A1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10A1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10A1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10A1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10A1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10A1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10A1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10A1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10A1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10A1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10A1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10A1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10A1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10A1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10A1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10A1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10A1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10A1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10A1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10A1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10A1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10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10A1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0A1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0A1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10A1F"/>
    <w:pPr>
      <w:spacing w:before="240" w:after="60"/>
      <w:jc w:val="center"/>
      <w:outlineLvl w:val="0"/>
    </w:pPr>
    <w:rPr>
      <w:rFonts w:ascii="Arial" w:hAnsi="Arial" w:cs="Arial"/>
      <w:b/>
      <w:bCs/>
      <w:kern w:val="28"/>
      <w:sz w:val="32"/>
      <w:szCs w:val="32"/>
    </w:rPr>
  </w:style>
  <w:style w:type="paragraph" w:styleId="NoteHeading">
    <w:name w:val="Note Heading"/>
    <w:basedOn w:val="Normal"/>
    <w:next w:val="Normal"/>
    <w:link w:val="NoteHeadingChar0"/>
    <w:rsid w:val="00C10A1F"/>
    <w:pPr>
      <w:spacing w:before="120"/>
    </w:pPr>
    <w:rPr>
      <w:b/>
      <w:sz w:val="16"/>
    </w:rPr>
  </w:style>
  <w:style w:type="paragraph" w:customStyle="1" w:styleId="TableNumber">
    <w:name w:val="Table Number"/>
    <w:basedOn w:val="TableName"/>
    <w:next w:val="TableName"/>
    <w:rsid w:val="00C10A1F"/>
    <w:pPr>
      <w:spacing w:before="60" w:after="0"/>
    </w:pPr>
  </w:style>
  <w:style w:type="paragraph" w:customStyle="1" w:styleId="TableTextIndent">
    <w:name w:val="Table Text Indent"/>
    <w:rsid w:val="00C10A1F"/>
    <w:pPr>
      <w:numPr>
        <w:numId w:val="21"/>
      </w:numPr>
      <w:spacing w:before="60"/>
    </w:pPr>
    <w:rPr>
      <w:rFonts w:ascii="Calibri" w:hAnsi="Calibri"/>
      <w:szCs w:val="24"/>
      <w:lang w:eastAsia="en-US"/>
    </w:rPr>
  </w:style>
  <w:style w:type="character" w:customStyle="1" w:styleId="Heading1Char">
    <w:name w:val="Heading 1 Char"/>
    <w:basedOn w:val="DefaultParagraphFont"/>
    <w:link w:val="Heading1"/>
    <w:locked/>
    <w:rsid w:val="007F4F72"/>
    <w:rPr>
      <w:rFonts w:ascii="Arial" w:hAnsi="Arial"/>
      <w:b/>
      <w:caps/>
      <w:kern w:val="28"/>
      <w:sz w:val="28"/>
      <w:lang w:eastAsia="en-US"/>
    </w:rPr>
  </w:style>
  <w:style w:type="character" w:customStyle="1" w:styleId="Heading2Char">
    <w:name w:val="Heading 2 Char"/>
    <w:basedOn w:val="DefaultParagraphFont"/>
    <w:link w:val="Heading2"/>
    <w:locked/>
    <w:rsid w:val="007F4F72"/>
    <w:rPr>
      <w:rFonts w:ascii="Calibri" w:hAnsi="Calibri"/>
      <w:b/>
      <w:snapToGrid w:val="0"/>
      <w:lang w:eastAsia="en-US"/>
    </w:rPr>
  </w:style>
  <w:style w:type="character" w:customStyle="1" w:styleId="SIHeading1Char">
    <w:name w:val="SI Heading 1 Char"/>
    <w:basedOn w:val="DefaultParagraphFont"/>
    <w:link w:val="SIHeading1"/>
    <w:rsid w:val="007F4F72"/>
    <w:rPr>
      <w:rFonts w:ascii="Arial" w:hAnsi="Arial"/>
      <w:b/>
      <w:kern w:val="28"/>
      <w:lang w:eastAsia="en-US"/>
    </w:rPr>
  </w:style>
  <w:style w:type="character" w:customStyle="1" w:styleId="Heading4Char">
    <w:name w:val="Heading 4 Char"/>
    <w:basedOn w:val="DefaultParagraphFont"/>
    <w:link w:val="Heading4"/>
    <w:locked/>
    <w:rsid w:val="007F4F72"/>
    <w:rPr>
      <w:rFonts w:ascii="Calibri" w:hAnsi="Calibri"/>
      <w:i/>
      <w:sz w:val="24"/>
      <w:lang w:eastAsia="en-US"/>
    </w:rPr>
  </w:style>
  <w:style w:type="character" w:customStyle="1" w:styleId="Heading5Char">
    <w:name w:val="Heading 5 Char"/>
    <w:basedOn w:val="DefaultParagraphFont"/>
    <w:link w:val="Heading5"/>
    <w:locked/>
    <w:rsid w:val="007F4F72"/>
    <w:rPr>
      <w:rFonts w:ascii="Calibri" w:hAnsi="Calibri"/>
      <w:b/>
      <w:i/>
      <w:lang w:eastAsia="en-US"/>
    </w:rPr>
  </w:style>
  <w:style w:type="character" w:customStyle="1" w:styleId="Heading6Char">
    <w:name w:val="Heading 6 Char"/>
    <w:basedOn w:val="DefaultParagraphFont"/>
    <w:link w:val="Heading6"/>
    <w:locked/>
    <w:rsid w:val="007F4F72"/>
    <w:rPr>
      <w:rFonts w:ascii="Calibri" w:hAnsi="Calibri"/>
      <w:b/>
      <w:lang w:eastAsia="en-US"/>
    </w:rPr>
  </w:style>
  <w:style w:type="character" w:customStyle="1" w:styleId="Heading7Char">
    <w:name w:val="Heading 7 Char"/>
    <w:basedOn w:val="DefaultParagraphFont"/>
    <w:link w:val="Heading7"/>
    <w:locked/>
    <w:rsid w:val="007F4F72"/>
    <w:rPr>
      <w:rFonts w:ascii="Calibri" w:hAnsi="Calibri"/>
      <w:b/>
      <w:lang w:eastAsia="en-US"/>
    </w:rPr>
  </w:style>
  <w:style w:type="character" w:customStyle="1" w:styleId="Heading8Char">
    <w:name w:val="Heading 8 Char"/>
    <w:basedOn w:val="DefaultParagraphFont"/>
    <w:link w:val="Heading8"/>
    <w:locked/>
    <w:rsid w:val="007F4F72"/>
    <w:rPr>
      <w:rFonts w:ascii="Arial" w:hAnsi="Arial"/>
      <w:b/>
      <w:snapToGrid w:val="0"/>
      <w:color w:val="000000"/>
      <w:lang w:eastAsia="en-US"/>
    </w:rPr>
  </w:style>
  <w:style w:type="character" w:customStyle="1" w:styleId="Heading9Char">
    <w:name w:val="Heading 9 Char"/>
    <w:basedOn w:val="DefaultParagraphFont"/>
    <w:link w:val="Heading9"/>
    <w:locked/>
    <w:rsid w:val="007F4F72"/>
    <w:rPr>
      <w:rFonts w:ascii="Arial" w:hAnsi="Arial" w:cs="Arial"/>
      <w:b/>
      <w:snapToGrid w:val="0"/>
      <w:color w:val="000000"/>
      <w:sz w:val="18"/>
      <w:lang w:eastAsia="en-US"/>
    </w:rPr>
  </w:style>
  <w:style w:type="paragraph" w:customStyle="1" w:styleId="TableHeadingCentre-BP4">
    <w:name w:val="Table Heading Centre - BP4"/>
    <w:basedOn w:val="Normal"/>
    <w:rsid w:val="00C10A1F"/>
    <w:pPr>
      <w:keepNext/>
      <w:jc w:val="center"/>
    </w:pPr>
    <w:rPr>
      <w:b/>
      <w:sz w:val="18"/>
    </w:rPr>
  </w:style>
  <w:style w:type="character" w:customStyle="1" w:styleId="BodyTextChar">
    <w:name w:val="Body Text Char"/>
    <w:basedOn w:val="DefaultParagraphFont"/>
    <w:link w:val="BodyText"/>
    <w:locked/>
    <w:rsid w:val="007F4F72"/>
    <w:rPr>
      <w:rFonts w:ascii="Calibri" w:hAnsi="Calibri"/>
      <w:sz w:val="24"/>
      <w:lang w:eastAsia="en-US"/>
    </w:rPr>
  </w:style>
  <w:style w:type="character" w:customStyle="1" w:styleId="CharChar12">
    <w:name w:val="Char Char12"/>
    <w:basedOn w:val="DefaultParagraphFont"/>
    <w:rsid w:val="007F4F72"/>
    <w:rPr>
      <w:sz w:val="24"/>
      <w:lang w:eastAsia="en-US"/>
    </w:rPr>
  </w:style>
  <w:style w:type="character" w:customStyle="1" w:styleId="BodyTextIndent2Char">
    <w:name w:val="Body Text Indent 2 Char"/>
    <w:basedOn w:val="DefaultParagraphFont"/>
    <w:link w:val="BodyTextIndent2"/>
    <w:locked/>
    <w:rsid w:val="007F4F72"/>
    <w:rPr>
      <w:rFonts w:ascii="Calibri" w:hAnsi="Calibri"/>
      <w:sz w:val="24"/>
      <w:lang w:eastAsia="en-US"/>
    </w:rPr>
  </w:style>
  <w:style w:type="character" w:customStyle="1" w:styleId="BodyTextIndent3Char">
    <w:name w:val="Body Text Indent 3 Char"/>
    <w:basedOn w:val="DefaultParagraphFont"/>
    <w:link w:val="BodyTextIndent3"/>
    <w:locked/>
    <w:rsid w:val="007F4F72"/>
    <w:rPr>
      <w:rFonts w:ascii="Calibri" w:hAnsi="Calibri"/>
      <w:sz w:val="24"/>
      <w:szCs w:val="24"/>
      <w:lang w:eastAsia="en-US"/>
    </w:rPr>
  </w:style>
  <w:style w:type="paragraph" w:customStyle="1" w:styleId="TableTextRightBold-BP4">
    <w:name w:val="Table Text Right Bold - BP4"/>
    <w:basedOn w:val="Normal"/>
    <w:rsid w:val="00C10A1F"/>
    <w:pPr>
      <w:jc w:val="right"/>
    </w:pPr>
    <w:rPr>
      <w:b/>
      <w:sz w:val="18"/>
    </w:rPr>
  </w:style>
  <w:style w:type="paragraph" w:customStyle="1" w:styleId="TableHeadingRight-BP4">
    <w:name w:val="Table Heading Right - BP4"/>
    <w:basedOn w:val="Normal"/>
    <w:rsid w:val="00C10A1F"/>
    <w:pPr>
      <w:keepNext/>
      <w:jc w:val="right"/>
    </w:pPr>
    <w:rPr>
      <w:b/>
      <w:sz w:val="18"/>
      <w:szCs w:val="24"/>
    </w:rPr>
  </w:style>
  <w:style w:type="character" w:customStyle="1" w:styleId="HeaderChar">
    <w:name w:val="Header Char"/>
    <w:basedOn w:val="DefaultParagraphFont"/>
    <w:link w:val="Header"/>
    <w:semiHidden/>
    <w:locked/>
    <w:rsid w:val="007F4F72"/>
    <w:rPr>
      <w:rFonts w:ascii="Calibri" w:hAnsi="Calibri"/>
      <w:sz w:val="24"/>
      <w:lang w:eastAsia="en-US"/>
    </w:rPr>
  </w:style>
  <w:style w:type="character" w:customStyle="1" w:styleId="NoteheadingChar">
    <w:name w:val="Note heading Char"/>
    <w:basedOn w:val="DefaultParagraphFont"/>
    <w:link w:val="NoteHeading1"/>
    <w:semiHidden/>
    <w:rsid w:val="001D77BB"/>
    <w:rPr>
      <w:rFonts w:ascii="Calibri" w:hAnsi="Calibri"/>
      <w:b/>
      <w:bCs/>
      <w:lang w:eastAsia="en-US"/>
    </w:rPr>
  </w:style>
  <w:style w:type="paragraph" w:customStyle="1" w:styleId="TableHeadingLeft-BP4">
    <w:name w:val="Table Heading Left - BP4"/>
    <w:basedOn w:val="Normal"/>
    <w:link w:val="TableHeadingLeft-BP4CharChar"/>
    <w:rsid w:val="00C10A1F"/>
    <w:pPr>
      <w:keepNext/>
    </w:pPr>
    <w:rPr>
      <w:b/>
      <w:sz w:val="18"/>
      <w:lang w:eastAsia="en-AU"/>
    </w:rPr>
  </w:style>
  <w:style w:type="character" w:customStyle="1" w:styleId="TableHeadingLeft-BP4CharChar">
    <w:name w:val="Table Heading Left - BP4 Char Char"/>
    <w:basedOn w:val="DefaultParagraphFont"/>
    <w:link w:val="TableHeadingLeft-BP4"/>
    <w:rsid w:val="007F4F72"/>
    <w:rPr>
      <w:rFonts w:ascii="Calibri" w:hAnsi="Calibri"/>
      <w:b/>
      <w:sz w:val="18"/>
    </w:rPr>
  </w:style>
  <w:style w:type="paragraph" w:customStyle="1" w:styleId="TableTextRight-BP4">
    <w:name w:val="Table Text Right - BP4"/>
    <w:basedOn w:val="Normal"/>
    <w:rsid w:val="00C10A1F"/>
    <w:pPr>
      <w:jc w:val="right"/>
    </w:pPr>
    <w:rPr>
      <w:sz w:val="18"/>
    </w:rPr>
  </w:style>
  <w:style w:type="paragraph" w:customStyle="1" w:styleId="TableTextLeftBold-BP4">
    <w:name w:val="Table Text Left Bold - BP4"/>
    <w:basedOn w:val="Normal"/>
    <w:link w:val="TableTextLeftBold-BP4CharChar"/>
    <w:rsid w:val="00C10A1F"/>
    <w:pPr>
      <w:ind w:left="142" w:hanging="142"/>
    </w:pPr>
    <w:rPr>
      <w:b/>
      <w:sz w:val="18"/>
    </w:rPr>
  </w:style>
  <w:style w:type="character" w:customStyle="1" w:styleId="TableTextLeftBold-BP4CharChar">
    <w:name w:val="Table Text Left Bold - BP4 Char Char"/>
    <w:basedOn w:val="DefaultParagraphFont"/>
    <w:link w:val="TableTextLeftBold-BP4"/>
    <w:rsid w:val="007F4F72"/>
    <w:rPr>
      <w:rFonts w:ascii="Calibri" w:hAnsi="Calibri"/>
      <w:b/>
      <w:sz w:val="18"/>
      <w:lang w:eastAsia="en-US"/>
    </w:rPr>
  </w:style>
  <w:style w:type="paragraph" w:customStyle="1" w:styleId="TableTextLeft-BP4">
    <w:name w:val="Table Text Left - BP4"/>
    <w:basedOn w:val="Normal"/>
    <w:rsid w:val="00C10A1F"/>
    <w:pPr>
      <w:ind w:left="142" w:hanging="142"/>
    </w:pPr>
    <w:rPr>
      <w:sz w:val="18"/>
      <w:szCs w:val="18"/>
    </w:rPr>
  </w:style>
  <w:style w:type="paragraph" w:customStyle="1" w:styleId="TableNumbersRight-BP4">
    <w:name w:val="Table Numbers Right - BP4"/>
    <w:basedOn w:val="Normal"/>
    <w:rsid w:val="00C10A1F"/>
    <w:pPr>
      <w:jc w:val="right"/>
    </w:pPr>
    <w:rPr>
      <w:sz w:val="18"/>
    </w:rPr>
  </w:style>
  <w:style w:type="character" w:customStyle="1" w:styleId="FooterChar">
    <w:name w:val="Footer Char"/>
    <w:basedOn w:val="DefaultParagraphFont"/>
    <w:link w:val="Footer"/>
    <w:locked/>
    <w:rsid w:val="007F4F72"/>
    <w:rPr>
      <w:rFonts w:ascii="Calibri" w:hAnsi="Calibri"/>
      <w:sz w:val="24"/>
      <w:lang w:eastAsia="en-US"/>
    </w:rPr>
  </w:style>
  <w:style w:type="paragraph" w:customStyle="1" w:styleId="AITableText">
    <w:name w:val="AI Table Text"/>
    <w:basedOn w:val="Normal"/>
    <w:link w:val="AITableTextChar"/>
    <w:rsid w:val="00C10A1F"/>
    <w:pPr>
      <w:jc w:val="right"/>
    </w:pPr>
    <w:rPr>
      <w:sz w:val="20"/>
      <w:szCs w:val="24"/>
    </w:rPr>
  </w:style>
  <w:style w:type="character" w:customStyle="1" w:styleId="AITableTextChar">
    <w:name w:val="AI Table Text Char"/>
    <w:basedOn w:val="DefaultParagraphFont"/>
    <w:link w:val="AITableText"/>
    <w:rsid w:val="007F4F72"/>
    <w:rPr>
      <w:rFonts w:ascii="Calibri" w:hAnsi="Calibri"/>
      <w:szCs w:val="24"/>
      <w:lang w:eastAsia="en-US"/>
    </w:rPr>
  </w:style>
  <w:style w:type="character" w:customStyle="1" w:styleId="PlainTextChar">
    <w:name w:val="Plain Text Char"/>
    <w:basedOn w:val="DefaultParagraphFont"/>
    <w:link w:val="PlainText"/>
    <w:semiHidden/>
    <w:locked/>
    <w:rsid w:val="007F4F72"/>
    <w:rPr>
      <w:rFonts w:ascii="Calibri" w:hAnsi="Calibri"/>
      <w:lang w:val="en-US" w:eastAsia="en-US"/>
    </w:rPr>
  </w:style>
  <w:style w:type="character" w:customStyle="1" w:styleId="BalloonTextChar">
    <w:name w:val="Balloon Text Char"/>
    <w:basedOn w:val="DefaultParagraphFont"/>
    <w:link w:val="BalloonText"/>
    <w:semiHidden/>
    <w:locked/>
    <w:rsid w:val="007F4F72"/>
    <w:rPr>
      <w:rFonts w:ascii="Tahoma" w:hAnsi="Tahoma" w:cs="Tahoma"/>
      <w:sz w:val="16"/>
      <w:szCs w:val="16"/>
      <w:lang w:eastAsia="en-US"/>
    </w:rPr>
  </w:style>
  <w:style w:type="paragraph" w:customStyle="1" w:styleId="AIIndent">
    <w:name w:val="AI Indent"/>
    <w:basedOn w:val="Normal"/>
    <w:rsid w:val="00C10A1F"/>
    <w:pPr>
      <w:tabs>
        <w:tab w:val="num" w:pos="360"/>
      </w:tabs>
      <w:ind w:left="357" w:hanging="357"/>
    </w:pPr>
    <w:rPr>
      <w:sz w:val="20"/>
    </w:rPr>
  </w:style>
  <w:style w:type="character" w:customStyle="1" w:styleId="AINotesCharChar">
    <w:name w:val="AI Notes Char Char"/>
    <w:basedOn w:val="DefaultParagraphFont"/>
    <w:link w:val="AINotes"/>
    <w:rsid w:val="007F4F72"/>
    <w:rPr>
      <w:rFonts w:ascii="Calibri" w:hAnsi="Calibri"/>
      <w:sz w:val="16"/>
      <w:lang w:eastAsia="en-US"/>
    </w:rPr>
  </w:style>
  <w:style w:type="paragraph" w:customStyle="1" w:styleId="TableHeadingCentre-BP3">
    <w:name w:val="Table Heading Centre - BP3"/>
    <w:basedOn w:val="TableHeadingCentre-BP4"/>
    <w:rsid w:val="00C10A1F"/>
    <w:rPr>
      <w:sz w:val="20"/>
    </w:rPr>
  </w:style>
  <w:style w:type="paragraph" w:customStyle="1" w:styleId="TableHeadingLeft-BP3">
    <w:name w:val="Table Heading Left - BP3"/>
    <w:basedOn w:val="TableHeadingLeft-BP4"/>
    <w:rsid w:val="00C10A1F"/>
    <w:rPr>
      <w:sz w:val="20"/>
    </w:rPr>
  </w:style>
  <w:style w:type="paragraph" w:customStyle="1" w:styleId="TableHeadingRight-BP3">
    <w:name w:val="Table Heading Right - BP3"/>
    <w:basedOn w:val="TableHeadingRight-BP4"/>
    <w:rsid w:val="00C10A1F"/>
    <w:rPr>
      <w:sz w:val="20"/>
    </w:rPr>
  </w:style>
  <w:style w:type="paragraph" w:customStyle="1" w:styleId="TableNumbersRight-BP3">
    <w:name w:val="Table Numbers Right - BP3"/>
    <w:basedOn w:val="TableNumbersRight-BP4"/>
    <w:rsid w:val="00C10A1F"/>
    <w:rPr>
      <w:sz w:val="20"/>
    </w:rPr>
  </w:style>
  <w:style w:type="paragraph" w:customStyle="1" w:styleId="TableTextLeft-BP3">
    <w:name w:val="Table Text Left - BP3"/>
    <w:basedOn w:val="TableTextLeft-BP4"/>
    <w:rsid w:val="00C10A1F"/>
    <w:rPr>
      <w:sz w:val="20"/>
    </w:rPr>
  </w:style>
  <w:style w:type="paragraph" w:customStyle="1" w:styleId="TableTextLeftBold-BP3">
    <w:name w:val="Table Text Left Bold - BP3"/>
    <w:basedOn w:val="TableTextLeftBold-BP4"/>
    <w:rsid w:val="00C10A1F"/>
    <w:rPr>
      <w:sz w:val="20"/>
    </w:rPr>
  </w:style>
  <w:style w:type="paragraph" w:customStyle="1" w:styleId="TableTextRight-BP3">
    <w:name w:val="Table Text Right - BP3"/>
    <w:basedOn w:val="TableTextRight-BP4"/>
    <w:rsid w:val="00C10A1F"/>
    <w:rPr>
      <w:sz w:val="20"/>
    </w:rPr>
  </w:style>
  <w:style w:type="paragraph" w:customStyle="1" w:styleId="TableTextRightBold-BP3">
    <w:name w:val="Table Text Right Bold - BP3"/>
    <w:basedOn w:val="TableTextRightBold-BP4"/>
    <w:rsid w:val="00C10A1F"/>
  </w:style>
  <w:style w:type="paragraph" w:customStyle="1" w:styleId="TableTextLeft-BP4FS">
    <w:name w:val="Table Text Left - BP4 FS"/>
    <w:basedOn w:val="TableTextLeft-BP4"/>
    <w:rsid w:val="00C10A1F"/>
    <w:pPr>
      <w:ind w:left="227"/>
    </w:pPr>
  </w:style>
  <w:style w:type="paragraph" w:customStyle="1" w:styleId="TableHeadingCentre-BP410pt">
    <w:name w:val="Table Heading Centre - BP4 10pt"/>
    <w:basedOn w:val="TableHeadingCentre-BP4"/>
    <w:rsid w:val="00C10A1F"/>
    <w:rPr>
      <w:sz w:val="20"/>
    </w:rPr>
  </w:style>
  <w:style w:type="paragraph" w:customStyle="1" w:styleId="TableHeadingLeft-BP410pt">
    <w:name w:val="Table Heading Left - BP4 10pt"/>
    <w:basedOn w:val="TableHeadingLeft-BP4"/>
    <w:rsid w:val="00C10A1F"/>
    <w:rPr>
      <w:sz w:val="20"/>
    </w:rPr>
  </w:style>
  <w:style w:type="paragraph" w:customStyle="1" w:styleId="TableHeadingRight-BP410pt">
    <w:name w:val="Table Heading Right - BP4 10pt"/>
    <w:basedOn w:val="TableHeadingRight-BP4"/>
    <w:rsid w:val="00C10A1F"/>
    <w:rPr>
      <w:sz w:val="20"/>
    </w:rPr>
  </w:style>
  <w:style w:type="paragraph" w:customStyle="1" w:styleId="TableTextLeft-BP410pt">
    <w:name w:val="Table Text Left - BP4 10pt"/>
    <w:basedOn w:val="TableTextLeft-BP4"/>
    <w:rsid w:val="00C10A1F"/>
    <w:rPr>
      <w:sz w:val="20"/>
    </w:rPr>
  </w:style>
  <w:style w:type="paragraph" w:customStyle="1" w:styleId="TableTextLeftBold-BP410pt">
    <w:name w:val="Table Text Left Bold - BP4 10pt"/>
    <w:basedOn w:val="TableTextLeftBold-BP4"/>
    <w:rsid w:val="00C10A1F"/>
    <w:rPr>
      <w:sz w:val="20"/>
    </w:rPr>
  </w:style>
  <w:style w:type="paragraph" w:customStyle="1" w:styleId="TableTextRight-BP410pt">
    <w:name w:val="Table Text Right - BP4 10pt"/>
    <w:basedOn w:val="TableTextRight-BP4"/>
    <w:rsid w:val="00C10A1F"/>
    <w:rPr>
      <w:sz w:val="20"/>
    </w:rPr>
  </w:style>
  <w:style w:type="paragraph" w:customStyle="1" w:styleId="TableTextRightBold-BP410pt">
    <w:name w:val="Table Text Right Bold - BP4 10pt"/>
    <w:basedOn w:val="TableTextRightBold-BP4"/>
    <w:rsid w:val="00C10A1F"/>
    <w:rPr>
      <w:sz w:val="20"/>
    </w:rPr>
  </w:style>
  <w:style w:type="paragraph" w:customStyle="1" w:styleId="Normal0">
    <w:name w:val="[Normal]"/>
    <w:rsid w:val="007F4F72"/>
    <w:pPr>
      <w:widowControl w:val="0"/>
      <w:autoSpaceDE w:val="0"/>
      <w:autoSpaceDN w:val="0"/>
      <w:adjustRightInd w:val="0"/>
    </w:pPr>
    <w:rPr>
      <w:rFonts w:ascii="Arial" w:hAnsi="Arial" w:cs="Arial"/>
      <w:sz w:val="24"/>
      <w:szCs w:val="24"/>
    </w:rPr>
  </w:style>
  <w:style w:type="paragraph" w:customStyle="1" w:styleId="Sub-Heading3">
    <w:name w:val="Sub-Heading 3"/>
    <w:basedOn w:val="Sub-Heading2"/>
    <w:rsid w:val="007F4F72"/>
    <w:pPr>
      <w:keepNext w:val="0"/>
      <w:keepLines w:val="0"/>
      <w:overflowPunct w:val="0"/>
      <w:autoSpaceDE w:val="0"/>
      <w:autoSpaceDN w:val="0"/>
      <w:adjustRightInd w:val="0"/>
      <w:spacing w:after="0"/>
      <w:jc w:val="left"/>
    </w:pPr>
    <w:rPr>
      <w:iCs/>
      <w:sz w:val="16"/>
      <w:szCs w:val="16"/>
      <w:lang w:eastAsia="en-AU"/>
    </w:rPr>
  </w:style>
  <w:style w:type="paragraph" w:customStyle="1" w:styleId="TableText">
    <w:name w:val="TableText"/>
    <w:basedOn w:val="BodyText"/>
    <w:rsid w:val="007F4F72"/>
    <w:pPr>
      <w:keepNext w:val="0"/>
      <w:keepLines w:val="0"/>
      <w:overflowPunct w:val="0"/>
      <w:autoSpaceDE w:val="0"/>
      <w:autoSpaceDN w:val="0"/>
      <w:adjustRightInd w:val="0"/>
      <w:jc w:val="left"/>
    </w:pPr>
    <w:rPr>
      <w:rFonts w:ascii="Arial" w:hAnsi="Arial" w:cs="Arial"/>
      <w:sz w:val="22"/>
      <w:szCs w:val="22"/>
      <w:lang w:eastAsia="en-AU"/>
    </w:rPr>
  </w:style>
  <w:style w:type="paragraph" w:customStyle="1" w:styleId="TableTextLeftNoIndent">
    <w:name w:val="Table Text Left No Indent"/>
    <w:basedOn w:val="TableTextLeft"/>
    <w:rsid w:val="007F4F72"/>
    <w:pPr>
      <w:autoSpaceDE w:val="0"/>
      <w:autoSpaceDN w:val="0"/>
      <w:adjustRightInd w:val="0"/>
      <w:spacing w:before="40" w:after="40"/>
      <w:ind w:left="0" w:firstLine="0"/>
    </w:pPr>
    <w:rPr>
      <w:szCs w:val="20"/>
      <w:lang w:eastAsia="en-AU"/>
    </w:rPr>
  </w:style>
  <w:style w:type="paragraph" w:customStyle="1" w:styleId="TableTextLeftBoldparassmaller">
    <w:name w:val="Table Text Left Bold paras smaller"/>
    <w:basedOn w:val="TableTextLeftBold"/>
    <w:rsid w:val="007F4F72"/>
    <w:pPr>
      <w:keepNext/>
      <w:spacing w:before="20" w:after="20"/>
      <w:ind w:left="164" w:hanging="164"/>
    </w:pPr>
    <w:rPr>
      <w:rFonts w:ascii="Times New Roman" w:hAnsi="Times New Roman"/>
      <w:bCs/>
      <w:sz w:val="18"/>
      <w:szCs w:val="18"/>
      <w:lang w:eastAsia="en-AU"/>
    </w:rPr>
  </w:style>
  <w:style w:type="paragraph" w:customStyle="1" w:styleId="aNoteText">
    <w:name w:val="a) Note Text"/>
    <w:basedOn w:val="NoteText"/>
    <w:rsid w:val="007F4F72"/>
    <w:pPr>
      <w:tabs>
        <w:tab w:val="left" w:pos="357"/>
        <w:tab w:val="num" w:pos="1797"/>
      </w:tabs>
      <w:autoSpaceDE w:val="0"/>
      <w:autoSpaceDN w:val="0"/>
      <w:adjustRightInd w:val="0"/>
      <w:ind w:left="1797" w:hanging="360"/>
    </w:pPr>
    <w:rPr>
      <w:iCs w:val="0"/>
      <w:szCs w:val="16"/>
      <w:lang w:eastAsia="en-AU"/>
    </w:rPr>
  </w:style>
  <w:style w:type="paragraph" w:customStyle="1" w:styleId="NoteTexta">
    <w:name w:val="Note Text a)"/>
    <w:basedOn w:val="NoteText"/>
    <w:rsid w:val="007F4F72"/>
    <w:pPr>
      <w:tabs>
        <w:tab w:val="left" w:pos="357"/>
        <w:tab w:val="num" w:pos="2016"/>
      </w:tabs>
      <w:autoSpaceDE w:val="0"/>
      <w:autoSpaceDN w:val="0"/>
      <w:adjustRightInd w:val="0"/>
      <w:ind w:left="2016" w:hanging="360"/>
    </w:pPr>
    <w:rPr>
      <w:iCs w:val="0"/>
      <w:szCs w:val="16"/>
      <w:lang w:eastAsia="en-AU"/>
    </w:rPr>
  </w:style>
  <w:style w:type="paragraph" w:customStyle="1" w:styleId="NoteTexta0">
    <w:name w:val="Note Text a"/>
    <w:basedOn w:val="NoteText"/>
    <w:rsid w:val="007F4F72"/>
    <w:pPr>
      <w:tabs>
        <w:tab w:val="num" w:pos="360"/>
      </w:tabs>
      <w:autoSpaceDE w:val="0"/>
      <w:autoSpaceDN w:val="0"/>
      <w:adjustRightInd w:val="0"/>
      <w:ind w:left="357" w:hanging="357"/>
    </w:pPr>
    <w:rPr>
      <w:iCs w:val="0"/>
      <w:szCs w:val="16"/>
      <w:lang w:eastAsia="en-AU"/>
    </w:rPr>
  </w:style>
  <w:style w:type="paragraph" w:customStyle="1" w:styleId="HealthNumberedNotes">
    <w:name w:val="Health Numbered Notes"/>
    <w:basedOn w:val="n"/>
    <w:rsid w:val="007F4F72"/>
    <w:pPr>
      <w:tabs>
        <w:tab w:val="left" w:pos="360"/>
        <w:tab w:val="num" w:pos="785"/>
      </w:tabs>
      <w:autoSpaceDE w:val="0"/>
      <w:autoSpaceDN w:val="0"/>
      <w:adjustRightInd w:val="0"/>
      <w:spacing w:before="360"/>
      <w:ind w:left="785" w:hanging="360"/>
    </w:pPr>
    <w:rPr>
      <w:sz w:val="24"/>
      <w:lang w:eastAsia="en-AU"/>
    </w:rPr>
  </w:style>
  <w:style w:type="paragraph" w:customStyle="1" w:styleId="1n">
    <w:name w:val="1. n"/>
    <w:basedOn w:val="n"/>
    <w:rsid w:val="00C10A1F"/>
    <w:rPr>
      <w:iCs/>
      <w:szCs w:val="20"/>
    </w:rPr>
  </w:style>
  <w:style w:type="paragraph" w:customStyle="1" w:styleId="an">
    <w:name w:val="a. n"/>
    <w:basedOn w:val="n"/>
    <w:rsid w:val="00C10A1F"/>
    <w:rPr>
      <w:iCs/>
      <w:szCs w:val="20"/>
    </w:rPr>
  </w:style>
  <w:style w:type="paragraph" w:customStyle="1" w:styleId="Notes-Graph">
    <w:name w:val="Notes - Graph"/>
    <w:basedOn w:val="n"/>
    <w:rsid w:val="007F4F72"/>
    <w:pPr>
      <w:autoSpaceDE w:val="0"/>
      <w:autoSpaceDN w:val="0"/>
      <w:adjustRightInd w:val="0"/>
      <w:spacing w:before="20" w:after="120"/>
    </w:pPr>
    <w:rPr>
      <w:sz w:val="24"/>
      <w:lang w:eastAsia="en-AU"/>
    </w:rPr>
  </w:style>
  <w:style w:type="paragraph" w:customStyle="1" w:styleId="TableTextNumbersBold">
    <w:name w:val="Table Text Numbers Bold"/>
    <w:basedOn w:val="Normal"/>
    <w:rsid w:val="007F4F72"/>
    <w:pPr>
      <w:jc w:val="right"/>
    </w:pPr>
    <w:rPr>
      <w:rFonts w:ascii="Times New Roman" w:hAnsi="Times New Roman"/>
      <w:b/>
      <w:bCs/>
      <w:sz w:val="18"/>
      <w:szCs w:val="18"/>
      <w:lang w:eastAsia="en-AU"/>
    </w:rPr>
  </w:style>
  <w:style w:type="paragraph" w:customStyle="1" w:styleId="TableHeading">
    <w:name w:val="Table Heading"/>
    <w:basedOn w:val="Normal"/>
    <w:rsid w:val="007F4F72"/>
    <w:pPr>
      <w:spacing w:after="120"/>
      <w:jc w:val="center"/>
    </w:pPr>
    <w:rPr>
      <w:rFonts w:cs="Arial"/>
      <w:b/>
      <w:bCs/>
      <w:szCs w:val="24"/>
      <w:lang w:eastAsia="en-AU"/>
    </w:rPr>
  </w:style>
  <w:style w:type="paragraph" w:customStyle="1" w:styleId="TableTextNumbersCentred">
    <w:name w:val="Table Text Numbers Centred"/>
    <w:basedOn w:val="Normal"/>
    <w:rsid w:val="007F4F72"/>
    <w:pPr>
      <w:jc w:val="center"/>
    </w:pPr>
    <w:rPr>
      <w:rFonts w:ascii="Times New Roman" w:hAnsi="Times New Roman"/>
      <w:sz w:val="18"/>
      <w:szCs w:val="18"/>
      <w:lang w:eastAsia="en-AU"/>
    </w:rPr>
  </w:style>
  <w:style w:type="paragraph" w:styleId="FootnoteText">
    <w:name w:val="footnote text"/>
    <w:basedOn w:val="Normal"/>
    <w:link w:val="FootnoteTextChar"/>
    <w:rsid w:val="00C10A1F"/>
    <w:rPr>
      <w:sz w:val="20"/>
    </w:rPr>
  </w:style>
  <w:style w:type="character" w:customStyle="1" w:styleId="FootnoteTextChar">
    <w:name w:val="Footnote Text Char"/>
    <w:basedOn w:val="DefaultParagraphFont"/>
    <w:link w:val="FootnoteText"/>
    <w:locked/>
    <w:rsid w:val="007F4F72"/>
    <w:rPr>
      <w:rFonts w:ascii="Calibri" w:hAnsi="Calibri"/>
      <w:lang w:eastAsia="en-US"/>
    </w:rPr>
  </w:style>
  <w:style w:type="paragraph" w:customStyle="1" w:styleId="TableFootnoteText">
    <w:name w:val="Table Footnote Text"/>
    <w:basedOn w:val="FootnoteText"/>
    <w:rsid w:val="007F4F72"/>
    <w:pPr>
      <w:keepNext/>
      <w:tabs>
        <w:tab w:val="left" w:pos="426"/>
      </w:tabs>
      <w:spacing w:after="120"/>
      <w:jc w:val="both"/>
    </w:pPr>
    <w:rPr>
      <w:i/>
      <w:iCs/>
      <w:sz w:val="16"/>
      <w:szCs w:val="16"/>
    </w:rPr>
  </w:style>
  <w:style w:type="paragraph" w:customStyle="1" w:styleId="NumberedNotes">
    <w:name w:val="Numbered Notes"/>
    <w:basedOn w:val="FootnoteText"/>
    <w:rsid w:val="007F4F72"/>
    <w:pPr>
      <w:tabs>
        <w:tab w:val="num" w:pos="360"/>
        <w:tab w:val="left" w:pos="720"/>
      </w:tabs>
      <w:spacing w:after="60"/>
      <w:ind w:left="360" w:hanging="360"/>
      <w:jc w:val="both"/>
    </w:pPr>
    <w:rPr>
      <w:sz w:val="16"/>
      <w:szCs w:val="16"/>
    </w:rPr>
  </w:style>
  <w:style w:type="paragraph" w:customStyle="1" w:styleId="TableTextNumbers">
    <w:name w:val="Table Text Numbers"/>
    <w:basedOn w:val="Normal"/>
    <w:rsid w:val="007F4F72"/>
    <w:pPr>
      <w:spacing w:before="60" w:after="60"/>
      <w:jc w:val="right"/>
    </w:pPr>
    <w:rPr>
      <w:rFonts w:ascii="Times New Roman" w:hAnsi="Times New Roman"/>
      <w:sz w:val="18"/>
      <w:szCs w:val="18"/>
      <w:lang w:eastAsia="en-AU"/>
    </w:rPr>
  </w:style>
  <w:style w:type="character" w:customStyle="1" w:styleId="BodyText2Char">
    <w:name w:val="Body Text 2 Char"/>
    <w:basedOn w:val="DefaultParagraphFont"/>
    <w:link w:val="BodyText2"/>
    <w:semiHidden/>
    <w:locked/>
    <w:rsid w:val="007F4F72"/>
    <w:rPr>
      <w:rFonts w:ascii="Calibri" w:hAnsi="Calibri"/>
      <w:sz w:val="24"/>
      <w:lang w:eastAsia="en-US"/>
    </w:rPr>
  </w:style>
  <w:style w:type="paragraph" w:customStyle="1" w:styleId="Text">
    <w:name w:val="Text"/>
    <w:basedOn w:val="Normal"/>
    <w:rsid w:val="007F4F72"/>
    <w:pPr>
      <w:jc w:val="both"/>
    </w:pPr>
    <w:rPr>
      <w:rFonts w:ascii="Times New Roman" w:hAnsi="Times New Roman"/>
      <w:szCs w:val="24"/>
      <w:lang w:eastAsia="en-AU"/>
    </w:rPr>
  </w:style>
  <w:style w:type="paragraph" w:customStyle="1" w:styleId="Text1">
    <w:name w:val="Text 1"/>
    <w:basedOn w:val="Normal"/>
    <w:rsid w:val="007F4F72"/>
    <w:pPr>
      <w:jc w:val="both"/>
    </w:pPr>
    <w:rPr>
      <w:rFonts w:cs="Arial"/>
      <w:szCs w:val="24"/>
      <w:lang w:eastAsia="en-AU"/>
    </w:rPr>
  </w:style>
  <w:style w:type="character" w:customStyle="1" w:styleId="TitleChar">
    <w:name w:val="Title Char"/>
    <w:basedOn w:val="DefaultParagraphFont"/>
    <w:link w:val="Title"/>
    <w:locked/>
    <w:rsid w:val="007F4F72"/>
    <w:rPr>
      <w:rFonts w:ascii="Arial" w:hAnsi="Arial" w:cs="Arial"/>
      <w:b/>
      <w:bCs/>
      <w:kern w:val="28"/>
      <w:sz w:val="32"/>
      <w:szCs w:val="32"/>
      <w:lang w:eastAsia="en-US"/>
    </w:rPr>
  </w:style>
  <w:style w:type="paragraph" w:customStyle="1" w:styleId="AIBlurb0">
    <w:name w:val="AI Blurb"/>
    <w:basedOn w:val="Normal"/>
    <w:rsid w:val="007F4F72"/>
    <w:pPr>
      <w:spacing w:before="120" w:after="240"/>
      <w:ind w:left="312" w:hanging="18"/>
      <w:jc w:val="both"/>
    </w:pPr>
    <w:rPr>
      <w:rFonts w:ascii="Times New Roman" w:hAnsi="Times New Roman"/>
      <w:lang w:eastAsia="en-AU"/>
    </w:rPr>
  </w:style>
  <w:style w:type="paragraph" w:customStyle="1" w:styleId="PI2Indent">
    <w:name w:val="PI 2  Indent"/>
    <w:basedOn w:val="Normal"/>
    <w:rsid w:val="007F4F72"/>
    <w:pPr>
      <w:tabs>
        <w:tab w:val="num" w:pos="926"/>
        <w:tab w:val="left" w:pos="2700"/>
      </w:tabs>
      <w:ind w:left="926" w:hanging="360"/>
    </w:pPr>
    <w:rPr>
      <w:rFonts w:ascii="Times New Roman" w:hAnsi="Times New Roman"/>
      <w:szCs w:val="24"/>
      <w:lang w:eastAsia="en-AU"/>
    </w:rPr>
  </w:style>
  <w:style w:type="paragraph" w:customStyle="1" w:styleId="Style1Indent">
    <w:name w:val="Style1 Indent"/>
    <w:basedOn w:val="Normal"/>
    <w:rsid w:val="007F4F72"/>
    <w:pPr>
      <w:tabs>
        <w:tab w:val="num" w:pos="1209"/>
        <w:tab w:val="left" w:pos="1440"/>
      </w:tabs>
      <w:ind w:left="1209" w:hanging="360"/>
    </w:pPr>
    <w:rPr>
      <w:rFonts w:ascii="Times New Roman" w:hAnsi="Times New Roman"/>
      <w:lang w:eastAsia="en-AU"/>
    </w:rPr>
  </w:style>
  <w:style w:type="paragraph" w:customStyle="1" w:styleId="Sub-Heading1">
    <w:name w:val="Sub-Heading 1"/>
    <w:basedOn w:val="Normal"/>
    <w:next w:val="Normal"/>
    <w:rsid w:val="007F4F72"/>
    <w:pPr>
      <w:keepNext/>
      <w:spacing w:before="240" w:after="240"/>
    </w:pPr>
    <w:rPr>
      <w:rFonts w:cs="Arial"/>
      <w:i/>
      <w:iCs/>
      <w:szCs w:val="24"/>
      <w:lang w:eastAsia="en-AU"/>
    </w:rPr>
  </w:style>
  <w:style w:type="paragraph" w:customStyle="1" w:styleId="Sub-Headings">
    <w:name w:val="Sub-Headings"/>
    <w:basedOn w:val="Normal"/>
    <w:rsid w:val="007F4F72"/>
    <w:pPr>
      <w:keepNext/>
      <w:spacing w:before="240" w:after="120"/>
    </w:pPr>
    <w:rPr>
      <w:rFonts w:cs="Arial"/>
      <w:i/>
      <w:iCs/>
      <w:szCs w:val="24"/>
      <w:lang w:eastAsia="en-AU"/>
    </w:rPr>
  </w:style>
  <w:style w:type="paragraph" w:customStyle="1" w:styleId="Heading30">
    <w:name w:val="Heading_3"/>
    <w:basedOn w:val="Normal"/>
    <w:next w:val="Normal"/>
    <w:rsid w:val="007F4F72"/>
    <w:pPr>
      <w:tabs>
        <w:tab w:val="left" w:pos="360"/>
        <w:tab w:val="left" w:pos="1134"/>
      </w:tabs>
      <w:spacing w:after="120"/>
      <w:ind w:left="360" w:hanging="360"/>
    </w:pPr>
    <w:rPr>
      <w:rFonts w:ascii="Times New Roman" w:hAnsi="Times New Roman"/>
      <w:szCs w:val="24"/>
      <w:lang w:eastAsia="en-AU"/>
    </w:rPr>
  </w:style>
  <w:style w:type="paragraph" w:customStyle="1" w:styleId="MinorHeading">
    <w:name w:val="Minor Heading"/>
    <w:basedOn w:val="Normal"/>
    <w:rsid w:val="007F4F72"/>
    <w:pPr>
      <w:keepNext/>
      <w:spacing w:before="240" w:after="240"/>
    </w:pPr>
    <w:rPr>
      <w:rFonts w:ascii="Times New Roman" w:hAnsi="Times New Roman"/>
      <w:szCs w:val="24"/>
      <w:lang w:eastAsia="en-AU"/>
    </w:rPr>
  </w:style>
  <w:style w:type="paragraph" w:customStyle="1" w:styleId="BodyText1">
    <w:name w:val="Body Text 1"/>
    <w:basedOn w:val="Normal"/>
    <w:rsid w:val="007F4F72"/>
    <w:pPr>
      <w:jc w:val="both"/>
    </w:pPr>
    <w:rPr>
      <w:rFonts w:ascii="Times New Roman" w:hAnsi="Times New Roman"/>
      <w:szCs w:val="24"/>
      <w:lang w:eastAsia="en-AU"/>
    </w:rPr>
  </w:style>
  <w:style w:type="paragraph" w:customStyle="1" w:styleId="xl26">
    <w:name w:val="xl26"/>
    <w:basedOn w:val="Normal"/>
    <w:rsid w:val="007F4F72"/>
    <w:pPr>
      <w:pBdr>
        <w:top w:val="single" w:sz="4" w:space="0" w:color="auto"/>
      </w:pBdr>
      <w:spacing w:before="100" w:after="100"/>
      <w:jc w:val="right"/>
    </w:pPr>
    <w:rPr>
      <w:rFonts w:ascii="Times New Roman" w:hAnsi="Times New Roman"/>
      <w:szCs w:val="24"/>
      <w:lang w:eastAsia="en-AU"/>
    </w:rPr>
  </w:style>
  <w:style w:type="paragraph" w:customStyle="1" w:styleId="xl27">
    <w:name w:val="xl27"/>
    <w:basedOn w:val="Normal"/>
    <w:rsid w:val="007F4F72"/>
    <w:pPr>
      <w:spacing w:before="100" w:after="100"/>
      <w:jc w:val="right"/>
    </w:pPr>
    <w:rPr>
      <w:rFonts w:ascii="Times New Roman" w:hAnsi="Times New Roman"/>
      <w:szCs w:val="24"/>
      <w:lang w:eastAsia="en-AU"/>
    </w:rPr>
  </w:style>
  <w:style w:type="paragraph" w:customStyle="1" w:styleId="xl28">
    <w:name w:val="xl28"/>
    <w:basedOn w:val="Normal"/>
    <w:rsid w:val="007F4F72"/>
    <w:pPr>
      <w:spacing w:before="100" w:after="100"/>
      <w:jc w:val="center"/>
    </w:pPr>
    <w:rPr>
      <w:rFonts w:ascii="Times New Roman" w:hAnsi="Times New Roman"/>
      <w:szCs w:val="24"/>
      <w:lang w:eastAsia="en-AU"/>
    </w:rPr>
  </w:style>
  <w:style w:type="paragraph" w:customStyle="1" w:styleId="xl29">
    <w:name w:val="xl29"/>
    <w:basedOn w:val="Normal"/>
    <w:rsid w:val="007F4F72"/>
    <w:pPr>
      <w:spacing w:before="100" w:after="100"/>
    </w:pPr>
    <w:rPr>
      <w:rFonts w:ascii="Times New Roman" w:hAnsi="Times New Roman"/>
      <w:szCs w:val="24"/>
      <w:lang w:eastAsia="en-AU"/>
    </w:rPr>
  </w:style>
  <w:style w:type="paragraph" w:customStyle="1" w:styleId="xl30">
    <w:name w:val="xl30"/>
    <w:basedOn w:val="Normal"/>
    <w:rsid w:val="007F4F72"/>
    <w:pPr>
      <w:pBdr>
        <w:bottom w:val="single" w:sz="4" w:space="0" w:color="auto"/>
      </w:pBdr>
      <w:spacing w:before="100" w:after="100"/>
      <w:jc w:val="right"/>
    </w:pPr>
    <w:rPr>
      <w:rFonts w:ascii="Times New Roman" w:hAnsi="Times New Roman"/>
      <w:szCs w:val="24"/>
      <w:lang w:eastAsia="en-AU"/>
    </w:rPr>
  </w:style>
  <w:style w:type="paragraph" w:customStyle="1" w:styleId="xl31">
    <w:name w:val="xl31"/>
    <w:basedOn w:val="Normal"/>
    <w:rsid w:val="007F4F72"/>
    <w:pPr>
      <w:spacing w:before="100" w:after="100"/>
      <w:jc w:val="center"/>
    </w:pPr>
    <w:rPr>
      <w:rFonts w:ascii="Times New Roman" w:hAnsi="Times New Roman"/>
      <w:szCs w:val="24"/>
      <w:lang w:eastAsia="en-AU"/>
    </w:rPr>
  </w:style>
  <w:style w:type="paragraph" w:customStyle="1" w:styleId="xl32">
    <w:name w:val="xl32"/>
    <w:basedOn w:val="Normal"/>
    <w:rsid w:val="007F4F72"/>
    <w:pPr>
      <w:spacing w:before="100" w:after="100"/>
    </w:pPr>
    <w:rPr>
      <w:rFonts w:ascii="Times New Roman" w:hAnsi="Times New Roman"/>
      <w:szCs w:val="24"/>
      <w:lang w:eastAsia="en-AU"/>
    </w:rPr>
  </w:style>
  <w:style w:type="paragraph" w:customStyle="1" w:styleId="xl33">
    <w:name w:val="xl33"/>
    <w:basedOn w:val="Normal"/>
    <w:rsid w:val="007F4F72"/>
    <w:pPr>
      <w:pBdr>
        <w:bottom w:val="single" w:sz="4" w:space="0" w:color="auto"/>
      </w:pBdr>
      <w:spacing w:before="100" w:after="100"/>
    </w:pPr>
    <w:rPr>
      <w:rFonts w:ascii="Times New Roman" w:hAnsi="Times New Roman"/>
      <w:szCs w:val="24"/>
      <w:lang w:eastAsia="en-AU"/>
    </w:rPr>
  </w:style>
  <w:style w:type="paragraph" w:customStyle="1" w:styleId="xl34">
    <w:name w:val="xl34"/>
    <w:basedOn w:val="Normal"/>
    <w:rsid w:val="007F4F72"/>
    <w:pPr>
      <w:spacing w:before="100" w:after="100"/>
    </w:pPr>
    <w:rPr>
      <w:rFonts w:ascii="Times New Roman" w:hAnsi="Times New Roman"/>
      <w:szCs w:val="24"/>
      <w:lang w:eastAsia="en-AU"/>
    </w:rPr>
  </w:style>
  <w:style w:type="paragraph" w:customStyle="1" w:styleId="xl35">
    <w:name w:val="xl35"/>
    <w:basedOn w:val="Normal"/>
    <w:rsid w:val="007F4F72"/>
    <w:pPr>
      <w:spacing w:before="100" w:after="100"/>
    </w:pPr>
    <w:rPr>
      <w:rFonts w:ascii="Times New Roman" w:hAnsi="Times New Roman"/>
      <w:szCs w:val="24"/>
      <w:lang w:eastAsia="en-AU"/>
    </w:rPr>
  </w:style>
  <w:style w:type="paragraph" w:customStyle="1" w:styleId="xl36">
    <w:name w:val="xl36"/>
    <w:basedOn w:val="Normal"/>
    <w:rsid w:val="007F4F72"/>
    <w:pPr>
      <w:spacing w:before="100" w:after="100"/>
    </w:pPr>
    <w:rPr>
      <w:rFonts w:ascii="Times New Roman" w:hAnsi="Times New Roman"/>
      <w:szCs w:val="24"/>
      <w:lang w:eastAsia="en-AU"/>
    </w:rPr>
  </w:style>
  <w:style w:type="paragraph" w:customStyle="1" w:styleId="xl37">
    <w:name w:val="xl37"/>
    <w:basedOn w:val="Normal"/>
    <w:rsid w:val="007F4F72"/>
    <w:pPr>
      <w:spacing w:before="100" w:after="100"/>
    </w:pPr>
    <w:rPr>
      <w:rFonts w:ascii="Times New Roman" w:hAnsi="Times New Roman"/>
      <w:szCs w:val="24"/>
      <w:lang w:eastAsia="en-AU"/>
    </w:rPr>
  </w:style>
  <w:style w:type="paragraph" w:customStyle="1" w:styleId="xl38">
    <w:name w:val="xl38"/>
    <w:basedOn w:val="Normal"/>
    <w:rsid w:val="007F4F72"/>
    <w:pPr>
      <w:spacing w:before="100" w:after="100"/>
    </w:pPr>
    <w:rPr>
      <w:rFonts w:ascii="Times New Roman" w:hAnsi="Times New Roman"/>
      <w:szCs w:val="24"/>
      <w:lang w:eastAsia="en-AU"/>
    </w:rPr>
  </w:style>
  <w:style w:type="paragraph" w:customStyle="1" w:styleId="xl39">
    <w:name w:val="xl39"/>
    <w:basedOn w:val="Normal"/>
    <w:rsid w:val="007F4F72"/>
    <w:pPr>
      <w:pBdr>
        <w:top w:val="single" w:sz="4" w:space="0" w:color="auto"/>
      </w:pBdr>
      <w:spacing w:before="100" w:after="100"/>
    </w:pPr>
    <w:rPr>
      <w:rFonts w:ascii="Times New Roman" w:hAnsi="Times New Roman"/>
      <w:szCs w:val="24"/>
      <w:lang w:eastAsia="en-AU"/>
    </w:rPr>
  </w:style>
  <w:style w:type="character" w:customStyle="1" w:styleId="BodyText3Char">
    <w:name w:val="Body Text 3 Char"/>
    <w:basedOn w:val="DefaultParagraphFont"/>
    <w:link w:val="BodyText3"/>
    <w:semiHidden/>
    <w:locked/>
    <w:rsid w:val="007F4F72"/>
    <w:rPr>
      <w:rFonts w:ascii="Calibri" w:hAnsi="Calibri"/>
      <w:sz w:val="16"/>
      <w:szCs w:val="16"/>
      <w:lang w:eastAsia="en-US"/>
    </w:rPr>
  </w:style>
  <w:style w:type="character" w:styleId="CommentReference">
    <w:name w:val="annotation reference"/>
    <w:basedOn w:val="DefaultParagraphFont"/>
    <w:rsid w:val="00C10A1F"/>
    <w:rPr>
      <w:rFonts w:ascii="Calibri" w:hAnsi="Calibri"/>
      <w:sz w:val="16"/>
      <w:szCs w:val="16"/>
    </w:rPr>
  </w:style>
  <w:style w:type="paragraph" w:styleId="CommentText">
    <w:name w:val="annotation text"/>
    <w:basedOn w:val="Normal"/>
    <w:link w:val="CommentTextChar"/>
    <w:rsid w:val="00C10A1F"/>
    <w:rPr>
      <w:sz w:val="20"/>
    </w:rPr>
  </w:style>
  <w:style w:type="character" w:customStyle="1" w:styleId="CommentTextChar">
    <w:name w:val="Comment Text Char"/>
    <w:basedOn w:val="DefaultParagraphFont"/>
    <w:link w:val="CommentText"/>
    <w:locked/>
    <w:rsid w:val="007F4F72"/>
    <w:rPr>
      <w:rFonts w:ascii="Calibri" w:hAnsi="Calibri"/>
      <w:lang w:eastAsia="en-US"/>
    </w:rPr>
  </w:style>
  <w:style w:type="paragraph" w:styleId="CommentSubject">
    <w:name w:val="annotation subject"/>
    <w:basedOn w:val="CommentText"/>
    <w:next w:val="CommentText"/>
    <w:link w:val="CommentSubjectChar"/>
    <w:rsid w:val="00C10A1F"/>
    <w:rPr>
      <w:b/>
      <w:bCs/>
    </w:rPr>
  </w:style>
  <w:style w:type="character" w:customStyle="1" w:styleId="CommentSubjectChar">
    <w:name w:val="Comment Subject Char"/>
    <w:basedOn w:val="CommentTextChar"/>
    <w:link w:val="CommentSubject"/>
    <w:locked/>
    <w:rsid w:val="007F4F72"/>
    <w:rPr>
      <w:b/>
      <w:bCs/>
    </w:rPr>
  </w:style>
  <w:style w:type="paragraph" w:customStyle="1" w:styleId="Chapters">
    <w:name w:val="Chapters"/>
    <w:basedOn w:val="Normal"/>
    <w:rsid w:val="007F4F72"/>
    <w:pPr>
      <w:tabs>
        <w:tab w:val="left" w:pos="284"/>
        <w:tab w:val="left" w:pos="1985"/>
        <w:tab w:val="left" w:pos="7797"/>
        <w:tab w:val="right" w:pos="8505"/>
      </w:tabs>
    </w:pPr>
    <w:rPr>
      <w:rFonts w:ascii="Times New Roman" w:hAnsi="Times New Roman"/>
      <w:szCs w:val="24"/>
      <w:lang w:eastAsia="en-AU"/>
    </w:rPr>
  </w:style>
  <w:style w:type="paragraph" w:customStyle="1" w:styleId="Footnote">
    <w:name w:val="Footnote"/>
    <w:basedOn w:val="Normal"/>
    <w:rsid w:val="007F4F72"/>
    <w:rPr>
      <w:rFonts w:ascii="Times New Roman" w:hAnsi="Times New Roman"/>
      <w:szCs w:val="24"/>
      <w:lang w:eastAsia="en-AU"/>
    </w:rPr>
  </w:style>
  <w:style w:type="paragraph" w:customStyle="1" w:styleId="MajorHeading">
    <w:name w:val="Major Heading"/>
    <w:basedOn w:val="Normal"/>
    <w:rsid w:val="00C10A1F"/>
    <w:pPr>
      <w:spacing w:after="120"/>
    </w:pPr>
    <w:rPr>
      <w:rFonts w:ascii="Arial" w:hAnsi="Arial"/>
      <w:b/>
      <w:sz w:val="28"/>
    </w:rPr>
  </w:style>
  <w:style w:type="paragraph" w:customStyle="1" w:styleId="TableText1">
    <w:name w:val="Table Text 1"/>
    <w:basedOn w:val="Normal"/>
    <w:rsid w:val="007F4F72"/>
    <w:rPr>
      <w:rFonts w:ascii="Times New Roman" w:hAnsi="Times New Roman"/>
      <w:szCs w:val="24"/>
      <w:lang w:eastAsia="en-AU"/>
    </w:rPr>
  </w:style>
  <w:style w:type="paragraph" w:customStyle="1" w:styleId="TableTextHeading1">
    <w:name w:val="Table Text Heading 1"/>
    <w:basedOn w:val="Normal"/>
    <w:rsid w:val="007F4F72"/>
    <w:pPr>
      <w:jc w:val="right"/>
    </w:pPr>
    <w:rPr>
      <w:rFonts w:ascii="Times New Roman" w:hAnsi="Times New Roman"/>
      <w:szCs w:val="24"/>
      <w:lang w:eastAsia="en-AU"/>
    </w:rPr>
  </w:style>
  <w:style w:type="paragraph" w:customStyle="1" w:styleId="TableTextHeading2">
    <w:name w:val="Table Text Heading 2"/>
    <w:basedOn w:val="Normal"/>
    <w:rsid w:val="007F4F72"/>
    <w:rPr>
      <w:rFonts w:ascii="Times New Roman" w:hAnsi="Times New Roman"/>
      <w:szCs w:val="24"/>
      <w:lang w:eastAsia="en-AU"/>
    </w:rPr>
  </w:style>
  <w:style w:type="paragraph" w:customStyle="1" w:styleId="TableTextTotals">
    <w:name w:val="Table Text Totals"/>
    <w:basedOn w:val="Normal"/>
    <w:rsid w:val="007F4F72"/>
    <w:pPr>
      <w:jc w:val="right"/>
    </w:pPr>
    <w:rPr>
      <w:rFonts w:ascii="Times New Roman" w:hAnsi="Times New Roman"/>
      <w:szCs w:val="24"/>
      <w:lang w:eastAsia="en-AU"/>
    </w:rPr>
  </w:style>
  <w:style w:type="paragraph" w:customStyle="1" w:styleId="Default">
    <w:name w:val="Default"/>
    <w:basedOn w:val="Normal0"/>
    <w:rsid w:val="007F4F72"/>
    <w:pPr>
      <w:widowControl/>
    </w:pPr>
    <w:rPr>
      <w:rFonts w:ascii="Times New Roman" w:hAnsi="Times New Roman" w:cs="Times New Roman"/>
    </w:rPr>
  </w:style>
  <w:style w:type="paragraph" w:customStyle="1" w:styleId="Pa14">
    <w:name w:val="Pa14"/>
    <w:basedOn w:val="Default"/>
    <w:next w:val="Default"/>
    <w:rsid w:val="007F4F72"/>
    <w:pPr>
      <w:spacing w:line="240" w:lineRule="atLeast"/>
    </w:pPr>
  </w:style>
  <w:style w:type="paragraph" w:customStyle="1" w:styleId="xl40">
    <w:name w:val="xl40"/>
    <w:basedOn w:val="Normal"/>
    <w:rsid w:val="007F4F72"/>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41">
    <w:name w:val="xl41"/>
    <w:basedOn w:val="Normal"/>
    <w:rsid w:val="007F4F72"/>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42">
    <w:name w:val="xl42"/>
    <w:basedOn w:val="Normal"/>
    <w:rsid w:val="007F4F72"/>
    <w:pPr>
      <w:pBdr>
        <w:bottom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43">
    <w:name w:val="xl43"/>
    <w:basedOn w:val="Normal"/>
    <w:rsid w:val="007F4F72"/>
    <w:pPr>
      <w:spacing w:before="100" w:beforeAutospacing="1" w:after="100" w:afterAutospacing="1"/>
    </w:pPr>
    <w:rPr>
      <w:rFonts w:ascii="Times New Roman" w:hAnsi="Times New Roman"/>
      <w:sz w:val="18"/>
      <w:szCs w:val="18"/>
      <w:lang w:eastAsia="en-AU"/>
    </w:rPr>
  </w:style>
  <w:style w:type="paragraph" w:customStyle="1" w:styleId="xl23">
    <w:name w:val="xl23"/>
    <w:basedOn w:val="Normal"/>
    <w:rsid w:val="007F4F72"/>
    <w:pPr>
      <w:spacing w:before="100" w:beforeAutospacing="1" w:after="100" w:afterAutospacing="1"/>
    </w:pPr>
    <w:rPr>
      <w:rFonts w:ascii="Times New Roman" w:hAnsi="Times New Roman"/>
      <w:b/>
      <w:bCs/>
      <w:sz w:val="18"/>
      <w:szCs w:val="18"/>
      <w:lang w:eastAsia="en-AU"/>
    </w:rPr>
  </w:style>
  <w:style w:type="paragraph" w:customStyle="1" w:styleId="xl24">
    <w:name w:val="xl24"/>
    <w:basedOn w:val="Normal"/>
    <w:rsid w:val="007F4F72"/>
    <w:pPr>
      <w:spacing w:before="100" w:beforeAutospacing="1" w:after="100" w:afterAutospacing="1"/>
    </w:pPr>
    <w:rPr>
      <w:rFonts w:ascii="Times New Roman" w:hAnsi="Times New Roman"/>
      <w:sz w:val="18"/>
      <w:szCs w:val="18"/>
      <w:lang w:eastAsia="en-AU"/>
    </w:rPr>
  </w:style>
  <w:style w:type="paragraph" w:customStyle="1" w:styleId="font5">
    <w:name w:val="font5"/>
    <w:basedOn w:val="Normal"/>
    <w:rsid w:val="007F4F72"/>
    <w:pPr>
      <w:spacing w:before="100" w:beforeAutospacing="1" w:after="100" w:afterAutospacing="1"/>
    </w:pPr>
    <w:rPr>
      <w:rFonts w:ascii="Tahoma" w:hAnsi="Tahoma" w:cs="Tahoma"/>
      <w:color w:val="000000"/>
      <w:sz w:val="16"/>
      <w:szCs w:val="16"/>
      <w:lang w:eastAsia="en-AU"/>
    </w:rPr>
  </w:style>
  <w:style w:type="paragraph" w:customStyle="1" w:styleId="font6">
    <w:name w:val="font6"/>
    <w:basedOn w:val="Normal"/>
    <w:rsid w:val="007F4F72"/>
    <w:pPr>
      <w:spacing w:before="100" w:beforeAutospacing="1" w:after="100" w:afterAutospacing="1"/>
    </w:pPr>
    <w:rPr>
      <w:rFonts w:ascii="Tahoma" w:hAnsi="Tahoma" w:cs="Tahoma"/>
      <w:b/>
      <w:bCs/>
      <w:color w:val="000000"/>
      <w:sz w:val="16"/>
      <w:szCs w:val="16"/>
      <w:lang w:eastAsia="en-AU"/>
    </w:rPr>
  </w:style>
  <w:style w:type="paragraph" w:customStyle="1" w:styleId="xl44">
    <w:name w:val="xl44"/>
    <w:basedOn w:val="Normal"/>
    <w:rsid w:val="007F4F72"/>
    <w:pPr>
      <w:shd w:val="clear" w:color="auto" w:fill="FFFF00"/>
      <w:spacing w:before="100" w:beforeAutospacing="1" w:after="100" w:afterAutospacing="1"/>
    </w:pPr>
    <w:rPr>
      <w:rFonts w:ascii="Times New Roman" w:hAnsi="Times New Roman"/>
      <w:sz w:val="18"/>
      <w:szCs w:val="18"/>
      <w:lang w:eastAsia="en-AU"/>
    </w:rPr>
  </w:style>
  <w:style w:type="paragraph" w:customStyle="1" w:styleId="xl45">
    <w:name w:val="xl45"/>
    <w:basedOn w:val="Normal"/>
    <w:rsid w:val="007F4F72"/>
    <w:pPr>
      <w:shd w:val="clear" w:color="auto" w:fill="FFFF00"/>
      <w:spacing w:before="100" w:beforeAutospacing="1" w:after="100" w:afterAutospacing="1"/>
    </w:pPr>
    <w:rPr>
      <w:rFonts w:ascii="Times New Roman" w:hAnsi="Times New Roman"/>
      <w:sz w:val="18"/>
      <w:szCs w:val="18"/>
      <w:lang w:eastAsia="en-AU"/>
    </w:rPr>
  </w:style>
  <w:style w:type="paragraph" w:customStyle="1" w:styleId="xl46">
    <w:name w:val="xl46"/>
    <w:basedOn w:val="Normal"/>
    <w:rsid w:val="007F4F72"/>
    <w:pPr>
      <w:shd w:val="clear" w:color="auto" w:fill="FFFF99"/>
      <w:spacing w:before="100" w:beforeAutospacing="1" w:after="100" w:afterAutospacing="1"/>
    </w:pPr>
    <w:rPr>
      <w:rFonts w:ascii="Times New Roman" w:hAnsi="Times New Roman"/>
      <w:sz w:val="18"/>
      <w:szCs w:val="18"/>
      <w:lang w:eastAsia="en-AU"/>
    </w:rPr>
  </w:style>
  <w:style w:type="paragraph" w:customStyle="1" w:styleId="StyleTableTextLeftBold-BP410ptRight-011cm">
    <w:name w:val="Style Table Text Left Bold - BP4 10pt + Right:  -0.11 cm"/>
    <w:basedOn w:val="TableTextLeftBold-BP410pt"/>
    <w:rsid w:val="007F4F72"/>
    <w:pPr>
      <w:ind w:right="-64"/>
    </w:pPr>
    <w:rPr>
      <w:bCs/>
    </w:rPr>
  </w:style>
  <w:style w:type="paragraph" w:customStyle="1" w:styleId="StyleNoteheading">
    <w:name w:val="Style Note heading +"/>
    <w:basedOn w:val="NoteHeading1"/>
    <w:rsid w:val="007F4F72"/>
    <w:pPr>
      <w:spacing w:before="60"/>
    </w:pPr>
    <w:rPr>
      <w:rFonts w:ascii="Times New Roman" w:hAnsi="Times New Roman"/>
      <w:sz w:val="18"/>
    </w:rPr>
  </w:style>
  <w:style w:type="character" w:customStyle="1" w:styleId="A4">
    <w:name w:val="A4"/>
    <w:basedOn w:val="DefaultParagraphFont"/>
    <w:rsid w:val="007F4F72"/>
    <w:rPr>
      <w:rFonts w:cs="Times New Roman"/>
    </w:rPr>
  </w:style>
  <w:style w:type="character" w:customStyle="1" w:styleId="TableFigTextChar">
    <w:name w:val="Table/Fig: Text Char"/>
    <w:basedOn w:val="DefaultParagraphFont"/>
    <w:link w:val="TableFigText"/>
    <w:locked/>
    <w:rsid w:val="007F4F72"/>
    <w:rPr>
      <w:rFonts w:ascii="Arial" w:hAnsi="Arial"/>
      <w:color w:val="000000"/>
      <w:sz w:val="16"/>
      <w:lang w:eastAsia="en-US" w:bidi="ar-SA"/>
    </w:rPr>
  </w:style>
  <w:style w:type="character" w:customStyle="1" w:styleId="TableFigHeadingtotalChar">
    <w:name w:val="Table/Fig: Heading &amp; total Char"/>
    <w:basedOn w:val="TableFigTextChar"/>
    <w:link w:val="TableFigHeadingtotal"/>
    <w:locked/>
    <w:rsid w:val="007F4F72"/>
    <w:rPr>
      <w:rFonts w:ascii="Arial" w:hAnsi="Arial"/>
      <w:b/>
      <w:color w:val="000000"/>
      <w:sz w:val="16"/>
      <w:lang w:eastAsia="en-US" w:bidi="ar-SA"/>
    </w:rPr>
  </w:style>
  <w:style w:type="character" w:customStyle="1" w:styleId="TableCaptionChar">
    <w:name w:val="Table: Caption Char"/>
    <w:basedOn w:val="DefaultParagraphFont"/>
    <w:link w:val="TableCaption"/>
    <w:locked/>
    <w:rsid w:val="007F4F72"/>
    <w:rPr>
      <w:rFonts w:ascii="Book Antiqua" w:hAnsi="Book Antiqua"/>
      <w:b/>
      <w:color w:val="000000"/>
      <w:lang w:eastAsia="en-US" w:bidi="ar-SA"/>
    </w:rPr>
  </w:style>
  <w:style w:type="paragraph" w:customStyle="1" w:styleId="TableFigText">
    <w:name w:val="Table/Fig: Text"/>
    <w:basedOn w:val="Normal"/>
    <w:link w:val="TableFigTextChar"/>
    <w:rsid w:val="007F4F72"/>
    <w:pPr>
      <w:keepLines/>
      <w:tabs>
        <w:tab w:val="left" w:pos="198"/>
      </w:tabs>
      <w:spacing w:before="60" w:after="60" w:line="200" w:lineRule="atLeast"/>
    </w:pPr>
    <w:rPr>
      <w:color w:val="000000"/>
      <w:sz w:val="16"/>
    </w:rPr>
  </w:style>
  <w:style w:type="paragraph" w:customStyle="1" w:styleId="TableCaption">
    <w:name w:val="Table: Caption"/>
    <w:basedOn w:val="Normal"/>
    <w:next w:val="TableFigHeadingtotal"/>
    <w:link w:val="TableCaptionChar"/>
    <w:rsid w:val="007F4F72"/>
    <w:pPr>
      <w:keepNext/>
      <w:keepLines/>
      <w:spacing w:before="240" w:after="120" w:line="240" w:lineRule="atLeast"/>
    </w:pPr>
    <w:rPr>
      <w:rFonts w:ascii="Book Antiqua" w:hAnsi="Book Antiqua"/>
      <w:b/>
      <w:color w:val="000000"/>
    </w:rPr>
  </w:style>
  <w:style w:type="paragraph" w:customStyle="1" w:styleId="TableSourcefootnotes">
    <w:name w:val="Table: Source &amp; footnotes"/>
    <w:basedOn w:val="Normal"/>
    <w:next w:val="Normal"/>
    <w:link w:val="TableSourcefootnotesChar"/>
    <w:rsid w:val="007F4F72"/>
    <w:pPr>
      <w:keepLines/>
      <w:tabs>
        <w:tab w:val="left" w:pos="397"/>
      </w:tabs>
      <w:spacing w:before="120" w:after="240" w:line="180" w:lineRule="atLeast"/>
    </w:pPr>
    <w:rPr>
      <w:color w:val="000000"/>
      <w:sz w:val="14"/>
    </w:rPr>
  </w:style>
  <w:style w:type="paragraph" w:customStyle="1" w:styleId="TableFigHeadingtotal">
    <w:name w:val="Table/Fig: Heading &amp; total"/>
    <w:basedOn w:val="TableFigText"/>
    <w:next w:val="TableFigText"/>
    <w:link w:val="TableFigHeadingtotalChar"/>
    <w:rsid w:val="007F4F72"/>
    <w:rPr>
      <w:b/>
    </w:rPr>
  </w:style>
  <w:style w:type="character" w:customStyle="1" w:styleId="TableSourcefootnotesChar">
    <w:name w:val="Table: Source &amp; footnotes Char"/>
    <w:basedOn w:val="DefaultParagraphFont"/>
    <w:link w:val="TableSourcefootnotes"/>
    <w:locked/>
    <w:rsid w:val="007F4F72"/>
    <w:rPr>
      <w:rFonts w:ascii="Arial" w:hAnsi="Arial"/>
      <w:color w:val="000000"/>
      <w:sz w:val="14"/>
      <w:lang w:val="en-AU" w:eastAsia="en-US" w:bidi="ar-SA"/>
    </w:rPr>
  </w:style>
  <w:style w:type="paragraph" w:customStyle="1" w:styleId="11Figureheading">
    <w:name w:val="11. Figure heading"/>
    <w:basedOn w:val="Normal"/>
    <w:link w:val="11FigureheadingChar"/>
    <w:qFormat/>
    <w:rsid w:val="007F4F72"/>
    <w:pPr>
      <w:keepNext/>
      <w:pBdr>
        <w:bottom w:val="single" w:sz="4" w:space="1" w:color="auto"/>
      </w:pBdr>
      <w:tabs>
        <w:tab w:val="left" w:pos="1134"/>
      </w:tabs>
      <w:spacing w:before="300" w:after="57" w:line="240" w:lineRule="atLeast"/>
      <w:ind w:left="1134" w:hanging="1134"/>
    </w:pPr>
    <w:rPr>
      <w:b/>
      <w:color w:val="213F7D"/>
      <w:szCs w:val="22"/>
    </w:rPr>
  </w:style>
  <w:style w:type="character" w:customStyle="1" w:styleId="11FigureheadingChar">
    <w:name w:val="11. Figure heading Char"/>
    <w:basedOn w:val="DefaultParagraphFont"/>
    <w:link w:val="11Figureheading"/>
    <w:locked/>
    <w:rsid w:val="007F4F72"/>
    <w:rPr>
      <w:rFonts w:ascii="Arial" w:hAnsi="Arial"/>
      <w:b/>
      <w:color w:val="213F7D"/>
      <w:szCs w:val="22"/>
      <w:lang w:val="en-AU" w:eastAsia="en-US" w:bidi="ar-SA"/>
    </w:rPr>
  </w:style>
  <w:style w:type="paragraph" w:styleId="ListParagraph">
    <w:name w:val="List Paragraph"/>
    <w:basedOn w:val="Normal"/>
    <w:qFormat/>
    <w:rsid w:val="00C10A1F"/>
    <w:pPr>
      <w:ind w:left="720"/>
    </w:pPr>
    <w:rPr>
      <w:szCs w:val="24"/>
    </w:rPr>
  </w:style>
  <w:style w:type="paragraph" w:customStyle="1" w:styleId="Normalnumbered">
    <w:name w:val="Normal numbered"/>
    <w:basedOn w:val="Normal"/>
    <w:link w:val="NormalnumberedChar"/>
    <w:rsid w:val="007F4F72"/>
    <w:pPr>
      <w:spacing w:after="240" w:line="260" w:lineRule="exact"/>
      <w:jc w:val="both"/>
    </w:pPr>
    <w:rPr>
      <w:rFonts w:ascii="Corbel" w:hAnsi="Corbel"/>
      <w:color w:val="000000"/>
      <w:sz w:val="23"/>
      <w:lang w:eastAsia="en-AU"/>
    </w:rPr>
  </w:style>
  <w:style w:type="character" w:customStyle="1" w:styleId="NormalnumberedChar">
    <w:name w:val="Normal numbered Char"/>
    <w:basedOn w:val="DefaultParagraphFont"/>
    <w:link w:val="Normalnumbered"/>
    <w:locked/>
    <w:rsid w:val="007F4F72"/>
    <w:rPr>
      <w:rFonts w:ascii="Corbel" w:hAnsi="Corbel"/>
      <w:color w:val="000000"/>
      <w:sz w:val="23"/>
      <w:lang w:val="en-AU" w:eastAsia="en-AU" w:bidi="ar-SA"/>
    </w:rPr>
  </w:style>
  <w:style w:type="paragraph" w:customStyle="1" w:styleId="CharCharChar">
    <w:name w:val="Char Char Char"/>
    <w:basedOn w:val="Normal"/>
    <w:rsid w:val="007F4F72"/>
    <w:rPr>
      <w:rFonts w:cs="Arial"/>
      <w:sz w:val="22"/>
      <w:szCs w:val="22"/>
    </w:rPr>
  </w:style>
  <w:style w:type="paragraph" w:customStyle="1" w:styleId="StyleNoteHeadingKernat14pt">
    <w:name w:val="Style Note Heading + Kern at 14 pt"/>
    <w:basedOn w:val="NoteHeading"/>
    <w:rsid w:val="007F4F72"/>
    <w:rPr>
      <w:rFonts w:ascii="Times New Roman" w:hAnsi="Times New Roman"/>
      <w:bCs/>
      <w:kern w:val="28"/>
    </w:rPr>
  </w:style>
  <w:style w:type="character" w:customStyle="1" w:styleId="NoteTextChar">
    <w:name w:val="Note Text Char"/>
    <w:basedOn w:val="DefaultParagraphFont"/>
    <w:link w:val="NoteText"/>
    <w:rsid w:val="007F4F72"/>
    <w:rPr>
      <w:rFonts w:ascii="Calibri" w:hAnsi="Calibri"/>
      <w:iCs/>
      <w:sz w:val="16"/>
      <w:lang w:eastAsia="en-US"/>
    </w:rPr>
  </w:style>
  <w:style w:type="character" w:customStyle="1" w:styleId="SIHeading2Char">
    <w:name w:val="SI Heading 2 Char"/>
    <w:basedOn w:val="DefaultParagraphFont"/>
    <w:link w:val="SIHeading2"/>
    <w:rsid w:val="007F4F72"/>
    <w:rPr>
      <w:rFonts w:ascii="Arial" w:hAnsi="Arial"/>
      <w:kern w:val="28"/>
      <w:lang w:eastAsia="en-US"/>
    </w:rPr>
  </w:style>
  <w:style w:type="character" w:customStyle="1" w:styleId="CharChar">
    <w:name w:val="Char Char"/>
    <w:basedOn w:val="DefaultParagraphFont"/>
    <w:rsid w:val="00C10A1F"/>
    <w:rPr>
      <w:rFonts w:ascii="Calibri" w:hAnsi="Calibri"/>
      <w:sz w:val="24"/>
      <w:lang w:val="en-AU" w:eastAsia="en-US" w:bidi="ar-SA"/>
    </w:rPr>
  </w:style>
  <w:style w:type="character" w:customStyle="1" w:styleId="CharChar1">
    <w:name w:val="Char Char1"/>
    <w:basedOn w:val="DefaultParagraphFont"/>
    <w:rsid w:val="00C10A1F"/>
    <w:rPr>
      <w:rFonts w:ascii="Arial" w:hAnsi="Arial" w:cs="Arial"/>
      <w:b/>
      <w:bCs/>
      <w:sz w:val="24"/>
      <w:szCs w:val="26"/>
      <w:lang w:val="en-AU" w:eastAsia="en-US" w:bidi="ar-SA"/>
    </w:rPr>
  </w:style>
  <w:style w:type="table" w:styleId="ColorfulGrid-Accent2">
    <w:name w:val="Colorful Grid Accent 2"/>
    <w:basedOn w:val="TableNormal"/>
    <w:uiPriority w:val="73"/>
    <w:rsid w:val="00C10A1F"/>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10A1F"/>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10A1F"/>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10A1F"/>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10A1F"/>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EndnoteReference">
    <w:name w:val="endnote reference"/>
    <w:basedOn w:val="DefaultParagraphFont"/>
    <w:rsid w:val="00C10A1F"/>
    <w:rPr>
      <w:rFonts w:ascii="Calibri" w:hAnsi="Calibri"/>
      <w:vertAlign w:val="superscript"/>
    </w:rPr>
  </w:style>
  <w:style w:type="paragraph" w:styleId="EndnoteText">
    <w:name w:val="endnote text"/>
    <w:basedOn w:val="Normal"/>
    <w:link w:val="EndnoteTextChar"/>
    <w:rsid w:val="00C10A1F"/>
    <w:rPr>
      <w:sz w:val="20"/>
    </w:rPr>
  </w:style>
  <w:style w:type="character" w:customStyle="1" w:styleId="EndnoteTextChar">
    <w:name w:val="Endnote Text Char"/>
    <w:basedOn w:val="DefaultParagraphFont"/>
    <w:link w:val="EndnoteText"/>
    <w:rsid w:val="003B1FAC"/>
    <w:rPr>
      <w:rFonts w:ascii="Calibri" w:hAnsi="Calibri"/>
      <w:lang w:eastAsia="en-US"/>
    </w:rPr>
  </w:style>
  <w:style w:type="character" w:styleId="FootnoteReference">
    <w:name w:val="footnote reference"/>
    <w:basedOn w:val="DefaultParagraphFont"/>
    <w:rsid w:val="00C10A1F"/>
    <w:rPr>
      <w:rFonts w:ascii="Calibri" w:hAnsi="Calibri"/>
      <w:vertAlign w:val="superscript"/>
    </w:rPr>
  </w:style>
  <w:style w:type="paragraph" w:styleId="Index1">
    <w:name w:val="index 1"/>
    <w:basedOn w:val="Normal"/>
    <w:next w:val="Normal"/>
    <w:autoRedefine/>
    <w:rsid w:val="00C10A1F"/>
    <w:pPr>
      <w:ind w:left="240" w:hanging="240"/>
    </w:pPr>
  </w:style>
  <w:style w:type="paragraph" w:styleId="Index2">
    <w:name w:val="index 2"/>
    <w:basedOn w:val="Normal"/>
    <w:next w:val="Normal"/>
    <w:autoRedefine/>
    <w:rsid w:val="00C10A1F"/>
    <w:pPr>
      <w:ind w:left="480" w:hanging="240"/>
    </w:pPr>
  </w:style>
  <w:style w:type="paragraph" w:styleId="Index3">
    <w:name w:val="index 3"/>
    <w:basedOn w:val="Normal"/>
    <w:next w:val="Normal"/>
    <w:autoRedefine/>
    <w:rsid w:val="00C10A1F"/>
    <w:pPr>
      <w:ind w:left="720" w:hanging="240"/>
    </w:pPr>
  </w:style>
  <w:style w:type="paragraph" w:styleId="Index4">
    <w:name w:val="index 4"/>
    <w:basedOn w:val="Normal"/>
    <w:next w:val="Normal"/>
    <w:autoRedefine/>
    <w:rsid w:val="00C10A1F"/>
    <w:pPr>
      <w:ind w:left="960" w:hanging="240"/>
    </w:pPr>
  </w:style>
  <w:style w:type="paragraph" w:styleId="Index5">
    <w:name w:val="index 5"/>
    <w:basedOn w:val="Normal"/>
    <w:next w:val="Normal"/>
    <w:autoRedefine/>
    <w:rsid w:val="00C10A1F"/>
    <w:pPr>
      <w:ind w:left="1200" w:hanging="240"/>
    </w:pPr>
  </w:style>
  <w:style w:type="paragraph" w:styleId="Index6">
    <w:name w:val="index 6"/>
    <w:basedOn w:val="Normal"/>
    <w:next w:val="Normal"/>
    <w:autoRedefine/>
    <w:rsid w:val="00C10A1F"/>
    <w:pPr>
      <w:ind w:left="1440" w:hanging="240"/>
    </w:pPr>
  </w:style>
  <w:style w:type="paragraph" w:styleId="Index7">
    <w:name w:val="index 7"/>
    <w:basedOn w:val="Normal"/>
    <w:next w:val="Normal"/>
    <w:autoRedefine/>
    <w:rsid w:val="00C10A1F"/>
    <w:pPr>
      <w:ind w:left="1680" w:hanging="240"/>
    </w:pPr>
  </w:style>
  <w:style w:type="paragraph" w:styleId="Index8">
    <w:name w:val="index 8"/>
    <w:basedOn w:val="Normal"/>
    <w:next w:val="Normal"/>
    <w:autoRedefine/>
    <w:rsid w:val="00C10A1F"/>
    <w:pPr>
      <w:ind w:left="1920" w:hanging="240"/>
    </w:pPr>
  </w:style>
  <w:style w:type="paragraph" w:styleId="Index9">
    <w:name w:val="index 9"/>
    <w:basedOn w:val="Normal"/>
    <w:next w:val="Normal"/>
    <w:autoRedefine/>
    <w:rsid w:val="00C10A1F"/>
    <w:pPr>
      <w:ind w:left="2160" w:hanging="240"/>
    </w:pPr>
  </w:style>
  <w:style w:type="paragraph" w:styleId="IndexHeading">
    <w:name w:val="index heading"/>
    <w:basedOn w:val="Normal"/>
    <w:next w:val="Index1"/>
    <w:rsid w:val="00C10A1F"/>
    <w:rPr>
      <w:b/>
      <w:bCs/>
    </w:rPr>
  </w:style>
  <w:style w:type="paragraph" w:styleId="TableofAuthorities">
    <w:name w:val="table of authorities"/>
    <w:basedOn w:val="Normal"/>
    <w:next w:val="Normal"/>
    <w:rsid w:val="00C10A1F"/>
    <w:pPr>
      <w:ind w:left="240" w:hanging="240"/>
    </w:pPr>
  </w:style>
  <w:style w:type="paragraph" w:styleId="TableofFigures">
    <w:name w:val="table of figures"/>
    <w:basedOn w:val="Normal"/>
    <w:next w:val="Normal"/>
    <w:rsid w:val="00C10A1F"/>
  </w:style>
  <w:style w:type="paragraph" w:styleId="TOAHeading">
    <w:name w:val="toa heading"/>
    <w:basedOn w:val="Normal"/>
    <w:next w:val="Normal"/>
    <w:rsid w:val="00C10A1F"/>
    <w:pPr>
      <w:spacing w:before="120"/>
    </w:pPr>
    <w:rPr>
      <w:b/>
      <w:bCs/>
      <w:szCs w:val="24"/>
    </w:rPr>
  </w:style>
  <w:style w:type="paragraph" w:styleId="TOC1">
    <w:name w:val="toc 1"/>
    <w:basedOn w:val="Normal"/>
    <w:next w:val="Normal"/>
    <w:autoRedefine/>
    <w:rsid w:val="00C10A1F"/>
  </w:style>
  <w:style w:type="paragraph" w:styleId="TOC2">
    <w:name w:val="toc 2"/>
    <w:basedOn w:val="Normal"/>
    <w:next w:val="Normal"/>
    <w:autoRedefine/>
    <w:rsid w:val="00C10A1F"/>
    <w:pPr>
      <w:ind w:left="240"/>
    </w:pPr>
  </w:style>
  <w:style w:type="paragraph" w:styleId="TOC3">
    <w:name w:val="toc 3"/>
    <w:basedOn w:val="Normal"/>
    <w:next w:val="Normal"/>
    <w:autoRedefine/>
    <w:rsid w:val="00C10A1F"/>
    <w:pPr>
      <w:ind w:left="480"/>
    </w:pPr>
  </w:style>
  <w:style w:type="paragraph" w:styleId="TOC4">
    <w:name w:val="toc 4"/>
    <w:basedOn w:val="Normal"/>
    <w:next w:val="Normal"/>
    <w:autoRedefine/>
    <w:rsid w:val="00C10A1F"/>
    <w:pPr>
      <w:ind w:left="720"/>
    </w:pPr>
  </w:style>
  <w:style w:type="paragraph" w:styleId="TOC5">
    <w:name w:val="toc 5"/>
    <w:basedOn w:val="Normal"/>
    <w:next w:val="Normal"/>
    <w:autoRedefine/>
    <w:rsid w:val="00C10A1F"/>
    <w:pPr>
      <w:ind w:left="960"/>
    </w:pPr>
  </w:style>
  <w:style w:type="paragraph" w:styleId="TOC6">
    <w:name w:val="toc 6"/>
    <w:basedOn w:val="Normal"/>
    <w:next w:val="Normal"/>
    <w:autoRedefine/>
    <w:rsid w:val="00C10A1F"/>
    <w:pPr>
      <w:ind w:left="1200"/>
    </w:pPr>
  </w:style>
  <w:style w:type="paragraph" w:styleId="TOC7">
    <w:name w:val="toc 7"/>
    <w:basedOn w:val="Normal"/>
    <w:next w:val="Normal"/>
    <w:autoRedefine/>
    <w:rsid w:val="00C10A1F"/>
    <w:pPr>
      <w:ind w:left="1440"/>
    </w:pPr>
  </w:style>
  <w:style w:type="paragraph" w:styleId="TOC8">
    <w:name w:val="toc 8"/>
    <w:basedOn w:val="Normal"/>
    <w:next w:val="Normal"/>
    <w:autoRedefine/>
    <w:rsid w:val="00C10A1F"/>
    <w:pPr>
      <w:ind w:left="1680"/>
    </w:pPr>
  </w:style>
  <w:style w:type="paragraph" w:styleId="TOC9">
    <w:name w:val="toc 9"/>
    <w:basedOn w:val="Normal"/>
    <w:next w:val="Normal"/>
    <w:autoRedefine/>
    <w:rsid w:val="00C10A1F"/>
    <w:pPr>
      <w:ind w:left="1920"/>
    </w:pPr>
  </w:style>
  <w:style w:type="paragraph" w:styleId="Revision">
    <w:name w:val="Revision"/>
    <w:hidden/>
    <w:uiPriority w:val="99"/>
    <w:semiHidden/>
    <w:rsid w:val="00252AB1"/>
    <w:rPr>
      <w:rFonts w:ascii="Calibri" w:hAnsi="Calibri"/>
      <w:sz w:val="24"/>
      <w:lang w:eastAsia="en-US"/>
    </w:rPr>
  </w:style>
  <w:style w:type="paragraph" w:customStyle="1" w:styleId="Noteheading0">
    <w:name w:val="Note heading"/>
    <w:basedOn w:val="Normal"/>
    <w:autoRedefine/>
    <w:semiHidden/>
    <w:rsid w:val="00C10A1F"/>
    <w:pPr>
      <w:spacing w:before="120"/>
      <w:ind w:left="28"/>
    </w:pPr>
    <w:rPr>
      <w:b/>
      <w:bCs/>
      <w:sz w:val="20"/>
    </w:rPr>
  </w:style>
  <w:style w:type="character" w:customStyle="1" w:styleId="BodyTextFirstIndentChar">
    <w:name w:val="Body Text First Indent Char"/>
    <w:basedOn w:val="BodyTextChar"/>
    <w:link w:val="BodyTextFirstIndent"/>
    <w:semiHidden/>
    <w:rsid w:val="008A256A"/>
  </w:style>
  <w:style w:type="character" w:customStyle="1" w:styleId="BodyTextFirstIndent2Char">
    <w:name w:val="Body Text First Indent 2 Char"/>
    <w:basedOn w:val="BodyTextIndentChar"/>
    <w:link w:val="BodyTextFirstIndent2"/>
    <w:semiHidden/>
    <w:rsid w:val="008A256A"/>
  </w:style>
  <w:style w:type="character" w:customStyle="1" w:styleId="ClosingChar">
    <w:name w:val="Closing Char"/>
    <w:basedOn w:val="DefaultParagraphFont"/>
    <w:link w:val="Closing"/>
    <w:semiHidden/>
    <w:rsid w:val="008A256A"/>
    <w:rPr>
      <w:rFonts w:ascii="Calibri" w:hAnsi="Calibri"/>
      <w:sz w:val="24"/>
      <w:lang w:eastAsia="en-US"/>
    </w:rPr>
  </w:style>
  <w:style w:type="character" w:customStyle="1" w:styleId="DateChar">
    <w:name w:val="Date Char"/>
    <w:basedOn w:val="DefaultParagraphFont"/>
    <w:link w:val="Date"/>
    <w:semiHidden/>
    <w:rsid w:val="008A256A"/>
    <w:rPr>
      <w:rFonts w:ascii="Calibri" w:hAnsi="Calibri"/>
      <w:sz w:val="24"/>
      <w:lang w:eastAsia="en-US"/>
    </w:rPr>
  </w:style>
  <w:style w:type="character" w:customStyle="1" w:styleId="E-mailSignatureChar">
    <w:name w:val="E-mail Signature Char"/>
    <w:basedOn w:val="DefaultParagraphFont"/>
    <w:link w:val="E-mailSignature"/>
    <w:semiHidden/>
    <w:rsid w:val="008A256A"/>
    <w:rPr>
      <w:rFonts w:ascii="Calibri" w:hAnsi="Calibri"/>
      <w:sz w:val="24"/>
      <w:lang w:eastAsia="en-US"/>
    </w:rPr>
  </w:style>
  <w:style w:type="character" w:customStyle="1" w:styleId="HTMLAddressChar">
    <w:name w:val="HTML Address Char"/>
    <w:basedOn w:val="DefaultParagraphFont"/>
    <w:link w:val="HTMLAddress"/>
    <w:semiHidden/>
    <w:rsid w:val="008A256A"/>
    <w:rPr>
      <w:rFonts w:ascii="Calibri" w:hAnsi="Calibri"/>
      <w:i/>
      <w:iCs/>
      <w:sz w:val="24"/>
      <w:lang w:eastAsia="en-US"/>
    </w:rPr>
  </w:style>
  <w:style w:type="character" w:customStyle="1" w:styleId="HTMLPreformattedChar">
    <w:name w:val="HTML Preformatted Char"/>
    <w:basedOn w:val="DefaultParagraphFont"/>
    <w:link w:val="HTMLPreformatted"/>
    <w:semiHidden/>
    <w:rsid w:val="008A256A"/>
    <w:rPr>
      <w:rFonts w:ascii="Courier New" w:hAnsi="Courier New" w:cs="Courier New"/>
      <w:lang w:eastAsia="en-US"/>
    </w:rPr>
  </w:style>
  <w:style w:type="character" w:customStyle="1" w:styleId="MessageHeaderChar">
    <w:name w:val="Message Header Char"/>
    <w:basedOn w:val="DefaultParagraphFont"/>
    <w:link w:val="MessageHeader"/>
    <w:semiHidden/>
    <w:rsid w:val="008A256A"/>
    <w:rPr>
      <w:rFonts w:ascii="Arial" w:hAnsi="Arial" w:cs="Arial"/>
      <w:sz w:val="24"/>
      <w:szCs w:val="24"/>
      <w:shd w:val="pct20" w:color="auto" w:fill="auto"/>
      <w:lang w:eastAsia="en-US"/>
    </w:rPr>
  </w:style>
  <w:style w:type="character" w:customStyle="1" w:styleId="NoteHeadingChar0">
    <w:name w:val="Note Heading Char"/>
    <w:basedOn w:val="DefaultParagraphFont"/>
    <w:link w:val="NoteHeading"/>
    <w:rsid w:val="008A256A"/>
    <w:rPr>
      <w:rFonts w:ascii="Calibri" w:hAnsi="Calibri"/>
      <w:b/>
      <w:sz w:val="16"/>
      <w:lang w:eastAsia="en-US"/>
    </w:rPr>
  </w:style>
  <w:style w:type="character" w:customStyle="1" w:styleId="SalutationChar">
    <w:name w:val="Salutation Char"/>
    <w:basedOn w:val="DefaultParagraphFont"/>
    <w:link w:val="Salutation"/>
    <w:semiHidden/>
    <w:rsid w:val="008A256A"/>
    <w:rPr>
      <w:rFonts w:ascii="Calibri" w:hAnsi="Calibri"/>
      <w:sz w:val="24"/>
      <w:lang w:eastAsia="en-US"/>
    </w:rPr>
  </w:style>
  <w:style w:type="character" w:customStyle="1" w:styleId="SignatureChar">
    <w:name w:val="Signature Char"/>
    <w:basedOn w:val="DefaultParagraphFont"/>
    <w:link w:val="Signature"/>
    <w:semiHidden/>
    <w:rsid w:val="008A256A"/>
    <w:rPr>
      <w:rFonts w:ascii="Calibri" w:hAnsi="Calibri"/>
      <w:sz w:val="24"/>
      <w:lang w:eastAsia="en-US"/>
    </w:rPr>
  </w:style>
  <w:style w:type="character" w:customStyle="1" w:styleId="SubtitleChar">
    <w:name w:val="Subtitle Char"/>
    <w:basedOn w:val="DefaultParagraphFont"/>
    <w:link w:val="Subtitle"/>
    <w:rsid w:val="008A256A"/>
    <w:rPr>
      <w:rFonts w:ascii="Arial" w:hAnsi="Arial" w:cs="Arial"/>
      <w:sz w:val="24"/>
      <w:szCs w:val="24"/>
      <w:lang w:eastAsia="en-US"/>
    </w:rPr>
  </w:style>
  <w:style w:type="paragraph" w:customStyle="1" w:styleId="xl64">
    <w:name w:val="xl64"/>
    <w:basedOn w:val="Normal"/>
    <w:rsid w:val="008A256A"/>
    <w:pPr>
      <w:spacing w:before="100" w:beforeAutospacing="1" w:after="100" w:afterAutospacing="1"/>
    </w:pPr>
    <w:rPr>
      <w:rFonts w:ascii="Times New Roman" w:hAnsi="Times New Roman"/>
      <w:szCs w:val="24"/>
      <w:lang w:eastAsia="en-AU"/>
    </w:rPr>
  </w:style>
  <w:style w:type="paragraph" w:customStyle="1" w:styleId="xl65">
    <w:name w:val="xl65"/>
    <w:basedOn w:val="Normal"/>
    <w:rsid w:val="008A256A"/>
    <w:pPr>
      <w:spacing w:before="100" w:beforeAutospacing="1" w:after="100" w:afterAutospacing="1"/>
      <w:textAlignment w:val="top"/>
    </w:pPr>
    <w:rPr>
      <w:rFonts w:ascii="Times New Roman" w:hAnsi="Times New Roman"/>
      <w:sz w:val="18"/>
      <w:szCs w:val="18"/>
      <w:lang w:eastAsia="en-AU"/>
    </w:rPr>
  </w:style>
  <w:style w:type="paragraph" w:customStyle="1" w:styleId="xl66">
    <w:name w:val="xl66"/>
    <w:basedOn w:val="Normal"/>
    <w:rsid w:val="008A256A"/>
    <w:pPr>
      <w:spacing w:before="100" w:beforeAutospacing="1" w:after="100" w:afterAutospacing="1"/>
      <w:textAlignment w:val="top"/>
    </w:pPr>
    <w:rPr>
      <w:rFonts w:ascii="Times New Roman" w:hAnsi="Times New Roman"/>
      <w:sz w:val="18"/>
      <w:szCs w:val="18"/>
      <w:lang w:eastAsia="en-AU"/>
    </w:rPr>
  </w:style>
  <w:style w:type="paragraph" w:customStyle="1" w:styleId="xl67">
    <w:name w:val="xl67"/>
    <w:basedOn w:val="Normal"/>
    <w:rsid w:val="008A256A"/>
    <w:pPr>
      <w:spacing w:before="100" w:beforeAutospacing="1" w:after="100" w:afterAutospacing="1"/>
      <w:textAlignment w:val="top"/>
    </w:pPr>
    <w:rPr>
      <w:rFonts w:ascii="Times New Roman" w:hAnsi="Times New Roman"/>
      <w:b/>
      <w:bCs/>
      <w:sz w:val="18"/>
      <w:szCs w:val="18"/>
      <w:lang w:eastAsia="en-AU"/>
    </w:rPr>
  </w:style>
  <w:style w:type="paragraph" w:customStyle="1" w:styleId="xl68">
    <w:name w:val="xl68"/>
    <w:basedOn w:val="Normal"/>
    <w:rsid w:val="008A256A"/>
    <w:pPr>
      <w:spacing w:before="100" w:beforeAutospacing="1" w:after="100" w:afterAutospacing="1"/>
      <w:textAlignment w:val="top"/>
    </w:pPr>
    <w:rPr>
      <w:rFonts w:ascii="Times New Roman" w:hAnsi="Times New Roman"/>
      <w:sz w:val="18"/>
      <w:szCs w:val="18"/>
      <w:lang w:eastAsia="en-AU"/>
    </w:rPr>
  </w:style>
  <w:style w:type="paragraph" w:customStyle="1" w:styleId="xl69">
    <w:name w:val="xl69"/>
    <w:basedOn w:val="Normal"/>
    <w:rsid w:val="008A256A"/>
    <w:pPr>
      <w:pBdr>
        <w:top w:val="single" w:sz="4" w:space="0" w:color="auto"/>
      </w:pBd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70">
    <w:name w:val="xl70"/>
    <w:basedOn w:val="Normal"/>
    <w:rsid w:val="008A256A"/>
    <w:pP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71">
    <w:name w:val="xl71"/>
    <w:basedOn w:val="Normal"/>
    <w:rsid w:val="008A256A"/>
    <w:pP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72">
    <w:name w:val="xl72"/>
    <w:basedOn w:val="Normal"/>
    <w:rsid w:val="008A256A"/>
    <w:pPr>
      <w:pBdr>
        <w:bottom w:val="single" w:sz="4" w:space="0" w:color="auto"/>
      </w:pBd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73">
    <w:name w:val="xl73"/>
    <w:basedOn w:val="Normal"/>
    <w:rsid w:val="008A256A"/>
    <w:pPr>
      <w:pBdr>
        <w:bottom w:val="single" w:sz="4" w:space="0" w:color="auto"/>
      </w:pBdr>
      <w:spacing w:before="100" w:beforeAutospacing="1" w:after="100" w:afterAutospacing="1"/>
      <w:textAlignment w:val="top"/>
    </w:pPr>
    <w:rPr>
      <w:rFonts w:ascii="Times New Roman" w:hAnsi="Times New Roman"/>
      <w:b/>
      <w:bCs/>
      <w:sz w:val="18"/>
      <w:szCs w:val="18"/>
      <w:lang w:eastAsia="en-AU"/>
    </w:rPr>
  </w:style>
  <w:style w:type="paragraph" w:customStyle="1" w:styleId="xl74">
    <w:name w:val="xl74"/>
    <w:basedOn w:val="Normal"/>
    <w:rsid w:val="008A256A"/>
    <w:pPr>
      <w:spacing w:before="100" w:beforeAutospacing="1" w:after="100" w:afterAutospacing="1"/>
      <w:textAlignment w:val="top"/>
    </w:pPr>
    <w:rPr>
      <w:rFonts w:ascii="Times New Roman" w:hAnsi="Times New Roman"/>
      <w:sz w:val="18"/>
      <w:szCs w:val="18"/>
      <w:lang w:eastAsia="en-AU"/>
    </w:rPr>
  </w:style>
  <w:style w:type="paragraph" w:customStyle="1" w:styleId="xl75">
    <w:name w:val="xl75"/>
    <w:basedOn w:val="Normal"/>
    <w:rsid w:val="008A256A"/>
    <w:pPr>
      <w:spacing w:before="100" w:beforeAutospacing="1" w:after="100" w:afterAutospacing="1"/>
      <w:textAlignment w:val="top"/>
    </w:pPr>
    <w:rPr>
      <w:rFonts w:ascii="Times New Roman" w:hAnsi="Times New Roman"/>
      <w:sz w:val="18"/>
      <w:szCs w:val="18"/>
      <w:lang w:eastAsia="en-AU"/>
    </w:rPr>
  </w:style>
  <w:style w:type="paragraph" w:customStyle="1" w:styleId="xl76">
    <w:name w:val="xl76"/>
    <w:basedOn w:val="Normal"/>
    <w:rsid w:val="008A256A"/>
    <w:pPr>
      <w:spacing w:before="100" w:beforeAutospacing="1" w:after="100" w:afterAutospacing="1"/>
      <w:textAlignment w:val="top"/>
    </w:pPr>
    <w:rPr>
      <w:rFonts w:ascii="Times New Roman" w:hAnsi="Times New Roman"/>
      <w:b/>
      <w:bCs/>
      <w:sz w:val="18"/>
      <w:szCs w:val="18"/>
      <w:lang w:eastAsia="en-AU"/>
    </w:rPr>
  </w:style>
  <w:style w:type="paragraph" w:customStyle="1" w:styleId="xl77">
    <w:name w:val="xl77"/>
    <w:basedOn w:val="Normal"/>
    <w:rsid w:val="008A256A"/>
    <w:pPr>
      <w:pBdr>
        <w:top w:val="single" w:sz="4" w:space="0" w:color="auto"/>
      </w:pBdr>
      <w:spacing w:before="100" w:beforeAutospacing="1" w:after="100" w:afterAutospacing="1"/>
      <w:textAlignment w:val="top"/>
    </w:pPr>
    <w:rPr>
      <w:rFonts w:ascii="Times New Roman" w:hAnsi="Times New Roman"/>
      <w:b/>
      <w:bCs/>
      <w:sz w:val="18"/>
      <w:szCs w:val="18"/>
      <w:lang w:eastAsia="en-AU"/>
    </w:rPr>
  </w:style>
  <w:style w:type="paragraph" w:customStyle="1" w:styleId="xl78">
    <w:name w:val="xl78"/>
    <w:basedOn w:val="Normal"/>
    <w:rsid w:val="008A256A"/>
    <w:pPr>
      <w:pBdr>
        <w:top w:val="single" w:sz="4" w:space="0" w:color="auto"/>
      </w:pBd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79">
    <w:name w:val="xl79"/>
    <w:basedOn w:val="Normal"/>
    <w:rsid w:val="008A256A"/>
    <w:pPr>
      <w:pBdr>
        <w:bottom w:val="single" w:sz="4" w:space="0" w:color="auto"/>
      </w:pBdr>
      <w:spacing w:before="100" w:beforeAutospacing="1" w:after="100" w:afterAutospacing="1"/>
      <w:textAlignment w:val="top"/>
    </w:pPr>
    <w:rPr>
      <w:rFonts w:ascii="Times New Roman" w:hAnsi="Times New Roman"/>
      <w:b/>
      <w:bCs/>
      <w:sz w:val="18"/>
      <w:szCs w:val="18"/>
      <w:lang w:eastAsia="en-AU"/>
    </w:rPr>
  </w:style>
  <w:style w:type="paragraph" w:customStyle="1" w:styleId="xl80">
    <w:name w:val="xl80"/>
    <w:basedOn w:val="Normal"/>
    <w:rsid w:val="008A256A"/>
    <w:pPr>
      <w:pBdr>
        <w:bottom w:val="single" w:sz="4" w:space="0" w:color="auto"/>
      </w:pBd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81">
    <w:name w:val="xl81"/>
    <w:basedOn w:val="Normal"/>
    <w:rsid w:val="008A256A"/>
    <w:pPr>
      <w:spacing w:before="100" w:beforeAutospacing="1" w:after="100" w:afterAutospacing="1"/>
      <w:jc w:val="center"/>
      <w:textAlignment w:val="top"/>
    </w:pPr>
    <w:rPr>
      <w:rFonts w:ascii="Times New Roman" w:hAnsi="Times New Roman"/>
      <w:sz w:val="18"/>
      <w:szCs w:val="18"/>
      <w:lang w:eastAsia="en-AU"/>
    </w:rPr>
  </w:style>
  <w:style w:type="paragraph" w:customStyle="1" w:styleId="xl82">
    <w:name w:val="xl82"/>
    <w:basedOn w:val="Normal"/>
    <w:rsid w:val="008A256A"/>
    <w:pPr>
      <w:spacing w:before="100" w:beforeAutospacing="1" w:after="100" w:afterAutospacing="1"/>
      <w:textAlignment w:val="top"/>
    </w:pPr>
    <w:rPr>
      <w:rFonts w:ascii="Times New Roman" w:hAnsi="Times New Roman"/>
      <w:b/>
      <w:bCs/>
      <w:sz w:val="18"/>
      <w:szCs w:val="18"/>
      <w:lang w:eastAsia="en-AU"/>
    </w:rPr>
  </w:style>
  <w:style w:type="paragraph" w:customStyle="1" w:styleId="xl83">
    <w:name w:val="xl83"/>
    <w:basedOn w:val="Normal"/>
    <w:rsid w:val="008A256A"/>
    <w:pPr>
      <w:spacing w:before="100" w:beforeAutospacing="1" w:after="100" w:afterAutospacing="1"/>
      <w:textAlignment w:val="top"/>
    </w:pPr>
    <w:rPr>
      <w:rFonts w:ascii="Times New Roman" w:hAnsi="Times New Roman"/>
      <w:sz w:val="18"/>
      <w:szCs w:val="18"/>
      <w:lang w:eastAsia="en-AU"/>
    </w:rPr>
  </w:style>
  <w:style w:type="paragraph" w:customStyle="1" w:styleId="xl84">
    <w:name w:val="xl84"/>
    <w:basedOn w:val="Normal"/>
    <w:rsid w:val="008A256A"/>
    <w:pPr>
      <w:spacing w:before="100" w:beforeAutospacing="1" w:after="100" w:afterAutospacing="1"/>
      <w:textAlignment w:val="top"/>
    </w:pPr>
    <w:rPr>
      <w:rFonts w:ascii="Times New Roman" w:hAnsi="Times New Roman"/>
      <w:sz w:val="18"/>
      <w:szCs w:val="18"/>
      <w:lang w:eastAsia="en-AU"/>
    </w:rPr>
  </w:style>
  <w:style w:type="paragraph" w:customStyle="1" w:styleId="xl85">
    <w:name w:val="xl85"/>
    <w:basedOn w:val="Normal"/>
    <w:rsid w:val="008A256A"/>
    <w:pPr>
      <w:pBdr>
        <w:top w:val="single" w:sz="4" w:space="0" w:color="auto"/>
      </w:pBdr>
      <w:spacing w:before="100" w:beforeAutospacing="1" w:after="100" w:afterAutospacing="1"/>
      <w:textAlignment w:val="top"/>
    </w:pPr>
    <w:rPr>
      <w:rFonts w:ascii="Times New Roman" w:hAnsi="Times New Roman"/>
      <w:b/>
      <w:bCs/>
      <w:sz w:val="18"/>
      <w:szCs w:val="18"/>
      <w:lang w:eastAsia="en-AU"/>
    </w:rPr>
  </w:style>
  <w:style w:type="paragraph" w:customStyle="1" w:styleId="xl86">
    <w:name w:val="xl86"/>
    <w:basedOn w:val="Normal"/>
    <w:rsid w:val="008A256A"/>
    <w:pPr>
      <w:pBdr>
        <w:bottom w:val="single" w:sz="4" w:space="0" w:color="auto"/>
      </w:pBdr>
      <w:spacing w:before="100" w:beforeAutospacing="1" w:after="100" w:afterAutospacing="1"/>
      <w:textAlignment w:val="top"/>
    </w:pPr>
    <w:rPr>
      <w:rFonts w:ascii="Times New Roman" w:hAnsi="Times New Roman"/>
      <w:b/>
      <w:bCs/>
      <w:sz w:val="18"/>
      <w:szCs w:val="18"/>
      <w:lang w:eastAsia="en-AU"/>
    </w:rPr>
  </w:style>
  <w:style w:type="paragraph" w:customStyle="1" w:styleId="xl87">
    <w:name w:val="xl87"/>
    <w:basedOn w:val="Normal"/>
    <w:rsid w:val="008A256A"/>
    <w:pPr>
      <w:spacing w:before="100" w:beforeAutospacing="1" w:after="100" w:afterAutospacing="1"/>
      <w:textAlignment w:val="top"/>
    </w:pPr>
    <w:rPr>
      <w:rFonts w:ascii="Times New Roman" w:hAnsi="Times New Roman"/>
      <w:sz w:val="18"/>
      <w:szCs w:val="18"/>
      <w:lang w:eastAsia="en-AU"/>
    </w:rPr>
  </w:style>
  <w:style w:type="paragraph" w:customStyle="1" w:styleId="SIlabel">
    <w:name w:val="SI label"/>
    <w:basedOn w:val="SIHeading1"/>
    <w:link w:val="SIlabelChar"/>
    <w:qFormat/>
    <w:rsid w:val="007E390E"/>
    <w:pPr>
      <w:spacing w:after="120"/>
      <w:jc w:val="left"/>
    </w:pPr>
  </w:style>
  <w:style w:type="character" w:customStyle="1" w:styleId="SIlabelChar">
    <w:name w:val="SI label Char"/>
    <w:basedOn w:val="SIHeading1Char"/>
    <w:link w:val="SIlabel"/>
    <w:rsid w:val="007E390E"/>
  </w:style>
</w:styles>
</file>

<file path=word/webSettings.xml><?xml version="1.0" encoding="utf-8"?>
<w:webSettings xmlns:r="http://schemas.openxmlformats.org/officeDocument/2006/relationships" xmlns:w="http://schemas.openxmlformats.org/wordprocessingml/2006/main">
  <w:divs>
    <w:div w:id="42945264">
      <w:bodyDiv w:val="1"/>
      <w:marLeft w:val="0"/>
      <w:marRight w:val="0"/>
      <w:marTop w:val="0"/>
      <w:marBottom w:val="0"/>
      <w:divBdr>
        <w:top w:val="none" w:sz="0" w:space="0" w:color="auto"/>
        <w:left w:val="none" w:sz="0" w:space="0" w:color="auto"/>
        <w:bottom w:val="none" w:sz="0" w:space="0" w:color="auto"/>
        <w:right w:val="none" w:sz="0" w:space="0" w:color="auto"/>
      </w:divBdr>
    </w:div>
    <w:div w:id="208036591">
      <w:bodyDiv w:val="1"/>
      <w:marLeft w:val="0"/>
      <w:marRight w:val="0"/>
      <w:marTop w:val="0"/>
      <w:marBottom w:val="0"/>
      <w:divBdr>
        <w:top w:val="none" w:sz="0" w:space="0" w:color="auto"/>
        <w:left w:val="none" w:sz="0" w:space="0" w:color="auto"/>
        <w:bottom w:val="none" w:sz="0" w:space="0" w:color="auto"/>
        <w:right w:val="none" w:sz="0" w:space="0" w:color="auto"/>
      </w:divBdr>
    </w:div>
    <w:div w:id="496576267">
      <w:bodyDiv w:val="1"/>
      <w:marLeft w:val="0"/>
      <w:marRight w:val="0"/>
      <w:marTop w:val="0"/>
      <w:marBottom w:val="0"/>
      <w:divBdr>
        <w:top w:val="none" w:sz="0" w:space="0" w:color="auto"/>
        <w:left w:val="none" w:sz="0" w:space="0" w:color="auto"/>
        <w:bottom w:val="none" w:sz="0" w:space="0" w:color="auto"/>
        <w:right w:val="none" w:sz="0" w:space="0" w:color="auto"/>
      </w:divBdr>
    </w:div>
    <w:div w:id="618411562">
      <w:bodyDiv w:val="1"/>
      <w:marLeft w:val="0"/>
      <w:marRight w:val="0"/>
      <w:marTop w:val="0"/>
      <w:marBottom w:val="0"/>
      <w:divBdr>
        <w:top w:val="none" w:sz="0" w:space="0" w:color="auto"/>
        <w:left w:val="none" w:sz="0" w:space="0" w:color="auto"/>
        <w:bottom w:val="none" w:sz="0" w:space="0" w:color="auto"/>
        <w:right w:val="none" w:sz="0" w:space="0" w:color="auto"/>
      </w:divBdr>
    </w:div>
    <w:div w:id="664941089">
      <w:bodyDiv w:val="1"/>
      <w:marLeft w:val="0"/>
      <w:marRight w:val="0"/>
      <w:marTop w:val="0"/>
      <w:marBottom w:val="0"/>
      <w:divBdr>
        <w:top w:val="none" w:sz="0" w:space="0" w:color="auto"/>
        <w:left w:val="none" w:sz="0" w:space="0" w:color="auto"/>
        <w:bottom w:val="none" w:sz="0" w:space="0" w:color="auto"/>
        <w:right w:val="none" w:sz="0" w:space="0" w:color="auto"/>
      </w:divBdr>
    </w:div>
    <w:div w:id="727193244">
      <w:bodyDiv w:val="1"/>
      <w:marLeft w:val="0"/>
      <w:marRight w:val="0"/>
      <w:marTop w:val="0"/>
      <w:marBottom w:val="0"/>
      <w:divBdr>
        <w:top w:val="none" w:sz="0" w:space="0" w:color="auto"/>
        <w:left w:val="none" w:sz="0" w:space="0" w:color="auto"/>
        <w:bottom w:val="none" w:sz="0" w:space="0" w:color="auto"/>
        <w:right w:val="none" w:sz="0" w:space="0" w:color="auto"/>
      </w:divBdr>
    </w:div>
    <w:div w:id="740103897">
      <w:bodyDiv w:val="1"/>
      <w:marLeft w:val="0"/>
      <w:marRight w:val="0"/>
      <w:marTop w:val="0"/>
      <w:marBottom w:val="0"/>
      <w:divBdr>
        <w:top w:val="none" w:sz="0" w:space="0" w:color="auto"/>
        <w:left w:val="none" w:sz="0" w:space="0" w:color="auto"/>
        <w:bottom w:val="none" w:sz="0" w:space="0" w:color="auto"/>
        <w:right w:val="none" w:sz="0" w:space="0" w:color="auto"/>
      </w:divBdr>
    </w:div>
    <w:div w:id="795375134">
      <w:bodyDiv w:val="1"/>
      <w:marLeft w:val="0"/>
      <w:marRight w:val="0"/>
      <w:marTop w:val="0"/>
      <w:marBottom w:val="0"/>
      <w:divBdr>
        <w:top w:val="none" w:sz="0" w:space="0" w:color="auto"/>
        <w:left w:val="none" w:sz="0" w:space="0" w:color="auto"/>
        <w:bottom w:val="none" w:sz="0" w:space="0" w:color="auto"/>
        <w:right w:val="none" w:sz="0" w:space="0" w:color="auto"/>
      </w:divBdr>
    </w:div>
    <w:div w:id="1193612575">
      <w:bodyDiv w:val="1"/>
      <w:marLeft w:val="0"/>
      <w:marRight w:val="0"/>
      <w:marTop w:val="0"/>
      <w:marBottom w:val="0"/>
      <w:divBdr>
        <w:top w:val="none" w:sz="0" w:space="0" w:color="auto"/>
        <w:left w:val="none" w:sz="0" w:space="0" w:color="auto"/>
        <w:bottom w:val="none" w:sz="0" w:space="0" w:color="auto"/>
        <w:right w:val="none" w:sz="0" w:space="0" w:color="auto"/>
      </w:divBdr>
    </w:div>
    <w:div w:id="1485245945">
      <w:bodyDiv w:val="1"/>
      <w:marLeft w:val="0"/>
      <w:marRight w:val="0"/>
      <w:marTop w:val="0"/>
      <w:marBottom w:val="0"/>
      <w:divBdr>
        <w:top w:val="none" w:sz="0" w:space="0" w:color="auto"/>
        <w:left w:val="none" w:sz="0" w:space="0" w:color="auto"/>
        <w:bottom w:val="none" w:sz="0" w:space="0" w:color="auto"/>
        <w:right w:val="none" w:sz="0" w:space="0" w:color="auto"/>
      </w:divBdr>
    </w:div>
    <w:div w:id="1557624970">
      <w:bodyDiv w:val="1"/>
      <w:marLeft w:val="0"/>
      <w:marRight w:val="0"/>
      <w:marTop w:val="0"/>
      <w:marBottom w:val="0"/>
      <w:divBdr>
        <w:top w:val="none" w:sz="0" w:space="0" w:color="auto"/>
        <w:left w:val="none" w:sz="0" w:space="0" w:color="auto"/>
        <w:bottom w:val="none" w:sz="0" w:space="0" w:color="auto"/>
        <w:right w:val="none" w:sz="0" w:space="0" w:color="auto"/>
      </w:divBdr>
    </w:div>
    <w:div w:id="1586299697">
      <w:bodyDiv w:val="1"/>
      <w:marLeft w:val="0"/>
      <w:marRight w:val="0"/>
      <w:marTop w:val="0"/>
      <w:marBottom w:val="0"/>
      <w:divBdr>
        <w:top w:val="none" w:sz="0" w:space="0" w:color="auto"/>
        <w:left w:val="none" w:sz="0" w:space="0" w:color="auto"/>
        <w:bottom w:val="none" w:sz="0" w:space="0" w:color="auto"/>
        <w:right w:val="none" w:sz="0" w:space="0" w:color="auto"/>
      </w:divBdr>
    </w:div>
    <w:div w:id="1754741327">
      <w:bodyDiv w:val="1"/>
      <w:marLeft w:val="0"/>
      <w:marRight w:val="0"/>
      <w:marTop w:val="0"/>
      <w:marBottom w:val="0"/>
      <w:divBdr>
        <w:top w:val="none" w:sz="0" w:space="0" w:color="auto"/>
        <w:left w:val="none" w:sz="0" w:space="0" w:color="auto"/>
        <w:bottom w:val="none" w:sz="0" w:space="0" w:color="auto"/>
        <w:right w:val="none" w:sz="0" w:space="0" w:color="auto"/>
      </w:divBdr>
    </w:div>
    <w:div w:id="1801991011">
      <w:bodyDiv w:val="1"/>
      <w:marLeft w:val="0"/>
      <w:marRight w:val="0"/>
      <w:marTop w:val="0"/>
      <w:marBottom w:val="0"/>
      <w:divBdr>
        <w:top w:val="none" w:sz="0" w:space="0" w:color="auto"/>
        <w:left w:val="none" w:sz="0" w:space="0" w:color="auto"/>
        <w:bottom w:val="none" w:sz="0" w:space="0" w:color="auto"/>
        <w:right w:val="none" w:sz="0" w:space="0" w:color="auto"/>
      </w:divBdr>
    </w:div>
    <w:div w:id="18128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B503A-F649-4D06-87C1-000013B1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10083</Words>
  <Characters>59139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HEALTH DIRECTORATE</vt:lpstr>
    </vt:vector>
  </TitlesOfParts>
  <Company>ACT Government</Company>
  <LinksUpToDate>false</LinksUpToDate>
  <CharactersWithSpaces>69084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Health Directorate</dc:title>
  <dc:subject>Health Directorate</dc:subject>
  <dc:creator>Chief Minister and Treasury Directorate</dc:creator>
  <cp:lastModifiedBy>Keaton Paterson</cp:lastModifiedBy>
  <cp:revision>3</cp:revision>
  <cp:lastPrinted>2013-05-27T23:33:00Z</cp:lastPrinted>
  <dcterms:created xsi:type="dcterms:W3CDTF">2013-05-28T11:44:00Z</dcterms:created>
  <dcterms:modified xsi:type="dcterms:W3CDTF">2013-05-30T02:47:00Z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