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55017" w14:textId="2A021FD8" w:rsidR="005E69BD" w:rsidRPr="001628EB" w:rsidRDefault="002014DC">
      <w:pPr>
        <w:spacing w:before="0" w:after="160" w:line="259" w:lineRule="auto"/>
        <w:rPr>
          <w:rFonts w:ascii="Arial" w:hAnsi="Arial"/>
          <w:b/>
          <w:caps/>
          <w:color w:val="000000" w:themeColor="text1"/>
          <w:kern w:val="28"/>
          <w:sz w:val="44"/>
        </w:rPr>
      </w:pPr>
      <w:r>
        <w:rPr>
          <w:b/>
          <w:caps/>
          <w:noProof/>
          <w:color w:val="000000" w:themeColor="text1"/>
          <w:sz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948A67" wp14:editId="73D1D5B1">
                <wp:simplePos x="0" y="0"/>
                <wp:positionH relativeFrom="margin">
                  <wp:posOffset>262890</wp:posOffset>
                </wp:positionH>
                <wp:positionV relativeFrom="paragraph">
                  <wp:posOffset>1497330</wp:posOffset>
                </wp:positionV>
                <wp:extent cx="5162550" cy="467106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550" cy="4671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491E23" w14:textId="3E86B96D" w:rsidR="00E10D01" w:rsidRDefault="006B0716" w:rsidP="007A4E21">
                            <w:pPr>
                              <w:pStyle w:val="IntroParagraph"/>
                              <w:spacing w:before="0" w:after="0"/>
                              <w:jc w:val="center"/>
                              <w:rPr>
                                <w:rFonts w:ascii="Arial" w:eastAsiaTheme="majorEastAsia" w:hAnsi="Arial" w:cs="Arial"/>
                                <w:b/>
                                <w:color w:val="FFFFFF" w:themeColor="background1"/>
                                <w:kern w:val="28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Arial" w:eastAsiaTheme="majorEastAsia" w:hAnsi="Arial" w:cs="Arial"/>
                                <w:b/>
                                <w:color w:val="FFFFFF" w:themeColor="background1"/>
                                <w:kern w:val="28"/>
                                <w:sz w:val="70"/>
                                <w:szCs w:val="70"/>
                              </w:rPr>
                              <w:t xml:space="preserve">LISTED EQUITY </w:t>
                            </w:r>
                            <w:r w:rsidR="00B1153F">
                              <w:rPr>
                                <w:rFonts w:ascii="Arial" w:eastAsiaTheme="majorEastAsia" w:hAnsi="Arial" w:cs="Arial"/>
                                <w:b/>
                                <w:color w:val="FFFFFF" w:themeColor="background1"/>
                                <w:kern w:val="28"/>
                                <w:sz w:val="70"/>
                                <w:szCs w:val="70"/>
                              </w:rPr>
                              <w:t>PROXY VOTING POLICY FRAMEWORK</w:t>
                            </w:r>
                            <w:r w:rsidR="002014DC" w:rsidRPr="00677F02">
                              <w:rPr>
                                <w:rFonts w:ascii="Arial" w:eastAsiaTheme="majorEastAsia" w:hAnsi="Arial" w:cs="Arial"/>
                                <w:b/>
                                <w:color w:val="FFFFFF" w:themeColor="background1"/>
                                <w:kern w:val="28"/>
                                <w:sz w:val="70"/>
                                <w:szCs w:val="70"/>
                              </w:rPr>
                              <w:t xml:space="preserve"> </w:t>
                            </w:r>
                          </w:p>
                          <w:p w14:paraId="7A020B3A" w14:textId="77777777" w:rsidR="00E10D01" w:rsidRDefault="00E10D01" w:rsidP="007A4E21">
                            <w:pPr>
                              <w:pStyle w:val="IntroParagraph"/>
                              <w:spacing w:before="0" w:after="0"/>
                              <w:jc w:val="center"/>
                              <w:rPr>
                                <w:rFonts w:ascii="Arial" w:eastAsiaTheme="majorEastAsia" w:hAnsi="Arial" w:cs="Arial"/>
                                <w:b/>
                                <w:color w:val="FFFFFF" w:themeColor="background1"/>
                                <w:kern w:val="28"/>
                                <w:sz w:val="70"/>
                                <w:szCs w:val="70"/>
                              </w:rPr>
                            </w:pPr>
                          </w:p>
                          <w:p w14:paraId="2C084687" w14:textId="116D244F" w:rsidR="002014DC" w:rsidRPr="00E10D01" w:rsidRDefault="00B1153F" w:rsidP="007A4E21">
                            <w:pPr>
                              <w:pStyle w:val="IntroParagraph"/>
                              <w:spacing w:before="0" w:after="0"/>
                              <w:jc w:val="center"/>
                              <w:rPr>
                                <w:rFonts w:asciiTheme="minorHAnsi" w:eastAsiaTheme="minorEastAsia" w:hAnsiTheme="minorHAnsi" w:cstheme="minorBidi"/>
                                <w:bCs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theme="minorBidi"/>
                                <w:bCs/>
                                <w:color w:val="FFFFFF" w:themeColor="background1"/>
                                <w:sz w:val="60"/>
                                <w:szCs w:val="60"/>
                              </w:rPr>
                              <w:t>FOR THE FINANCIAL INVESTMENT ASSETS MANAGED BY ACT TREASURY</w:t>
                            </w:r>
                          </w:p>
                          <w:p w14:paraId="548664E9" w14:textId="77777777" w:rsidR="002014DC" w:rsidRDefault="002014DC" w:rsidP="007A4E21">
                            <w:pPr>
                              <w:pStyle w:val="IntroParagraph"/>
                              <w:spacing w:before="0" w:after="0"/>
                              <w:jc w:val="center"/>
                              <w:rPr>
                                <w:rFonts w:asciiTheme="minorHAnsi" w:eastAsiaTheme="minorEastAsia" w:hAnsiTheme="minorHAnsi" w:cstheme="minorBidi"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72010FD0" w14:textId="77777777" w:rsidR="00E10D01" w:rsidRDefault="00E10D01" w:rsidP="007A4E21">
                            <w:pPr>
                              <w:pStyle w:val="IntroParagraph"/>
                              <w:spacing w:before="0" w:after="0"/>
                              <w:jc w:val="center"/>
                              <w:rPr>
                                <w:rFonts w:asciiTheme="minorHAnsi" w:eastAsiaTheme="minorEastAsia" w:hAnsiTheme="minorHAnsi" w:cstheme="minorBidi"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0326A679" w14:textId="77777777" w:rsidR="00E10D01" w:rsidRPr="002014DC" w:rsidRDefault="00E10D01" w:rsidP="007A4E21">
                            <w:pPr>
                              <w:pStyle w:val="IntroParagraph"/>
                              <w:spacing w:before="0" w:after="0"/>
                              <w:jc w:val="center"/>
                              <w:rPr>
                                <w:rFonts w:asciiTheme="minorHAnsi" w:eastAsiaTheme="minorEastAsia" w:hAnsiTheme="minorHAnsi" w:cstheme="minorBidi"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42DA1D81" w14:textId="5DE6ECCF" w:rsidR="002014DC" w:rsidRPr="00222C35" w:rsidRDefault="002014DC" w:rsidP="007A4E21">
                            <w:pPr>
                              <w:pStyle w:val="IntroParagraph"/>
                              <w:spacing w:before="0" w:after="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677F02">
                              <w:rPr>
                                <w:color w:val="FFFFFF" w:themeColor="background1"/>
                              </w:rPr>
                              <w:t xml:space="preserve">MADE IN ACCORDANCE WITH THE FINANCIAL MANAGEMENT INVESTMENT GUIDELINES 2015 </w:t>
                            </w:r>
                            <w:r w:rsidR="00B1153F">
                              <w:rPr>
                                <w:color w:val="FFFFFF" w:themeColor="background1"/>
                              </w:rPr>
                              <w:t>(“INVESTMENT GUIDELINES”)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948A67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20.7pt;margin-top:117.9pt;width:406.5pt;height:367.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" filled="f" stroked="f" strokeweight=".5pt">
                <v:textbox>
                  <w:txbxContent>
                    <w:p w14:paraId="0F491E23" w14:textId="3E86B96D" w:rsidR="00E10D01" w:rsidRDefault="006B0716" w:rsidP="007A4E21">
                      <w:pPr>
                        <w:pStyle w:val="IntroParagraph"/>
                        <w:spacing w:before="0" w:after="0"/>
                        <w:jc w:val="center"/>
                        <w:rPr>
                          <w:rFonts w:ascii="Arial" w:eastAsiaTheme="majorEastAsia" w:hAnsi="Arial" w:cs="Arial"/>
                          <w:b/>
                          <w:color w:val="FFFFFF" w:themeColor="background1"/>
                          <w:kern w:val="28"/>
                          <w:sz w:val="70"/>
                          <w:szCs w:val="70"/>
                        </w:rPr>
                      </w:pPr>
                      <w:r>
                        <w:rPr>
                          <w:rFonts w:ascii="Arial" w:eastAsiaTheme="majorEastAsia" w:hAnsi="Arial" w:cs="Arial"/>
                          <w:b/>
                          <w:color w:val="FFFFFF" w:themeColor="background1"/>
                          <w:kern w:val="28"/>
                          <w:sz w:val="70"/>
                          <w:szCs w:val="70"/>
                        </w:rPr>
                        <w:t xml:space="preserve">LISTED EQUITY </w:t>
                      </w:r>
                      <w:r w:rsidR="00B1153F">
                        <w:rPr>
                          <w:rFonts w:ascii="Arial" w:eastAsiaTheme="majorEastAsia" w:hAnsi="Arial" w:cs="Arial"/>
                          <w:b/>
                          <w:color w:val="FFFFFF" w:themeColor="background1"/>
                          <w:kern w:val="28"/>
                          <w:sz w:val="70"/>
                          <w:szCs w:val="70"/>
                        </w:rPr>
                        <w:t>PROXY VOTING POLICY FRAMEWORK</w:t>
                      </w:r>
                      <w:r w:rsidR="002014DC" w:rsidRPr="00677F02">
                        <w:rPr>
                          <w:rFonts w:ascii="Arial" w:eastAsiaTheme="majorEastAsia" w:hAnsi="Arial" w:cs="Arial"/>
                          <w:b/>
                          <w:color w:val="FFFFFF" w:themeColor="background1"/>
                          <w:kern w:val="28"/>
                          <w:sz w:val="70"/>
                          <w:szCs w:val="70"/>
                        </w:rPr>
                        <w:t xml:space="preserve"> </w:t>
                      </w:r>
                    </w:p>
                    <w:p w14:paraId="7A020B3A" w14:textId="77777777" w:rsidR="00E10D01" w:rsidRDefault="00E10D01" w:rsidP="007A4E21">
                      <w:pPr>
                        <w:pStyle w:val="IntroParagraph"/>
                        <w:spacing w:before="0" w:after="0"/>
                        <w:jc w:val="center"/>
                        <w:rPr>
                          <w:rFonts w:ascii="Arial" w:eastAsiaTheme="majorEastAsia" w:hAnsi="Arial" w:cs="Arial"/>
                          <w:b/>
                          <w:color w:val="FFFFFF" w:themeColor="background1"/>
                          <w:kern w:val="28"/>
                          <w:sz w:val="70"/>
                          <w:szCs w:val="70"/>
                        </w:rPr>
                      </w:pPr>
                    </w:p>
                    <w:p w14:paraId="2C084687" w14:textId="116D244F" w:rsidR="002014DC" w:rsidRPr="00E10D01" w:rsidRDefault="00B1153F" w:rsidP="007A4E21">
                      <w:pPr>
                        <w:pStyle w:val="IntroParagraph"/>
                        <w:spacing w:before="0" w:after="0"/>
                        <w:jc w:val="center"/>
                        <w:rPr>
                          <w:rFonts w:asciiTheme="minorHAnsi" w:eastAsiaTheme="minorEastAsia" w:hAnsiTheme="minorHAnsi" w:cstheme="minorBidi"/>
                          <w:bCs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Theme="minorHAnsi" w:eastAsiaTheme="minorEastAsia" w:hAnsiTheme="minorHAnsi" w:cstheme="minorBidi"/>
                          <w:bCs/>
                          <w:color w:val="FFFFFF" w:themeColor="background1"/>
                          <w:sz w:val="60"/>
                          <w:szCs w:val="60"/>
                        </w:rPr>
                        <w:t>FOR THE FINANCIAL INVESTMENT ASSETS MANAGED BY ACT TREASURY</w:t>
                      </w:r>
                    </w:p>
                    <w:p w14:paraId="548664E9" w14:textId="77777777" w:rsidR="002014DC" w:rsidRDefault="002014DC" w:rsidP="007A4E21">
                      <w:pPr>
                        <w:pStyle w:val="IntroParagraph"/>
                        <w:spacing w:before="0" w:after="0"/>
                        <w:jc w:val="center"/>
                        <w:rPr>
                          <w:rFonts w:asciiTheme="minorHAnsi" w:eastAsiaTheme="minorEastAsia" w:hAnsiTheme="minorHAnsi" w:cstheme="minorBidi"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72010FD0" w14:textId="77777777" w:rsidR="00E10D01" w:rsidRDefault="00E10D01" w:rsidP="007A4E21">
                      <w:pPr>
                        <w:pStyle w:val="IntroParagraph"/>
                        <w:spacing w:before="0" w:after="0"/>
                        <w:jc w:val="center"/>
                        <w:rPr>
                          <w:rFonts w:asciiTheme="minorHAnsi" w:eastAsiaTheme="minorEastAsia" w:hAnsiTheme="minorHAnsi" w:cstheme="minorBidi"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0326A679" w14:textId="77777777" w:rsidR="00E10D01" w:rsidRPr="002014DC" w:rsidRDefault="00E10D01" w:rsidP="007A4E21">
                      <w:pPr>
                        <w:pStyle w:val="IntroParagraph"/>
                        <w:spacing w:before="0" w:after="0"/>
                        <w:jc w:val="center"/>
                        <w:rPr>
                          <w:rFonts w:asciiTheme="minorHAnsi" w:eastAsiaTheme="minorEastAsia" w:hAnsiTheme="minorHAnsi" w:cstheme="minorBidi"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42DA1D81" w14:textId="5DE6ECCF" w:rsidR="002014DC" w:rsidRPr="00222C35" w:rsidRDefault="002014DC" w:rsidP="007A4E21">
                      <w:pPr>
                        <w:pStyle w:val="IntroParagraph"/>
                        <w:spacing w:before="0" w:after="0"/>
                        <w:jc w:val="center"/>
                        <w:rPr>
                          <w:color w:val="FFFFFF" w:themeColor="background1"/>
                        </w:rPr>
                      </w:pPr>
                      <w:r w:rsidRPr="00677F02">
                        <w:rPr>
                          <w:color w:val="FFFFFF" w:themeColor="background1"/>
                        </w:rPr>
                        <w:t xml:space="preserve">MADE IN ACCORDANCE WITH THE FINANCIAL MANAGEMENT INVESTMENT GUIDELINES 2015 </w:t>
                      </w:r>
                      <w:r w:rsidR="00B1153F">
                        <w:rPr>
                          <w:color w:val="FFFFFF" w:themeColor="background1"/>
                        </w:rPr>
                        <w:t>(“INVESTMENT GUIDELINES”)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33CD9">
        <w:rPr>
          <w:b/>
          <w:caps/>
          <w:noProof/>
          <w:color w:val="000000" w:themeColor="text1"/>
          <w:sz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356A46" wp14:editId="6E3D7B5E">
                <wp:simplePos x="0" y="0"/>
                <wp:positionH relativeFrom="column">
                  <wp:posOffset>-51435</wp:posOffset>
                </wp:positionH>
                <wp:positionV relativeFrom="paragraph">
                  <wp:posOffset>8962390</wp:posOffset>
                </wp:positionV>
                <wp:extent cx="5080000" cy="45720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16E613" w14:textId="1AC01DF0" w:rsidR="00222C35" w:rsidRPr="00825C83" w:rsidRDefault="002014DC" w:rsidP="008F4C1C">
                            <w:pPr>
                              <w:pStyle w:val="Directoratename"/>
                            </w:pPr>
                            <w:r>
                              <w:t>Chief Minister, Treasury and Economic Development Directorate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56A46" id="Text Box 25" o:spid="_x0000_s1027" type="#_x0000_t202" style="position:absolute;margin-left:-4.05pt;margin-top:705.7pt;width:400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" filled="f" stroked="f" strokeweight=".5pt">
                <v:textbox>
                  <w:txbxContent>
                    <w:p w14:paraId="6216E613" w14:textId="1AC01DF0" w:rsidR="00222C35" w:rsidRPr="00825C83" w:rsidRDefault="002014DC" w:rsidP="008F4C1C">
                      <w:pPr>
                        <w:pStyle w:val="Directoratename"/>
                      </w:pPr>
                      <w:r>
                        <w:t>Chief Minister, Treasury and Economic Development Directorate</w:t>
                      </w:r>
                    </w:p>
                  </w:txbxContent>
                </v:textbox>
              </v:shape>
            </w:pict>
          </mc:Fallback>
        </mc:AlternateContent>
      </w:r>
      <w:r w:rsidR="00825C83">
        <w:rPr>
          <w:noProof/>
        </w:rPr>
        <w:drawing>
          <wp:anchor distT="0" distB="0" distL="114300" distR="114300" simplePos="0" relativeHeight="251657215" behindDoc="1" locked="0" layoutInCell="1" allowOverlap="1" wp14:anchorId="7838AA5C" wp14:editId="7CFDA268">
            <wp:simplePos x="0" y="0"/>
            <wp:positionH relativeFrom="column">
              <wp:posOffset>-364490</wp:posOffset>
            </wp:positionH>
            <wp:positionV relativeFrom="paragraph">
              <wp:posOffset>-434340</wp:posOffset>
            </wp:positionV>
            <wp:extent cx="6885305" cy="10690225"/>
            <wp:effectExtent l="0" t="0" r="0" b="0"/>
            <wp:wrapNone/>
            <wp:docPr id="7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5305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3B95">
        <w:rPr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61CEEF2A" wp14:editId="47E3FB8E">
            <wp:simplePos x="0" y="0"/>
            <wp:positionH relativeFrom="margin">
              <wp:align>left</wp:align>
            </wp:positionH>
            <wp:positionV relativeFrom="paragraph">
              <wp:posOffset>187325</wp:posOffset>
            </wp:positionV>
            <wp:extent cx="1753235" cy="899795"/>
            <wp:effectExtent l="0" t="0" r="0" b="0"/>
            <wp:wrapNone/>
            <wp:docPr id="16" name="Picture 16" descr="ACT Governmen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CT Government Logo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323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OLE_LINK2"/>
      <w:bookmarkEnd w:id="0"/>
      <w:r w:rsidR="00551EEB">
        <w:t xml:space="preserve"> </w:t>
      </w:r>
      <w:r w:rsidR="005E69BD">
        <w:br w:type="page"/>
      </w:r>
    </w:p>
    <w:p w14:paraId="257DA928" w14:textId="77777777" w:rsidR="009266DD" w:rsidRDefault="009266DD" w:rsidP="00923C55">
      <w:pPr>
        <w:pStyle w:val="Heading1"/>
      </w:pPr>
    </w:p>
    <w:p w14:paraId="2926E197" w14:textId="77777777" w:rsidR="00D67A4E" w:rsidRPr="00D67A4E" w:rsidRDefault="00D67A4E" w:rsidP="00D67A4E">
      <w:pPr>
        <w:sectPr w:rsidR="00D67A4E" w:rsidRPr="00D67A4E" w:rsidSect="00F51125">
          <w:headerReference w:type="default" r:id="rId14"/>
          <w:footerReference w:type="even" r:id="rId15"/>
          <w:footerReference w:type="default" r:id="rId16"/>
          <w:type w:val="continuous"/>
          <w:pgSz w:w="11907" w:h="16840" w:code="9"/>
          <w:pgMar w:top="1134" w:right="1134" w:bottom="1701" w:left="1134" w:header="567" w:footer="254" w:gutter="0"/>
          <w:cols w:num="2" w:space="720"/>
          <w:titlePg/>
          <w:docGrid w:linePitch="299"/>
        </w:sectPr>
      </w:pPr>
    </w:p>
    <w:p w14:paraId="5B5FC450" w14:textId="77777777" w:rsidR="005456A2" w:rsidRPr="00507633" w:rsidRDefault="005456A2" w:rsidP="005456A2">
      <w:pPr>
        <w:numPr>
          <w:ilvl w:val="1"/>
          <w:numId w:val="0"/>
        </w:numPr>
        <w:spacing w:before="240" w:after="240"/>
        <w:jc w:val="both"/>
        <w:rPr>
          <w:rFonts w:cs="Calibri"/>
          <w:b/>
          <w:bCs/>
          <w:lang w:val="en-US"/>
        </w:rPr>
      </w:pPr>
      <w:bookmarkStart w:id="1" w:name="_Toc78453590"/>
      <w:bookmarkStart w:id="2" w:name="_Toc126829905"/>
      <w:r w:rsidRPr="00507633">
        <w:rPr>
          <w:rFonts w:cs="Calibri"/>
          <w:b/>
          <w:bCs/>
          <w:lang w:val="en-US"/>
        </w:rPr>
        <w:t>Version Control</w:t>
      </w:r>
      <w:bookmarkEnd w:id="1"/>
    </w:p>
    <w:tbl>
      <w:tblPr>
        <w:tblStyle w:val="TableGrid"/>
        <w:tblW w:w="9526" w:type="dxa"/>
        <w:tblInd w:w="250" w:type="dxa"/>
        <w:tblLook w:val="04A0" w:firstRow="1" w:lastRow="0" w:firstColumn="1" w:lastColumn="0" w:noHBand="0" w:noVBand="1"/>
      </w:tblPr>
      <w:tblGrid>
        <w:gridCol w:w="1355"/>
        <w:gridCol w:w="2218"/>
        <w:gridCol w:w="3579"/>
        <w:gridCol w:w="2374"/>
      </w:tblGrid>
      <w:tr w:rsidR="005456A2" w:rsidRPr="00612FF4" w14:paraId="7651B15E" w14:textId="77777777" w:rsidTr="00BB2491">
        <w:tc>
          <w:tcPr>
            <w:tcW w:w="1355" w:type="dxa"/>
          </w:tcPr>
          <w:p w14:paraId="03FB1C97" w14:textId="77777777" w:rsidR="005456A2" w:rsidRPr="00612FF4" w:rsidRDefault="005456A2" w:rsidP="00BB2491">
            <w:pPr>
              <w:rPr>
                <w:rFonts w:asciiTheme="minorHAnsi" w:hAnsiTheme="minorHAnsi"/>
                <w:b/>
              </w:rPr>
            </w:pPr>
            <w:r w:rsidRPr="00612FF4">
              <w:rPr>
                <w:rFonts w:asciiTheme="minorHAnsi" w:hAnsiTheme="minorHAnsi"/>
                <w:b/>
              </w:rPr>
              <w:t>Version No.</w:t>
            </w:r>
          </w:p>
        </w:tc>
        <w:tc>
          <w:tcPr>
            <w:tcW w:w="2218" w:type="dxa"/>
          </w:tcPr>
          <w:p w14:paraId="53847311" w14:textId="77777777" w:rsidR="005456A2" w:rsidRPr="00612FF4" w:rsidRDefault="005456A2" w:rsidP="00BB2491">
            <w:pPr>
              <w:rPr>
                <w:rFonts w:asciiTheme="minorHAnsi" w:hAnsiTheme="minorHAnsi"/>
                <w:b/>
              </w:rPr>
            </w:pPr>
            <w:r w:rsidRPr="00612FF4">
              <w:rPr>
                <w:rFonts w:asciiTheme="minorHAnsi" w:hAnsiTheme="minorHAnsi"/>
                <w:b/>
              </w:rPr>
              <w:t>Date</w:t>
            </w:r>
          </w:p>
        </w:tc>
        <w:tc>
          <w:tcPr>
            <w:tcW w:w="3579" w:type="dxa"/>
          </w:tcPr>
          <w:p w14:paraId="1B3F4572" w14:textId="77777777" w:rsidR="005456A2" w:rsidRPr="00612FF4" w:rsidRDefault="005456A2" w:rsidP="00BB2491">
            <w:pPr>
              <w:rPr>
                <w:rFonts w:asciiTheme="minorHAnsi" w:hAnsiTheme="minorHAnsi"/>
                <w:b/>
              </w:rPr>
            </w:pPr>
            <w:r w:rsidRPr="00612FF4">
              <w:rPr>
                <w:rFonts w:asciiTheme="minorHAnsi" w:hAnsiTheme="minorHAnsi"/>
                <w:b/>
              </w:rPr>
              <w:t>Comments</w:t>
            </w:r>
          </w:p>
        </w:tc>
        <w:tc>
          <w:tcPr>
            <w:tcW w:w="2374" w:type="dxa"/>
          </w:tcPr>
          <w:p w14:paraId="6557D9F6" w14:textId="77777777" w:rsidR="005456A2" w:rsidRPr="00612FF4" w:rsidRDefault="005456A2" w:rsidP="00BB2491">
            <w:pPr>
              <w:rPr>
                <w:rFonts w:asciiTheme="minorHAnsi" w:hAnsiTheme="minorHAnsi"/>
                <w:b/>
              </w:rPr>
            </w:pPr>
            <w:r w:rsidRPr="00612FF4">
              <w:rPr>
                <w:rFonts w:asciiTheme="minorHAnsi" w:hAnsiTheme="minorHAnsi"/>
                <w:b/>
              </w:rPr>
              <w:t>Approver</w:t>
            </w:r>
          </w:p>
        </w:tc>
      </w:tr>
      <w:tr w:rsidR="0040414C" w:rsidRPr="00612FF4" w14:paraId="5791F012" w14:textId="77777777" w:rsidTr="00BB2491">
        <w:tc>
          <w:tcPr>
            <w:tcW w:w="1355" w:type="dxa"/>
            <w:vAlign w:val="center"/>
          </w:tcPr>
          <w:p w14:paraId="370E5EC8" w14:textId="674C7406" w:rsidR="0040414C" w:rsidRPr="00612FF4" w:rsidRDefault="00076B01" w:rsidP="0040414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2218" w:type="dxa"/>
            <w:vAlign w:val="center"/>
          </w:tcPr>
          <w:p w14:paraId="3D56ED68" w14:textId="181DF9E0" w:rsidR="0040414C" w:rsidRPr="00612FF4" w:rsidRDefault="00904BCC" w:rsidP="0040414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August</w:t>
            </w:r>
            <w:r w:rsidR="00B1153F">
              <w:rPr>
                <w:rFonts w:asciiTheme="minorHAnsi" w:hAnsiTheme="minorHAnsi"/>
              </w:rPr>
              <w:t xml:space="preserve"> 2026</w:t>
            </w:r>
          </w:p>
        </w:tc>
        <w:tc>
          <w:tcPr>
            <w:tcW w:w="3579" w:type="dxa"/>
            <w:vAlign w:val="center"/>
          </w:tcPr>
          <w:p w14:paraId="4ADE84F3" w14:textId="3C8253CF" w:rsidR="0040414C" w:rsidRPr="00312419" w:rsidRDefault="00B1153F" w:rsidP="0040414C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 xml:space="preserve">Summary of ISS </w:t>
            </w:r>
            <w:r w:rsidR="006B0716">
              <w:rPr>
                <w:rFonts w:asciiTheme="minorHAnsi" w:hAnsiTheme="minorHAnsi"/>
                <w:szCs w:val="22"/>
              </w:rPr>
              <w:t xml:space="preserve">Stoxx Sustainability </w:t>
            </w:r>
            <w:r>
              <w:rPr>
                <w:rFonts w:asciiTheme="minorHAnsi" w:hAnsiTheme="minorHAnsi"/>
                <w:szCs w:val="22"/>
              </w:rPr>
              <w:t>Proxy Voting Policy</w:t>
            </w:r>
          </w:p>
        </w:tc>
        <w:tc>
          <w:tcPr>
            <w:tcW w:w="2374" w:type="dxa"/>
            <w:vAlign w:val="center"/>
          </w:tcPr>
          <w:p w14:paraId="559F33C5" w14:textId="6E01B3B5" w:rsidR="0040414C" w:rsidRPr="00612FF4" w:rsidRDefault="00B1153F" w:rsidP="0040414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Treasurer</w:t>
            </w:r>
          </w:p>
        </w:tc>
      </w:tr>
    </w:tbl>
    <w:p w14:paraId="55502CCA" w14:textId="77777777" w:rsidR="002E676A" w:rsidRPr="007C2128" w:rsidRDefault="002E676A" w:rsidP="007C2128">
      <w:r>
        <w:rPr>
          <w:color w:val="000000" w:themeColor="text1"/>
        </w:rPr>
        <w:br w:type="page"/>
      </w:r>
    </w:p>
    <w:sdt>
      <w:sdtPr>
        <w:rPr>
          <w:rFonts w:ascii="Calibri" w:eastAsia="Times New Roman" w:hAnsi="Calibri" w:cs="Times New Roman"/>
          <w:color w:val="auto"/>
          <w:sz w:val="22"/>
          <w:szCs w:val="20"/>
          <w:lang w:val="en-AU"/>
        </w:rPr>
        <w:id w:val="142182988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1A687A5" w14:textId="60278943" w:rsidR="005456A2" w:rsidRPr="00DE7B0F" w:rsidRDefault="005456A2" w:rsidP="00923C55">
          <w:pPr>
            <w:pStyle w:val="TOCHeading"/>
            <w:rPr>
              <w:b/>
              <w:bCs/>
              <w:color w:val="7030A0"/>
              <w:sz w:val="28"/>
              <w:szCs w:val="28"/>
            </w:rPr>
          </w:pPr>
          <w:r w:rsidRPr="00DE7B0F">
            <w:rPr>
              <w:b/>
              <w:bCs/>
              <w:color w:val="7030A0"/>
              <w:sz w:val="28"/>
              <w:szCs w:val="28"/>
            </w:rPr>
            <w:t>Table of Contents</w:t>
          </w:r>
        </w:p>
        <w:p w14:paraId="03A98BB4" w14:textId="3E62A606" w:rsidR="00686907" w:rsidRDefault="005456A2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2660743" w:history="1">
            <w:r w:rsidR="00686907" w:rsidRPr="0025222A">
              <w:rPr>
                <w:rStyle w:val="Hyperlink"/>
                <w:noProof/>
              </w:rPr>
              <w:t>PURPOSE</w:t>
            </w:r>
            <w:r w:rsidR="00686907">
              <w:rPr>
                <w:noProof/>
                <w:webHidden/>
              </w:rPr>
              <w:tab/>
            </w:r>
            <w:r w:rsidR="00686907">
              <w:rPr>
                <w:noProof/>
                <w:webHidden/>
              </w:rPr>
              <w:fldChar w:fldCharType="begin"/>
            </w:r>
            <w:r w:rsidR="00686907">
              <w:rPr>
                <w:noProof/>
                <w:webHidden/>
              </w:rPr>
              <w:instrText xml:space="preserve"> PAGEREF _Toc222660743 \h </w:instrText>
            </w:r>
            <w:r w:rsidR="00686907">
              <w:rPr>
                <w:noProof/>
                <w:webHidden/>
              </w:rPr>
            </w:r>
            <w:r w:rsidR="00686907">
              <w:rPr>
                <w:noProof/>
                <w:webHidden/>
              </w:rPr>
              <w:fldChar w:fldCharType="separate"/>
            </w:r>
            <w:r w:rsidR="00686907">
              <w:rPr>
                <w:noProof/>
                <w:webHidden/>
              </w:rPr>
              <w:t>4</w:t>
            </w:r>
            <w:r w:rsidR="00686907">
              <w:rPr>
                <w:noProof/>
                <w:webHidden/>
              </w:rPr>
              <w:fldChar w:fldCharType="end"/>
            </w:r>
          </w:hyperlink>
        </w:p>
        <w:p w14:paraId="1A611FCE" w14:textId="239A26F9" w:rsidR="00686907" w:rsidRDefault="00686907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660744" w:history="1">
            <w:r w:rsidRPr="0025222A">
              <w:rPr>
                <w:rStyle w:val="Hyperlink"/>
                <w:noProof/>
              </w:rPr>
              <w:t>LEGISLATIVE REQUIREMENTS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_Toc222660744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0DEA25" w14:textId="0819AA83" w:rsidR="00686907" w:rsidRDefault="00686907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660745" w:history="1">
            <w:r w:rsidRPr="0025222A">
              <w:rPr>
                <w:rStyle w:val="Hyperlink"/>
                <w:noProof/>
              </w:rPr>
              <w:t>POLICY STATEMENT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_Toc222660745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DC4BC7" w14:textId="689BA742" w:rsidR="00686907" w:rsidRDefault="00686907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660746" w:history="1">
            <w:r w:rsidRPr="0025222A">
              <w:rPr>
                <w:rStyle w:val="Hyperlink"/>
                <w:noProof/>
              </w:rPr>
              <w:t>SCOPE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_Toc222660746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54164A" w14:textId="7A2B9281" w:rsidR="00686907" w:rsidRDefault="00686907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660747" w:history="1">
            <w:r w:rsidRPr="0025222A">
              <w:rPr>
                <w:rStyle w:val="Hyperlink"/>
                <w:noProof/>
              </w:rPr>
              <w:t>OBJECTIVE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_Toc222660747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E7FE9B" w14:textId="48465718" w:rsidR="00686907" w:rsidRDefault="00686907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660748" w:history="1">
            <w:r w:rsidRPr="0025222A">
              <w:rPr>
                <w:rStyle w:val="Hyperlink"/>
                <w:noProof/>
              </w:rPr>
              <w:t>GUIDING PRINCIPLES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_Toc222660748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1F6576" w14:textId="7788781A" w:rsidR="00686907" w:rsidRDefault="00686907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660749" w:history="1">
            <w:r w:rsidRPr="0025222A">
              <w:rPr>
                <w:rStyle w:val="Hyperlink"/>
                <w:noProof/>
              </w:rPr>
              <w:t>USE OF PROXY VOTING ADVISOR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_Toc222660749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8441F2" w14:textId="127B7848" w:rsidR="00686907" w:rsidRDefault="00686907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660750" w:history="1">
            <w:r w:rsidRPr="0025222A">
              <w:rPr>
                <w:rStyle w:val="Hyperlink"/>
                <w:noProof/>
              </w:rPr>
              <w:t>SUSTAINABILITY PROXY VOTING POLICY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_Toc222660750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E2D833" w14:textId="2456FBE9" w:rsidR="00686907" w:rsidRDefault="00686907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660751" w:history="1">
            <w:r w:rsidRPr="0025222A">
              <w:rPr>
                <w:rStyle w:val="Hyperlink"/>
                <w:noProof/>
              </w:rPr>
              <w:t>ISS SUSTAINABILITY PROXY VOTING POLICY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_Toc222660751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8CFCF5" w14:textId="13A7F633" w:rsidR="00686907" w:rsidRDefault="00686907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660752" w:history="1">
            <w:r w:rsidRPr="0025222A">
              <w:rPr>
                <w:rStyle w:val="Hyperlink"/>
                <w:noProof/>
              </w:rPr>
              <w:t>RECORD KEEPING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_Toc222660752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D13A71" w14:textId="7382CD8E" w:rsidR="00686907" w:rsidRDefault="00686907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660753" w:history="1">
            <w:r w:rsidRPr="0025222A">
              <w:rPr>
                <w:rStyle w:val="Hyperlink"/>
                <w:noProof/>
              </w:rPr>
              <w:t>REPORTING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_Toc222660753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AE79C3" w14:textId="7CBBC90E" w:rsidR="005456A2" w:rsidRDefault="005456A2">
          <w:r>
            <w:rPr>
              <w:b/>
              <w:bCs/>
              <w:noProof/>
            </w:rPr>
            <w:fldChar w:fldCharType="end"/>
          </w:r>
        </w:p>
      </w:sdtContent>
    </w:sdt>
    <w:p w14:paraId="7D766400" w14:textId="4C6A8895" w:rsidR="005456A2" w:rsidRPr="002C0890" w:rsidRDefault="005456A2" w:rsidP="002C0890">
      <w:r>
        <w:rPr>
          <w:color w:val="000000" w:themeColor="text1"/>
        </w:rPr>
        <w:br w:type="page"/>
      </w:r>
    </w:p>
    <w:p w14:paraId="318B520E" w14:textId="4A090DB0" w:rsidR="002014DC" w:rsidRPr="00923C55" w:rsidRDefault="002014DC" w:rsidP="00923C55">
      <w:pPr>
        <w:pStyle w:val="Heading1"/>
      </w:pPr>
      <w:bookmarkStart w:id="3" w:name="_Toc222660743"/>
      <w:r w:rsidRPr="00923C55">
        <w:lastRenderedPageBreak/>
        <w:t>PURPOSE</w:t>
      </w:r>
      <w:bookmarkEnd w:id="2"/>
      <w:bookmarkEnd w:id="3"/>
    </w:p>
    <w:p w14:paraId="2AB06978" w14:textId="67F35B28" w:rsidR="00076B01" w:rsidRPr="00923C55" w:rsidRDefault="00076B01" w:rsidP="0032719F">
      <w:pPr>
        <w:spacing w:before="0" w:after="240"/>
        <w:jc w:val="both"/>
        <w:rPr>
          <w:rFonts w:cs="Calibri"/>
          <w:sz w:val="24"/>
          <w:szCs w:val="24"/>
          <w:lang w:val="en-US"/>
        </w:rPr>
      </w:pPr>
      <w:r w:rsidRPr="00923C55">
        <w:rPr>
          <w:rFonts w:cs="Calibri"/>
          <w:sz w:val="24"/>
          <w:szCs w:val="24"/>
          <w:lang w:val="en-US"/>
        </w:rPr>
        <w:t xml:space="preserve">This </w:t>
      </w:r>
      <w:r w:rsidR="00B1153F">
        <w:rPr>
          <w:rFonts w:cs="Calibri"/>
          <w:sz w:val="24"/>
          <w:szCs w:val="24"/>
          <w:lang w:val="en-US"/>
        </w:rPr>
        <w:t xml:space="preserve">Proxy Voting </w:t>
      </w:r>
      <w:r w:rsidR="007927B5">
        <w:rPr>
          <w:rFonts w:cs="Calibri"/>
          <w:sz w:val="24"/>
          <w:szCs w:val="24"/>
          <w:lang w:val="en-US"/>
        </w:rPr>
        <w:t>P</w:t>
      </w:r>
      <w:r w:rsidR="00B1153F">
        <w:rPr>
          <w:rFonts w:cs="Calibri"/>
          <w:sz w:val="24"/>
          <w:szCs w:val="24"/>
          <w:lang w:val="en-US"/>
        </w:rPr>
        <w:t>olicy</w:t>
      </w:r>
      <w:r w:rsidRPr="00923C55">
        <w:rPr>
          <w:rFonts w:cs="Calibri"/>
          <w:sz w:val="24"/>
          <w:szCs w:val="24"/>
          <w:lang w:val="en-US"/>
        </w:rPr>
        <w:t xml:space="preserve"> </w:t>
      </w:r>
      <w:r w:rsidR="007927B5">
        <w:rPr>
          <w:rFonts w:cs="Calibri"/>
          <w:sz w:val="24"/>
          <w:szCs w:val="24"/>
          <w:lang w:val="en-US"/>
        </w:rPr>
        <w:t>applies to the listed company investments</w:t>
      </w:r>
      <w:r w:rsidR="00B1153F" w:rsidRPr="00F121FC">
        <w:rPr>
          <w:rFonts w:cs="Calibri"/>
          <w:sz w:val="24"/>
          <w:szCs w:val="24"/>
          <w:lang w:val="en-US"/>
        </w:rPr>
        <w:t xml:space="preserve"> managed by the ACT Chief Minister, Treasury and Economic Development Directorate, represented by Treasury.</w:t>
      </w:r>
    </w:p>
    <w:p w14:paraId="4CCAD80A" w14:textId="471FDF68" w:rsidR="00076B01" w:rsidRPr="00923C55" w:rsidRDefault="00B1153F" w:rsidP="0032719F">
      <w:pPr>
        <w:spacing w:before="0" w:after="240"/>
        <w:jc w:val="both"/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 xml:space="preserve">The purpose of this </w:t>
      </w:r>
      <w:r w:rsidR="007927B5">
        <w:rPr>
          <w:rFonts w:cs="Calibri"/>
          <w:sz w:val="24"/>
          <w:szCs w:val="24"/>
          <w:lang w:val="en-US"/>
        </w:rPr>
        <w:t>P</w:t>
      </w:r>
      <w:r>
        <w:rPr>
          <w:rFonts w:cs="Calibri"/>
          <w:sz w:val="24"/>
          <w:szCs w:val="24"/>
          <w:lang w:val="en-US"/>
        </w:rPr>
        <w:t xml:space="preserve">olicy is to </w:t>
      </w:r>
      <w:r w:rsidR="007927B5">
        <w:rPr>
          <w:rFonts w:cs="Calibri"/>
          <w:sz w:val="24"/>
          <w:szCs w:val="24"/>
          <w:lang w:val="en-US"/>
        </w:rPr>
        <w:t>establish</w:t>
      </w:r>
      <w:r>
        <w:rPr>
          <w:rFonts w:cs="Calibri"/>
          <w:sz w:val="24"/>
          <w:szCs w:val="24"/>
          <w:lang w:val="en-US"/>
        </w:rPr>
        <w:t xml:space="preserve"> the principles</w:t>
      </w:r>
      <w:r w:rsidR="00686907">
        <w:rPr>
          <w:rFonts w:cs="Calibri"/>
          <w:sz w:val="24"/>
          <w:szCs w:val="24"/>
          <w:lang w:val="en-US"/>
        </w:rPr>
        <w:t xml:space="preserve"> and </w:t>
      </w:r>
      <w:r>
        <w:rPr>
          <w:rFonts w:cs="Calibri"/>
          <w:sz w:val="24"/>
          <w:szCs w:val="24"/>
          <w:lang w:val="en-US"/>
        </w:rPr>
        <w:t xml:space="preserve">governance framework that guide the exercise of proxy voting rights. The Government </w:t>
      </w:r>
      <w:proofErr w:type="spellStart"/>
      <w:r>
        <w:rPr>
          <w:rFonts w:cs="Calibri"/>
          <w:sz w:val="24"/>
          <w:szCs w:val="24"/>
          <w:lang w:val="en-US"/>
        </w:rPr>
        <w:t>recognises</w:t>
      </w:r>
      <w:proofErr w:type="spellEnd"/>
      <w:r>
        <w:rPr>
          <w:rFonts w:cs="Calibri"/>
          <w:sz w:val="24"/>
          <w:szCs w:val="24"/>
          <w:lang w:val="en-US"/>
        </w:rPr>
        <w:t xml:space="preserve"> </w:t>
      </w:r>
      <w:r w:rsidR="007927B5">
        <w:rPr>
          <w:rFonts w:cs="Calibri"/>
          <w:sz w:val="24"/>
          <w:szCs w:val="24"/>
          <w:lang w:val="en-US"/>
        </w:rPr>
        <w:t>proxy</w:t>
      </w:r>
      <w:r>
        <w:rPr>
          <w:rFonts w:cs="Calibri"/>
          <w:sz w:val="24"/>
          <w:szCs w:val="24"/>
          <w:lang w:val="en-US"/>
        </w:rPr>
        <w:t xml:space="preserve"> voting a</w:t>
      </w:r>
      <w:r w:rsidR="007927B5">
        <w:rPr>
          <w:rFonts w:cs="Calibri"/>
          <w:sz w:val="24"/>
          <w:szCs w:val="24"/>
          <w:lang w:val="en-US"/>
        </w:rPr>
        <w:t>s</w:t>
      </w:r>
      <w:r>
        <w:rPr>
          <w:rFonts w:cs="Calibri"/>
          <w:sz w:val="24"/>
          <w:szCs w:val="24"/>
          <w:lang w:val="en-US"/>
        </w:rPr>
        <w:t xml:space="preserve"> </w:t>
      </w:r>
      <w:r w:rsidR="007927B5">
        <w:rPr>
          <w:rFonts w:cs="Calibri"/>
          <w:sz w:val="24"/>
          <w:szCs w:val="24"/>
          <w:lang w:val="en-US"/>
        </w:rPr>
        <w:t xml:space="preserve">a </w:t>
      </w:r>
      <w:r>
        <w:rPr>
          <w:rFonts w:cs="Calibri"/>
          <w:sz w:val="24"/>
          <w:szCs w:val="24"/>
          <w:lang w:val="en-US"/>
        </w:rPr>
        <w:t xml:space="preserve">key stewardship responsibility that </w:t>
      </w:r>
      <w:r w:rsidR="007927B5">
        <w:rPr>
          <w:rFonts w:cs="Calibri"/>
          <w:sz w:val="24"/>
          <w:szCs w:val="24"/>
          <w:lang w:val="en-US"/>
        </w:rPr>
        <w:t>supports</w:t>
      </w:r>
      <w:r>
        <w:rPr>
          <w:rFonts w:cs="Calibri"/>
          <w:sz w:val="24"/>
          <w:szCs w:val="24"/>
          <w:lang w:val="en-US"/>
        </w:rPr>
        <w:t xml:space="preserve"> the protection and enhancement of long-term </w:t>
      </w:r>
      <w:r w:rsidR="0072056B">
        <w:rPr>
          <w:rFonts w:cs="Calibri"/>
          <w:sz w:val="24"/>
          <w:szCs w:val="24"/>
          <w:lang w:val="en-US"/>
        </w:rPr>
        <w:t xml:space="preserve">shareholder </w:t>
      </w:r>
      <w:r>
        <w:rPr>
          <w:rFonts w:cs="Calibri"/>
          <w:sz w:val="24"/>
          <w:szCs w:val="24"/>
          <w:lang w:val="en-US"/>
        </w:rPr>
        <w:t>value.</w:t>
      </w:r>
    </w:p>
    <w:p w14:paraId="1CCEE15C" w14:textId="0FDC8690" w:rsidR="00076B01" w:rsidRDefault="00076B01" w:rsidP="0032719F">
      <w:pPr>
        <w:spacing w:before="0" w:after="240"/>
        <w:jc w:val="both"/>
        <w:rPr>
          <w:rFonts w:cs="Calibri"/>
          <w:sz w:val="24"/>
          <w:szCs w:val="24"/>
          <w:lang w:val="en-US"/>
        </w:rPr>
      </w:pPr>
      <w:r w:rsidRPr="00923C55">
        <w:rPr>
          <w:rFonts w:cs="Calibri"/>
          <w:sz w:val="24"/>
          <w:szCs w:val="24"/>
          <w:lang w:val="en-US"/>
        </w:rPr>
        <w:t xml:space="preserve">This </w:t>
      </w:r>
      <w:r w:rsidR="007927B5">
        <w:rPr>
          <w:rFonts w:cs="Calibri"/>
          <w:sz w:val="24"/>
          <w:szCs w:val="24"/>
          <w:lang w:val="en-US"/>
        </w:rPr>
        <w:t>P</w:t>
      </w:r>
      <w:r w:rsidR="00B1153F">
        <w:rPr>
          <w:rFonts w:cs="Calibri"/>
          <w:sz w:val="24"/>
          <w:szCs w:val="24"/>
          <w:lang w:val="en-US"/>
        </w:rPr>
        <w:t>olicy</w:t>
      </w:r>
      <w:r w:rsidR="007927B5">
        <w:rPr>
          <w:rFonts w:cs="Calibri"/>
          <w:sz w:val="24"/>
          <w:szCs w:val="24"/>
          <w:lang w:val="en-US"/>
        </w:rPr>
        <w:t xml:space="preserve"> should be </w:t>
      </w:r>
      <w:r w:rsidRPr="00923C55">
        <w:rPr>
          <w:rFonts w:cs="Calibri"/>
          <w:sz w:val="24"/>
          <w:szCs w:val="24"/>
          <w:lang w:val="en-US"/>
        </w:rPr>
        <w:t xml:space="preserve">read in conjunction with the </w:t>
      </w:r>
      <w:r w:rsidRPr="00923C55">
        <w:rPr>
          <w:rFonts w:cs="Calibri"/>
          <w:i/>
          <w:sz w:val="24"/>
          <w:szCs w:val="24"/>
          <w:lang w:val="en-US"/>
        </w:rPr>
        <w:t>Responsible Investment Policy</w:t>
      </w:r>
      <w:r w:rsidRPr="00923C55">
        <w:rPr>
          <w:rFonts w:cs="Calibri"/>
          <w:sz w:val="24"/>
          <w:szCs w:val="24"/>
          <w:lang w:val="en-US"/>
        </w:rPr>
        <w:t xml:space="preserve"> for the investment assets managed by Treasury.</w:t>
      </w:r>
    </w:p>
    <w:p w14:paraId="2E97F7F4" w14:textId="6D9C9B5E" w:rsidR="00686907" w:rsidRPr="00923C55" w:rsidRDefault="00686907" w:rsidP="0032719F">
      <w:pPr>
        <w:spacing w:before="0" w:after="240"/>
        <w:jc w:val="both"/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 xml:space="preserve">This document is not intended to </w:t>
      </w:r>
      <w:r w:rsidR="007927B5">
        <w:rPr>
          <w:rFonts w:cs="Calibri"/>
          <w:sz w:val="24"/>
          <w:szCs w:val="24"/>
          <w:lang w:val="en-US"/>
        </w:rPr>
        <w:t xml:space="preserve">provide </w:t>
      </w:r>
      <w:r>
        <w:rPr>
          <w:rFonts w:cs="Calibri"/>
          <w:sz w:val="24"/>
          <w:szCs w:val="24"/>
          <w:lang w:val="en-US"/>
        </w:rPr>
        <w:t xml:space="preserve">detailed </w:t>
      </w:r>
      <w:r w:rsidR="007B4502">
        <w:rPr>
          <w:rFonts w:cs="Calibri"/>
          <w:sz w:val="24"/>
          <w:szCs w:val="24"/>
          <w:lang w:val="en-US"/>
        </w:rPr>
        <w:t xml:space="preserve">operational </w:t>
      </w:r>
      <w:r>
        <w:rPr>
          <w:rFonts w:cs="Calibri"/>
          <w:sz w:val="24"/>
          <w:szCs w:val="24"/>
          <w:lang w:val="en-US"/>
        </w:rPr>
        <w:t>guid</w:t>
      </w:r>
      <w:r w:rsidR="007927B5">
        <w:rPr>
          <w:rFonts w:cs="Calibri"/>
          <w:sz w:val="24"/>
          <w:szCs w:val="24"/>
          <w:lang w:val="en-US"/>
        </w:rPr>
        <w:t>ance</w:t>
      </w:r>
      <w:r>
        <w:rPr>
          <w:rFonts w:cs="Calibri"/>
          <w:sz w:val="24"/>
          <w:szCs w:val="24"/>
          <w:lang w:val="en-US"/>
        </w:rPr>
        <w:t xml:space="preserve"> </w:t>
      </w:r>
      <w:r w:rsidR="007927B5">
        <w:rPr>
          <w:rFonts w:cs="Calibri"/>
          <w:sz w:val="24"/>
          <w:szCs w:val="24"/>
          <w:lang w:val="en-US"/>
        </w:rPr>
        <w:t>for</w:t>
      </w:r>
      <w:r>
        <w:rPr>
          <w:rFonts w:cs="Calibri"/>
          <w:sz w:val="24"/>
          <w:szCs w:val="24"/>
          <w:lang w:val="en-US"/>
        </w:rPr>
        <w:t xml:space="preserve"> every</w:t>
      </w:r>
      <w:r w:rsidR="0072056B">
        <w:rPr>
          <w:rFonts w:cs="Calibri"/>
          <w:sz w:val="24"/>
          <w:szCs w:val="24"/>
          <w:lang w:val="en-US"/>
        </w:rPr>
        <w:t xml:space="preserve"> company-specific </w:t>
      </w:r>
      <w:r>
        <w:rPr>
          <w:rFonts w:cs="Calibri"/>
          <w:sz w:val="24"/>
          <w:szCs w:val="24"/>
          <w:lang w:val="en-US"/>
        </w:rPr>
        <w:t xml:space="preserve">voting </w:t>
      </w:r>
      <w:r w:rsidR="007927B5">
        <w:rPr>
          <w:rFonts w:cs="Calibri"/>
          <w:sz w:val="24"/>
          <w:szCs w:val="24"/>
          <w:lang w:val="en-US"/>
        </w:rPr>
        <w:t xml:space="preserve">decision. Rather, it outlines the </w:t>
      </w:r>
      <w:r>
        <w:rPr>
          <w:rFonts w:cs="Calibri"/>
          <w:sz w:val="24"/>
          <w:szCs w:val="24"/>
          <w:lang w:val="en-US"/>
        </w:rPr>
        <w:t xml:space="preserve">key </w:t>
      </w:r>
      <w:r w:rsidR="007B4502">
        <w:rPr>
          <w:rFonts w:cs="Calibri"/>
          <w:sz w:val="24"/>
          <w:szCs w:val="24"/>
          <w:lang w:val="en-US"/>
        </w:rPr>
        <w:t>principles</w:t>
      </w:r>
      <w:r>
        <w:rPr>
          <w:rFonts w:cs="Calibri"/>
          <w:sz w:val="24"/>
          <w:szCs w:val="24"/>
          <w:lang w:val="en-US"/>
        </w:rPr>
        <w:t xml:space="preserve"> </w:t>
      </w:r>
      <w:r w:rsidR="007927B5">
        <w:rPr>
          <w:rFonts w:cs="Calibri"/>
          <w:sz w:val="24"/>
          <w:szCs w:val="24"/>
          <w:lang w:val="en-US"/>
        </w:rPr>
        <w:t xml:space="preserve">and overarching framework governing proxy voting for listed company share investments </w:t>
      </w:r>
      <w:r>
        <w:rPr>
          <w:rFonts w:cs="Calibri"/>
          <w:sz w:val="24"/>
          <w:szCs w:val="24"/>
          <w:lang w:val="en-US"/>
        </w:rPr>
        <w:t>managed by Treasury.</w:t>
      </w:r>
    </w:p>
    <w:p w14:paraId="761AA717" w14:textId="77777777" w:rsidR="00EA6F8A" w:rsidRPr="0019125B" w:rsidRDefault="00EA6F8A" w:rsidP="00923C55">
      <w:pPr>
        <w:pStyle w:val="Heading1"/>
      </w:pPr>
      <w:bookmarkStart w:id="4" w:name="_Toc152330693"/>
      <w:bookmarkStart w:id="5" w:name="_Toc222660744"/>
      <w:bookmarkStart w:id="6" w:name="_Toc126829907"/>
      <w:r w:rsidRPr="0019125B">
        <w:t>LEGISLATIVE REQUIREMENTS</w:t>
      </w:r>
      <w:bookmarkEnd w:id="4"/>
      <w:bookmarkEnd w:id="5"/>
    </w:p>
    <w:p w14:paraId="799169D5" w14:textId="2A3E8F65" w:rsidR="00B1153F" w:rsidRDefault="00B1153F" w:rsidP="0032719F">
      <w:pPr>
        <w:spacing w:before="0" w:after="240"/>
        <w:jc w:val="both"/>
        <w:rPr>
          <w:rFonts w:cs="Calibri"/>
          <w:sz w:val="24"/>
          <w:szCs w:val="24"/>
          <w:lang w:val="en-US"/>
        </w:rPr>
      </w:pPr>
      <w:r w:rsidRPr="00F121FC">
        <w:rPr>
          <w:rFonts w:cs="Calibri"/>
          <w:sz w:val="24"/>
          <w:szCs w:val="24"/>
          <w:lang w:val="en-US"/>
        </w:rPr>
        <w:t xml:space="preserve">The authority for the investment of Directorate or Territory Authority </w:t>
      </w:r>
      <w:r w:rsidR="007927B5">
        <w:rPr>
          <w:rFonts w:cs="Calibri"/>
          <w:sz w:val="24"/>
          <w:szCs w:val="24"/>
          <w:lang w:val="en-US"/>
        </w:rPr>
        <w:t>funds</w:t>
      </w:r>
      <w:r w:rsidRPr="00F121FC">
        <w:rPr>
          <w:rFonts w:cs="Calibri"/>
          <w:sz w:val="24"/>
          <w:szCs w:val="24"/>
          <w:lang w:val="en-US"/>
        </w:rPr>
        <w:t xml:space="preserve"> is</w:t>
      </w:r>
      <w:r w:rsidR="007927B5">
        <w:rPr>
          <w:rFonts w:cs="Calibri"/>
          <w:sz w:val="24"/>
          <w:szCs w:val="24"/>
          <w:lang w:val="en-US"/>
        </w:rPr>
        <w:t xml:space="preserve"> established under the </w:t>
      </w:r>
      <w:r w:rsidRPr="00F121FC">
        <w:rPr>
          <w:rFonts w:cs="Calibri"/>
          <w:i/>
          <w:iCs/>
          <w:sz w:val="24"/>
          <w:szCs w:val="24"/>
          <w:lang w:val="en-US"/>
        </w:rPr>
        <w:t>Financial Management Act 1996</w:t>
      </w:r>
      <w:r w:rsidRPr="00F121FC">
        <w:rPr>
          <w:rFonts w:cs="Calibri"/>
          <w:sz w:val="24"/>
          <w:szCs w:val="24"/>
          <w:lang w:val="en-US"/>
        </w:rPr>
        <w:t xml:space="preserve"> (FMA) and the </w:t>
      </w:r>
      <w:r w:rsidRPr="00F121FC">
        <w:rPr>
          <w:rFonts w:cs="Calibri"/>
          <w:i/>
          <w:iCs/>
          <w:sz w:val="24"/>
          <w:szCs w:val="24"/>
          <w:lang w:val="en-US"/>
        </w:rPr>
        <w:t>Financial Management Investment Guidelines 2015</w:t>
      </w:r>
      <w:r w:rsidR="007927B5">
        <w:rPr>
          <w:rFonts w:cs="Calibri"/>
          <w:i/>
          <w:iCs/>
          <w:sz w:val="24"/>
          <w:szCs w:val="24"/>
          <w:lang w:val="en-US"/>
        </w:rPr>
        <w:t xml:space="preserve"> </w:t>
      </w:r>
      <w:r w:rsidR="007927B5" w:rsidRPr="00527FC7">
        <w:rPr>
          <w:rFonts w:cs="Calibri"/>
          <w:sz w:val="24"/>
          <w:szCs w:val="24"/>
          <w:lang w:val="en-US"/>
        </w:rPr>
        <w:t>(Investment Guidelines)</w:t>
      </w:r>
      <w:r w:rsidRPr="00F121FC">
        <w:rPr>
          <w:rFonts w:cs="Calibri"/>
          <w:sz w:val="24"/>
          <w:szCs w:val="24"/>
          <w:lang w:val="en-US"/>
        </w:rPr>
        <w:t>.</w:t>
      </w:r>
    </w:p>
    <w:p w14:paraId="4D107777" w14:textId="601A40DB" w:rsidR="00527FC7" w:rsidRPr="00F121FC" w:rsidRDefault="00527FC7" w:rsidP="0032719F">
      <w:pPr>
        <w:spacing w:before="0" w:after="240"/>
        <w:jc w:val="both"/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>Under the FMA:</w:t>
      </w:r>
    </w:p>
    <w:p w14:paraId="5A961659" w14:textId="47C5E49D" w:rsidR="00B1153F" w:rsidRPr="00F121FC" w:rsidRDefault="00B1153F" w:rsidP="0032719F">
      <w:pPr>
        <w:numPr>
          <w:ilvl w:val="0"/>
          <w:numId w:val="22"/>
        </w:numPr>
        <w:tabs>
          <w:tab w:val="clear" w:pos="360"/>
          <w:tab w:val="num" w:pos="709"/>
        </w:tabs>
        <w:spacing w:before="0" w:after="240" w:line="240" w:lineRule="auto"/>
        <w:ind w:left="567" w:hanging="425"/>
        <w:jc w:val="both"/>
        <w:rPr>
          <w:rFonts w:cs="Calibri"/>
          <w:sz w:val="24"/>
          <w:szCs w:val="24"/>
        </w:rPr>
      </w:pPr>
      <w:r w:rsidRPr="00F121FC">
        <w:rPr>
          <w:rFonts w:cs="Calibri"/>
          <w:sz w:val="24"/>
          <w:szCs w:val="24"/>
        </w:rPr>
        <w:t xml:space="preserve">Section 38 </w:t>
      </w:r>
      <w:r w:rsidR="00527FC7">
        <w:rPr>
          <w:rFonts w:cs="Calibri"/>
          <w:sz w:val="24"/>
          <w:szCs w:val="24"/>
        </w:rPr>
        <w:t xml:space="preserve">authorises </w:t>
      </w:r>
      <w:r w:rsidRPr="00F121FC">
        <w:rPr>
          <w:rFonts w:cs="Calibri"/>
          <w:sz w:val="24"/>
          <w:szCs w:val="24"/>
        </w:rPr>
        <w:t xml:space="preserve">the Treasurer </w:t>
      </w:r>
      <w:r w:rsidR="00527FC7">
        <w:rPr>
          <w:rFonts w:cs="Calibri"/>
          <w:sz w:val="24"/>
          <w:szCs w:val="24"/>
        </w:rPr>
        <w:t>to</w:t>
      </w:r>
      <w:r w:rsidRPr="00F121FC">
        <w:rPr>
          <w:rFonts w:cs="Calibri"/>
          <w:sz w:val="24"/>
          <w:szCs w:val="24"/>
        </w:rPr>
        <w:t xml:space="preserve"> invest </w:t>
      </w:r>
      <w:r w:rsidR="00527FC7">
        <w:rPr>
          <w:rFonts w:cs="Calibri"/>
          <w:sz w:val="24"/>
          <w:szCs w:val="24"/>
        </w:rPr>
        <w:t>monies</w:t>
      </w:r>
      <w:r w:rsidRPr="00F121FC">
        <w:rPr>
          <w:rFonts w:cs="Calibri"/>
          <w:sz w:val="24"/>
          <w:szCs w:val="24"/>
        </w:rPr>
        <w:t xml:space="preserve"> held in the Territory Banking Account </w:t>
      </w:r>
      <w:r w:rsidR="00527FC7">
        <w:rPr>
          <w:rFonts w:cs="Calibri"/>
          <w:sz w:val="24"/>
          <w:szCs w:val="24"/>
        </w:rPr>
        <w:t xml:space="preserve">(TBA) </w:t>
      </w:r>
      <w:r w:rsidRPr="00F121FC">
        <w:rPr>
          <w:rFonts w:cs="Calibri"/>
          <w:sz w:val="24"/>
          <w:szCs w:val="24"/>
        </w:rPr>
        <w:t>or Directorate Banking Accounts in investment</w:t>
      </w:r>
      <w:r w:rsidR="00527FC7">
        <w:rPr>
          <w:rFonts w:cs="Calibri"/>
          <w:sz w:val="24"/>
          <w:szCs w:val="24"/>
        </w:rPr>
        <w:t>s</w:t>
      </w:r>
      <w:r w:rsidRPr="00F121FC">
        <w:rPr>
          <w:rFonts w:cs="Calibri"/>
          <w:sz w:val="24"/>
          <w:szCs w:val="24"/>
        </w:rPr>
        <w:t xml:space="preserve"> prescribed under the </w:t>
      </w:r>
      <w:r w:rsidR="007927B5">
        <w:rPr>
          <w:rFonts w:cs="Calibri"/>
          <w:sz w:val="24"/>
          <w:szCs w:val="24"/>
        </w:rPr>
        <w:t>Investment</w:t>
      </w:r>
      <w:r w:rsidRPr="00F121FC">
        <w:rPr>
          <w:rFonts w:cs="Calibri"/>
          <w:sz w:val="24"/>
          <w:szCs w:val="24"/>
        </w:rPr>
        <w:t xml:space="preserve"> Guidelines.</w:t>
      </w:r>
    </w:p>
    <w:p w14:paraId="509A82B0" w14:textId="743AC98E" w:rsidR="00B1153F" w:rsidRPr="00DB1A78" w:rsidRDefault="00B1153F" w:rsidP="0032719F">
      <w:pPr>
        <w:numPr>
          <w:ilvl w:val="0"/>
          <w:numId w:val="22"/>
        </w:numPr>
        <w:tabs>
          <w:tab w:val="clear" w:pos="360"/>
          <w:tab w:val="num" w:pos="709"/>
        </w:tabs>
        <w:spacing w:before="0" w:after="240" w:line="240" w:lineRule="auto"/>
        <w:ind w:left="567" w:hanging="425"/>
        <w:jc w:val="both"/>
        <w:rPr>
          <w:rFonts w:cs="Calibri"/>
          <w:sz w:val="24"/>
          <w:szCs w:val="24"/>
        </w:rPr>
      </w:pPr>
      <w:r w:rsidRPr="00F121FC">
        <w:rPr>
          <w:rFonts w:cs="Calibri"/>
          <w:sz w:val="24"/>
          <w:szCs w:val="24"/>
        </w:rPr>
        <w:t>Section 58 provides that funds not immediately required</w:t>
      </w:r>
      <w:r w:rsidR="00527FC7">
        <w:rPr>
          <w:rFonts w:cs="Calibri"/>
          <w:sz w:val="24"/>
          <w:szCs w:val="24"/>
        </w:rPr>
        <w:t xml:space="preserve"> b</w:t>
      </w:r>
      <w:r w:rsidRPr="00F121FC">
        <w:rPr>
          <w:rFonts w:cs="Calibri"/>
          <w:sz w:val="24"/>
          <w:szCs w:val="24"/>
        </w:rPr>
        <w:t xml:space="preserve">y </w:t>
      </w:r>
      <w:r w:rsidR="00527FC7">
        <w:rPr>
          <w:rFonts w:cs="Calibri"/>
          <w:sz w:val="24"/>
          <w:szCs w:val="24"/>
        </w:rPr>
        <w:t xml:space="preserve">a Territory </w:t>
      </w:r>
      <w:r w:rsidRPr="00F121FC">
        <w:rPr>
          <w:rFonts w:cs="Calibri"/>
          <w:sz w:val="24"/>
          <w:szCs w:val="24"/>
        </w:rPr>
        <w:t xml:space="preserve">Authority may be invested by the Treasurer, </w:t>
      </w:r>
      <w:r w:rsidR="007927B5">
        <w:rPr>
          <w:rFonts w:cs="Calibri"/>
          <w:sz w:val="24"/>
          <w:szCs w:val="24"/>
        </w:rPr>
        <w:t xml:space="preserve">on behalf of that Authority, </w:t>
      </w:r>
      <w:r w:rsidRPr="00F121FC">
        <w:rPr>
          <w:rFonts w:cs="Calibri"/>
          <w:sz w:val="24"/>
          <w:szCs w:val="24"/>
        </w:rPr>
        <w:t>in investment</w:t>
      </w:r>
      <w:r w:rsidR="007927B5">
        <w:rPr>
          <w:rFonts w:cs="Calibri"/>
          <w:sz w:val="24"/>
          <w:szCs w:val="24"/>
        </w:rPr>
        <w:t xml:space="preserve">s permitted under </w:t>
      </w:r>
      <w:r w:rsidRPr="00F121FC">
        <w:rPr>
          <w:rFonts w:cs="Calibri"/>
          <w:sz w:val="24"/>
          <w:szCs w:val="24"/>
        </w:rPr>
        <w:t>section 38.</w:t>
      </w:r>
    </w:p>
    <w:p w14:paraId="529487B5" w14:textId="12A0BF10" w:rsidR="00B1153F" w:rsidRPr="00F121FC" w:rsidRDefault="00B1153F" w:rsidP="0032719F">
      <w:pPr>
        <w:spacing w:before="0" w:after="240"/>
        <w:jc w:val="both"/>
        <w:rPr>
          <w:rFonts w:cs="Calibri"/>
          <w:sz w:val="24"/>
          <w:szCs w:val="24"/>
          <w:lang w:val="en-US"/>
        </w:rPr>
      </w:pPr>
      <w:r w:rsidRPr="00F121FC">
        <w:rPr>
          <w:rFonts w:cs="Calibri"/>
          <w:sz w:val="24"/>
          <w:szCs w:val="24"/>
          <w:lang w:val="en-US"/>
        </w:rPr>
        <w:t xml:space="preserve">The Investment Guidelines require </w:t>
      </w:r>
      <w:r w:rsidR="007927B5">
        <w:rPr>
          <w:rFonts w:cs="Calibri"/>
          <w:sz w:val="24"/>
          <w:szCs w:val="24"/>
          <w:lang w:val="en-US"/>
        </w:rPr>
        <w:t>all</w:t>
      </w:r>
      <w:r w:rsidRPr="00F121FC">
        <w:rPr>
          <w:rFonts w:cs="Calibri"/>
          <w:sz w:val="24"/>
          <w:szCs w:val="24"/>
          <w:lang w:val="en-US"/>
        </w:rPr>
        <w:t xml:space="preserve"> investments </w:t>
      </w:r>
      <w:r w:rsidR="00AD6BA2" w:rsidRPr="00F121FC">
        <w:rPr>
          <w:rFonts w:cs="Calibri"/>
          <w:sz w:val="24"/>
          <w:szCs w:val="24"/>
          <w:lang w:val="en-US"/>
        </w:rPr>
        <w:t>to be</w:t>
      </w:r>
      <w:r w:rsidRPr="00F121FC">
        <w:rPr>
          <w:rFonts w:cs="Calibri"/>
          <w:sz w:val="24"/>
          <w:szCs w:val="24"/>
          <w:lang w:val="en-US"/>
        </w:rPr>
        <w:t xml:space="preserve"> </w:t>
      </w:r>
      <w:r w:rsidR="00527FC7">
        <w:rPr>
          <w:rFonts w:cs="Calibri"/>
          <w:sz w:val="24"/>
          <w:szCs w:val="24"/>
          <w:lang w:val="en-US"/>
        </w:rPr>
        <w:t>made</w:t>
      </w:r>
      <w:r w:rsidR="007927B5">
        <w:rPr>
          <w:rFonts w:cs="Calibri"/>
          <w:sz w:val="24"/>
          <w:szCs w:val="24"/>
          <w:lang w:val="en-US"/>
        </w:rPr>
        <w:t xml:space="preserve"> </w:t>
      </w:r>
      <w:r w:rsidRPr="00F121FC">
        <w:rPr>
          <w:rFonts w:cs="Calibri"/>
          <w:sz w:val="24"/>
          <w:szCs w:val="24"/>
          <w:lang w:val="en-US"/>
        </w:rPr>
        <w:t xml:space="preserve">in accordance with </w:t>
      </w:r>
      <w:r w:rsidR="007927B5">
        <w:rPr>
          <w:rFonts w:cs="Calibri"/>
          <w:sz w:val="24"/>
          <w:szCs w:val="24"/>
          <w:lang w:val="en-US"/>
        </w:rPr>
        <w:t>a</w:t>
      </w:r>
      <w:r w:rsidR="00527FC7">
        <w:rPr>
          <w:rFonts w:cs="Calibri"/>
          <w:sz w:val="24"/>
          <w:szCs w:val="24"/>
          <w:lang w:val="en-US"/>
        </w:rPr>
        <w:t>n</w:t>
      </w:r>
      <w:r w:rsidRPr="00F121FC">
        <w:rPr>
          <w:rFonts w:cs="Calibri"/>
          <w:sz w:val="24"/>
          <w:szCs w:val="24"/>
          <w:lang w:val="en-US"/>
        </w:rPr>
        <w:t xml:space="preserve"> </w:t>
      </w:r>
      <w:r w:rsidR="00527FC7" w:rsidRPr="00527FC7">
        <w:rPr>
          <w:rFonts w:cs="Calibri"/>
          <w:i/>
          <w:iCs/>
          <w:sz w:val="24"/>
          <w:szCs w:val="24"/>
          <w:lang w:val="en-US"/>
        </w:rPr>
        <w:t>Investment Plan</w:t>
      </w:r>
      <w:r w:rsidR="00527FC7">
        <w:rPr>
          <w:rFonts w:cs="Calibri"/>
          <w:sz w:val="24"/>
          <w:szCs w:val="24"/>
          <w:lang w:val="en-US"/>
        </w:rPr>
        <w:t xml:space="preserve"> and the </w:t>
      </w:r>
      <w:r w:rsidRPr="00F121FC">
        <w:rPr>
          <w:rFonts w:cs="Calibri"/>
          <w:i/>
          <w:iCs/>
          <w:sz w:val="24"/>
          <w:szCs w:val="24"/>
          <w:lang w:val="en-US"/>
        </w:rPr>
        <w:t>Responsible Investment Policy</w:t>
      </w:r>
      <w:r w:rsidR="00527FC7" w:rsidRPr="00527FC7">
        <w:rPr>
          <w:rFonts w:cs="Calibri"/>
          <w:sz w:val="24"/>
          <w:szCs w:val="24"/>
          <w:lang w:val="en-US"/>
        </w:rPr>
        <w:t>,</w:t>
      </w:r>
      <w:r w:rsidRPr="00F121FC">
        <w:rPr>
          <w:rFonts w:cs="Calibri"/>
          <w:sz w:val="24"/>
          <w:szCs w:val="24"/>
          <w:lang w:val="en-US"/>
        </w:rPr>
        <w:t xml:space="preserve"> </w:t>
      </w:r>
      <w:r w:rsidR="00527FC7">
        <w:rPr>
          <w:rFonts w:cs="Calibri"/>
          <w:sz w:val="24"/>
          <w:szCs w:val="24"/>
          <w:lang w:val="en-US"/>
        </w:rPr>
        <w:t xml:space="preserve">both of which must be </w:t>
      </w:r>
      <w:r w:rsidRPr="00F121FC">
        <w:rPr>
          <w:rFonts w:cs="Calibri"/>
          <w:sz w:val="24"/>
          <w:szCs w:val="24"/>
          <w:lang w:val="en-US"/>
        </w:rPr>
        <w:t>approved in writing by the Treasurer.</w:t>
      </w:r>
    </w:p>
    <w:p w14:paraId="0ACB014D" w14:textId="78437049" w:rsidR="00076B01" w:rsidRDefault="007927B5" w:rsidP="0032719F">
      <w:pPr>
        <w:spacing w:before="240" w:after="240"/>
        <w:jc w:val="both"/>
        <w:rPr>
          <w:rFonts w:cs="Calibri"/>
          <w:sz w:val="24"/>
          <w:szCs w:val="24"/>
          <w:lang w:val="en-US"/>
        </w:rPr>
      </w:pPr>
      <w:proofErr w:type="gramStart"/>
      <w:r w:rsidRPr="007927B5">
        <w:rPr>
          <w:rFonts w:cs="Calibri"/>
          <w:sz w:val="24"/>
          <w:szCs w:val="24"/>
          <w:lang w:val="en-US"/>
        </w:rPr>
        <w:t>For the purpose of</w:t>
      </w:r>
      <w:proofErr w:type="gramEnd"/>
      <w:r w:rsidRPr="007927B5">
        <w:rPr>
          <w:rFonts w:cs="Calibri"/>
          <w:sz w:val="24"/>
          <w:szCs w:val="24"/>
          <w:lang w:val="en-US"/>
        </w:rPr>
        <w:t xml:space="preserve"> this </w:t>
      </w:r>
      <w:r w:rsidR="00527FC7">
        <w:rPr>
          <w:rFonts w:cs="Calibri"/>
          <w:sz w:val="24"/>
          <w:szCs w:val="24"/>
          <w:lang w:val="en-US"/>
        </w:rPr>
        <w:t>Policy</w:t>
      </w:r>
      <w:r w:rsidRPr="007927B5">
        <w:rPr>
          <w:rFonts w:cs="Calibri"/>
          <w:sz w:val="24"/>
          <w:szCs w:val="24"/>
          <w:lang w:val="en-US"/>
        </w:rPr>
        <w:t>,</w:t>
      </w:r>
      <w:r>
        <w:rPr>
          <w:rFonts w:cs="Calibri"/>
          <w:i/>
          <w:iCs/>
          <w:sz w:val="24"/>
          <w:szCs w:val="24"/>
          <w:lang w:val="en-US"/>
        </w:rPr>
        <w:t xml:space="preserve"> </w:t>
      </w:r>
      <w:r w:rsidR="00B1153F" w:rsidRPr="00F121FC">
        <w:rPr>
          <w:rFonts w:cs="Calibri"/>
          <w:i/>
          <w:iCs/>
          <w:sz w:val="24"/>
          <w:szCs w:val="24"/>
          <w:lang w:val="en-US"/>
        </w:rPr>
        <w:t>Responsible Investment Policy</w:t>
      </w:r>
      <w:r w:rsidR="00B1153F" w:rsidRPr="00F121FC">
        <w:rPr>
          <w:rFonts w:cs="Calibri"/>
          <w:sz w:val="24"/>
          <w:szCs w:val="24"/>
          <w:lang w:val="en-US"/>
        </w:rPr>
        <w:t xml:space="preserve"> </w:t>
      </w:r>
      <w:r>
        <w:rPr>
          <w:rFonts w:cs="Calibri"/>
          <w:sz w:val="24"/>
          <w:szCs w:val="24"/>
          <w:lang w:val="en-US"/>
        </w:rPr>
        <w:t xml:space="preserve">refers to </w:t>
      </w:r>
      <w:r w:rsidR="00527FC7">
        <w:rPr>
          <w:rFonts w:cs="Calibri"/>
          <w:sz w:val="24"/>
          <w:szCs w:val="24"/>
          <w:lang w:val="en-US"/>
        </w:rPr>
        <w:t>the</w:t>
      </w:r>
      <w:r>
        <w:rPr>
          <w:rFonts w:cs="Calibri"/>
          <w:sz w:val="24"/>
          <w:szCs w:val="24"/>
          <w:lang w:val="en-US"/>
        </w:rPr>
        <w:t xml:space="preserve"> documented statement outlining </w:t>
      </w:r>
      <w:r w:rsidR="00527FC7">
        <w:rPr>
          <w:rFonts w:cs="Calibri"/>
          <w:sz w:val="24"/>
          <w:szCs w:val="24"/>
          <w:lang w:val="en-US"/>
        </w:rPr>
        <w:t xml:space="preserve">the </w:t>
      </w:r>
      <w:r w:rsidR="00B1153F" w:rsidRPr="00F121FC">
        <w:rPr>
          <w:rFonts w:cs="Calibri"/>
          <w:sz w:val="24"/>
          <w:szCs w:val="24"/>
          <w:lang w:val="en-US"/>
        </w:rPr>
        <w:t xml:space="preserve">responsible investment objectives, </w:t>
      </w:r>
      <w:r>
        <w:rPr>
          <w:rFonts w:cs="Calibri"/>
          <w:sz w:val="24"/>
          <w:szCs w:val="24"/>
          <w:lang w:val="en-US"/>
        </w:rPr>
        <w:t xml:space="preserve">the </w:t>
      </w:r>
      <w:r w:rsidR="00527FC7">
        <w:rPr>
          <w:rFonts w:cs="Calibri"/>
          <w:sz w:val="24"/>
          <w:szCs w:val="24"/>
          <w:lang w:val="en-US"/>
        </w:rPr>
        <w:t>framework for incorporating responsible investment considerations, share voting arrangements and any additional information</w:t>
      </w:r>
      <w:r w:rsidR="00E10053">
        <w:rPr>
          <w:rFonts w:cs="Calibri"/>
          <w:sz w:val="24"/>
          <w:szCs w:val="24"/>
          <w:lang w:val="en-US"/>
        </w:rPr>
        <w:t xml:space="preserve"> </w:t>
      </w:r>
      <w:r w:rsidR="00527FC7">
        <w:rPr>
          <w:rFonts w:cs="Calibri"/>
          <w:sz w:val="24"/>
          <w:szCs w:val="24"/>
          <w:lang w:val="en-US"/>
        </w:rPr>
        <w:t xml:space="preserve">relevant to the management of the </w:t>
      </w:r>
      <w:r w:rsidR="00B1153F" w:rsidRPr="00F121FC">
        <w:rPr>
          <w:rFonts w:cs="Calibri"/>
          <w:sz w:val="24"/>
          <w:szCs w:val="24"/>
          <w:lang w:val="en-US"/>
        </w:rPr>
        <w:t xml:space="preserve">Territory </w:t>
      </w:r>
      <w:r w:rsidR="00527FC7">
        <w:rPr>
          <w:rFonts w:cs="Calibri"/>
          <w:sz w:val="24"/>
          <w:szCs w:val="24"/>
          <w:lang w:val="en-US"/>
        </w:rPr>
        <w:t>i</w:t>
      </w:r>
      <w:r w:rsidR="00B1153F" w:rsidRPr="00F121FC">
        <w:rPr>
          <w:rFonts w:cs="Calibri"/>
          <w:sz w:val="24"/>
          <w:szCs w:val="24"/>
          <w:lang w:val="en-US"/>
        </w:rPr>
        <w:t xml:space="preserve">nvestment </w:t>
      </w:r>
      <w:r w:rsidR="00527FC7">
        <w:rPr>
          <w:rFonts w:cs="Calibri"/>
          <w:sz w:val="24"/>
          <w:szCs w:val="24"/>
          <w:lang w:val="en-US"/>
        </w:rPr>
        <w:t>p</w:t>
      </w:r>
      <w:r w:rsidR="00B1153F" w:rsidRPr="00F121FC">
        <w:rPr>
          <w:rFonts w:cs="Calibri"/>
          <w:sz w:val="24"/>
          <w:szCs w:val="24"/>
          <w:lang w:val="en-US"/>
        </w:rPr>
        <w:t>ortfolio.</w:t>
      </w:r>
    </w:p>
    <w:p w14:paraId="7E95FA47" w14:textId="77777777" w:rsidR="00686907" w:rsidRDefault="00686907" w:rsidP="00B1153F">
      <w:pPr>
        <w:spacing w:before="240" w:after="240"/>
        <w:jc w:val="both"/>
        <w:rPr>
          <w:rFonts w:cs="Calibri"/>
          <w:sz w:val="24"/>
          <w:szCs w:val="24"/>
          <w:lang w:val="en-US"/>
        </w:rPr>
      </w:pPr>
    </w:p>
    <w:p w14:paraId="0AAC7321" w14:textId="17923A0D" w:rsidR="002014DC" w:rsidRPr="004F745D" w:rsidRDefault="00B1153F" w:rsidP="00923C55">
      <w:pPr>
        <w:pStyle w:val="Heading1"/>
      </w:pPr>
      <w:bookmarkStart w:id="7" w:name="_Toc222660745"/>
      <w:bookmarkEnd w:id="6"/>
      <w:r>
        <w:lastRenderedPageBreak/>
        <w:t>POLICY STATEMENT</w:t>
      </w:r>
      <w:bookmarkEnd w:id="7"/>
    </w:p>
    <w:p w14:paraId="66893721" w14:textId="3B557660" w:rsidR="00B1153F" w:rsidRDefault="00B1153F" w:rsidP="006500C1">
      <w:pPr>
        <w:spacing w:before="240" w:after="240"/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>The Government will exercise proxy voting rights in a manner that:</w:t>
      </w:r>
    </w:p>
    <w:p w14:paraId="662B11A6" w14:textId="7AD2D6FD" w:rsidR="00923C55" w:rsidRPr="00527FC7" w:rsidRDefault="00E86059" w:rsidP="00527FC7">
      <w:pPr>
        <w:numPr>
          <w:ilvl w:val="0"/>
          <w:numId w:val="22"/>
        </w:numPr>
        <w:tabs>
          <w:tab w:val="clear" w:pos="360"/>
          <w:tab w:val="num" w:pos="709"/>
        </w:tabs>
        <w:spacing w:before="0" w:after="240" w:line="240" w:lineRule="auto"/>
        <w:ind w:left="567" w:hanging="425"/>
        <w:rPr>
          <w:rFonts w:cs="Calibri"/>
          <w:sz w:val="24"/>
          <w:szCs w:val="24"/>
        </w:rPr>
      </w:pPr>
      <w:r w:rsidRPr="00527FC7">
        <w:rPr>
          <w:rFonts w:cs="Calibri"/>
          <w:sz w:val="24"/>
          <w:szCs w:val="24"/>
        </w:rPr>
        <w:t>s</w:t>
      </w:r>
      <w:r w:rsidR="00B1153F" w:rsidRPr="00527FC7">
        <w:rPr>
          <w:rFonts w:cs="Calibri"/>
          <w:sz w:val="24"/>
          <w:szCs w:val="24"/>
        </w:rPr>
        <w:t xml:space="preserve">upports the </w:t>
      </w:r>
      <w:r w:rsidR="006C4579" w:rsidRPr="00527FC7">
        <w:rPr>
          <w:rFonts w:cs="Calibri"/>
          <w:sz w:val="24"/>
          <w:szCs w:val="24"/>
        </w:rPr>
        <w:t xml:space="preserve">Territory’s </w:t>
      </w:r>
      <w:r w:rsidR="00B1153F" w:rsidRPr="00527FC7">
        <w:rPr>
          <w:rFonts w:cs="Calibri"/>
          <w:sz w:val="24"/>
          <w:szCs w:val="24"/>
        </w:rPr>
        <w:t>long-term financial interests</w:t>
      </w:r>
      <w:r w:rsidR="0072056B" w:rsidRPr="00527FC7">
        <w:rPr>
          <w:rFonts w:cs="Calibri"/>
          <w:sz w:val="24"/>
          <w:szCs w:val="24"/>
        </w:rPr>
        <w:t>;</w:t>
      </w:r>
    </w:p>
    <w:p w14:paraId="7028629C" w14:textId="3A11E488" w:rsidR="00B1153F" w:rsidRPr="00527FC7" w:rsidRDefault="00E86059" w:rsidP="00527FC7">
      <w:pPr>
        <w:numPr>
          <w:ilvl w:val="0"/>
          <w:numId w:val="22"/>
        </w:numPr>
        <w:tabs>
          <w:tab w:val="clear" w:pos="360"/>
          <w:tab w:val="num" w:pos="709"/>
        </w:tabs>
        <w:spacing w:before="0" w:after="240" w:line="240" w:lineRule="auto"/>
        <w:ind w:left="567" w:hanging="425"/>
        <w:rPr>
          <w:rFonts w:cs="Calibri"/>
          <w:sz w:val="24"/>
          <w:szCs w:val="24"/>
        </w:rPr>
      </w:pPr>
      <w:r w:rsidRPr="00527FC7">
        <w:rPr>
          <w:rFonts w:cs="Calibri"/>
          <w:sz w:val="24"/>
          <w:szCs w:val="24"/>
        </w:rPr>
        <w:t>p</w:t>
      </w:r>
      <w:r w:rsidR="00B1153F" w:rsidRPr="00527FC7">
        <w:rPr>
          <w:rFonts w:cs="Calibri"/>
          <w:sz w:val="24"/>
          <w:szCs w:val="24"/>
        </w:rPr>
        <w:t>romotes high standards of corporate governance</w:t>
      </w:r>
      <w:r w:rsidR="0072056B" w:rsidRPr="00527FC7">
        <w:rPr>
          <w:rFonts w:cs="Calibri"/>
          <w:sz w:val="24"/>
          <w:szCs w:val="24"/>
        </w:rPr>
        <w:t>;</w:t>
      </w:r>
    </w:p>
    <w:p w14:paraId="57D88E66" w14:textId="18537951" w:rsidR="00B1153F" w:rsidRPr="00527FC7" w:rsidRDefault="00E86059" w:rsidP="00527FC7">
      <w:pPr>
        <w:numPr>
          <w:ilvl w:val="0"/>
          <w:numId w:val="22"/>
        </w:numPr>
        <w:tabs>
          <w:tab w:val="clear" w:pos="360"/>
          <w:tab w:val="num" w:pos="709"/>
        </w:tabs>
        <w:spacing w:before="0" w:after="240" w:line="240" w:lineRule="auto"/>
        <w:ind w:left="567" w:hanging="425"/>
        <w:rPr>
          <w:rFonts w:cs="Calibri"/>
          <w:sz w:val="24"/>
          <w:szCs w:val="24"/>
        </w:rPr>
      </w:pPr>
      <w:r w:rsidRPr="00527FC7">
        <w:rPr>
          <w:rFonts w:cs="Calibri"/>
          <w:sz w:val="24"/>
          <w:szCs w:val="24"/>
        </w:rPr>
        <w:t>e</w:t>
      </w:r>
      <w:r w:rsidR="00B1153F" w:rsidRPr="00527FC7">
        <w:rPr>
          <w:rFonts w:cs="Calibri"/>
          <w:sz w:val="24"/>
          <w:szCs w:val="24"/>
        </w:rPr>
        <w:t>ncourages sustainable and responsible business practices</w:t>
      </w:r>
      <w:r w:rsidR="0072056B" w:rsidRPr="00527FC7">
        <w:rPr>
          <w:rFonts w:cs="Calibri"/>
          <w:sz w:val="24"/>
          <w:szCs w:val="24"/>
        </w:rPr>
        <w:t>; and</w:t>
      </w:r>
    </w:p>
    <w:p w14:paraId="0A047F3A" w14:textId="4E79A5A8" w:rsidR="002B4C04" w:rsidRPr="00527FC7" w:rsidRDefault="00E10053" w:rsidP="00527FC7">
      <w:pPr>
        <w:numPr>
          <w:ilvl w:val="0"/>
          <w:numId w:val="22"/>
        </w:numPr>
        <w:tabs>
          <w:tab w:val="clear" w:pos="360"/>
          <w:tab w:val="num" w:pos="709"/>
        </w:tabs>
        <w:spacing w:before="0" w:after="240" w:line="240" w:lineRule="auto"/>
        <w:ind w:left="567" w:hanging="425"/>
        <w:rPr>
          <w:rFonts w:cs="Calibri"/>
          <w:sz w:val="24"/>
          <w:szCs w:val="24"/>
        </w:rPr>
      </w:pPr>
      <w:r w:rsidRPr="00527FC7">
        <w:rPr>
          <w:rFonts w:cs="Calibri"/>
          <w:sz w:val="24"/>
          <w:szCs w:val="24"/>
        </w:rPr>
        <w:t>upholds</w:t>
      </w:r>
      <w:r w:rsidR="002B4C04" w:rsidRPr="00527FC7">
        <w:rPr>
          <w:rFonts w:cs="Calibri"/>
          <w:sz w:val="24"/>
          <w:szCs w:val="24"/>
        </w:rPr>
        <w:t xml:space="preserve"> independence, transparency and accountability in decision-making.</w:t>
      </w:r>
      <w:r w:rsidR="007B4502" w:rsidRPr="00527FC7">
        <w:rPr>
          <w:rFonts w:cs="Calibri"/>
          <w:sz w:val="24"/>
          <w:szCs w:val="24"/>
        </w:rPr>
        <w:t xml:space="preserve"> </w:t>
      </w:r>
    </w:p>
    <w:p w14:paraId="46DC0436" w14:textId="163226AB" w:rsidR="002014DC" w:rsidRPr="00923C55" w:rsidRDefault="002B4C04" w:rsidP="00923C55">
      <w:pPr>
        <w:pStyle w:val="Heading1"/>
      </w:pPr>
      <w:bookmarkStart w:id="8" w:name="_Toc222660746"/>
      <w:r>
        <w:t>SCOPE</w:t>
      </w:r>
      <w:bookmarkEnd w:id="8"/>
    </w:p>
    <w:p w14:paraId="170A5CD5" w14:textId="1F48F944" w:rsidR="00923C55" w:rsidRDefault="002B4C04" w:rsidP="0032719F">
      <w:pPr>
        <w:spacing w:before="0" w:after="240"/>
        <w:jc w:val="both"/>
        <w:rPr>
          <w:rFonts w:cs="Calibri"/>
          <w:sz w:val="24"/>
          <w:szCs w:val="24"/>
          <w:lang w:val="en-US"/>
        </w:rPr>
      </w:pPr>
      <w:bookmarkStart w:id="9" w:name="_Toc126829909"/>
      <w:r>
        <w:rPr>
          <w:rFonts w:cs="Calibri"/>
          <w:sz w:val="24"/>
          <w:szCs w:val="24"/>
          <w:lang w:val="en-US"/>
        </w:rPr>
        <w:t>This policy applies to the listed company share investments where the Government has authority to exercise voting rights</w:t>
      </w:r>
      <w:r w:rsidR="00923C55" w:rsidRPr="00923C55">
        <w:rPr>
          <w:rFonts w:cs="Calibri"/>
          <w:sz w:val="24"/>
          <w:szCs w:val="24"/>
          <w:lang w:val="en-US"/>
        </w:rPr>
        <w:t>.</w:t>
      </w:r>
    </w:p>
    <w:p w14:paraId="03E77E04" w14:textId="77777777" w:rsidR="006C4579" w:rsidRDefault="006C4579" w:rsidP="0025133E">
      <w:pPr>
        <w:pStyle w:val="Heading1"/>
      </w:pPr>
      <w:bookmarkStart w:id="10" w:name="_Toc222660747"/>
      <w:r>
        <w:t>OBJECTIVE</w:t>
      </w:r>
      <w:bookmarkEnd w:id="10"/>
    </w:p>
    <w:p w14:paraId="604C2634" w14:textId="76339A20" w:rsidR="006C4579" w:rsidRPr="006C4579" w:rsidRDefault="006C4579" w:rsidP="0032719F">
      <w:pPr>
        <w:jc w:val="both"/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 xml:space="preserve">The </w:t>
      </w:r>
      <w:r w:rsidR="00E10053">
        <w:rPr>
          <w:rFonts w:cs="Calibri"/>
          <w:sz w:val="24"/>
          <w:szCs w:val="24"/>
          <w:lang w:val="en-US"/>
        </w:rPr>
        <w:t>objective of this P</w:t>
      </w:r>
      <w:r w:rsidR="00E86059">
        <w:rPr>
          <w:rFonts w:cs="Calibri"/>
          <w:sz w:val="24"/>
          <w:szCs w:val="24"/>
          <w:lang w:val="en-US"/>
        </w:rPr>
        <w:t>olicy</w:t>
      </w:r>
      <w:r>
        <w:rPr>
          <w:rFonts w:cs="Calibri"/>
          <w:sz w:val="24"/>
          <w:szCs w:val="24"/>
          <w:lang w:val="en-US"/>
        </w:rPr>
        <w:t xml:space="preserve"> is to </w:t>
      </w:r>
      <w:r w:rsidR="00E10053">
        <w:rPr>
          <w:rFonts w:cs="Calibri"/>
          <w:sz w:val="24"/>
          <w:szCs w:val="24"/>
          <w:lang w:val="en-US"/>
        </w:rPr>
        <w:t xml:space="preserve">ensure the effective exercise of </w:t>
      </w:r>
      <w:r>
        <w:rPr>
          <w:rFonts w:cs="Calibri"/>
          <w:sz w:val="24"/>
          <w:szCs w:val="24"/>
          <w:lang w:val="en-US"/>
        </w:rPr>
        <w:t>ownership</w:t>
      </w:r>
      <w:r w:rsidR="00E10053">
        <w:rPr>
          <w:rFonts w:cs="Calibri"/>
          <w:sz w:val="24"/>
          <w:szCs w:val="24"/>
          <w:lang w:val="en-US"/>
        </w:rPr>
        <w:t xml:space="preserve"> rights</w:t>
      </w:r>
      <w:r>
        <w:rPr>
          <w:rFonts w:cs="Calibri"/>
          <w:sz w:val="24"/>
          <w:szCs w:val="24"/>
          <w:lang w:val="en-US"/>
        </w:rPr>
        <w:t xml:space="preserve"> through </w:t>
      </w:r>
      <w:r w:rsidR="00E10053">
        <w:rPr>
          <w:rFonts w:cs="Calibri"/>
          <w:sz w:val="24"/>
          <w:szCs w:val="24"/>
          <w:lang w:val="en-US"/>
        </w:rPr>
        <w:t xml:space="preserve">proxy voting. Voting activities are intended to </w:t>
      </w:r>
      <w:r>
        <w:rPr>
          <w:rFonts w:cs="Calibri"/>
          <w:sz w:val="24"/>
          <w:szCs w:val="24"/>
          <w:lang w:val="en-US"/>
        </w:rPr>
        <w:t>influence company management and</w:t>
      </w:r>
      <w:r w:rsidR="00E10053">
        <w:rPr>
          <w:rFonts w:cs="Calibri"/>
          <w:sz w:val="24"/>
          <w:szCs w:val="24"/>
          <w:lang w:val="en-US"/>
        </w:rPr>
        <w:t xml:space="preserve"> decision-making in a manner that strengthens risk management practices and promotes high standards of corporate governance and corporate social responsibility.</w:t>
      </w:r>
    </w:p>
    <w:p w14:paraId="24C53CF1" w14:textId="6CB5576A" w:rsidR="0025133E" w:rsidRPr="000D2AF9" w:rsidRDefault="0025133E" w:rsidP="0025133E">
      <w:pPr>
        <w:pStyle w:val="Heading1"/>
      </w:pPr>
      <w:bookmarkStart w:id="11" w:name="_Toc222660748"/>
      <w:r w:rsidRPr="000D2AF9">
        <w:t>GUIDING PRINCIPLES</w:t>
      </w:r>
      <w:bookmarkEnd w:id="11"/>
    </w:p>
    <w:p w14:paraId="3DBFBAC6" w14:textId="309CF410" w:rsidR="0025133E" w:rsidRDefault="0025133E" w:rsidP="0032719F">
      <w:pPr>
        <w:spacing w:before="240" w:after="240"/>
        <w:jc w:val="both"/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>The Government supports:</w:t>
      </w:r>
    </w:p>
    <w:p w14:paraId="7F6D13DE" w14:textId="7988D89F" w:rsidR="0025133E" w:rsidRPr="00527FC7" w:rsidRDefault="0025133E" w:rsidP="0032719F">
      <w:pPr>
        <w:numPr>
          <w:ilvl w:val="0"/>
          <w:numId w:val="22"/>
        </w:numPr>
        <w:tabs>
          <w:tab w:val="clear" w:pos="360"/>
          <w:tab w:val="num" w:pos="709"/>
        </w:tabs>
        <w:spacing w:before="0" w:after="240" w:line="240" w:lineRule="auto"/>
        <w:ind w:left="567" w:hanging="425"/>
        <w:jc w:val="both"/>
        <w:rPr>
          <w:rFonts w:cs="Calibri"/>
          <w:sz w:val="24"/>
          <w:szCs w:val="24"/>
        </w:rPr>
      </w:pPr>
      <w:r w:rsidRPr="00527FC7">
        <w:rPr>
          <w:rFonts w:cs="Calibri"/>
          <w:sz w:val="24"/>
          <w:szCs w:val="24"/>
        </w:rPr>
        <w:t>decision</w:t>
      </w:r>
      <w:r w:rsidR="00E10053" w:rsidRPr="00527FC7">
        <w:rPr>
          <w:rFonts w:cs="Calibri"/>
          <w:sz w:val="24"/>
          <w:szCs w:val="24"/>
        </w:rPr>
        <w:t xml:space="preserve">-making </w:t>
      </w:r>
      <w:r w:rsidRPr="00527FC7">
        <w:rPr>
          <w:rFonts w:cs="Calibri"/>
          <w:sz w:val="24"/>
          <w:szCs w:val="24"/>
        </w:rPr>
        <w:t>that prioritise</w:t>
      </w:r>
      <w:r w:rsidR="00E10053" w:rsidRPr="00527FC7">
        <w:rPr>
          <w:rFonts w:cs="Calibri"/>
          <w:sz w:val="24"/>
          <w:szCs w:val="24"/>
        </w:rPr>
        <w:t>s</w:t>
      </w:r>
      <w:r w:rsidRPr="00527FC7">
        <w:rPr>
          <w:rFonts w:cs="Calibri"/>
          <w:sz w:val="24"/>
          <w:szCs w:val="24"/>
        </w:rPr>
        <w:t xml:space="preserve"> sustainable, long-term </w:t>
      </w:r>
      <w:r w:rsidR="0072056B" w:rsidRPr="00527FC7">
        <w:rPr>
          <w:rFonts w:cs="Calibri"/>
          <w:sz w:val="24"/>
          <w:szCs w:val="24"/>
        </w:rPr>
        <w:t>shareholder value</w:t>
      </w:r>
      <w:r w:rsidRPr="00527FC7">
        <w:rPr>
          <w:rFonts w:cs="Calibri"/>
          <w:sz w:val="24"/>
          <w:szCs w:val="24"/>
        </w:rPr>
        <w:t>;</w:t>
      </w:r>
    </w:p>
    <w:p w14:paraId="16A038F7" w14:textId="57883833" w:rsidR="0025133E" w:rsidRPr="00527FC7" w:rsidRDefault="0025133E" w:rsidP="0032719F">
      <w:pPr>
        <w:numPr>
          <w:ilvl w:val="0"/>
          <w:numId w:val="22"/>
        </w:numPr>
        <w:tabs>
          <w:tab w:val="clear" w:pos="360"/>
          <w:tab w:val="num" w:pos="709"/>
        </w:tabs>
        <w:spacing w:before="0" w:after="240" w:line="240" w:lineRule="auto"/>
        <w:ind w:left="567" w:hanging="425"/>
        <w:jc w:val="both"/>
        <w:rPr>
          <w:rFonts w:cs="Calibri"/>
          <w:sz w:val="24"/>
          <w:szCs w:val="24"/>
        </w:rPr>
      </w:pPr>
      <w:r w:rsidRPr="00527FC7">
        <w:rPr>
          <w:rFonts w:cs="Calibri"/>
          <w:sz w:val="24"/>
          <w:szCs w:val="24"/>
        </w:rPr>
        <w:t xml:space="preserve">governance frameworks that </w:t>
      </w:r>
      <w:r w:rsidR="00E10053" w:rsidRPr="00527FC7">
        <w:rPr>
          <w:rFonts w:cs="Calibri"/>
          <w:sz w:val="24"/>
          <w:szCs w:val="24"/>
        </w:rPr>
        <w:t>strengthen</w:t>
      </w:r>
      <w:r w:rsidRPr="00527FC7">
        <w:rPr>
          <w:rFonts w:cs="Calibri"/>
          <w:sz w:val="24"/>
          <w:szCs w:val="24"/>
        </w:rPr>
        <w:t xml:space="preserve"> board accountability, transparency and effective oversight; </w:t>
      </w:r>
    </w:p>
    <w:p w14:paraId="56C7AB75" w14:textId="02983973" w:rsidR="0025133E" w:rsidRPr="00527FC7" w:rsidRDefault="00E10053" w:rsidP="0032719F">
      <w:pPr>
        <w:numPr>
          <w:ilvl w:val="0"/>
          <w:numId w:val="22"/>
        </w:numPr>
        <w:tabs>
          <w:tab w:val="clear" w:pos="360"/>
          <w:tab w:val="num" w:pos="709"/>
        </w:tabs>
        <w:spacing w:before="0" w:after="240" w:line="240" w:lineRule="auto"/>
        <w:ind w:left="567" w:hanging="425"/>
        <w:jc w:val="both"/>
        <w:rPr>
          <w:rFonts w:cs="Calibri"/>
          <w:sz w:val="24"/>
          <w:szCs w:val="24"/>
        </w:rPr>
      </w:pPr>
      <w:r w:rsidRPr="00527FC7">
        <w:rPr>
          <w:rFonts w:cs="Calibri"/>
          <w:sz w:val="24"/>
          <w:szCs w:val="24"/>
        </w:rPr>
        <w:t xml:space="preserve">the integration of </w:t>
      </w:r>
      <w:r w:rsidR="0031024B" w:rsidRPr="00527FC7">
        <w:rPr>
          <w:rFonts w:cs="Calibri"/>
          <w:sz w:val="24"/>
          <w:szCs w:val="24"/>
        </w:rPr>
        <w:t>environmental, social and governance (ESG)</w:t>
      </w:r>
      <w:r w:rsidR="0025133E" w:rsidRPr="00527FC7">
        <w:rPr>
          <w:rFonts w:cs="Calibri"/>
          <w:sz w:val="24"/>
          <w:szCs w:val="24"/>
        </w:rPr>
        <w:t xml:space="preserve"> risks and </w:t>
      </w:r>
      <w:r w:rsidRPr="00527FC7">
        <w:rPr>
          <w:rFonts w:cs="Calibri"/>
          <w:sz w:val="24"/>
          <w:szCs w:val="24"/>
        </w:rPr>
        <w:t>considerations</w:t>
      </w:r>
      <w:r w:rsidR="0025133E" w:rsidRPr="00527FC7">
        <w:rPr>
          <w:rFonts w:cs="Calibri"/>
          <w:sz w:val="24"/>
          <w:szCs w:val="24"/>
        </w:rPr>
        <w:t xml:space="preserve"> in voting decisions; </w:t>
      </w:r>
    </w:p>
    <w:p w14:paraId="35C50FA5" w14:textId="6F81CD42" w:rsidR="0025133E" w:rsidRPr="00527FC7" w:rsidRDefault="0025133E" w:rsidP="0032719F">
      <w:pPr>
        <w:numPr>
          <w:ilvl w:val="0"/>
          <w:numId w:val="22"/>
        </w:numPr>
        <w:tabs>
          <w:tab w:val="clear" w:pos="360"/>
          <w:tab w:val="num" w:pos="709"/>
        </w:tabs>
        <w:spacing w:before="0" w:after="240" w:line="240" w:lineRule="auto"/>
        <w:ind w:left="567" w:hanging="425"/>
        <w:jc w:val="both"/>
        <w:rPr>
          <w:rFonts w:cs="Calibri"/>
          <w:sz w:val="24"/>
          <w:szCs w:val="24"/>
        </w:rPr>
      </w:pPr>
      <w:r w:rsidRPr="00527FC7">
        <w:rPr>
          <w:rFonts w:cs="Calibri"/>
          <w:sz w:val="24"/>
          <w:szCs w:val="24"/>
        </w:rPr>
        <w:t>consistent</w:t>
      </w:r>
      <w:r w:rsidR="00E10053" w:rsidRPr="00527FC7">
        <w:rPr>
          <w:rFonts w:cs="Calibri"/>
          <w:sz w:val="24"/>
          <w:szCs w:val="24"/>
        </w:rPr>
        <w:t>,</w:t>
      </w:r>
      <w:r w:rsidRPr="00527FC7">
        <w:rPr>
          <w:rFonts w:cs="Calibri"/>
          <w:sz w:val="24"/>
          <w:szCs w:val="24"/>
        </w:rPr>
        <w:t xml:space="preserve"> transparent </w:t>
      </w:r>
      <w:r w:rsidR="00E10053" w:rsidRPr="00527FC7">
        <w:rPr>
          <w:rFonts w:cs="Calibri"/>
          <w:sz w:val="24"/>
          <w:szCs w:val="24"/>
        </w:rPr>
        <w:t xml:space="preserve">and well-documented </w:t>
      </w:r>
      <w:r w:rsidRPr="00527FC7">
        <w:rPr>
          <w:rFonts w:cs="Calibri"/>
          <w:sz w:val="24"/>
          <w:szCs w:val="24"/>
        </w:rPr>
        <w:t xml:space="preserve">voting processes; and </w:t>
      </w:r>
    </w:p>
    <w:p w14:paraId="2FE2A448" w14:textId="1A082CFD" w:rsidR="0025133E" w:rsidRPr="00527FC7" w:rsidRDefault="0025133E" w:rsidP="0032719F">
      <w:pPr>
        <w:numPr>
          <w:ilvl w:val="0"/>
          <w:numId w:val="22"/>
        </w:numPr>
        <w:tabs>
          <w:tab w:val="clear" w:pos="360"/>
          <w:tab w:val="num" w:pos="709"/>
        </w:tabs>
        <w:spacing w:before="0" w:after="240" w:line="240" w:lineRule="auto"/>
        <w:ind w:left="567" w:hanging="425"/>
        <w:jc w:val="both"/>
        <w:rPr>
          <w:rFonts w:cs="Calibri"/>
          <w:sz w:val="24"/>
          <w:szCs w:val="24"/>
        </w:rPr>
      </w:pPr>
      <w:r w:rsidRPr="00527FC7">
        <w:rPr>
          <w:rFonts w:cs="Calibri"/>
          <w:sz w:val="24"/>
          <w:szCs w:val="24"/>
        </w:rPr>
        <w:t xml:space="preserve">voting </w:t>
      </w:r>
      <w:r w:rsidR="00E10053" w:rsidRPr="00527FC7">
        <w:rPr>
          <w:rFonts w:cs="Calibri"/>
          <w:sz w:val="24"/>
          <w:szCs w:val="24"/>
        </w:rPr>
        <w:t xml:space="preserve">practices </w:t>
      </w:r>
      <w:r w:rsidRPr="00527FC7">
        <w:rPr>
          <w:rFonts w:cs="Calibri"/>
          <w:sz w:val="24"/>
          <w:szCs w:val="24"/>
        </w:rPr>
        <w:t>that align with global best practice and evolving regulat</w:t>
      </w:r>
      <w:r w:rsidR="00E10053" w:rsidRPr="00527FC7">
        <w:rPr>
          <w:rFonts w:cs="Calibri"/>
          <w:sz w:val="24"/>
          <w:szCs w:val="24"/>
        </w:rPr>
        <w:t>ory standards</w:t>
      </w:r>
      <w:r w:rsidRPr="00527FC7">
        <w:rPr>
          <w:rFonts w:cs="Calibri"/>
          <w:sz w:val="24"/>
          <w:szCs w:val="24"/>
        </w:rPr>
        <w:t>.</w:t>
      </w:r>
    </w:p>
    <w:p w14:paraId="5F0CB682" w14:textId="64A28F37" w:rsidR="002B4C04" w:rsidRPr="002B4C04" w:rsidRDefault="00636408" w:rsidP="002B4C04">
      <w:pPr>
        <w:pStyle w:val="Heading1"/>
      </w:pPr>
      <w:bookmarkStart w:id="12" w:name="_Toc222660749"/>
      <w:r>
        <w:lastRenderedPageBreak/>
        <w:t xml:space="preserve">USE OF </w:t>
      </w:r>
      <w:r w:rsidR="002B4C04">
        <w:t>PROXY VOTING ADVISOR</w:t>
      </w:r>
      <w:bookmarkEnd w:id="12"/>
    </w:p>
    <w:p w14:paraId="0F533403" w14:textId="0B5550E4" w:rsidR="007B4502" w:rsidRDefault="00527FC7" w:rsidP="0032719F">
      <w:pPr>
        <w:spacing w:before="0" w:after="240"/>
        <w:jc w:val="both"/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>Treasury</w:t>
      </w:r>
      <w:r w:rsidR="002B4C04">
        <w:rPr>
          <w:rFonts w:cs="Calibri"/>
          <w:sz w:val="24"/>
          <w:szCs w:val="24"/>
          <w:lang w:val="en-US"/>
        </w:rPr>
        <w:t xml:space="preserve"> </w:t>
      </w:r>
      <w:r w:rsidR="00E10053">
        <w:rPr>
          <w:rFonts w:cs="Calibri"/>
          <w:sz w:val="24"/>
          <w:szCs w:val="24"/>
          <w:lang w:val="en-US"/>
        </w:rPr>
        <w:t xml:space="preserve">engages </w:t>
      </w:r>
      <w:r w:rsidR="002B4C04">
        <w:rPr>
          <w:rFonts w:cs="Calibri"/>
          <w:sz w:val="24"/>
          <w:szCs w:val="24"/>
          <w:lang w:val="en-US"/>
        </w:rPr>
        <w:t>the services of a proxy voting advisor</w:t>
      </w:r>
      <w:r w:rsidR="00E10053">
        <w:rPr>
          <w:rFonts w:cs="Calibri"/>
          <w:sz w:val="24"/>
          <w:szCs w:val="24"/>
          <w:lang w:val="en-US"/>
        </w:rPr>
        <w:t xml:space="preserve"> to support the exercise of voting rights</w:t>
      </w:r>
      <w:r w:rsidR="002B4C04">
        <w:rPr>
          <w:rFonts w:cs="Calibri"/>
          <w:sz w:val="24"/>
          <w:szCs w:val="24"/>
          <w:lang w:val="en-US"/>
        </w:rPr>
        <w:t xml:space="preserve">. The use of a proxy voting advisor </w:t>
      </w:r>
      <w:r w:rsidR="00E10053">
        <w:rPr>
          <w:rFonts w:cs="Calibri"/>
          <w:sz w:val="24"/>
          <w:szCs w:val="24"/>
          <w:lang w:val="en-US"/>
        </w:rPr>
        <w:t>enhances</w:t>
      </w:r>
      <w:r w:rsidR="002B4C04">
        <w:rPr>
          <w:rFonts w:cs="Calibri"/>
          <w:sz w:val="24"/>
          <w:szCs w:val="24"/>
          <w:lang w:val="en-US"/>
        </w:rPr>
        <w:t xml:space="preserve"> the quality, consistency and efficiency of voting decisions</w:t>
      </w:r>
      <w:r w:rsidR="007B4502">
        <w:rPr>
          <w:rFonts w:cs="Calibri"/>
          <w:sz w:val="24"/>
          <w:szCs w:val="24"/>
          <w:lang w:val="en-US"/>
        </w:rPr>
        <w:t xml:space="preserve">. </w:t>
      </w:r>
    </w:p>
    <w:p w14:paraId="7F25CF22" w14:textId="4ACF1686" w:rsidR="007B4502" w:rsidRDefault="007B4502" w:rsidP="0032719F">
      <w:pPr>
        <w:spacing w:before="0" w:after="240"/>
        <w:jc w:val="both"/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>The use of a proxy voting advisor provides:</w:t>
      </w:r>
    </w:p>
    <w:p w14:paraId="21AA8B69" w14:textId="736CFF2C" w:rsidR="002B4C04" w:rsidRPr="00527FC7" w:rsidRDefault="00527FC7" w:rsidP="0032719F">
      <w:pPr>
        <w:numPr>
          <w:ilvl w:val="0"/>
          <w:numId w:val="22"/>
        </w:numPr>
        <w:tabs>
          <w:tab w:val="clear" w:pos="360"/>
          <w:tab w:val="num" w:pos="709"/>
        </w:tabs>
        <w:spacing w:before="0" w:after="240" w:line="240" w:lineRule="auto"/>
        <w:ind w:left="567" w:hanging="42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</w:t>
      </w:r>
      <w:r w:rsidR="002B4C04" w:rsidRPr="00527FC7">
        <w:rPr>
          <w:rFonts w:cs="Calibri"/>
          <w:sz w:val="24"/>
          <w:szCs w:val="24"/>
        </w:rPr>
        <w:t xml:space="preserve">ccess to expert research and in-depth analysis on governance practices, board performance, executive </w:t>
      </w:r>
      <w:r w:rsidR="00E10053" w:rsidRPr="00527FC7">
        <w:rPr>
          <w:rFonts w:cs="Calibri"/>
          <w:sz w:val="24"/>
          <w:szCs w:val="24"/>
        </w:rPr>
        <w:t>remunera</w:t>
      </w:r>
      <w:r w:rsidR="002B4C04" w:rsidRPr="00527FC7">
        <w:rPr>
          <w:rFonts w:cs="Calibri"/>
          <w:sz w:val="24"/>
          <w:szCs w:val="24"/>
        </w:rPr>
        <w:t>tion, ESG issues and other voting matters</w:t>
      </w:r>
      <w:r w:rsidR="00E10053" w:rsidRPr="00527FC7">
        <w:rPr>
          <w:rFonts w:cs="Calibri"/>
          <w:sz w:val="24"/>
          <w:szCs w:val="24"/>
        </w:rPr>
        <w:t>;</w:t>
      </w:r>
    </w:p>
    <w:p w14:paraId="456CF05C" w14:textId="30EEC0DD" w:rsidR="002B4C04" w:rsidRPr="00527FC7" w:rsidRDefault="00527FC7" w:rsidP="0032719F">
      <w:pPr>
        <w:numPr>
          <w:ilvl w:val="0"/>
          <w:numId w:val="22"/>
        </w:numPr>
        <w:tabs>
          <w:tab w:val="clear" w:pos="360"/>
          <w:tab w:val="num" w:pos="709"/>
        </w:tabs>
        <w:spacing w:before="0" w:after="240" w:line="240" w:lineRule="auto"/>
        <w:ind w:left="567" w:hanging="42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</w:t>
      </w:r>
      <w:r w:rsidR="00E10053" w:rsidRPr="00527FC7">
        <w:rPr>
          <w:rFonts w:cs="Calibri"/>
          <w:sz w:val="24"/>
          <w:szCs w:val="24"/>
        </w:rPr>
        <w:t xml:space="preserve">ndependent, data-driven voting recommendations </w:t>
      </w:r>
      <w:r w:rsidR="002B4C04" w:rsidRPr="00527FC7">
        <w:rPr>
          <w:rFonts w:cs="Calibri"/>
          <w:sz w:val="24"/>
          <w:szCs w:val="24"/>
        </w:rPr>
        <w:t xml:space="preserve">that </w:t>
      </w:r>
      <w:r w:rsidR="00E10053" w:rsidRPr="00527FC7">
        <w:rPr>
          <w:rFonts w:cs="Calibri"/>
          <w:sz w:val="24"/>
          <w:szCs w:val="24"/>
        </w:rPr>
        <w:t xml:space="preserve">support informed and consistent decision-making aligned with </w:t>
      </w:r>
      <w:r w:rsidR="002B4C04" w:rsidRPr="00527FC7">
        <w:rPr>
          <w:rFonts w:cs="Calibri"/>
          <w:sz w:val="24"/>
          <w:szCs w:val="24"/>
        </w:rPr>
        <w:t>governance principles</w:t>
      </w:r>
      <w:r w:rsidR="00E10053" w:rsidRPr="00527FC7">
        <w:rPr>
          <w:rFonts w:cs="Calibri"/>
          <w:sz w:val="24"/>
          <w:szCs w:val="24"/>
        </w:rPr>
        <w:t>;</w:t>
      </w:r>
    </w:p>
    <w:p w14:paraId="39023045" w14:textId="60B2A003" w:rsidR="002B4C04" w:rsidRPr="00527FC7" w:rsidRDefault="00527FC7" w:rsidP="0032719F">
      <w:pPr>
        <w:numPr>
          <w:ilvl w:val="0"/>
          <w:numId w:val="22"/>
        </w:numPr>
        <w:tabs>
          <w:tab w:val="clear" w:pos="360"/>
          <w:tab w:val="num" w:pos="709"/>
        </w:tabs>
        <w:spacing w:before="0" w:after="240" w:line="240" w:lineRule="auto"/>
        <w:ind w:left="567" w:hanging="42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</w:t>
      </w:r>
      <w:r w:rsidR="002B4C04" w:rsidRPr="00527FC7">
        <w:rPr>
          <w:rFonts w:cs="Calibri"/>
          <w:sz w:val="24"/>
          <w:szCs w:val="24"/>
        </w:rPr>
        <w:t xml:space="preserve">fficient </w:t>
      </w:r>
      <w:r w:rsidR="00E10053" w:rsidRPr="00527FC7">
        <w:rPr>
          <w:rFonts w:cs="Calibri"/>
          <w:sz w:val="24"/>
          <w:szCs w:val="24"/>
        </w:rPr>
        <w:t xml:space="preserve">use of resources, enabling timely and well-informed voting decisions across </w:t>
      </w:r>
      <w:proofErr w:type="gramStart"/>
      <w:r w:rsidR="00E10053" w:rsidRPr="00527FC7">
        <w:rPr>
          <w:rFonts w:cs="Calibri"/>
          <w:sz w:val="24"/>
          <w:szCs w:val="24"/>
        </w:rPr>
        <w:t>a large number of</w:t>
      </w:r>
      <w:proofErr w:type="gramEnd"/>
      <w:r w:rsidR="00E10053" w:rsidRPr="00527FC7">
        <w:rPr>
          <w:rFonts w:cs="Calibri"/>
          <w:sz w:val="24"/>
          <w:szCs w:val="24"/>
        </w:rPr>
        <w:t xml:space="preserve"> company investments and voting ballots;</w:t>
      </w:r>
    </w:p>
    <w:p w14:paraId="2725B4FE" w14:textId="149B78E9" w:rsidR="00636408" w:rsidRPr="00527FC7" w:rsidRDefault="00527FC7" w:rsidP="0032719F">
      <w:pPr>
        <w:numPr>
          <w:ilvl w:val="0"/>
          <w:numId w:val="22"/>
        </w:numPr>
        <w:tabs>
          <w:tab w:val="clear" w:pos="360"/>
          <w:tab w:val="num" w:pos="709"/>
        </w:tabs>
        <w:spacing w:before="0" w:after="240" w:line="240" w:lineRule="auto"/>
        <w:ind w:left="567" w:hanging="42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</w:t>
      </w:r>
      <w:r w:rsidR="00E10053" w:rsidRPr="00527FC7">
        <w:rPr>
          <w:rFonts w:cs="Calibri"/>
          <w:sz w:val="24"/>
          <w:szCs w:val="24"/>
        </w:rPr>
        <w:t xml:space="preserve">upport for improved </w:t>
      </w:r>
      <w:r w:rsidR="00636408" w:rsidRPr="00527FC7">
        <w:rPr>
          <w:rFonts w:cs="Calibri"/>
          <w:sz w:val="24"/>
          <w:szCs w:val="24"/>
        </w:rPr>
        <w:t xml:space="preserve">corporate governance </w:t>
      </w:r>
      <w:r w:rsidR="00E10053" w:rsidRPr="00527FC7">
        <w:rPr>
          <w:rFonts w:cs="Calibri"/>
          <w:sz w:val="24"/>
          <w:szCs w:val="24"/>
        </w:rPr>
        <w:t xml:space="preserve">practices, including </w:t>
      </w:r>
      <w:r w:rsidR="00636408" w:rsidRPr="00527FC7">
        <w:rPr>
          <w:rFonts w:cs="Calibri"/>
          <w:sz w:val="24"/>
          <w:szCs w:val="24"/>
        </w:rPr>
        <w:t xml:space="preserve">board composition, </w:t>
      </w:r>
      <w:r w:rsidR="00E10053" w:rsidRPr="00527FC7">
        <w:rPr>
          <w:rFonts w:cs="Calibri"/>
          <w:sz w:val="24"/>
          <w:szCs w:val="24"/>
        </w:rPr>
        <w:t xml:space="preserve">remuneration structures and </w:t>
      </w:r>
      <w:r w:rsidR="00636408" w:rsidRPr="00527FC7">
        <w:rPr>
          <w:rFonts w:cs="Calibri"/>
          <w:sz w:val="24"/>
          <w:szCs w:val="24"/>
        </w:rPr>
        <w:t>ESG disclosure</w:t>
      </w:r>
      <w:r w:rsidR="00E10053" w:rsidRPr="00527FC7">
        <w:rPr>
          <w:rFonts w:cs="Calibri"/>
          <w:sz w:val="24"/>
          <w:szCs w:val="24"/>
        </w:rPr>
        <w:t>;</w:t>
      </w:r>
    </w:p>
    <w:p w14:paraId="50BE0B4F" w14:textId="0E1E6B09" w:rsidR="00636408" w:rsidRPr="00527FC7" w:rsidRDefault="00527FC7" w:rsidP="0032719F">
      <w:pPr>
        <w:numPr>
          <w:ilvl w:val="0"/>
          <w:numId w:val="22"/>
        </w:numPr>
        <w:tabs>
          <w:tab w:val="clear" w:pos="360"/>
          <w:tab w:val="num" w:pos="709"/>
        </w:tabs>
        <w:spacing w:before="0" w:after="240" w:line="240" w:lineRule="auto"/>
        <w:ind w:left="567" w:hanging="42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</w:t>
      </w:r>
      <w:r w:rsidR="00E10053" w:rsidRPr="00527FC7">
        <w:rPr>
          <w:rFonts w:cs="Calibri"/>
          <w:sz w:val="24"/>
          <w:szCs w:val="24"/>
        </w:rPr>
        <w:t xml:space="preserve">ntegration of </w:t>
      </w:r>
      <w:r w:rsidR="00636408" w:rsidRPr="00527FC7">
        <w:rPr>
          <w:rFonts w:cs="Calibri"/>
          <w:sz w:val="24"/>
          <w:szCs w:val="24"/>
        </w:rPr>
        <w:t xml:space="preserve">ESG </w:t>
      </w:r>
      <w:r w:rsidR="00E10053" w:rsidRPr="00527FC7">
        <w:rPr>
          <w:rFonts w:cs="Calibri"/>
          <w:sz w:val="24"/>
          <w:szCs w:val="24"/>
        </w:rPr>
        <w:t xml:space="preserve">considerations into voting decisions by identifying risks and opportunities, aligning with </w:t>
      </w:r>
      <w:r w:rsidR="00F00F15" w:rsidRPr="00527FC7">
        <w:rPr>
          <w:rFonts w:cs="Calibri"/>
          <w:sz w:val="24"/>
          <w:szCs w:val="24"/>
        </w:rPr>
        <w:t>international standards and facilitating engagement between companies and investors; and</w:t>
      </w:r>
    </w:p>
    <w:p w14:paraId="14211595" w14:textId="3B820D0F" w:rsidR="002B4C04" w:rsidRPr="00527FC7" w:rsidRDefault="00F00F15" w:rsidP="0032719F">
      <w:pPr>
        <w:numPr>
          <w:ilvl w:val="0"/>
          <w:numId w:val="22"/>
        </w:numPr>
        <w:tabs>
          <w:tab w:val="clear" w:pos="360"/>
          <w:tab w:val="num" w:pos="709"/>
        </w:tabs>
        <w:spacing w:before="0" w:after="240" w:line="240" w:lineRule="auto"/>
        <w:ind w:left="567" w:hanging="425"/>
        <w:jc w:val="both"/>
        <w:rPr>
          <w:rFonts w:cs="Calibri"/>
          <w:sz w:val="24"/>
          <w:szCs w:val="24"/>
        </w:rPr>
      </w:pPr>
      <w:r w:rsidRPr="00527FC7">
        <w:rPr>
          <w:rFonts w:cs="Calibri"/>
          <w:sz w:val="24"/>
          <w:szCs w:val="24"/>
        </w:rPr>
        <w:t>enhanced</w:t>
      </w:r>
      <w:r w:rsidR="00636408" w:rsidRPr="00527FC7">
        <w:rPr>
          <w:rFonts w:cs="Calibri"/>
          <w:sz w:val="24"/>
          <w:szCs w:val="24"/>
        </w:rPr>
        <w:t xml:space="preserve"> voting impact </w:t>
      </w:r>
      <w:r w:rsidRPr="00527FC7">
        <w:rPr>
          <w:rFonts w:cs="Calibri"/>
          <w:sz w:val="24"/>
          <w:szCs w:val="24"/>
        </w:rPr>
        <w:t xml:space="preserve">through coordinated and consistent approaches, strengthening the </w:t>
      </w:r>
      <w:r w:rsidR="00636408" w:rsidRPr="00527FC7">
        <w:rPr>
          <w:rFonts w:cs="Calibri"/>
          <w:sz w:val="24"/>
          <w:szCs w:val="24"/>
        </w:rPr>
        <w:t>influence of shareholder voting.</w:t>
      </w:r>
      <w:r w:rsidR="002B4C04" w:rsidRPr="00527FC7">
        <w:rPr>
          <w:rFonts w:cs="Calibri"/>
          <w:sz w:val="24"/>
          <w:szCs w:val="24"/>
        </w:rPr>
        <w:t xml:space="preserve"> </w:t>
      </w:r>
    </w:p>
    <w:p w14:paraId="088F5158" w14:textId="77777777" w:rsidR="007B4502" w:rsidRPr="00923C55" w:rsidRDefault="007B4502" w:rsidP="007B4502">
      <w:pPr>
        <w:pStyle w:val="Heading1"/>
      </w:pPr>
      <w:bookmarkStart w:id="13" w:name="_Toc222660751"/>
      <w:bookmarkStart w:id="14" w:name="_Toc222660750"/>
      <w:r>
        <w:t>ISS STOXX SUSTAINABILITY VOTING POLICY</w:t>
      </w:r>
      <w:bookmarkEnd w:id="13"/>
      <w:r>
        <w:t xml:space="preserve"> </w:t>
      </w:r>
    </w:p>
    <w:p w14:paraId="7D30595C" w14:textId="565B3946" w:rsidR="007B4502" w:rsidRPr="007B4502" w:rsidRDefault="006500C1" w:rsidP="0032719F">
      <w:pPr>
        <w:numPr>
          <w:ilvl w:val="1"/>
          <w:numId w:val="0"/>
        </w:numPr>
        <w:spacing w:before="240" w:after="240"/>
        <w:jc w:val="both"/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 xml:space="preserve">Comprehensive operational guidance is set out in the </w:t>
      </w:r>
      <w:r w:rsidR="007B4502" w:rsidRPr="007B4502">
        <w:rPr>
          <w:rFonts w:cs="Calibri"/>
          <w:i/>
          <w:sz w:val="24"/>
          <w:szCs w:val="24"/>
          <w:lang w:val="en-US"/>
        </w:rPr>
        <w:t xml:space="preserve">ISS STOXX Sustainability </w:t>
      </w:r>
      <w:r>
        <w:rPr>
          <w:rFonts w:cs="Calibri"/>
          <w:i/>
          <w:sz w:val="24"/>
          <w:szCs w:val="24"/>
          <w:lang w:val="en-US"/>
        </w:rPr>
        <w:t>Proxy V</w:t>
      </w:r>
      <w:r w:rsidR="007B4502" w:rsidRPr="007B4502">
        <w:rPr>
          <w:rFonts w:cs="Calibri"/>
          <w:i/>
          <w:sz w:val="24"/>
          <w:szCs w:val="24"/>
          <w:lang w:val="en-US"/>
        </w:rPr>
        <w:t xml:space="preserve">oting </w:t>
      </w:r>
      <w:r>
        <w:rPr>
          <w:rFonts w:cs="Calibri"/>
          <w:i/>
          <w:sz w:val="24"/>
          <w:szCs w:val="24"/>
          <w:lang w:val="en-US"/>
        </w:rPr>
        <w:t>P</w:t>
      </w:r>
      <w:r w:rsidR="007B4502" w:rsidRPr="007B4502">
        <w:rPr>
          <w:rFonts w:cs="Calibri"/>
          <w:i/>
          <w:sz w:val="24"/>
          <w:szCs w:val="24"/>
          <w:lang w:val="en-US"/>
        </w:rPr>
        <w:t>olic</w:t>
      </w:r>
      <w:r w:rsidR="007B4502">
        <w:rPr>
          <w:rFonts w:cs="Calibri"/>
          <w:i/>
          <w:sz w:val="24"/>
          <w:szCs w:val="24"/>
          <w:lang w:val="en-US"/>
        </w:rPr>
        <w:t>ies</w:t>
      </w:r>
      <w:r w:rsidR="007B4502" w:rsidRPr="007B4502">
        <w:rPr>
          <w:rFonts w:cs="Calibri"/>
          <w:sz w:val="24"/>
          <w:szCs w:val="24"/>
          <w:lang w:val="en-US"/>
        </w:rPr>
        <w:t>.</w:t>
      </w:r>
    </w:p>
    <w:p w14:paraId="42E107B2" w14:textId="143CA727" w:rsidR="007B4502" w:rsidRPr="000D2AF9" w:rsidRDefault="007B4502" w:rsidP="006500C1">
      <w:pPr>
        <w:numPr>
          <w:ilvl w:val="1"/>
          <w:numId w:val="0"/>
        </w:numPr>
        <w:spacing w:before="240" w:after="240"/>
        <w:rPr>
          <w:rStyle w:val="Hyperlink"/>
        </w:rPr>
      </w:pPr>
      <w:r w:rsidRPr="007B4502">
        <w:rPr>
          <w:rFonts w:cs="Calibri"/>
          <w:sz w:val="24"/>
          <w:szCs w:val="24"/>
          <w:lang w:val="en-US"/>
        </w:rPr>
        <w:t>The</w:t>
      </w:r>
      <w:r w:rsidR="006500C1">
        <w:rPr>
          <w:rFonts w:cs="Calibri"/>
          <w:sz w:val="24"/>
          <w:szCs w:val="24"/>
          <w:lang w:val="en-US"/>
        </w:rPr>
        <w:t>se</w:t>
      </w:r>
      <w:r w:rsidRPr="007B4502">
        <w:rPr>
          <w:rFonts w:cs="Calibri"/>
          <w:sz w:val="24"/>
          <w:szCs w:val="24"/>
          <w:lang w:val="en-US"/>
        </w:rPr>
        <w:t xml:space="preserve"> </w:t>
      </w:r>
      <w:r w:rsidR="006500C1">
        <w:rPr>
          <w:rFonts w:cs="Calibri"/>
          <w:sz w:val="24"/>
          <w:szCs w:val="24"/>
          <w:lang w:val="en-US"/>
        </w:rPr>
        <w:t>policies</w:t>
      </w:r>
      <w:r>
        <w:rPr>
          <w:rFonts w:cs="Calibri"/>
          <w:sz w:val="24"/>
          <w:szCs w:val="24"/>
          <w:lang w:val="en-US"/>
        </w:rPr>
        <w:t xml:space="preserve"> </w:t>
      </w:r>
      <w:r w:rsidRPr="007B4502">
        <w:rPr>
          <w:rFonts w:cs="Calibri"/>
          <w:sz w:val="24"/>
          <w:szCs w:val="24"/>
          <w:lang w:val="en-US"/>
        </w:rPr>
        <w:t>are available at</w:t>
      </w:r>
      <w:r w:rsidR="006500C1">
        <w:rPr>
          <w:rFonts w:cs="Calibri"/>
          <w:sz w:val="24"/>
          <w:szCs w:val="24"/>
          <w:lang w:val="en-US"/>
        </w:rPr>
        <w:t>:</w:t>
      </w:r>
      <w:r w:rsidRPr="007B4502">
        <w:rPr>
          <w:rFonts w:cs="Calibri"/>
          <w:sz w:val="24"/>
          <w:szCs w:val="24"/>
          <w:lang w:val="en-US"/>
        </w:rPr>
        <w:t xml:space="preserve">  </w:t>
      </w:r>
      <w:hyperlink r:id="rId17" w:history="1">
        <w:r w:rsidRPr="007B4502">
          <w:rPr>
            <w:rStyle w:val="Hyperlink"/>
            <w:rFonts w:cs="Calibri"/>
            <w:sz w:val="24"/>
            <w:szCs w:val="24"/>
            <w:lang w:val="en-US"/>
          </w:rPr>
          <w:t>ISS Stoxx Proxy Voting Guidelines</w:t>
        </w:r>
      </w:hyperlink>
      <w:r w:rsidRPr="007B4502">
        <w:rPr>
          <w:rFonts w:cs="Calibri"/>
          <w:sz w:val="24"/>
          <w:szCs w:val="24"/>
          <w:lang w:val="en-US"/>
        </w:rPr>
        <w:t xml:space="preserve">. </w:t>
      </w:r>
    </w:p>
    <w:p w14:paraId="03980D8E" w14:textId="0E99A69E" w:rsidR="00923C55" w:rsidRPr="002B4C04" w:rsidRDefault="001F6C68" w:rsidP="002B4C04">
      <w:pPr>
        <w:pStyle w:val="Heading1"/>
      </w:pPr>
      <w:r>
        <w:t>SUSTAINABILITY VOTING POLICY</w:t>
      </w:r>
      <w:bookmarkEnd w:id="14"/>
    </w:p>
    <w:p w14:paraId="6EA3DEB4" w14:textId="18B99F10" w:rsidR="006C4579" w:rsidRDefault="006C4579" w:rsidP="0032719F">
      <w:pPr>
        <w:numPr>
          <w:ilvl w:val="1"/>
          <w:numId w:val="0"/>
        </w:numPr>
        <w:spacing w:before="240" w:after="240"/>
        <w:jc w:val="both"/>
        <w:rPr>
          <w:rFonts w:cs="Calibri"/>
          <w:sz w:val="24"/>
          <w:szCs w:val="24"/>
          <w:lang w:val="en-US"/>
        </w:rPr>
      </w:pPr>
      <w:r w:rsidRPr="006C4579">
        <w:rPr>
          <w:rFonts w:cs="Calibri"/>
          <w:sz w:val="24"/>
          <w:szCs w:val="24"/>
          <w:lang w:val="en-US"/>
        </w:rPr>
        <w:t xml:space="preserve">The </w:t>
      </w:r>
      <w:r w:rsidR="006500C1">
        <w:rPr>
          <w:rFonts w:cs="Calibri"/>
          <w:sz w:val="24"/>
          <w:szCs w:val="24"/>
          <w:lang w:val="en-US"/>
        </w:rPr>
        <w:t>S</w:t>
      </w:r>
      <w:r>
        <w:rPr>
          <w:rFonts w:cs="Calibri"/>
          <w:sz w:val="24"/>
          <w:szCs w:val="24"/>
          <w:lang w:val="en-US"/>
        </w:rPr>
        <w:t xml:space="preserve">ustainability voting policy framework provides </w:t>
      </w:r>
      <w:r w:rsidR="0031024B">
        <w:rPr>
          <w:rFonts w:cs="Calibri"/>
          <w:sz w:val="24"/>
          <w:szCs w:val="24"/>
          <w:lang w:val="en-US"/>
        </w:rPr>
        <w:t xml:space="preserve">a structured and </w:t>
      </w:r>
      <w:r>
        <w:rPr>
          <w:rFonts w:cs="Calibri"/>
          <w:sz w:val="24"/>
          <w:szCs w:val="24"/>
          <w:lang w:val="en-US"/>
        </w:rPr>
        <w:t xml:space="preserve">comprehensive </w:t>
      </w:r>
      <w:r w:rsidR="0031024B">
        <w:rPr>
          <w:rFonts w:cs="Calibri"/>
          <w:sz w:val="24"/>
          <w:szCs w:val="24"/>
          <w:lang w:val="en-US"/>
        </w:rPr>
        <w:t xml:space="preserve">approach to share voting, supported by </w:t>
      </w:r>
      <w:r>
        <w:rPr>
          <w:rFonts w:cs="Calibri"/>
          <w:sz w:val="24"/>
          <w:szCs w:val="24"/>
          <w:lang w:val="en-US"/>
        </w:rPr>
        <w:t xml:space="preserve">policy-guided research and </w:t>
      </w:r>
      <w:r w:rsidR="006500C1">
        <w:rPr>
          <w:rFonts w:cs="Calibri"/>
          <w:sz w:val="24"/>
          <w:szCs w:val="24"/>
          <w:lang w:val="en-US"/>
        </w:rPr>
        <w:t>voting</w:t>
      </w:r>
      <w:r>
        <w:rPr>
          <w:rFonts w:cs="Calibri"/>
          <w:sz w:val="24"/>
          <w:szCs w:val="24"/>
          <w:lang w:val="en-US"/>
        </w:rPr>
        <w:t xml:space="preserve"> recommendations applied on a case-by-case basis.</w:t>
      </w:r>
    </w:p>
    <w:p w14:paraId="6F759FC7" w14:textId="77777777" w:rsidR="00AD6BA2" w:rsidRDefault="006C4579" w:rsidP="0032719F">
      <w:pPr>
        <w:numPr>
          <w:ilvl w:val="1"/>
          <w:numId w:val="0"/>
        </w:numPr>
        <w:spacing w:before="240" w:after="240"/>
        <w:jc w:val="both"/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 xml:space="preserve">The </w:t>
      </w:r>
      <w:r w:rsidR="0031024B">
        <w:rPr>
          <w:rFonts w:cs="Calibri"/>
          <w:sz w:val="24"/>
          <w:szCs w:val="24"/>
          <w:lang w:val="en-US"/>
        </w:rPr>
        <w:t xml:space="preserve">framework </w:t>
      </w:r>
      <w:r>
        <w:rPr>
          <w:rFonts w:cs="Calibri"/>
          <w:sz w:val="24"/>
          <w:szCs w:val="24"/>
          <w:lang w:val="en-US"/>
        </w:rPr>
        <w:t xml:space="preserve">is informed by </w:t>
      </w:r>
      <w:r w:rsidR="0031024B">
        <w:rPr>
          <w:rFonts w:cs="Calibri"/>
          <w:sz w:val="24"/>
          <w:szCs w:val="24"/>
          <w:lang w:val="en-US"/>
        </w:rPr>
        <w:t>analysis</w:t>
      </w:r>
      <w:r>
        <w:rPr>
          <w:rFonts w:cs="Calibri"/>
          <w:sz w:val="24"/>
          <w:szCs w:val="24"/>
          <w:lang w:val="en-US"/>
        </w:rPr>
        <w:t xml:space="preserve"> </w:t>
      </w:r>
      <w:r w:rsidR="0031024B">
        <w:rPr>
          <w:rFonts w:cs="Calibri"/>
          <w:sz w:val="24"/>
          <w:szCs w:val="24"/>
          <w:lang w:val="en-US"/>
        </w:rPr>
        <w:t xml:space="preserve">of key </w:t>
      </w:r>
      <w:r>
        <w:rPr>
          <w:rFonts w:cs="Calibri"/>
          <w:sz w:val="24"/>
          <w:szCs w:val="24"/>
          <w:lang w:val="en-US"/>
        </w:rPr>
        <w:t xml:space="preserve">ESG topics to identify </w:t>
      </w:r>
      <w:r w:rsidR="0031024B">
        <w:rPr>
          <w:rFonts w:cs="Calibri"/>
          <w:sz w:val="24"/>
          <w:szCs w:val="24"/>
          <w:lang w:val="en-US"/>
        </w:rPr>
        <w:t xml:space="preserve">and assess </w:t>
      </w:r>
      <w:r>
        <w:rPr>
          <w:rFonts w:cs="Calibri"/>
          <w:sz w:val="24"/>
          <w:szCs w:val="24"/>
          <w:lang w:val="en-US"/>
        </w:rPr>
        <w:t xml:space="preserve">ESG risks and </w:t>
      </w:r>
      <w:r w:rsidR="0031024B">
        <w:rPr>
          <w:rFonts w:cs="Calibri"/>
          <w:sz w:val="24"/>
          <w:szCs w:val="24"/>
          <w:lang w:val="en-US"/>
        </w:rPr>
        <w:t xml:space="preserve">incorporates </w:t>
      </w:r>
      <w:r>
        <w:rPr>
          <w:rFonts w:cs="Calibri"/>
          <w:sz w:val="24"/>
          <w:szCs w:val="24"/>
          <w:lang w:val="en-US"/>
        </w:rPr>
        <w:t xml:space="preserve">ESG risk indicators to identify moderate to severe ESG risk factors </w:t>
      </w:r>
      <w:r w:rsidR="0031024B">
        <w:rPr>
          <w:rFonts w:cs="Calibri"/>
          <w:sz w:val="24"/>
          <w:szCs w:val="24"/>
          <w:lang w:val="en-US"/>
        </w:rPr>
        <w:t xml:space="preserve">across publicly listed </w:t>
      </w:r>
      <w:r>
        <w:rPr>
          <w:rFonts w:cs="Calibri"/>
          <w:sz w:val="24"/>
          <w:szCs w:val="24"/>
          <w:lang w:val="en-US"/>
        </w:rPr>
        <w:t>companies</w:t>
      </w:r>
      <w:r w:rsidR="0031024B">
        <w:rPr>
          <w:rFonts w:cs="Calibri"/>
          <w:sz w:val="24"/>
          <w:szCs w:val="24"/>
          <w:lang w:val="en-US"/>
        </w:rPr>
        <w:t xml:space="preserve">. </w:t>
      </w:r>
    </w:p>
    <w:p w14:paraId="7F518E97" w14:textId="4342A9B7" w:rsidR="006C4579" w:rsidRDefault="0031024B" w:rsidP="0032719F">
      <w:pPr>
        <w:numPr>
          <w:ilvl w:val="1"/>
          <w:numId w:val="0"/>
        </w:numPr>
        <w:spacing w:before="240" w:after="240"/>
        <w:jc w:val="both"/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lastRenderedPageBreak/>
        <w:t xml:space="preserve">These assessments cover areas including </w:t>
      </w:r>
      <w:r w:rsidR="006C4579">
        <w:rPr>
          <w:rFonts w:cs="Calibri"/>
          <w:sz w:val="24"/>
          <w:szCs w:val="24"/>
          <w:lang w:val="en-US"/>
        </w:rPr>
        <w:t>environment</w:t>
      </w:r>
      <w:r>
        <w:rPr>
          <w:rFonts w:cs="Calibri"/>
          <w:sz w:val="24"/>
          <w:szCs w:val="24"/>
          <w:lang w:val="en-US"/>
        </w:rPr>
        <w:t>al impacts</w:t>
      </w:r>
      <w:r w:rsidR="006C4579">
        <w:rPr>
          <w:rFonts w:cs="Calibri"/>
          <w:sz w:val="24"/>
          <w:szCs w:val="24"/>
          <w:lang w:val="en-US"/>
        </w:rPr>
        <w:t>, human rights</w:t>
      </w:r>
      <w:r>
        <w:rPr>
          <w:rFonts w:cs="Calibri"/>
          <w:sz w:val="24"/>
          <w:szCs w:val="24"/>
          <w:lang w:val="en-US"/>
        </w:rPr>
        <w:t xml:space="preserve">, business </w:t>
      </w:r>
      <w:r w:rsidR="006C4579">
        <w:rPr>
          <w:rFonts w:cs="Calibri"/>
          <w:sz w:val="24"/>
          <w:szCs w:val="24"/>
          <w:lang w:val="en-US"/>
        </w:rPr>
        <w:t xml:space="preserve">impacts on local communities, </w:t>
      </w:r>
      <w:proofErr w:type="spellStart"/>
      <w:r w:rsidR="006C4579">
        <w:rPr>
          <w:rFonts w:cs="Calibri"/>
          <w:sz w:val="24"/>
          <w:szCs w:val="24"/>
          <w:lang w:val="en-US"/>
        </w:rPr>
        <w:t>labour</w:t>
      </w:r>
      <w:proofErr w:type="spellEnd"/>
      <w:r w:rsidR="006C4579">
        <w:rPr>
          <w:rFonts w:cs="Calibri"/>
          <w:sz w:val="24"/>
          <w:szCs w:val="24"/>
          <w:lang w:val="en-US"/>
        </w:rPr>
        <w:t xml:space="preserve"> </w:t>
      </w:r>
      <w:r>
        <w:rPr>
          <w:rFonts w:cs="Calibri"/>
          <w:sz w:val="24"/>
          <w:szCs w:val="24"/>
          <w:lang w:val="en-US"/>
        </w:rPr>
        <w:t>standards</w:t>
      </w:r>
      <w:r w:rsidR="006C4579">
        <w:rPr>
          <w:rFonts w:cs="Calibri"/>
          <w:sz w:val="24"/>
          <w:szCs w:val="24"/>
          <w:lang w:val="en-US"/>
        </w:rPr>
        <w:t xml:space="preserve"> and supply chain risks, product safety, bribery and corruption</w:t>
      </w:r>
      <w:r>
        <w:rPr>
          <w:rFonts w:cs="Calibri"/>
          <w:sz w:val="24"/>
          <w:szCs w:val="24"/>
          <w:lang w:val="en-US"/>
        </w:rPr>
        <w:t>,</w:t>
      </w:r>
      <w:r w:rsidR="006C4579">
        <w:rPr>
          <w:rFonts w:cs="Calibri"/>
          <w:sz w:val="24"/>
          <w:szCs w:val="24"/>
          <w:lang w:val="en-US"/>
        </w:rPr>
        <w:t xml:space="preserve"> and governance and risk oversight </w:t>
      </w:r>
      <w:r>
        <w:rPr>
          <w:rFonts w:cs="Calibri"/>
          <w:sz w:val="24"/>
          <w:szCs w:val="24"/>
          <w:lang w:val="en-US"/>
        </w:rPr>
        <w:t>practices</w:t>
      </w:r>
      <w:r w:rsidR="006C4579">
        <w:rPr>
          <w:rFonts w:cs="Calibri"/>
          <w:sz w:val="24"/>
          <w:szCs w:val="24"/>
          <w:lang w:val="en-US"/>
        </w:rPr>
        <w:t>.</w:t>
      </w:r>
    </w:p>
    <w:p w14:paraId="641E49CC" w14:textId="7104637E" w:rsidR="006C4579" w:rsidRDefault="006C4579" w:rsidP="0032719F">
      <w:pPr>
        <w:numPr>
          <w:ilvl w:val="1"/>
          <w:numId w:val="0"/>
        </w:numPr>
        <w:spacing w:before="240" w:after="240"/>
        <w:jc w:val="both"/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 xml:space="preserve">The Sustainability </w:t>
      </w:r>
      <w:r w:rsidR="0031024B">
        <w:rPr>
          <w:rFonts w:cs="Calibri"/>
          <w:sz w:val="24"/>
          <w:szCs w:val="24"/>
          <w:lang w:val="en-US"/>
        </w:rPr>
        <w:t xml:space="preserve">Voting Policy </w:t>
      </w:r>
      <w:r>
        <w:rPr>
          <w:rFonts w:cs="Calibri"/>
          <w:sz w:val="24"/>
          <w:szCs w:val="24"/>
          <w:lang w:val="en-US"/>
        </w:rPr>
        <w:t>support</w:t>
      </w:r>
      <w:r w:rsidR="0031024B">
        <w:rPr>
          <w:rFonts w:cs="Calibri"/>
          <w:sz w:val="24"/>
          <w:szCs w:val="24"/>
          <w:lang w:val="en-US"/>
        </w:rPr>
        <w:t>s</w:t>
      </w:r>
      <w:r>
        <w:rPr>
          <w:rFonts w:cs="Calibri"/>
          <w:sz w:val="24"/>
          <w:szCs w:val="24"/>
          <w:lang w:val="en-US"/>
        </w:rPr>
        <w:t>:</w:t>
      </w:r>
    </w:p>
    <w:p w14:paraId="3720EC12" w14:textId="5BE41F73" w:rsidR="00E86059" w:rsidRPr="00AD6BA2" w:rsidRDefault="00E86059" w:rsidP="0032719F">
      <w:pPr>
        <w:numPr>
          <w:ilvl w:val="0"/>
          <w:numId w:val="22"/>
        </w:numPr>
        <w:tabs>
          <w:tab w:val="clear" w:pos="360"/>
          <w:tab w:val="num" w:pos="709"/>
        </w:tabs>
        <w:spacing w:before="0" w:after="240" w:line="240" w:lineRule="auto"/>
        <w:ind w:left="567" w:hanging="425"/>
        <w:jc w:val="both"/>
        <w:rPr>
          <w:rFonts w:cs="Calibri"/>
          <w:sz w:val="24"/>
          <w:szCs w:val="24"/>
        </w:rPr>
      </w:pPr>
      <w:r w:rsidRPr="00AD6BA2">
        <w:rPr>
          <w:rFonts w:cs="Calibri"/>
          <w:sz w:val="24"/>
          <w:szCs w:val="24"/>
        </w:rPr>
        <w:t>proposals that strengthen board accountability and transparency</w:t>
      </w:r>
      <w:r w:rsidR="0031024B" w:rsidRPr="00AD6BA2">
        <w:rPr>
          <w:rFonts w:cs="Calibri"/>
          <w:sz w:val="24"/>
          <w:szCs w:val="24"/>
        </w:rPr>
        <w:t>,</w:t>
      </w:r>
      <w:r w:rsidRPr="00AD6BA2">
        <w:rPr>
          <w:rFonts w:cs="Calibri"/>
          <w:sz w:val="24"/>
          <w:szCs w:val="24"/>
        </w:rPr>
        <w:t xml:space="preserve"> and align </w:t>
      </w:r>
      <w:r w:rsidR="0031024B" w:rsidRPr="00AD6BA2">
        <w:rPr>
          <w:rFonts w:cs="Calibri"/>
          <w:sz w:val="24"/>
          <w:szCs w:val="24"/>
        </w:rPr>
        <w:t>executive remuneration</w:t>
      </w:r>
      <w:r w:rsidRPr="00AD6BA2">
        <w:rPr>
          <w:rFonts w:cs="Calibri"/>
          <w:sz w:val="24"/>
          <w:szCs w:val="24"/>
        </w:rPr>
        <w:t xml:space="preserve"> and corporate structures with </w:t>
      </w:r>
      <w:r w:rsidR="0031024B" w:rsidRPr="00AD6BA2">
        <w:rPr>
          <w:rFonts w:cs="Calibri"/>
          <w:sz w:val="24"/>
          <w:szCs w:val="24"/>
        </w:rPr>
        <w:t>sound</w:t>
      </w:r>
      <w:r w:rsidRPr="00AD6BA2">
        <w:rPr>
          <w:rFonts w:cs="Calibri"/>
          <w:sz w:val="24"/>
          <w:szCs w:val="24"/>
        </w:rPr>
        <w:t xml:space="preserve"> governance</w:t>
      </w:r>
      <w:r w:rsidR="0031024B" w:rsidRPr="00AD6BA2">
        <w:rPr>
          <w:rFonts w:cs="Calibri"/>
          <w:sz w:val="24"/>
          <w:szCs w:val="24"/>
        </w:rPr>
        <w:t xml:space="preserve"> practices</w:t>
      </w:r>
      <w:r w:rsidRPr="00AD6BA2">
        <w:rPr>
          <w:rFonts w:cs="Calibri"/>
          <w:sz w:val="24"/>
          <w:szCs w:val="24"/>
        </w:rPr>
        <w:t>;</w:t>
      </w:r>
    </w:p>
    <w:p w14:paraId="0FF97B86" w14:textId="5BBAC485" w:rsidR="006C4579" w:rsidRPr="00AD6BA2" w:rsidRDefault="00E86059" w:rsidP="0032719F">
      <w:pPr>
        <w:numPr>
          <w:ilvl w:val="0"/>
          <w:numId w:val="22"/>
        </w:numPr>
        <w:tabs>
          <w:tab w:val="clear" w:pos="360"/>
          <w:tab w:val="num" w:pos="709"/>
        </w:tabs>
        <w:spacing w:before="0" w:after="240" w:line="240" w:lineRule="auto"/>
        <w:ind w:left="567" w:hanging="425"/>
        <w:jc w:val="both"/>
        <w:rPr>
          <w:rFonts w:cs="Calibri"/>
          <w:sz w:val="24"/>
          <w:szCs w:val="24"/>
        </w:rPr>
      </w:pPr>
      <w:r w:rsidRPr="00AD6BA2">
        <w:rPr>
          <w:rFonts w:cs="Calibri"/>
          <w:sz w:val="24"/>
          <w:szCs w:val="24"/>
        </w:rPr>
        <w:t>p</w:t>
      </w:r>
      <w:r w:rsidR="006C4579" w:rsidRPr="00AD6BA2">
        <w:rPr>
          <w:rFonts w:cs="Calibri"/>
          <w:sz w:val="24"/>
          <w:szCs w:val="24"/>
        </w:rPr>
        <w:t xml:space="preserve">roposals that </w:t>
      </w:r>
      <w:r w:rsidR="0031024B" w:rsidRPr="00AD6BA2">
        <w:rPr>
          <w:rFonts w:cs="Calibri"/>
          <w:sz w:val="24"/>
          <w:szCs w:val="24"/>
        </w:rPr>
        <w:t xml:space="preserve">enhance </w:t>
      </w:r>
      <w:r w:rsidR="006C4579" w:rsidRPr="00AD6BA2">
        <w:rPr>
          <w:rFonts w:cs="Calibri"/>
          <w:sz w:val="24"/>
          <w:szCs w:val="24"/>
        </w:rPr>
        <w:t>disclosure of corporate environmental policies</w:t>
      </w:r>
      <w:r w:rsidR="0031024B" w:rsidRPr="00AD6BA2">
        <w:rPr>
          <w:rFonts w:cs="Calibri"/>
          <w:sz w:val="24"/>
          <w:szCs w:val="24"/>
        </w:rPr>
        <w:t>,</w:t>
      </w:r>
      <w:r w:rsidR="006C4579" w:rsidRPr="00AD6BA2">
        <w:rPr>
          <w:rFonts w:cs="Calibri"/>
          <w:sz w:val="24"/>
          <w:szCs w:val="24"/>
        </w:rPr>
        <w:t xml:space="preserve"> including</w:t>
      </w:r>
      <w:r w:rsidR="0031024B" w:rsidRPr="00AD6BA2">
        <w:rPr>
          <w:rFonts w:cs="Calibri"/>
          <w:sz w:val="24"/>
          <w:szCs w:val="24"/>
        </w:rPr>
        <w:t xml:space="preserve"> those relating to</w:t>
      </w:r>
      <w:r w:rsidR="006C4579" w:rsidRPr="00AD6BA2">
        <w:rPr>
          <w:rFonts w:cs="Calibri"/>
          <w:sz w:val="24"/>
          <w:szCs w:val="24"/>
        </w:rPr>
        <w:t xml:space="preserve"> climate change and greenhouse gas emissions;</w:t>
      </w:r>
    </w:p>
    <w:p w14:paraId="3CB1C6FF" w14:textId="7D317D25" w:rsidR="006C4579" w:rsidRPr="00AD6BA2" w:rsidRDefault="006C4579" w:rsidP="0032719F">
      <w:pPr>
        <w:numPr>
          <w:ilvl w:val="0"/>
          <w:numId w:val="22"/>
        </w:numPr>
        <w:tabs>
          <w:tab w:val="clear" w:pos="360"/>
          <w:tab w:val="num" w:pos="709"/>
        </w:tabs>
        <w:spacing w:before="0" w:after="240" w:line="240" w:lineRule="auto"/>
        <w:ind w:left="567" w:hanging="425"/>
        <w:jc w:val="both"/>
        <w:rPr>
          <w:rFonts w:cs="Calibri"/>
          <w:sz w:val="24"/>
          <w:szCs w:val="24"/>
        </w:rPr>
      </w:pPr>
      <w:r w:rsidRPr="00AD6BA2">
        <w:rPr>
          <w:rFonts w:cs="Calibri"/>
          <w:sz w:val="24"/>
          <w:szCs w:val="24"/>
        </w:rPr>
        <w:t xml:space="preserve">proposals that </w:t>
      </w:r>
      <w:r w:rsidR="0031024B" w:rsidRPr="00AD6BA2">
        <w:rPr>
          <w:rFonts w:cs="Calibri"/>
          <w:sz w:val="24"/>
          <w:szCs w:val="24"/>
        </w:rPr>
        <w:t>improve</w:t>
      </w:r>
      <w:r w:rsidRPr="00AD6BA2">
        <w:rPr>
          <w:rFonts w:cs="Calibri"/>
          <w:sz w:val="24"/>
          <w:szCs w:val="24"/>
        </w:rPr>
        <w:t xml:space="preserve"> transparency </w:t>
      </w:r>
      <w:r w:rsidR="0031024B" w:rsidRPr="00AD6BA2">
        <w:rPr>
          <w:rFonts w:cs="Calibri"/>
          <w:sz w:val="24"/>
          <w:szCs w:val="24"/>
        </w:rPr>
        <w:t xml:space="preserve">in </w:t>
      </w:r>
      <w:r w:rsidRPr="00AD6BA2">
        <w:rPr>
          <w:rFonts w:cs="Calibri"/>
          <w:sz w:val="24"/>
          <w:szCs w:val="24"/>
        </w:rPr>
        <w:t>social policies</w:t>
      </w:r>
      <w:r w:rsidR="0031024B" w:rsidRPr="00AD6BA2">
        <w:rPr>
          <w:rFonts w:cs="Calibri"/>
          <w:sz w:val="24"/>
          <w:szCs w:val="24"/>
        </w:rPr>
        <w:t xml:space="preserve">, including </w:t>
      </w:r>
      <w:r w:rsidRPr="00AD6BA2">
        <w:rPr>
          <w:rFonts w:cs="Calibri"/>
          <w:sz w:val="24"/>
          <w:szCs w:val="24"/>
        </w:rPr>
        <w:t>workplace discrimination</w:t>
      </w:r>
      <w:r w:rsidR="00E86059" w:rsidRPr="00AD6BA2">
        <w:rPr>
          <w:rFonts w:cs="Calibri"/>
          <w:sz w:val="24"/>
          <w:szCs w:val="24"/>
        </w:rPr>
        <w:t xml:space="preserve">, diversity, equity and inclusion, </w:t>
      </w:r>
      <w:r w:rsidRPr="00AD6BA2">
        <w:rPr>
          <w:rFonts w:cs="Calibri"/>
          <w:sz w:val="24"/>
          <w:szCs w:val="24"/>
        </w:rPr>
        <w:t xml:space="preserve">human rights, and </w:t>
      </w:r>
      <w:r w:rsidR="0031024B" w:rsidRPr="00AD6BA2">
        <w:rPr>
          <w:rFonts w:cs="Calibri"/>
          <w:sz w:val="24"/>
          <w:szCs w:val="24"/>
        </w:rPr>
        <w:t>adherence to</w:t>
      </w:r>
      <w:r w:rsidRPr="00AD6BA2">
        <w:rPr>
          <w:rFonts w:cs="Calibri"/>
          <w:sz w:val="24"/>
          <w:szCs w:val="24"/>
        </w:rPr>
        <w:t xml:space="preserve"> </w:t>
      </w:r>
      <w:r w:rsidR="00E86059" w:rsidRPr="00AD6BA2">
        <w:rPr>
          <w:rFonts w:cs="Calibri"/>
          <w:sz w:val="24"/>
          <w:szCs w:val="24"/>
        </w:rPr>
        <w:t xml:space="preserve">internationally recognised sustainability </w:t>
      </w:r>
      <w:r w:rsidR="0031024B" w:rsidRPr="00AD6BA2">
        <w:rPr>
          <w:rFonts w:cs="Calibri"/>
          <w:sz w:val="24"/>
          <w:szCs w:val="24"/>
        </w:rPr>
        <w:t>frameworks</w:t>
      </w:r>
      <w:r w:rsidRPr="00AD6BA2">
        <w:rPr>
          <w:rFonts w:cs="Calibri"/>
          <w:sz w:val="24"/>
          <w:szCs w:val="24"/>
        </w:rPr>
        <w:t>;</w:t>
      </w:r>
    </w:p>
    <w:p w14:paraId="759835E1" w14:textId="2F9138EF" w:rsidR="006C4579" w:rsidRPr="00AD6BA2" w:rsidRDefault="006C4579" w:rsidP="0032719F">
      <w:pPr>
        <w:numPr>
          <w:ilvl w:val="0"/>
          <w:numId w:val="22"/>
        </w:numPr>
        <w:tabs>
          <w:tab w:val="clear" w:pos="360"/>
          <w:tab w:val="num" w:pos="709"/>
        </w:tabs>
        <w:spacing w:before="0" w:after="240" w:line="240" w:lineRule="auto"/>
        <w:ind w:left="567" w:hanging="425"/>
        <w:jc w:val="both"/>
        <w:rPr>
          <w:rFonts w:cs="Calibri"/>
          <w:sz w:val="24"/>
          <w:szCs w:val="24"/>
        </w:rPr>
      </w:pPr>
      <w:r w:rsidRPr="00AD6BA2">
        <w:rPr>
          <w:rFonts w:cs="Calibri"/>
          <w:sz w:val="24"/>
          <w:szCs w:val="24"/>
        </w:rPr>
        <w:t xml:space="preserve">proposals that </w:t>
      </w:r>
      <w:r w:rsidR="0031024B" w:rsidRPr="00AD6BA2">
        <w:rPr>
          <w:rFonts w:cs="Calibri"/>
          <w:sz w:val="24"/>
          <w:szCs w:val="24"/>
        </w:rPr>
        <w:t>encourage</w:t>
      </w:r>
      <w:r w:rsidRPr="00AD6BA2">
        <w:rPr>
          <w:rFonts w:cs="Calibri"/>
          <w:sz w:val="24"/>
          <w:szCs w:val="24"/>
        </w:rPr>
        <w:t xml:space="preserve"> reporting on sustainable business practices</w:t>
      </w:r>
      <w:r w:rsidR="0031024B" w:rsidRPr="00AD6BA2">
        <w:rPr>
          <w:rFonts w:cs="Calibri"/>
          <w:sz w:val="24"/>
          <w:szCs w:val="24"/>
        </w:rPr>
        <w:t xml:space="preserve">, </w:t>
      </w:r>
      <w:r w:rsidRPr="00AD6BA2">
        <w:rPr>
          <w:rFonts w:cs="Calibri"/>
          <w:sz w:val="24"/>
          <w:szCs w:val="24"/>
        </w:rPr>
        <w:t xml:space="preserve">including </w:t>
      </w:r>
      <w:r w:rsidR="0031024B" w:rsidRPr="00AD6BA2">
        <w:rPr>
          <w:rFonts w:cs="Calibri"/>
          <w:sz w:val="24"/>
          <w:szCs w:val="24"/>
        </w:rPr>
        <w:t>resource efficiency</w:t>
      </w:r>
      <w:r w:rsidRPr="00AD6BA2">
        <w:rPr>
          <w:rFonts w:cs="Calibri"/>
          <w:sz w:val="24"/>
          <w:szCs w:val="24"/>
        </w:rPr>
        <w:t xml:space="preserve">, operations in sensitive or protected areas, </w:t>
      </w:r>
      <w:r w:rsidR="0031024B" w:rsidRPr="00AD6BA2">
        <w:rPr>
          <w:rFonts w:cs="Calibri"/>
          <w:sz w:val="24"/>
          <w:szCs w:val="24"/>
        </w:rPr>
        <w:t xml:space="preserve">renewable </w:t>
      </w:r>
      <w:r w:rsidRPr="00AD6BA2">
        <w:rPr>
          <w:rFonts w:cs="Calibri"/>
          <w:sz w:val="24"/>
          <w:szCs w:val="24"/>
        </w:rPr>
        <w:t xml:space="preserve">energy </w:t>
      </w:r>
      <w:r w:rsidR="0031024B" w:rsidRPr="00AD6BA2">
        <w:rPr>
          <w:rFonts w:cs="Calibri"/>
          <w:sz w:val="24"/>
          <w:szCs w:val="24"/>
        </w:rPr>
        <w:t>use</w:t>
      </w:r>
      <w:r w:rsidRPr="00AD6BA2">
        <w:rPr>
          <w:rFonts w:cs="Calibri"/>
          <w:sz w:val="24"/>
          <w:szCs w:val="24"/>
        </w:rPr>
        <w:t xml:space="preserve">, and </w:t>
      </w:r>
      <w:r w:rsidR="0031024B" w:rsidRPr="00AD6BA2">
        <w:rPr>
          <w:rFonts w:cs="Calibri"/>
          <w:sz w:val="24"/>
          <w:szCs w:val="24"/>
        </w:rPr>
        <w:t xml:space="preserve">the integration </w:t>
      </w:r>
      <w:r w:rsidRPr="00AD6BA2">
        <w:rPr>
          <w:rFonts w:cs="Calibri"/>
          <w:sz w:val="24"/>
          <w:szCs w:val="24"/>
        </w:rPr>
        <w:t>of sustainability</w:t>
      </w:r>
      <w:r w:rsidR="0031024B" w:rsidRPr="00AD6BA2">
        <w:rPr>
          <w:rFonts w:cs="Calibri"/>
          <w:sz w:val="24"/>
          <w:szCs w:val="24"/>
        </w:rPr>
        <w:t xml:space="preserve"> </w:t>
      </w:r>
      <w:r w:rsidRPr="00AD6BA2">
        <w:rPr>
          <w:rFonts w:cs="Calibri"/>
          <w:sz w:val="24"/>
          <w:szCs w:val="24"/>
        </w:rPr>
        <w:t>performance metrics into executive compensation;</w:t>
      </w:r>
      <w:r w:rsidR="00DB1A78" w:rsidRPr="00AD6BA2">
        <w:rPr>
          <w:rFonts w:cs="Calibri"/>
          <w:sz w:val="24"/>
          <w:szCs w:val="24"/>
        </w:rPr>
        <w:t xml:space="preserve"> and</w:t>
      </w:r>
    </w:p>
    <w:p w14:paraId="099EB418" w14:textId="1574F75F" w:rsidR="006C4579" w:rsidRPr="00AD6BA2" w:rsidRDefault="006C4579" w:rsidP="0032719F">
      <w:pPr>
        <w:numPr>
          <w:ilvl w:val="0"/>
          <w:numId w:val="22"/>
        </w:numPr>
        <w:tabs>
          <w:tab w:val="clear" w:pos="360"/>
          <w:tab w:val="num" w:pos="709"/>
        </w:tabs>
        <w:spacing w:before="0" w:after="240" w:line="240" w:lineRule="auto"/>
        <w:ind w:left="567" w:hanging="425"/>
        <w:jc w:val="both"/>
        <w:rPr>
          <w:rFonts w:cs="Calibri"/>
          <w:sz w:val="24"/>
          <w:szCs w:val="24"/>
        </w:rPr>
      </w:pPr>
      <w:r w:rsidRPr="00AD6BA2">
        <w:rPr>
          <w:rFonts w:cs="Calibri"/>
          <w:sz w:val="24"/>
          <w:szCs w:val="24"/>
        </w:rPr>
        <w:t>shareholder proposals that enhance</w:t>
      </w:r>
      <w:r w:rsidR="00E86059" w:rsidRPr="00AD6BA2">
        <w:rPr>
          <w:rFonts w:cs="Calibri"/>
          <w:sz w:val="24"/>
          <w:szCs w:val="24"/>
        </w:rPr>
        <w:t xml:space="preserve"> ESG disclosures</w:t>
      </w:r>
      <w:r w:rsidR="0031024B" w:rsidRPr="00AD6BA2">
        <w:rPr>
          <w:rFonts w:cs="Calibri"/>
          <w:sz w:val="24"/>
          <w:szCs w:val="24"/>
        </w:rPr>
        <w:t>, promote</w:t>
      </w:r>
      <w:r w:rsidR="007927B5" w:rsidRPr="00AD6BA2">
        <w:rPr>
          <w:rFonts w:cs="Calibri"/>
          <w:sz w:val="24"/>
          <w:szCs w:val="24"/>
        </w:rPr>
        <w:t xml:space="preserve"> alignment with international sustainability standards, and support </w:t>
      </w:r>
      <w:r w:rsidRPr="00AD6BA2">
        <w:rPr>
          <w:rFonts w:cs="Calibri"/>
          <w:sz w:val="24"/>
          <w:szCs w:val="24"/>
        </w:rPr>
        <w:t>long-term shareholder value</w:t>
      </w:r>
      <w:r w:rsidR="007927B5" w:rsidRPr="00AD6BA2">
        <w:rPr>
          <w:rFonts w:cs="Calibri"/>
          <w:sz w:val="24"/>
          <w:szCs w:val="24"/>
        </w:rPr>
        <w:t xml:space="preserve"> through </w:t>
      </w:r>
      <w:r w:rsidR="00E86059" w:rsidRPr="00AD6BA2">
        <w:rPr>
          <w:rFonts w:cs="Calibri"/>
          <w:sz w:val="24"/>
          <w:szCs w:val="24"/>
        </w:rPr>
        <w:t>improve</w:t>
      </w:r>
      <w:r w:rsidR="007927B5" w:rsidRPr="00AD6BA2">
        <w:rPr>
          <w:rFonts w:cs="Calibri"/>
          <w:sz w:val="24"/>
          <w:szCs w:val="24"/>
        </w:rPr>
        <w:t>d</w:t>
      </w:r>
      <w:r w:rsidR="00E86059" w:rsidRPr="00AD6BA2">
        <w:rPr>
          <w:rFonts w:cs="Calibri"/>
          <w:sz w:val="24"/>
          <w:szCs w:val="24"/>
        </w:rPr>
        <w:t xml:space="preserve"> transparency </w:t>
      </w:r>
      <w:r w:rsidR="007927B5" w:rsidRPr="00AD6BA2">
        <w:rPr>
          <w:rFonts w:cs="Calibri"/>
          <w:sz w:val="24"/>
          <w:szCs w:val="24"/>
        </w:rPr>
        <w:t>on ESG impacts</w:t>
      </w:r>
      <w:r w:rsidR="00E86059" w:rsidRPr="00AD6BA2">
        <w:rPr>
          <w:rFonts w:cs="Calibri"/>
          <w:sz w:val="24"/>
          <w:szCs w:val="24"/>
        </w:rPr>
        <w:t>.</w:t>
      </w:r>
    </w:p>
    <w:p w14:paraId="722BDC45" w14:textId="76BCD76E" w:rsidR="00923C55" w:rsidRPr="00923C55" w:rsidRDefault="000D2AF9" w:rsidP="00923C55">
      <w:pPr>
        <w:pStyle w:val="Heading1"/>
      </w:pPr>
      <w:bookmarkStart w:id="15" w:name="_Toc222660752"/>
      <w:r>
        <w:t>RECORD KEEPING</w:t>
      </w:r>
      <w:bookmarkEnd w:id="15"/>
    </w:p>
    <w:p w14:paraId="6F6277A0" w14:textId="047DC3F7" w:rsidR="002E5F38" w:rsidRDefault="00B14B44" w:rsidP="0032719F">
      <w:pPr>
        <w:spacing w:before="0" w:after="240"/>
        <w:jc w:val="both"/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>Treasury maintains records of all proxy votes cast and access to all research and voting rationales for at least seven years</w:t>
      </w:r>
      <w:r w:rsidR="00923C55" w:rsidRPr="00B57DED">
        <w:rPr>
          <w:rFonts w:cs="Calibri"/>
          <w:sz w:val="24"/>
          <w:szCs w:val="24"/>
          <w:lang w:val="en-US"/>
        </w:rPr>
        <w:t xml:space="preserve">. </w:t>
      </w:r>
      <w:bookmarkStart w:id="16" w:name="_Hlk55990356"/>
    </w:p>
    <w:p w14:paraId="48737BC2" w14:textId="164D5E3B" w:rsidR="00923C55" w:rsidRPr="00923C55" w:rsidRDefault="000D2AF9" w:rsidP="00923C55">
      <w:pPr>
        <w:pStyle w:val="Heading1"/>
      </w:pPr>
      <w:bookmarkStart w:id="17" w:name="_Toc222660753"/>
      <w:bookmarkStart w:id="18" w:name="_Hlk79652422"/>
      <w:bookmarkEnd w:id="16"/>
      <w:r>
        <w:t>REPORTING</w:t>
      </w:r>
      <w:bookmarkEnd w:id="17"/>
    </w:p>
    <w:p w14:paraId="3699A0F8" w14:textId="77C0E518" w:rsidR="000D2AF9" w:rsidRPr="00904BCC" w:rsidRDefault="00AD6BA2" w:rsidP="0032719F">
      <w:pPr>
        <w:spacing w:before="0" w:after="240"/>
        <w:jc w:val="both"/>
        <w:rPr>
          <w:rStyle w:val="Hyperlink"/>
          <w:color w:val="auto"/>
        </w:rPr>
      </w:pPr>
      <w:r w:rsidRPr="00904BCC">
        <w:rPr>
          <w:rFonts w:cs="Calibri"/>
          <w:sz w:val="24"/>
          <w:szCs w:val="24"/>
          <w:lang w:val="en-US"/>
        </w:rPr>
        <w:t>This Policy and information on proxy voting activity is publicly available on the Treasury website (Treasury Publications)</w:t>
      </w:r>
      <w:r w:rsidR="007B4502" w:rsidRPr="00904BCC">
        <w:rPr>
          <w:rFonts w:cs="Calibri"/>
          <w:sz w:val="24"/>
          <w:szCs w:val="24"/>
          <w:lang w:val="en-US"/>
        </w:rPr>
        <w:t>.</w:t>
      </w:r>
    </w:p>
    <w:bookmarkEnd w:id="9"/>
    <w:bookmarkEnd w:id="18"/>
    <w:p w14:paraId="4546DDCC" w14:textId="13428274" w:rsidR="007E5117" w:rsidRPr="003F5237" w:rsidRDefault="007E5117" w:rsidP="000029AD">
      <w:pPr>
        <w:ind w:left="720" w:hanging="720"/>
        <w:jc w:val="both"/>
        <w:rPr>
          <w:rFonts w:cs="Calibri"/>
        </w:rPr>
      </w:pPr>
    </w:p>
    <w:sectPr w:rsidR="007E5117" w:rsidRPr="003F5237" w:rsidSect="00076B01">
      <w:type w:val="continuous"/>
      <w:pgSz w:w="11907" w:h="16840" w:code="9"/>
      <w:pgMar w:top="1418" w:right="1418" w:bottom="1701" w:left="1418" w:header="567" w:footer="25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CA081" w14:textId="77777777" w:rsidR="004327B2" w:rsidRDefault="004327B2">
      <w:pPr>
        <w:spacing w:before="0" w:after="0"/>
      </w:pPr>
      <w:r>
        <w:separator/>
      </w:r>
    </w:p>
    <w:p w14:paraId="65F62E68" w14:textId="77777777" w:rsidR="004327B2" w:rsidRDefault="004327B2"/>
  </w:endnote>
  <w:endnote w:type="continuationSeparator" w:id="0">
    <w:p w14:paraId="5012F553" w14:textId="77777777" w:rsidR="004327B2" w:rsidRDefault="004327B2">
      <w:pPr>
        <w:spacing w:before="0" w:after="0"/>
      </w:pPr>
      <w:r>
        <w:continuationSeparator/>
      </w:r>
    </w:p>
    <w:p w14:paraId="025A5DBA" w14:textId="77777777" w:rsidR="004327B2" w:rsidRDefault="004327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5635842"/>
      <w:docPartObj>
        <w:docPartGallery w:val="Page Numbers (Bottom of Page)"/>
        <w:docPartUnique/>
      </w:docPartObj>
    </w:sdtPr>
    <w:sdtContent>
      <w:p w14:paraId="6250DCA5" w14:textId="25F4B835" w:rsidR="000459F7" w:rsidRDefault="000459F7" w:rsidP="00B46B2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014DC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5AD0C32" w14:textId="77777777" w:rsidR="000459F7" w:rsidRDefault="000459F7" w:rsidP="00D6784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b/>
        <w:bCs/>
        <w:sz w:val="16"/>
        <w:szCs w:val="16"/>
      </w:rPr>
      <w:id w:val="-1138035189"/>
      <w:docPartObj>
        <w:docPartGallery w:val="Page Numbers (Bottom of Page)"/>
        <w:docPartUnique/>
      </w:docPartObj>
    </w:sdtPr>
    <w:sdtContent>
      <w:p w14:paraId="362FA08C" w14:textId="7D3A4454" w:rsidR="000459F7" w:rsidRPr="00E10D01" w:rsidRDefault="000459F7" w:rsidP="00076B01">
        <w:pPr>
          <w:pStyle w:val="Footer"/>
          <w:framePr w:h="586" w:hRule="exact" w:wrap="none" w:vAnchor="text" w:hAnchor="page" w:x="10266" w:y="-208"/>
          <w:rPr>
            <w:rStyle w:val="PageNumber"/>
            <w:b/>
            <w:bCs/>
            <w:sz w:val="16"/>
            <w:szCs w:val="16"/>
          </w:rPr>
        </w:pPr>
        <w:r w:rsidRPr="00E10D01">
          <w:rPr>
            <w:rStyle w:val="PageNumber"/>
            <w:b/>
            <w:bCs/>
            <w:sz w:val="16"/>
            <w:szCs w:val="16"/>
          </w:rPr>
          <w:fldChar w:fldCharType="begin"/>
        </w:r>
        <w:r w:rsidRPr="00E10D01">
          <w:rPr>
            <w:rStyle w:val="PageNumber"/>
            <w:b/>
            <w:bCs/>
            <w:sz w:val="16"/>
            <w:szCs w:val="16"/>
          </w:rPr>
          <w:instrText xml:space="preserve"> PAGE </w:instrText>
        </w:r>
        <w:r w:rsidRPr="00E10D01">
          <w:rPr>
            <w:rStyle w:val="PageNumber"/>
            <w:b/>
            <w:bCs/>
            <w:sz w:val="16"/>
            <w:szCs w:val="16"/>
          </w:rPr>
          <w:fldChar w:fldCharType="separate"/>
        </w:r>
        <w:r w:rsidRPr="00E10D01">
          <w:rPr>
            <w:rStyle w:val="PageNumber"/>
            <w:b/>
            <w:bCs/>
            <w:noProof/>
            <w:sz w:val="16"/>
            <w:szCs w:val="16"/>
          </w:rPr>
          <w:t>1</w:t>
        </w:r>
        <w:r w:rsidRPr="00E10D01">
          <w:rPr>
            <w:rStyle w:val="PageNumber"/>
            <w:b/>
            <w:bCs/>
            <w:sz w:val="16"/>
            <w:szCs w:val="16"/>
          </w:rPr>
          <w:fldChar w:fldCharType="end"/>
        </w:r>
      </w:p>
    </w:sdtContent>
  </w:sdt>
  <w:p w14:paraId="61C7144D" w14:textId="434D23A0" w:rsidR="000459F7" w:rsidRPr="00B14B44" w:rsidRDefault="000A1179" w:rsidP="004D749A">
    <w:pPr>
      <w:pStyle w:val="Footer"/>
      <w:rPr>
        <w:b/>
        <w:bCs/>
      </w:rPr>
    </w:pPr>
    <w:r w:rsidRPr="00E10D01">
      <w:rPr>
        <w:b/>
        <w:bCs/>
        <w:noProof/>
      </w:rPr>
      <w:drawing>
        <wp:anchor distT="0" distB="0" distL="114300" distR="114300" simplePos="0" relativeHeight="251657216" behindDoc="1" locked="0" layoutInCell="1" allowOverlap="1" wp14:anchorId="2F866DD3" wp14:editId="2311D128">
          <wp:simplePos x="0" y="0"/>
          <wp:positionH relativeFrom="column">
            <wp:posOffset>-453390</wp:posOffset>
          </wp:positionH>
          <wp:positionV relativeFrom="paragraph">
            <wp:posOffset>-60960</wp:posOffset>
          </wp:positionV>
          <wp:extent cx="6883200" cy="252000"/>
          <wp:effectExtent l="0" t="0" r="0" b="0"/>
          <wp:wrapNone/>
          <wp:docPr id="11" name="Picture 11" descr="Example Footer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 WHog_B thin.png" descr="Example Footer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83200" cy="2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4BCC">
      <w:rPr>
        <w:b/>
        <w:bCs/>
        <w:noProof/>
      </w:rPr>
      <w:t>Treasury</w:t>
    </w:r>
    <w:r w:rsidR="002014DC">
      <w:rPr>
        <w:noProof/>
      </w:rPr>
      <w:tab/>
    </w:r>
    <w:r w:rsidR="004D749A" w:rsidRPr="00B14B44">
      <w:rPr>
        <w:b/>
        <w:bCs/>
        <w:noProof/>
      </w:rPr>
      <w:tab/>
    </w:r>
    <w:r w:rsidR="00B14B44" w:rsidRPr="00B14B44">
      <w:rPr>
        <w:b/>
        <w:bCs/>
        <w:noProof/>
      </w:rPr>
      <w:t xml:space="preserve">Proxy Voting Policy </w:t>
    </w:r>
    <w:r w:rsidR="00527FC7">
      <w:rPr>
        <w:b/>
        <w:bCs/>
        <w:noProof/>
      </w:rPr>
      <w:t>Framework</w:t>
    </w:r>
    <w:r w:rsidR="00AD6BA2">
      <w:rPr>
        <w:b/>
        <w:bCs/>
        <w:noProof/>
      </w:rPr>
      <w:t xml:space="preserve"> (</w:t>
    </w:r>
    <w:r w:rsidR="00904BCC">
      <w:rPr>
        <w:b/>
        <w:bCs/>
        <w:noProof/>
      </w:rPr>
      <w:t>August</w:t>
    </w:r>
    <w:r w:rsidR="00AD6BA2">
      <w:rPr>
        <w:b/>
        <w:bCs/>
        <w:noProof/>
      </w:rPr>
      <w:t xml:space="preserve"> 2026)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04016" w14:textId="77777777" w:rsidR="004327B2" w:rsidRDefault="004327B2" w:rsidP="001723F7">
      <w:pPr>
        <w:spacing w:before="0" w:after="0"/>
      </w:pPr>
      <w:r>
        <w:separator/>
      </w:r>
    </w:p>
  </w:footnote>
  <w:footnote w:type="continuationSeparator" w:id="0">
    <w:p w14:paraId="49427213" w14:textId="77777777" w:rsidR="004327B2" w:rsidRDefault="004327B2">
      <w:pPr>
        <w:spacing w:before="0" w:after="0"/>
      </w:pPr>
      <w:r>
        <w:continuationSeparator/>
      </w:r>
    </w:p>
    <w:p w14:paraId="151F2FA0" w14:textId="77777777" w:rsidR="004327B2" w:rsidRDefault="004327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46316" w14:textId="3430EE05" w:rsidR="002014DC" w:rsidRDefault="002014DC" w:rsidP="00F55D6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76E9E"/>
    <w:multiLevelType w:val="multilevel"/>
    <w:tmpl w:val="402E7EF2"/>
    <w:numStyleLink w:val="AppendixNumbers"/>
  </w:abstractNum>
  <w:abstractNum w:abstractNumId="1" w15:restartNumberingAfterBreak="0">
    <w:nsid w:val="031022B6"/>
    <w:multiLevelType w:val="multilevel"/>
    <w:tmpl w:val="ACD271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927426"/>
    <w:multiLevelType w:val="hybridMultilevel"/>
    <w:tmpl w:val="299CBA02"/>
    <w:lvl w:ilvl="0" w:tplc="6B60CF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FE6D8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36099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6CCA8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29067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1EC38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752E4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C64D6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A26E8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F6C678D"/>
    <w:multiLevelType w:val="multilevel"/>
    <w:tmpl w:val="57D26A18"/>
    <w:styleLink w:val="KCBullets"/>
    <w:lvl w:ilvl="0">
      <w:start w:val="1"/>
      <w:numFmt w:val="lowerLetter"/>
      <w:pStyle w:val="Bullet1"/>
      <w:lvlText w:val="(%1)"/>
      <w:lvlJc w:val="left"/>
      <w:pPr>
        <w:ind w:left="284" w:hanging="284"/>
      </w:pPr>
      <w:rPr>
        <w:rFonts w:asciiTheme="minorHAnsi" w:eastAsiaTheme="minorHAnsi" w:hAnsiTheme="minorHAnsi" w:cstheme="minorBidi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  <w:color w:val="44546A" w:themeColor="text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  <w:color w:val="44546A" w:themeColor="text2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16061FEC"/>
    <w:multiLevelType w:val="hybridMultilevel"/>
    <w:tmpl w:val="243EA5FA"/>
    <w:lvl w:ilvl="0" w:tplc="45ECE16A">
      <w:start w:val="1"/>
      <w:numFmt w:val="lowerLetter"/>
      <w:lvlText w:val="(%1)"/>
      <w:lvlJc w:val="left"/>
      <w:pPr>
        <w:ind w:left="1273" w:hanging="87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83" w:hanging="360"/>
      </w:pPr>
    </w:lvl>
    <w:lvl w:ilvl="2" w:tplc="0C09001B" w:tentative="1">
      <w:start w:val="1"/>
      <w:numFmt w:val="lowerRoman"/>
      <w:lvlText w:val="%3."/>
      <w:lvlJc w:val="right"/>
      <w:pPr>
        <w:ind w:left="2203" w:hanging="180"/>
      </w:pPr>
    </w:lvl>
    <w:lvl w:ilvl="3" w:tplc="0C09000F" w:tentative="1">
      <w:start w:val="1"/>
      <w:numFmt w:val="decimal"/>
      <w:lvlText w:val="%4."/>
      <w:lvlJc w:val="left"/>
      <w:pPr>
        <w:ind w:left="2923" w:hanging="360"/>
      </w:pPr>
    </w:lvl>
    <w:lvl w:ilvl="4" w:tplc="0C090019" w:tentative="1">
      <w:start w:val="1"/>
      <w:numFmt w:val="lowerLetter"/>
      <w:lvlText w:val="%5."/>
      <w:lvlJc w:val="left"/>
      <w:pPr>
        <w:ind w:left="3643" w:hanging="360"/>
      </w:pPr>
    </w:lvl>
    <w:lvl w:ilvl="5" w:tplc="0C09001B" w:tentative="1">
      <w:start w:val="1"/>
      <w:numFmt w:val="lowerRoman"/>
      <w:lvlText w:val="%6."/>
      <w:lvlJc w:val="right"/>
      <w:pPr>
        <w:ind w:left="4363" w:hanging="180"/>
      </w:pPr>
    </w:lvl>
    <w:lvl w:ilvl="6" w:tplc="0C09000F" w:tentative="1">
      <w:start w:val="1"/>
      <w:numFmt w:val="decimal"/>
      <w:lvlText w:val="%7."/>
      <w:lvlJc w:val="left"/>
      <w:pPr>
        <w:ind w:left="5083" w:hanging="360"/>
      </w:pPr>
    </w:lvl>
    <w:lvl w:ilvl="7" w:tplc="0C090019" w:tentative="1">
      <w:start w:val="1"/>
      <w:numFmt w:val="lowerLetter"/>
      <w:lvlText w:val="%8."/>
      <w:lvlJc w:val="left"/>
      <w:pPr>
        <w:ind w:left="5803" w:hanging="360"/>
      </w:pPr>
    </w:lvl>
    <w:lvl w:ilvl="8" w:tplc="0C0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5" w15:restartNumberingAfterBreak="0">
    <w:nsid w:val="1CC862E1"/>
    <w:multiLevelType w:val="multilevel"/>
    <w:tmpl w:val="C284D0B0"/>
    <w:styleLink w:val="FigureNumbers"/>
    <w:lvl w:ilvl="0">
      <w:start w:val="1"/>
      <w:numFmt w:val="decimal"/>
      <w:pStyle w:val="FigureTitle"/>
      <w:lvlText w:val="Figure %1."/>
      <w:lvlJc w:val="left"/>
      <w:pPr>
        <w:ind w:left="1134" w:hanging="1134"/>
      </w:pPr>
      <w:rPr>
        <w:rFonts w:hint="default"/>
        <w:b/>
        <w:i w:val="0"/>
        <w:caps w:val="0"/>
        <w:color w:val="5B9BD5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0336ADE"/>
    <w:multiLevelType w:val="multilevel"/>
    <w:tmpl w:val="131EEC6C"/>
    <w:styleLink w:val="TableNumbers"/>
    <w:lvl w:ilvl="0">
      <w:start w:val="1"/>
      <w:numFmt w:val="decimal"/>
      <w:pStyle w:val="TableTitle"/>
      <w:lvlText w:val="Table %1."/>
      <w:lvlJc w:val="left"/>
      <w:pPr>
        <w:ind w:left="1134" w:hanging="1134"/>
      </w:pPr>
      <w:rPr>
        <w:rFonts w:hint="default"/>
        <w:b/>
        <w:i w:val="0"/>
        <w:caps w:val="0"/>
        <w:color w:val="5B9BD5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76A38C9"/>
    <w:multiLevelType w:val="hybridMultilevel"/>
    <w:tmpl w:val="6D2455A2"/>
    <w:lvl w:ilvl="0" w:tplc="A90EFF1A">
      <w:start w:val="1"/>
      <w:numFmt w:val="decimal"/>
      <w:pStyle w:val="noteslist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7B5000"/>
    <w:multiLevelType w:val="hybridMultilevel"/>
    <w:tmpl w:val="B060E006"/>
    <w:lvl w:ilvl="0" w:tplc="E7F690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85E41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18E92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B723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3DCA1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FB063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DF2FC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87426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A54B5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2D7B7BF2"/>
    <w:multiLevelType w:val="hybridMultilevel"/>
    <w:tmpl w:val="E78C8E5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9C8104">
      <w:numFmt w:val="bullet"/>
      <w:lvlText w:val=""/>
      <w:lvlJc w:val="left"/>
      <w:pPr>
        <w:ind w:left="1080" w:hanging="360"/>
      </w:pPr>
      <w:rPr>
        <w:rFonts w:ascii="Wingdings" w:eastAsia="Times New Roman" w:hAnsi="Wingdings" w:cs="Calibri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415180"/>
    <w:multiLevelType w:val="hybridMultilevel"/>
    <w:tmpl w:val="4E8EEBCA"/>
    <w:lvl w:ilvl="0" w:tplc="390A8100">
      <w:start w:val="1"/>
      <w:numFmt w:val="lowerRoman"/>
      <w:pStyle w:val="Bullet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96E59"/>
    <w:multiLevelType w:val="multilevel"/>
    <w:tmpl w:val="FE688822"/>
    <w:styleLink w:val="BoxedBullets"/>
    <w:lvl w:ilvl="0">
      <w:start w:val="1"/>
      <w:numFmt w:val="bullet"/>
      <w:pStyle w:val="Boxed1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ed2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–"/>
      <w:lvlJc w:val="left"/>
      <w:pPr>
        <w:ind w:left="624" w:hanging="340"/>
      </w:pPr>
      <w:rPr>
        <w:rFonts w:ascii="Arial" w:hAnsi="Arial" w:hint="default"/>
        <w:color w:val="44546A" w:themeColor="text2"/>
      </w:rPr>
    </w:lvl>
    <w:lvl w:ilvl="3">
      <w:start w:val="1"/>
      <w:numFmt w:val="bullet"/>
      <w:lvlText w:val="»"/>
      <w:lvlJc w:val="left"/>
      <w:pPr>
        <w:ind w:left="794" w:hanging="510"/>
      </w:pPr>
      <w:rPr>
        <w:rFonts w:ascii="Arial" w:hAnsi="Arial" w:hint="default"/>
        <w:color w:val="44546A" w:themeColor="text2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12" w15:restartNumberingAfterBreak="0">
    <w:nsid w:val="430A2AA5"/>
    <w:multiLevelType w:val="multilevel"/>
    <w:tmpl w:val="17C2F16A"/>
    <w:lvl w:ilvl="0">
      <w:start w:val="1"/>
      <w:numFmt w:val="decimal"/>
      <w:pStyle w:val="Schedule1PACT"/>
      <w:lvlText w:val="Schedule %1."/>
      <w:lvlJc w:val="left"/>
      <w:pPr>
        <w:ind w:left="6380" w:hanging="2835"/>
      </w:pPr>
      <w:rPr>
        <w:rFonts w:hint="default"/>
      </w:rPr>
    </w:lvl>
    <w:lvl w:ilvl="1">
      <w:start w:val="1"/>
      <w:numFmt w:val="decimal"/>
      <w:pStyle w:val="1-PACT"/>
      <w:lvlText w:val="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pStyle w:val="11-PACT"/>
      <w:lvlText w:val="%2.%3."/>
      <w:lvlJc w:val="left"/>
      <w:pPr>
        <w:ind w:left="1134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482D8C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111-PACT"/>
      <w:lvlText w:val="%2.%3.%4."/>
      <w:lvlJc w:val="left"/>
      <w:pPr>
        <w:ind w:left="1134" w:hanging="1134"/>
      </w:pPr>
      <w:rPr>
        <w:rFonts w:hint="default"/>
        <w:b w:val="0"/>
        <w:bCs/>
        <w:color w:val="auto"/>
        <w:sz w:val="22"/>
        <w:szCs w:val="22"/>
      </w:rPr>
    </w:lvl>
    <w:lvl w:ilvl="4">
      <w:start w:val="1"/>
      <w:numFmt w:val="lowerLetter"/>
      <w:pStyle w:val="a-PACT"/>
      <w:lvlText w:val="(%5)"/>
      <w:lvlJc w:val="left"/>
      <w:pPr>
        <w:ind w:left="1701" w:hanging="567"/>
      </w:pPr>
      <w:rPr>
        <w:rFonts w:hint="default"/>
      </w:rPr>
    </w:lvl>
    <w:lvl w:ilvl="5">
      <w:start w:val="1"/>
      <w:numFmt w:val="lowerRoman"/>
      <w:pStyle w:val="i-PACT"/>
      <w:lvlText w:val="%6."/>
      <w:lvlJc w:val="left"/>
      <w:pPr>
        <w:ind w:left="2268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2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9" w:hanging="567"/>
      </w:pPr>
      <w:rPr>
        <w:rFonts w:hint="default"/>
      </w:rPr>
    </w:lvl>
  </w:abstractNum>
  <w:abstractNum w:abstractNumId="13" w15:restartNumberingAfterBreak="0">
    <w:nsid w:val="465A212B"/>
    <w:multiLevelType w:val="hybridMultilevel"/>
    <w:tmpl w:val="D924B6FE"/>
    <w:lvl w:ilvl="0" w:tplc="CEAE7970">
      <w:numFmt w:val="bullet"/>
      <w:pStyle w:val="bullet30"/>
      <w:lvlText w:val="-"/>
      <w:lvlJc w:val="left"/>
      <w:pPr>
        <w:ind w:left="1077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A2C4FC2"/>
    <w:multiLevelType w:val="hybridMultilevel"/>
    <w:tmpl w:val="F5AEA3CC"/>
    <w:lvl w:ilvl="0" w:tplc="44CE0BD4">
      <w:start w:val="1"/>
      <w:numFmt w:val="lowerLetter"/>
      <w:pStyle w:val="bulletalpha"/>
      <w:lvlText w:val="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9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9001B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9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9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F57090B"/>
    <w:multiLevelType w:val="hybridMultilevel"/>
    <w:tmpl w:val="2D2E99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517343"/>
    <w:multiLevelType w:val="multilevel"/>
    <w:tmpl w:val="131EEC6C"/>
    <w:numStyleLink w:val="TableNumbers"/>
  </w:abstractNum>
  <w:abstractNum w:abstractNumId="17" w15:restartNumberingAfterBreak="0">
    <w:nsid w:val="50E12008"/>
    <w:multiLevelType w:val="multilevel"/>
    <w:tmpl w:val="57D26A18"/>
    <w:numStyleLink w:val="KCBullets"/>
  </w:abstractNum>
  <w:abstractNum w:abstractNumId="18" w15:restartNumberingAfterBreak="0">
    <w:nsid w:val="531A54FB"/>
    <w:multiLevelType w:val="hybridMultilevel"/>
    <w:tmpl w:val="5E6CDF62"/>
    <w:lvl w:ilvl="0" w:tplc="67664A72">
      <w:start w:val="1"/>
      <w:numFmt w:val="decimal"/>
      <w:pStyle w:val="bulletnumbers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202E6D"/>
    <w:multiLevelType w:val="hybridMultilevel"/>
    <w:tmpl w:val="D3A4D7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5249AF"/>
    <w:multiLevelType w:val="multilevel"/>
    <w:tmpl w:val="402E7EF2"/>
    <w:styleLink w:val="AppendixNumbers"/>
    <w:lvl w:ilvl="0">
      <w:start w:val="1"/>
      <w:numFmt w:val="upperLetter"/>
      <w:pStyle w:val="AppendixNumbered"/>
      <w:lvlText w:val="Appendix %1 –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5563048B"/>
    <w:multiLevelType w:val="multilevel"/>
    <w:tmpl w:val="C284D0B0"/>
    <w:numStyleLink w:val="FigureNumbers"/>
  </w:abstractNum>
  <w:abstractNum w:abstractNumId="22" w15:restartNumberingAfterBreak="0">
    <w:nsid w:val="5A4C59AD"/>
    <w:multiLevelType w:val="hybridMultilevel"/>
    <w:tmpl w:val="0C36CA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024435"/>
    <w:multiLevelType w:val="multilevel"/>
    <w:tmpl w:val="D354F8D6"/>
    <w:styleLink w:val="Definitions"/>
    <w:lvl w:ilvl="0">
      <w:numFmt w:val="none"/>
      <w:pStyle w:val="Definition"/>
      <w:suff w:val="nothing"/>
      <w:lvlText w:val=""/>
      <w:lvlJc w:val="left"/>
      <w:pPr>
        <w:ind w:left="964" w:firstLine="0"/>
      </w:pPr>
      <w:rPr>
        <w:rFonts w:ascii="Times New Roman" w:hAnsi="Times New Roman" w:hint="default"/>
        <w:b w:val="0"/>
        <w:i w:val="0"/>
        <w:caps w:val="0"/>
        <w:sz w:val="22"/>
        <w:szCs w:val="22"/>
        <w:u w:val="none"/>
      </w:rPr>
    </w:lvl>
    <w:lvl w:ilvl="1">
      <w:start w:val="1"/>
      <w:numFmt w:val="lowerLetter"/>
      <w:pStyle w:val="DefinitionNum2"/>
      <w:lvlText w:val="(%2)"/>
      <w:lvlJc w:val="left"/>
      <w:pPr>
        <w:tabs>
          <w:tab w:val="num" w:pos="1928"/>
        </w:tabs>
        <w:ind w:left="1928" w:hanging="964"/>
      </w:pPr>
      <w:rPr>
        <w:rFonts w:ascii="Arial" w:hAnsi="Arial" w:hint="default"/>
        <w:b w:val="0"/>
        <w:i w:val="0"/>
        <w:sz w:val="20"/>
        <w:szCs w:val="22"/>
        <w:u w:val="none"/>
      </w:rPr>
    </w:lvl>
    <w:lvl w:ilvl="2">
      <w:start w:val="1"/>
      <w:numFmt w:val="lowerRoman"/>
      <w:pStyle w:val="DefinitionNum3"/>
      <w:lvlText w:val="(%3)"/>
      <w:lvlJc w:val="left"/>
      <w:pPr>
        <w:tabs>
          <w:tab w:val="num" w:pos="2892"/>
        </w:tabs>
        <w:ind w:left="2892" w:hanging="964"/>
      </w:pPr>
      <w:rPr>
        <w:rFonts w:ascii="Arial" w:hAnsi="Arial" w:hint="default"/>
        <w:b w:val="0"/>
        <w:i w:val="0"/>
        <w:sz w:val="20"/>
        <w:u w:val="none"/>
      </w:rPr>
    </w:lvl>
    <w:lvl w:ilvl="3">
      <w:start w:val="1"/>
      <w:numFmt w:val="upperLetter"/>
      <w:pStyle w:val="DefinitionNum4"/>
      <w:lvlText w:val="%4."/>
      <w:lvlJc w:val="left"/>
      <w:pPr>
        <w:tabs>
          <w:tab w:val="num" w:pos="3856"/>
        </w:tabs>
        <w:ind w:left="3856" w:hanging="964"/>
      </w:pPr>
      <w:rPr>
        <w:rFonts w:ascii="Arial" w:hAnsi="Arial" w:hint="default"/>
        <w:sz w:val="20"/>
        <w:u w:val="none"/>
      </w:rPr>
    </w:lvl>
    <w:lvl w:ilvl="4">
      <w:start w:val="1"/>
      <w:numFmt w:val="none"/>
      <w:lvlText w:val="%5"/>
      <w:lvlJc w:val="left"/>
      <w:pPr>
        <w:tabs>
          <w:tab w:val="num" w:pos="3856"/>
        </w:tabs>
        <w:ind w:left="3856" w:hanging="964"/>
      </w:pPr>
      <w:rPr>
        <w:rFonts w:hint="default"/>
        <w:b w:val="0"/>
        <w:i w:val="0"/>
        <w:u w:val="none"/>
      </w:rPr>
    </w:lvl>
    <w:lvl w:ilvl="5">
      <w:start w:val="1"/>
      <w:numFmt w:val="none"/>
      <w:lvlText w:val="%6"/>
      <w:lvlJc w:val="left"/>
      <w:pPr>
        <w:tabs>
          <w:tab w:val="num" w:pos="4820"/>
        </w:tabs>
        <w:ind w:left="4820" w:hanging="964"/>
      </w:pPr>
      <w:rPr>
        <w:rFonts w:hint="default"/>
        <w:b w:val="0"/>
        <w:i w:val="0"/>
        <w:u w:val="none"/>
      </w:rPr>
    </w:lvl>
    <w:lvl w:ilvl="6">
      <w:start w:val="1"/>
      <w:numFmt w:val="none"/>
      <w:lvlText w:val="%7"/>
      <w:lvlJc w:val="left"/>
      <w:pPr>
        <w:tabs>
          <w:tab w:val="num" w:pos="5783"/>
        </w:tabs>
        <w:ind w:left="5783" w:hanging="963"/>
      </w:pPr>
      <w:rPr>
        <w:rFonts w:hint="default"/>
        <w:b w:val="0"/>
        <w:i w:val="0"/>
        <w:u w:val="none"/>
      </w:rPr>
    </w:lvl>
    <w:lvl w:ilvl="7">
      <w:start w:val="1"/>
      <w:numFmt w:val="none"/>
      <w:lvlText w:val="%8"/>
      <w:lvlJc w:val="left"/>
      <w:pPr>
        <w:tabs>
          <w:tab w:val="num" w:pos="6747"/>
        </w:tabs>
        <w:ind w:left="6747" w:hanging="964"/>
      </w:pPr>
      <w:rPr>
        <w:rFonts w:hint="default"/>
        <w:b w:val="0"/>
        <w:i w:val="0"/>
        <w:u w:val="none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0334D52"/>
    <w:multiLevelType w:val="hybridMultilevel"/>
    <w:tmpl w:val="715C332C"/>
    <w:lvl w:ilvl="0" w:tplc="0C09001B">
      <w:start w:val="1"/>
      <w:numFmt w:val="lowerRoman"/>
      <w:lvlText w:val="%1."/>
      <w:lvlJc w:val="righ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114917"/>
    <w:multiLevelType w:val="hybridMultilevel"/>
    <w:tmpl w:val="7D38524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607433"/>
    <w:multiLevelType w:val="hybridMultilevel"/>
    <w:tmpl w:val="DAEC419C"/>
    <w:lvl w:ilvl="0" w:tplc="4D784E72">
      <w:start w:val="1"/>
      <w:numFmt w:val="bullet"/>
      <w:pStyle w:val="bullet10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C09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9001B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9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9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001234B"/>
    <w:multiLevelType w:val="hybridMultilevel"/>
    <w:tmpl w:val="747634E6"/>
    <w:lvl w:ilvl="0" w:tplc="A1C48D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FD21D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C3442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DC404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6BA4C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23E69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15E54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0883B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B84D9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8" w15:restartNumberingAfterBreak="0">
    <w:nsid w:val="752B4A17"/>
    <w:multiLevelType w:val="multilevel"/>
    <w:tmpl w:val="D354F8D6"/>
    <w:numStyleLink w:val="Definitions"/>
  </w:abstractNum>
  <w:abstractNum w:abstractNumId="29" w15:restartNumberingAfterBreak="0">
    <w:nsid w:val="7D9C1199"/>
    <w:multiLevelType w:val="multilevel"/>
    <w:tmpl w:val="903E40C8"/>
    <w:lvl w:ilvl="0">
      <w:start w:val="1"/>
      <w:numFmt w:val="bullet"/>
      <w:pStyle w:val="bullet20"/>
      <w:lvlText w:val="o"/>
      <w:lvlJc w:val="left"/>
      <w:pPr>
        <w:ind w:left="717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22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734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244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754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64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774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84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794" w:hanging="357"/>
      </w:pPr>
      <w:rPr>
        <w:rFonts w:ascii="Wingdings" w:hAnsi="Wingdings" w:hint="default"/>
      </w:rPr>
    </w:lvl>
  </w:abstractNum>
  <w:num w:numId="1" w16cid:durableId="978456920">
    <w:abstractNumId w:val="7"/>
  </w:num>
  <w:num w:numId="2" w16cid:durableId="1211652056">
    <w:abstractNumId w:val="13"/>
  </w:num>
  <w:num w:numId="3" w16cid:durableId="102311786">
    <w:abstractNumId w:val="26"/>
  </w:num>
  <w:num w:numId="4" w16cid:durableId="1832721879">
    <w:abstractNumId w:val="29"/>
  </w:num>
  <w:num w:numId="5" w16cid:durableId="1890143904">
    <w:abstractNumId w:val="3"/>
  </w:num>
  <w:num w:numId="6" w16cid:durableId="1878737586">
    <w:abstractNumId w:val="17"/>
  </w:num>
  <w:num w:numId="7" w16cid:durableId="1672029324">
    <w:abstractNumId w:val="14"/>
  </w:num>
  <w:num w:numId="8" w16cid:durableId="1352029858">
    <w:abstractNumId w:val="10"/>
  </w:num>
  <w:num w:numId="9" w16cid:durableId="2099597744">
    <w:abstractNumId w:val="11"/>
  </w:num>
  <w:num w:numId="10" w16cid:durableId="1960254270">
    <w:abstractNumId w:val="5"/>
  </w:num>
  <w:num w:numId="11" w16cid:durableId="377828196">
    <w:abstractNumId w:val="21"/>
  </w:num>
  <w:num w:numId="12" w16cid:durableId="1600135428">
    <w:abstractNumId w:val="20"/>
  </w:num>
  <w:num w:numId="13" w16cid:durableId="852493920">
    <w:abstractNumId w:val="6"/>
  </w:num>
  <w:num w:numId="14" w16cid:durableId="1387071351">
    <w:abstractNumId w:val="16"/>
    <w:lvlOverride w:ilvl="0">
      <w:lvl w:ilvl="0">
        <w:start w:val="1"/>
        <w:numFmt w:val="decimal"/>
        <w:pStyle w:val="TableTitle"/>
        <w:lvlText w:val="Table %1."/>
        <w:lvlJc w:val="left"/>
        <w:pPr>
          <w:ind w:left="1134" w:hanging="1134"/>
        </w:pPr>
        <w:rPr>
          <w:rFonts w:hint="default"/>
          <w:b/>
          <w:i w:val="0"/>
          <w:caps w:val="0"/>
          <w:color w:val="5B9BD5" w:themeColor="accent1"/>
        </w:rPr>
      </w:lvl>
    </w:lvlOverride>
  </w:num>
  <w:num w:numId="15" w16cid:durableId="609316227">
    <w:abstractNumId w:val="0"/>
  </w:num>
  <w:num w:numId="16" w16cid:durableId="932738524">
    <w:abstractNumId w:val="18"/>
  </w:num>
  <w:num w:numId="17" w16cid:durableId="482621265">
    <w:abstractNumId w:val="2"/>
  </w:num>
  <w:num w:numId="18" w16cid:durableId="266500432">
    <w:abstractNumId w:val="12"/>
  </w:num>
  <w:num w:numId="19" w16cid:durableId="1654019942">
    <w:abstractNumId w:val="19"/>
  </w:num>
  <w:num w:numId="20" w16cid:durableId="1720543849">
    <w:abstractNumId w:val="9"/>
  </w:num>
  <w:num w:numId="21" w16cid:durableId="1335499516">
    <w:abstractNumId w:val="25"/>
  </w:num>
  <w:num w:numId="22" w16cid:durableId="942690632">
    <w:abstractNumId w:val="1"/>
  </w:num>
  <w:num w:numId="23" w16cid:durableId="421804086">
    <w:abstractNumId w:val="24"/>
  </w:num>
  <w:num w:numId="24" w16cid:durableId="317466558">
    <w:abstractNumId w:val="23"/>
  </w:num>
  <w:num w:numId="25" w16cid:durableId="1706327636">
    <w:abstractNumId w:val="28"/>
  </w:num>
  <w:num w:numId="26" w16cid:durableId="1937708277">
    <w:abstractNumId w:val="8"/>
  </w:num>
  <w:num w:numId="27" w16cid:durableId="1424107634">
    <w:abstractNumId w:val="27"/>
  </w:num>
  <w:num w:numId="28" w16cid:durableId="326521968">
    <w:abstractNumId w:val="4"/>
  </w:num>
  <w:num w:numId="29" w16cid:durableId="2101749966">
    <w:abstractNumId w:val="22"/>
  </w:num>
  <w:num w:numId="30" w16cid:durableId="1460684185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694"/>
    <w:rsid w:val="00002500"/>
    <w:rsid w:val="000029AD"/>
    <w:rsid w:val="00002A83"/>
    <w:rsid w:val="00002AF7"/>
    <w:rsid w:val="00002E80"/>
    <w:rsid w:val="00006CA0"/>
    <w:rsid w:val="0001033F"/>
    <w:rsid w:val="00011180"/>
    <w:rsid w:val="000148A1"/>
    <w:rsid w:val="0001630E"/>
    <w:rsid w:val="00016383"/>
    <w:rsid w:val="000166E2"/>
    <w:rsid w:val="00021050"/>
    <w:rsid w:val="00024DB8"/>
    <w:rsid w:val="00030F0F"/>
    <w:rsid w:val="00033095"/>
    <w:rsid w:val="00033B8B"/>
    <w:rsid w:val="00034451"/>
    <w:rsid w:val="00036D53"/>
    <w:rsid w:val="000409CC"/>
    <w:rsid w:val="00041229"/>
    <w:rsid w:val="00042315"/>
    <w:rsid w:val="000459F7"/>
    <w:rsid w:val="000468A5"/>
    <w:rsid w:val="00046C7E"/>
    <w:rsid w:val="00047A2F"/>
    <w:rsid w:val="00050DFF"/>
    <w:rsid w:val="0005202D"/>
    <w:rsid w:val="00052CE2"/>
    <w:rsid w:val="0005427C"/>
    <w:rsid w:val="000569CB"/>
    <w:rsid w:val="00057C74"/>
    <w:rsid w:val="00060883"/>
    <w:rsid w:val="00061209"/>
    <w:rsid w:val="00061A32"/>
    <w:rsid w:val="00061CB7"/>
    <w:rsid w:val="00062FC3"/>
    <w:rsid w:val="00063F53"/>
    <w:rsid w:val="00065DD0"/>
    <w:rsid w:val="00066425"/>
    <w:rsid w:val="00067AB9"/>
    <w:rsid w:val="00067E09"/>
    <w:rsid w:val="00067E3F"/>
    <w:rsid w:val="00067F06"/>
    <w:rsid w:val="00070C45"/>
    <w:rsid w:val="00070CF6"/>
    <w:rsid w:val="00076B01"/>
    <w:rsid w:val="000772E8"/>
    <w:rsid w:val="00080404"/>
    <w:rsid w:val="00080696"/>
    <w:rsid w:val="00080A08"/>
    <w:rsid w:val="000815FE"/>
    <w:rsid w:val="00081FE1"/>
    <w:rsid w:val="00082DD5"/>
    <w:rsid w:val="0009031C"/>
    <w:rsid w:val="00092C57"/>
    <w:rsid w:val="00093948"/>
    <w:rsid w:val="000945FC"/>
    <w:rsid w:val="000977F2"/>
    <w:rsid w:val="000A0A11"/>
    <w:rsid w:val="000A1179"/>
    <w:rsid w:val="000A2753"/>
    <w:rsid w:val="000A30CD"/>
    <w:rsid w:val="000A31F3"/>
    <w:rsid w:val="000A5241"/>
    <w:rsid w:val="000A54BE"/>
    <w:rsid w:val="000A5858"/>
    <w:rsid w:val="000A6E31"/>
    <w:rsid w:val="000A6F7E"/>
    <w:rsid w:val="000A70D5"/>
    <w:rsid w:val="000B192F"/>
    <w:rsid w:val="000B19F3"/>
    <w:rsid w:val="000B357A"/>
    <w:rsid w:val="000B3CFA"/>
    <w:rsid w:val="000B416C"/>
    <w:rsid w:val="000B5A89"/>
    <w:rsid w:val="000C124F"/>
    <w:rsid w:val="000D0182"/>
    <w:rsid w:val="000D0C19"/>
    <w:rsid w:val="000D2AF9"/>
    <w:rsid w:val="000D3642"/>
    <w:rsid w:val="000D3DE7"/>
    <w:rsid w:val="000D473E"/>
    <w:rsid w:val="000D5635"/>
    <w:rsid w:val="000D64AA"/>
    <w:rsid w:val="000D6A77"/>
    <w:rsid w:val="000D7B2A"/>
    <w:rsid w:val="000E01B8"/>
    <w:rsid w:val="000E11E7"/>
    <w:rsid w:val="000E35A9"/>
    <w:rsid w:val="000F1369"/>
    <w:rsid w:val="000F1C6A"/>
    <w:rsid w:val="000F4750"/>
    <w:rsid w:val="000F489D"/>
    <w:rsid w:val="000F7076"/>
    <w:rsid w:val="001009D1"/>
    <w:rsid w:val="001031BC"/>
    <w:rsid w:val="00103C68"/>
    <w:rsid w:val="00105D07"/>
    <w:rsid w:val="00106229"/>
    <w:rsid w:val="0010655A"/>
    <w:rsid w:val="0010716F"/>
    <w:rsid w:val="0011082B"/>
    <w:rsid w:val="00111D1F"/>
    <w:rsid w:val="00113337"/>
    <w:rsid w:val="001135C6"/>
    <w:rsid w:val="00114209"/>
    <w:rsid w:val="00116A4B"/>
    <w:rsid w:val="001202BC"/>
    <w:rsid w:val="00120DB6"/>
    <w:rsid w:val="00122B4D"/>
    <w:rsid w:val="0012395C"/>
    <w:rsid w:val="00125E59"/>
    <w:rsid w:val="001269C6"/>
    <w:rsid w:val="00126A84"/>
    <w:rsid w:val="001274ED"/>
    <w:rsid w:val="00134AAD"/>
    <w:rsid w:val="0013679C"/>
    <w:rsid w:val="001368FB"/>
    <w:rsid w:val="00137F41"/>
    <w:rsid w:val="00140E63"/>
    <w:rsid w:val="001411B2"/>
    <w:rsid w:val="001456B1"/>
    <w:rsid w:val="00146D8C"/>
    <w:rsid w:val="00147183"/>
    <w:rsid w:val="00147648"/>
    <w:rsid w:val="00147A4B"/>
    <w:rsid w:val="001509FD"/>
    <w:rsid w:val="00156035"/>
    <w:rsid w:val="001560CF"/>
    <w:rsid w:val="001574D6"/>
    <w:rsid w:val="00157822"/>
    <w:rsid w:val="001578CE"/>
    <w:rsid w:val="00161807"/>
    <w:rsid w:val="001628EB"/>
    <w:rsid w:val="00163654"/>
    <w:rsid w:val="001659C3"/>
    <w:rsid w:val="00165D31"/>
    <w:rsid w:val="001723F7"/>
    <w:rsid w:val="00180BBB"/>
    <w:rsid w:val="00182264"/>
    <w:rsid w:val="00182F29"/>
    <w:rsid w:val="00183FC6"/>
    <w:rsid w:val="00185CCE"/>
    <w:rsid w:val="00186490"/>
    <w:rsid w:val="001868B5"/>
    <w:rsid w:val="001901D9"/>
    <w:rsid w:val="0019032A"/>
    <w:rsid w:val="00190528"/>
    <w:rsid w:val="0019344F"/>
    <w:rsid w:val="001940DF"/>
    <w:rsid w:val="00196157"/>
    <w:rsid w:val="001A2D22"/>
    <w:rsid w:val="001A41EA"/>
    <w:rsid w:val="001A6487"/>
    <w:rsid w:val="001A7172"/>
    <w:rsid w:val="001A7D21"/>
    <w:rsid w:val="001B4BAE"/>
    <w:rsid w:val="001B5152"/>
    <w:rsid w:val="001B5B9D"/>
    <w:rsid w:val="001B6775"/>
    <w:rsid w:val="001B6B20"/>
    <w:rsid w:val="001C693A"/>
    <w:rsid w:val="001D0003"/>
    <w:rsid w:val="001D03E6"/>
    <w:rsid w:val="001D47FB"/>
    <w:rsid w:val="001D48BC"/>
    <w:rsid w:val="001D7180"/>
    <w:rsid w:val="001E00FC"/>
    <w:rsid w:val="001E08BD"/>
    <w:rsid w:val="001E0980"/>
    <w:rsid w:val="001E0C4D"/>
    <w:rsid w:val="001E0F16"/>
    <w:rsid w:val="001E174B"/>
    <w:rsid w:val="001E1A48"/>
    <w:rsid w:val="001E2685"/>
    <w:rsid w:val="001E36DA"/>
    <w:rsid w:val="001E6D0F"/>
    <w:rsid w:val="001F14CD"/>
    <w:rsid w:val="001F16F1"/>
    <w:rsid w:val="001F1BA5"/>
    <w:rsid w:val="001F3793"/>
    <w:rsid w:val="001F39C8"/>
    <w:rsid w:val="001F5368"/>
    <w:rsid w:val="001F5A1E"/>
    <w:rsid w:val="001F6C68"/>
    <w:rsid w:val="00200493"/>
    <w:rsid w:val="002014DC"/>
    <w:rsid w:val="00204624"/>
    <w:rsid w:val="00204D74"/>
    <w:rsid w:val="00206AF0"/>
    <w:rsid w:val="00207295"/>
    <w:rsid w:val="00214621"/>
    <w:rsid w:val="002151D4"/>
    <w:rsid w:val="0021576E"/>
    <w:rsid w:val="00215CF1"/>
    <w:rsid w:val="002220C0"/>
    <w:rsid w:val="00222C35"/>
    <w:rsid w:val="002246A4"/>
    <w:rsid w:val="00225168"/>
    <w:rsid w:val="00225D81"/>
    <w:rsid w:val="00226D92"/>
    <w:rsid w:val="00227DEA"/>
    <w:rsid w:val="002304B8"/>
    <w:rsid w:val="0023133E"/>
    <w:rsid w:val="00232D72"/>
    <w:rsid w:val="00233A57"/>
    <w:rsid w:val="00234AB2"/>
    <w:rsid w:val="00234D39"/>
    <w:rsid w:val="00235141"/>
    <w:rsid w:val="00245538"/>
    <w:rsid w:val="002456B4"/>
    <w:rsid w:val="00246C38"/>
    <w:rsid w:val="00247718"/>
    <w:rsid w:val="0025133E"/>
    <w:rsid w:val="002519BD"/>
    <w:rsid w:val="0025286F"/>
    <w:rsid w:val="00253058"/>
    <w:rsid w:val="00254EE3"/>
    <w:rsid w:val="0025564E"/>
    <w:rsid w:val="00257E4B"/>
    <w:rsid w:val="002609F1"/>
    <w:rsid w:val="002633FE"/>
    <w:rsid w:val="00264497"/>
    <w:rsid w:val="00270210"/>
    <w:rsid w:val="00272E11"/>
    <w:rsid w:val="00273FD1"/>
    <w:rsid w:val="00275A99"/>
    <w:rsid w:val="00277873"/>
    <w:rsid w:val="00277AF5"/>
    <w:rsid w:val="0028052C"/>
    <w:rsid w:val="00284B1E"/>
    <w:rsid w:val="00286F43"/>
    <w:rsid w:val="0028772E"/>
    <w:rsid w:val="002901DC"/>
    <w:rsid w:val="002903A5"/>
    <w:rsid w:val="00290922"/>
    <w:rsid w:val="002913CA"/>
    <w:rsid w:val="00291845"/>
    <w:rsid w:val="0029266C"/>
    <w:rsid w:val="00292832"/>
    <w:rsid w:val="00293413"/>
    <w:rsid w:val="00293440"/>
    <w:rsid w:val="002A03D4"/>
    <w:rsid w:val="002A0931"/>
    <w:rsid w:val="002A3C2D"/>
    <w:rsid w:val="002A47C5"/>
    <w:rsid w:val="002A47F8"/>
    <w:rsid w:val="002B3A89"/>
    <w:rsid w:val="002B4201"/>
    <w:rsid w:val="002B4C04"/>
    <w:rsid w:val="002B6770"/>
    <w:rsid w:val="002C0890"/>
    <w:rsid w:val="002C15DC"/>
    <w:rsid w:val="002C295E"/>
    <w:rsid w:val="002C494E"/>
    <w:rsid w:val="002C4BD6"/>
    <w:rsid w:val="002C693B"/>
    <w:rsid w:val="002C7213"/>
    <w:rsid w:val="002D0C44"/>
    <w:rsid w:val="002D3D10"/>
    <w:rsid w:val="002D4CCA"/>
    <w:rsid w:val="002D6E2E"/>
    <w:rsid w:val="002D741F"/>
    <w:rsid w:val="002D7702"/>
    <w:rsid w:val="002D7E91"/>
    <w:rsid w:val="002E09E0"/>
    <w:rsid w:val="002E15CE"/>
    <w:rsid w:val="002E3A55"/>
    <w:rsid w:val="002E54EC"/>
    <w:rsid w:val="002E5F38"/>
    <w:rsid w:val="002E676A"/>
    <w:rsid w:val="002F14F6"/>
    <w:rsid w:val="002F3215"/>
    <w:rsid w:val="002F4845"/>
    <w:rsid w:val="00300CCC"/>
    <w:rsid w:val="003012E3"/>
    <w:rsid w:val="003035F1"/>
    <w:rsid w:val="003063DE"/>
    <w:rsid w:val="00307891"/>
    <w:rsid w:val="0031024B"/>
    <w:rsid w:val="0031221A"/>
    <w:rsid w:val="00312419"/>
    <w:rsid w:val="0031298B"/>
    <w:rsid w:val="003136B0"/>
    <w:rsid w:val="003144A1"/>
    <w:rsid w:val="00325808"/>
    <w:rsid w:val="0032718E"/>
    <w:rsid w:val="0032719F"/>
    <w:rsid w:val="00327C98"/>
    <w:rsid w:val="003336CC"/>
    <w:rsid w:val="00334042"/>
    <w:rsid w:val="0033488F"/>
    <w:rsid w:val="003355AA"/>
    <w:rsid w:val="0034007F"/>
    <w:rsid w:val="003402D9"/>
    <w:rsid w:val="00340363"/>
    <w:rsid w:val="00340834"/>
    <w:rsid w:val="003418BE"/>
    <w:rsid w:val="0034238F"/>
    <w:rsid w:val="003435A9"/>
    <w:rsid w:val="003435D1"/>
    <w:rsid w:val="003437BA"/>
    <w:rsid w:val="0034384F"/>
    <w:rsid w:val="003462B2"/>
    <w:rsid w:val="0034662C"/>
    <w:rsid w:val="00346EC5"/>
    <w:rsid w:val="00350A19"/>
    <w:rsid w:val="00350BBA"/>
    <w:rsid w:val="003512DE"/>
    <w:rsid w:val="003541DC"/>
    <w:rsid w:val="003548AB"/>
    <w:rsid w:val="0035658C"/>
    <w:rsid w:val="0035797D"/>
    <w:rsid w:val="00360481"/>
    <w:rsid w:val="003605CD"/>
    <w:rsid w:val="00362D1B"/>
    <w:rsid w:val="003633D4"/>
    <w:rsid w:val="00365604"/>
    <w:rsid w:val="003665A7"/>
    <w:rsid w:val="00367306"/>
    <w:rsid w:val="003677B1"/>
    <w:rsid w:val="00370197"/>
    <w:rsid w:val="00371114"/>
    <w:rsid w:val="00371DB7"/>
    <w:rsid w:val="00373693"/>
    <w:rsid w:val="00376982"/>
    <w:rsid w:val="003802E5"/>
    <w:rsid w:val="00382CED"/>
    <w:rsid w:val="00386324"/>
    <w:rsid w:val="00387E27"/>
    <w:rsid w:val="0039075C"/>
    <w:rsid w:val="003908E5"/>
    <w:rsid w:val="00391887"/>
    <w:rsid w:val="00396F98"/>
    <w:rsid w:val="003A12EE"/>
    <w:rsid w:val="003A148A"/>
    <w:rsid w:val="003A1497"/>
    <w:rsid w:val="003A16E4"/>
    <w:rsid w:val="003A2050"/>
    <w:rsid w:val="003A4765"/>
    <w:rsid w:val="003A5449"/>
    <w:rsid w:val="003A5E33"/>
    <w:rsid w:val="003A6FB9"/>
    <w:rsid w:val="003A74DD"/>
    <w:rsid w:val="003B2B1D"/>
    <w:rsid w:val="003B4079"/>
    <w:rsid w:val="003B42E5"/>
    <w:rsid w:val="003B7CE2"/>
    <w:rsid w:val="003C0B38"/>
    <w:rsid w:val="003C189A"/>
    <w:rsid w:val="003C2BC2"/>
    <w:rsid w:val="003C3BAF"/>
    <w:rsid w:val="003C3D01"/>
    <w:rsid w:val="003C4D86"/>
    <w:rsid w:val="003C5CA1"/>
    <w:rsid w:val="003D22DE"/>
    <w:rsid w:val="003D4137"/>
    <w:rsid w:val="003D6B00"/>
    <w:rsid w:val="003E232D"/>
    <w:rsid w:val="003E42E0"/>
    <w:rsid w:val="003E447D"/>
    <w:rsid w:val="003E45DC"/>
    <w:rsid w:val="003E45FA"/>
    <w:rsid w:val="003E4738"/>
    <w:rsid w:val="003E778F"/>
    <w:rsid w:val="003F440B"/>
    <w:rsid w:val="003F5237"/>
    <w:rsid w:val="003F6C33"/>
    <w:rsid w:val="003F7835"/>
    <w:rsid w:val="00401DFD"/>
    <w:rsid w:val="004020B1"/>
    <w:rsid w:val="00402516"/>
    <w:rsid w:val="00402C25"/>
    <w:rsid w:val="0040344D"/>
    <w:rsid w:val="00403623"/>
    <w:rsid w:val="0040414C"/>
    <w:rsid w:val="00405778"/>
    <w:rsid w:val="00406022"/>
    <w:rsid w:val="00406F10"/>
    <w:rsid w:val="0041086B"/>
    <w:rsid w:val="00410DB1"/>
    <w:rsid w:val="00413366"/>
    <w:rsid w:val="00414681"/>
    <w:rsid w:val="00416498"/>
    <w:rsid w:val="00417870"/>
    <w:rsid w:val="00420A2A"/>
    <w:rsid w:val="004212A4"/>
    <w:rsid w:val="0042183C"/>
    <w:rsid w:val="00423CA3"/>
    <w:rsid w:val="00425FF0"/>
    <w:rsid w:val="00426428"/>
    <w:rsid w:val="00426CB7"/>
    <w:rsid w:val="00430784"/>
    <w:rsid w:val="004327B2"/>
    <w:rsid w:val="00433116"/>
    <w:rsid w:val="00435884"/>
    <w:rsid w:val="00435E6A"/>
    <w:rsid w:val="00441160"/>
    <w:rsid w:val="004414C4"/>
    <w:rsid w:val="00441D11"/>
    <w:rsid w:val="00442B9C"/>
    <w:rsid w:val="00443784"/>
    <w:rsid w:val="00444579"/>
    <w:rsid w:val="00444D03"/>
    <w:rsid w:val="004458D6"/>
    <w:rsid w:val="00446638"/>
    <w:rsid w:val="00446659"/>
    <w:rsid w:val="00454420"/>
    <w:rsid w:val="004553EA"/>
    <w:rsid w:val="00456553"/>
    <w:rsid w:val="00456FC5"/>
    <w:rsid w:val="00457A95"/>
    <w:rsid w:val="00460520"/>
    <w:rsid w:val="00462830"/>
    <w:rsid w:val="0046456D"/>
    <w:rsid w:val="00464BBD"/>
    <w:rsid w:val="00464F36"/>
    <w:rsid w:val="004670B2"/>
    <w:rsid w:val="0046797D"/>
    <w:rsid w:val="00470935"/>
    <w:rsid w:val="00470DB3"/>
    <w:rsid w:val="00471E27"/>
    <w:rsid w:val="00473ED1"/>
    <w:rsid w:val="004779EA"/>
    <w:rsid w:val="00480801"/>
    <w:rsid w:val="00481CB2"/>
    <w:rsid w:val="0048305D"/>
    <w:rsid w:val="00483345"/>
    <w:rsid w:val="00483F8D"/>
    <w:rsid w:val="00487B7A"/>
    <w:rsid w:val="00493D80"/>
    <w:rsid w:val="00495309"/>
    <w:rsid w:val="00495C6A"/>
    <w:rsid w:val="004966C9"/>
    <w:rsid w:val="00497F63"/>
    <w:rsid w:val="004A003A"/>
    <w:rsid w:val="004A3997"/>
    <w:rsid w:val="004A4DD8"/>
    <w:rsid w:val="004A5A93"/>
    <w:rsid w:val="004A60EA"/>
    <w:rsid w:val="004A6470"/>
    <w:rsid w:val="004B03AD"/>
    <w:rsid w:val="004B1AA0"/>
    <w:rsid w:val="004B3D43"/>
    <w:rsid w:val="004B44FE"/>
    <w:rsid w:val="004B63D8"/>
    <w:rsid w:val="004B7F23"/>
    <w:rsid w:val="004C00E4"/>
    <w:rsid w:val="004C09A3"/>
    <w:rsid w:val="004C2D1E"/>
    <w:rsid w:val="004C59F7"/>
    <w:rsid w:val="004D6727"/>
    <w:rsid w:val="004D749A"/>
    <w:rsid w:val="004E3BF4"/>
    <w:rsid w:val="004E4B03"/>
    <w:rsid w:val="004E4C25"/>
    <w:rsid w:val="004E4E46"/>
    <w:rsid w:val="004E501E"/>
    <w:rsid w:val="004E5B32"/>
    <w:rsid w:val="004F3F45"/>
    <w:rsid w:val="004F65EA"/>
    <w:rsid w:val="004F7352"/>
    <w:rsid w:val="004F745D"/>
    <w:rsid w:val="005008A3"/>
    <w:rsid w:val="00503DB0"/>
    <w:rsid w:val="00510DEA"/>
    <w:rsid w:val="00511720"/>
    <w:rsid w:val="00513CD6"/>
    <w:rsid w:val="00514C3A"/>
    <w:rsid w:val="00515C14"/>
    <w:rsid w:val="00517864"/>
    <w:rsid w:val="005200DF"/>
    <w:rsid w:val="00521F36"/>
    <w:rsid w:val="00522582"/>
    <w:rsid w:val="00525465"/>
    <w:rsid w:val="00527FC7"/>
    <w:rsid w:val="00532629"/>
    <w:rsid w:val="00533061"/>
    <w:rsid w:val="005331E2"/>
    <w:rsid w:val="00534CCC"/>
    <w:rsid w:val="00536956"/>
    <w:rsid w:val="00537739"/>
    <w:rsid w:val="00541AB8"/>
    <w:rsid w:val="00544D0B"/>
    <w:rsid w:val="005456A2"/>
    <w:rsid w:val="00550867"/>
    <w:rsid w:val="00551EEB"/>
    <w:rsid w:val="0055278D"/>
    <w:rsid w:val="00555ED7"/>
    <w:rsid w:val="005561B3"/>
    <w:rsid w:val="00557502"/>
    <w:rsid w:val="00560296"/>
    <w:rsid w:val="00561662"/>
    <w:rsid w:val="00564033"/>
    <w:rsid w:val="00564C40"/>
    <w:rsid w:val="00565FB4"/>
    <w:rsid w:val="00566404"/>
    <w:rsid w:val="00567695"/>
    <w:rsid w:val="00572530"/>
    <w:rsid w:val="0057457F"/>
    <w:rsid w:val="00577972"/>
    <w:rsid w:val="00577DAA"/>
    <w:rsid w:val="005827BA"/>
    <w:rsid w:val="0058437E"/>
    <w:rsid w:val="0058476B"/>
    <w:rsid w:val="00585165"/>
    <w:rsid w:val="00586F3A"/>
    <w:rsid w:val="00587343"/>
    <w:rsid w:val="00587AA0"/>
    <w:rsid w:val="00587E63"/>
    <w:rsid w:val="00590613"/>
    <w:rsid w:val="005908CE"/>
    <w:rsid w:val="00590F62"/>
    <w:rsid w:val="00592657"/>
    <w:rsid w:val="005926DB"/>
    <w:rsid w:val="005929CA"/>
    <w:rsid w:val="0059346C"/>
    <w:rsid w:val="00593F35"/>
    <w:rsid w:val="00594D51"/>
    <w:rsid w:val="00594DEA"/>
    <w:rsid w:val="005951BD"/>
    <w:rsid w:val="0059569D"/>
    <w:rsid w:val="005970FF"/>
    <w:rsid w:val="005A2190"/>
    <w:rsid w:val="005A3CFF"/>
    <w:rsid w:val="005A4883"/>
    <w:rsid w:val="005A4F2B"/>
    <w:rsid w:val="005A5C9B"/>
    <w:rsid w:val="005A771A"/>
    <w:rsid w:val="005B1F3C"/>
    <w:rsid w:val="005B395E"/>
    <w:rsid w:val="005B4B03"/>
    <w:rsid w:val="005B6770"/>
    <w:rsid w:val="005B6FCE"/>
    <w:rsid w:val="005C15B9"/>
    <w:rsid w:val="005D23F2"/>
    <w:rsid w:val="005D314B"/>
    <w:rsid w:val="005D37BD"/>
    <w:rsid w:val="005D3F6F"/>
    <w:rsid w:val="005D5A3F"/>
    <w:rsid w:val="005D5ABB"/>
    <w:rsid w:val="005D71BC"/>
    <w:rsid w:val="005E1406"/>
    <w:rsid w:val="005E238A"/>
    <w:rsid w:val="005E2935"/>
    <w:rsid w:val="005E35C3"/>
    <w:rsid w:val="005E50B8"/>
    <w:rsid w:val="005E6739"/>
    <w:rsid w:val="005E69BD"/>
    <w:rsid w:val="005E786E"/>
    <w:rsid w:val="005F0068"/>
    <w:rsid w:val="005F1EC8"/>
    <w:rsid w:val="005F3615"/>
    <w:rsid w:val="005F70C4"/>
    <w:rsid w:val="0060051C"/>
    <w:rsid w:val="006011DE"/>
    <w:rsid w:val="006017C1"/>
    <w:rsid w:val="00602987"/>
    <w:rsid w:val="0060349C"/>
    <w:rsid w:val="0060386F"/>
    <w:rsid w:val="0060443E"/>
    <w:rsid w:val="00604B4D"/>
    <w:rsid w:val="00606296"/>
    <w:rsid w:val="00606466"/>
    <w:rsid w:val="006073A7"/>
    <w:rsid w:val="00613213"/>
    <w:rsid w:val="00613831"/>
    <w:rsid w:val="0061416F"/>
    <w:rsid w:val="0061514F"/>
    <w:rsid w:val="00615621"/>
    <w:rsid w:val="00621069"/>
    <w:rsid w:val="0062146F"/>
    <w:rsid w:val="0062157D"/>
    <w:rsid w:val="00622558"/>
    <w:rsid w:val="0062637E"/>
    <w:rsid w:val="006325DA"/>
    <w:rsid w:val="00632673"/>
    <w:rsid w:val="00634FEC"/>
    <w:rsid w:val="006358B9"/>
    <w:rsid w:val="006361AE"/>
    <w:rsid w:val="00636408"/>
    <w:rsid w:val="00636612"/>
    <w:rsid w:val="00641C9B"/>
    <w:rsid w:val="00642335"/>
    <w:rsid w:val="006438A7"/>
    <w:rsid w:val="00644CFB"/>
    <w:rsid w:val="00645EB2"/>
    <w:rsid w:val="00647A07"/>
    <w:rsid w:val="006500C1"/>
    <w:rsid w:val="00650CE4"/>
    <w:rsid w:val="00650E29"/>
    <w:rsid w:val="00651A84"/>
    <w:rsid w:val="0065359F"/>
    <w:rsid w:val="00654372"/>
    <w:rsid w:val="00654D09"/>
    <w:rsid w:val="00657B12"/>
    <w:rsid w:val="00661C1E"/>
    <w:rsid w:val="0066390D"/>
    <w:rsid w:val="00663E64"/>
    <w:rsid w:val="00666B9A"/>
    <w:rsid w:val="00667B0C"/>
    <w:rsid w:val="0067060B"/>
    <w:rsid w:val="00670626"/>
    <w:rsid w:val="00670AB7"/>
    <w:rsid w:val="00672D5A"/>
    <w:rsid w:val="006744F8"/>
    <w:rsid w:val="00675B96"/>
    <w:rsid w:val="006810BA"/>
    <w:rsid w:val="00681E6A"/>
    <w:rsid w:val="00684D38"/>
    <w:rsid w:val="00686907"/>
    <w:rsid w:val="00686A04"/>
    <w:rsid w:val="006878DC"/>
    <w:rsid w:val="0069071C"/>
    <w:rsid w:val="00691BCF"/>
    <w:rsid w:val="0069252D"/>
    <w:rsid w:val="00695160"/>
    <w:rsid w:val="00696E88"/>
    <w:rsid w:val="00697374"/>
    <w:rsid w:val="006A00BD"/>
    <w:rsid w:val="006A0434"/>
    <w:rsid w:val="006A1CA9"/>
    <w:rsid w:val="006A6532"/>
    <w:rsid w:val="006A686B"/>
    <w:rsid w:val="006B0716"/>
    <w:rsid w:val="006B0E38"/>
    <w:rsid w:val="006B1124"/>
    <w:rsid w:val="006B276D"/>
    <w:rsid w:val="006B4600"/>
    <w:rsid w:val="006B4D3E"/>
    <w:rsid w:val="006B54AF"/>
    <w:rsid w:val="006B56AA"/>
    <w:rsid w:val="006B731A"/>
    <w:rsid w:val="006C3AC5"/>
    <w:rsid w:val="006C4579"/>
    <w:rsid w:val="006C6D9F"/>
    <w:rsid w:val="006D0A8A"/>
    <w:rsid w:val="006D2061"/>
    <w:rsid w:val="006D5BAF"/>
    <w:rsid w:val="006E167F"/>
    <w:rsid w:val="006E2466"/>
    <w:rsid w:val="006E2503"/>
    <w:rsid w:val="006E7291"/>
    <w:rsid w:val="006F0229"/>
    <w:rsid w:val="006F1080"/>
    <w:rsid w:val="006F2DA6"/>
    <w:rsid w:val="006F49E6"/>
    <w:rsid w:val="006F72F5"/>
    <w:rsid w:val="006F7B65"/>
    <w:rsid w:val="006F7F07"/>
    <w:rsid w:val="006F7F2D"/>
    <w:rsid w:val="00700797"/>
    <w:rsid w:val="00700913"/>
    <w:rsid w:val="0070285A"/>
    <w:rsid w:val="00705236"/>
    <w:rsid w:val="007127C2"/>
    <w:rsid w:val="007136CE"/>
    <w:rsid w:val="007145ED"/>
    <w:rsid w:val="00716175"/>
    <w:rsid w:val="00716CFA"/>
    <w:rsid w:val="00717BB4"/>
    <w:rsid w:val="0072056B"/>
    <w:rsid w:val="0072176C"/>
    <w:rsid w:val="00723F5C"/>
    <w:rsid w:val="007245BD"/>
    <w:rsid w:val="007250EA"/>
    <w:rsid w:val="0072606F"/>
    <w:rsid w:val="00726A29"/>
    <w:rsid w:val="00726D8E"/>
    <w:rsid w:val="00727119"/>
    <w:rsid w:val="007276CB"/>
    <w:rsid w:val="00730294"/>
    <w:rsid w:val="00731BA1"/>
    <w:rsid w:val="00733974"/>
    <w:rsid w:val="00736191"/>
    <w:rsid w:val="007413E4"/>
    <w:rsid w:val="00741AED"/>
    <w:rsid w:val="007428F1"/>
    <w:rsid w:val="0074490C"/>
    <w:rsid w:val="00744D15"/>
    <w:rsid w:val="0074509F"/>
    <w:rsid w:val="00745372"/>
    <w:rsid w:val="0075020F"/>
    <w:rsid w:val="00751C91"/>
    <w:rsid w:val="00756957"/>
    <w:rsid w:val="00757931"/>
    <w:rsid w:val="00760F11"/>
    <w:rsid w:val="0076133C"/>
    <w:rsid w:val="007621B2"/>
    <w:rsid w:val="00765117"/>
    <w:rsid w:val="00765E05"/>
    <w:rsid w:val="007668A8"/>
    <w:rsid w:val="00770344"/>
    <w:rsid w:val="007723F5"/>
    <w:rsid w:val="007728C4"/>
    <w:rsid w:val="00774390"/>
    <w:rsid w:val="007745F0"/>
    <w:rsid w:val="007763D8"/>
    <w:rsid w:val="007770D2"/>
    <w:rsid w:val="007805E2"/>
    <w:rsid w:val="007811EC"/>
    <w:rsid w:val="00781C6C"/>
    <w:rsid w:val="00783657"/>
    <w:rsid w:val="00783E48"/>
    <w:rsid w:val="00784BA2"/>
    <w:rsid w:val="007858CB"/>
    <w:rsid w:val="00785D24"/>
    <w:rsid w:val="00790A05"/>
    <w:rsid w:val="0079173B"/>
    <w:rsid w:val="007927B5"/>
    <w:rsid w:val="00792C68"/>
    <w:rsid w:val="00793117"/>
    <w:rsid w:val="007931DD"/>
    <w:rsid w:val="0079360A"/>
    <w:rsid w:val="00796814"/>
    <w:rsid w:val="0079704B"/>
    <w:rsid w:val="007A1203"/>
    <w:rsid w:val="007A2F11"/>
    <w:rsid w:val="007A346C"/>
    <w:rsid w:val="007A4E21"/>
    <w:rsid w:val="007A554C"/>
    <w:rsid w:val="007A5B83"/>
    <w:rsid w:val="007B0885"/>
    <w:rsid w:val="007B09BD"/>
    <w:rsid w:val="007B4502"/>
    <w:rsid w:val="007B4F7E"/>
    <w:rsid w:val="007B6153"/>
    <w:rsid w:val="007B7F17"/>
    <w:rsid w:val="007C0003"/>
    <w:rsid w:val="007C2128"/>
    <w:rsid w:val="007C31FD"/>
    <w:rsid w:val="007C3CFD"/>
    <w:rsid w:val="007C3FE1"/>
    <w:rsid w:val="007C459C"/>
    <w:rsid w:val="007C65A3"/>
    <w:rsid w:val="007C762F"/>
    <w:rsid w:val="007D0A61"/>
    <w:rsid w:val="007D1067"/>
    <w:rsid w:val="007D1854"/>
    <w:rsid w:val="007D31D0"/>
    <w:rsid w:val="007D37ED"/>
    <w:rsid w:val="007D6B26"/>
    <w:rsid w:val="007D73E8"/>
    <w:rsid w:val="007D7624"/>
    <w:rsid w:val="007E09A7"/>
    <w:rsid w:val="007E0C22"/>
    <w:rsid w:val="007E150A"/>
    <w:rsid w:val="007E1ADF"/>
    <w:rsid w:val="007E1FE6"/>
    <w:rsid w:val="007E2EC3"/>
    <w:rsid w:val="007E5050"/>
    <w:rsid w:val="007E5117"/>
    <w:rsid w:val="007E5150"/>
    <w:rsid w:val="007E7D1A"/>
    <w:rsid w:val="007F0AD5"/>
    <w:rsid w:val="007F4D0A"/>
    <w:rsid w:val="007F5792"/>
    <w:rsid w:val="007F61E2"/>
    <w:rsid w:val="007F78DF"/>
    <w:rsid w:val="008017DD"/>
    <w:rsid w:val="00804089"/>
    <w:rsid w:val="00805FD8"/>
    <w:rsid w:val="008069F5"/>
    <w:rsid w:val="008079C3"/>
    <w:rsid w:val="00807B4A"/>
    <w:rsid w:val="00810AF1"/>
    <w:rsid w:val="00811B03"/>
    <w:rsid w:val="00813D10"/>
    <w:rsid w:val="00814AEE"/>
    <w:rsid w:val="00814D89"/>
    <w:rsid w:val="008150D6"/>
    <w:rsid w:val="00817E65"/>
    <w:rsid w:val="00821870"/>
    <w:rsid w:val="008229F7"/>
    <w:rsid w:val="00823A16"/>
    <w:rsid w:val="00824F4C"/>
    <w:rsid w:val="00825C83"/>
    <w:rsid w:val="0083203F"/>
    <w:rsid w:val="0083243F"/>
    <w:rsid w:val="00832706"/>
    <w:rsid w:val="00832E86"/>
    <w:rsid w:val="00833DF3"/>
    <w:rsid w:val="0083737F"/>
    <w:rsid w:val="00842844"/>
    <w:rsid w:val="00843F49"/>
    <w:rsid w:val="00844A05"/>
    <w:rsid w:val="00846EFE"/>
    <w:rsid w:val="00847CBB"/>
    <w:rsid w:val="00850058"/>
    <w:rsid w:val="00850953"/>
    <w:rsid w:val="00851091"/>
    <w:rsid w:val="00852E60"/>
    <w:rsid w:val="00853876"/>
    <w:rsid w:val="00854DDA"/>
    <w:rsid w:val="00855415"/>
    <w:rsid w:val="008618D2"/>
    <w:rsid w:val="00861978"/>
    <w:rsid w:val="008619E8"/>
    <w:rsid w:val="00861E0D"/>
    <w:rsid w:val="00864104"/>
    <w:rsid w:val="00864883"/>
    <w:rsid w:val="00866AFD"/>
    <w:rsid w:val="00870043"/>
    <w:rsid w:val="00870B8C"/>
    <w:rsid w:val="0087638C"/>
    <w:rsid w:val="0088195F"/>
    <w:rsid w:val="00881C18"/>
    <w:rsid w:val="00881F68"/>
    <w:rsid w:val="00882682"/>
    <w:rsid w:val="00883356"/>
    <w:rsid w:val="008857D7"/>
    <w:rsid w:val="00887730"/>
    <w:rsid w:val="008878D6"/>
    <w:rsid w:val="008958D2"/>
    <w:rsid w:val="00896247"/>
    <w:rsid w:val="008A0404"/>
    <w:rsid w:val="008A251E"/>
    <w:rsid w:val="008A3CF5"/>
    <w:rsid w:val="008A46A8"/>
    <w:rsid w:val="008A555D"/>
    <w:rsid w:val="008A68CB"/>
    <w:rsid w:val="008B58CC"/>
    <w:rsid w:val="008B6AD9"/>
    <w:rsid w:val="008C081A"/>
    <w:rsid w:val="008C1A20"/>
    <w:rsid w:val="008C2CE0"/>
    <w:rsid w:val="008C3BB7"/>
    <w:rsid w:val="008C5418"/>
    <w:rsid w:val="008C7FD2"/>
    <w:rsid w:val="008D0602"/>
    <w:rsid w:val="008D222B"/>
    <w:rsid w:val="008D2340"/>
    <w:rsid w:val="008D5EAC"/>
    <w:rsid w:val="008D5EF5"/>
    <w:rsid w:val="008D6616"/>
    <w:rsid w:val="008D6BB7"/>
    <w:rsid w:val="008E07C5"/>
    <w:rsid w:val="008E13EE"/>
    <w:rsid w:val="008E246E"/>
    <w:rsid w:val="008E37FA"/>
    <w:rsid w:val="008E3B95"/>
    <w:rsid w:val="008E62A6"/>
    <w:rsid w:val="008F068E"/>
    <w:rsid w:val="008F1B9D"/>
    <w:rsid w:val="008F4C1C"/>
    <w:rsid w:val="008F70AD"/>
    <w:rsid w:val="008F7AE1"/>
    <w:rsid w:val="0090111C"/>
    <w:rsid w:val="00904BCC"/>
    <w:rsid w:val="009051C5"/>
    <w:rsid w:val="00905992"/>
    <w:rsid w:val="00911A17"/>
    <w:rsid w:val="0091352E"/>
    <w:rsid w:val="009169D8"/>
    <w:rsid w:val="009171D8"/>
    <w:rsid w:val="00917D52"/>
    <w:rsid w:val="00923C55"/>
    <w:rsid w:val="009266DD"/>
    <w:rsid w:val="009273A3"/>
    <w:rsid w:val="00927821"/>
    <w:rsid w:val="0093265F"/>
    <w:rsid w:val="00934578"/>
    <w:rsid w:val="0093481A"/>
    <w:rsid w:val="00935C17"/>
    <w:rsid w:val="00936B0E"/>
    <w:rsid w:val="0093751E"/>
    <w:rsid w:val="00940E2C"/>
    <w:rsid w:val="0094167D"/>
    <w:rsid w:val="00944865"/>
    <w:rsid w:val="009455B1"/>
    <w:rsid w:val="0094593A"/>
    <w:rsid w:val="00945946"/>
    <w:rsid w:val="00945A13"/>
    <w:rsid w:val="00945B17"/>
    <w:rsid w:val="00945F26"/>
    <w:rsid w:val="00951E03"/>
    <w:rsid w:val="00952317"/>
    <w:rsid w:val="00953B18"/>
    <w:rsid w:val="00954228"/>
    <w:rsid w:val="00954DF6"/>
    <w:rsid w:val="00955093"/>
    <w:rsid w:val="00955DDA"/>
    <w:rsid w:val="00956E3E"/>
    <w:rsid w:val="00961E86"/>
    <w:rsid w:val="00962518"/>
    <w:rsid w:val="00962CDD"/>
    <w:rsid w:val="00964BB7"/>
    <w:rsid w:val="0096521B"/>
    <w:rsid w:val="009712C4"/>
    <w:rsid w:val="00975187"/>
    <w:rsid w:val="00975C60"/>
    <w:rsid w:val="00975E18"/>
    <w:rsid w:val="00975EA9"/>
    <w:rsid w:val="00976016"/>
    <w:rsid w:val="00981E36"/>
    <w:rsid w:val="00981FD0"/>
    <w:rsid w:val="00982D0B"/>
    <w:rsid w:val="0098420B"/>
    <w:rsid w:val="009876C6"/>
    <w:rsid w:val="00987C56"/>
    <w:rsid w:val="0099597A"/>
    <w:rsid w:val="00995D3E"/>
    <w:rsid w:val="00996406"/>
    <w:rsid w:val="00997346"/>
    <w:rsid w:val="00997375"/>
    <w:rsid w:val="009A2305"/>
    <w:rsid w:val="009A2F21"/>
    <w:rsid w:val="009A5182"/>
    <w:rsid w:val="009A5B2A"/>
    <w:rsid w:val="009A7D27"/>
    <w:rsid w:val="009C6444"/>
    <w:rsid w:val="009C6EF0"/>
    <w:rsid w:val="009D1D56"/>
    <w:rsid w:val="009D2268"/>
    <w:rsid w:val="009D2444"/>
    <w:rsid w:val="009D3931"/>
    <w:rsid w:val="009D3D0A"/>
    <w:rsid w:val="009D50E5"/>
    <w:rsid w:val="009D5769"/>
    <w:rsid w:val="009E0A13"/>
    <w:rsid w:val="009E2831"/>
    <w:rsid w:val="009E4D77"/>
    <w:rsid w:val="009E60B6"/>
    <w:rsid w:val="009E6741"/>
    <w:rsid w:val="009E7231"/>
    <w:rsid w:val="009F1345"/>
    <w:rsid w:val="009F150D"/>
    <w:rsid w:val="009F1A2F"/>
    <w:rsid w:val="009F387B"/>
    <w:rsid w:val="009F4A42"/>
    <w:rsid w:val="009F4D46"/>
    <w:rsid w:val="009F4D70"/>
    <w:rsid w:val="009F4E85"/>
    <w:rsid w:val="009F78B8"/>
    <w:rsid w:val="00A0120A"/>
    <w:rsid w:val="00A0335D"/>
    <w:rsid w:val="00A037D2"/>
    <w:rsid w:val="00A06137"/>
    <w:rsid w:val="00A061B8"/>
    <w:rsid w:val="00A070FE"/>
    <w:rsid w:val="00A07E1A"/>
    <w:rsid w:val="00A108B6"/>
    <w:rsid w:val="00A10BAB"/>
    <w:rsid w:val="00A1203B"/>
    <w:rsid w:val="00A1237C"/>
    <w:rsid w:val="00A131D2"/>
    <w:rsid w:val="00A144AB"/>
    <w:rsid w:val="00A14766"/>
    <w:rsid w:val="00A17960"/>
    <w:rsid w:val="00A222B4"/>
    <w:rsid w:val="00A225E8"/>
    <w:rsid w:val="00A23149"/>
    <w:rsid w:val="00A2632E"/>
    <w:rsid w:val="00A272B6"/>
    <w:rsid w:val="00A31721"/>
    <w:rsid w:val="00A31BA5"/>
    <w:rsid w:val="00A3474A"/>
    <w:rsid w:val="00A40886"/>
    <w:rsid w:val="00A40CBD"/>
    <w:rsid w:val="00A42E9A"/>
    <w:rsid w:val="00A47788"/>
    <w:rsid w:val="00A47E3D"/>
    <w:rsid w:val="00A50ACF"/>
    <w:rsid w:val="00A51A6D"/>
    <w:rsid w:val="00A52C0F"/>
    <w:rsid w:val="00A52F9F"/>
    <w:rsid w:val="00A53C78"/>
    <w:rsid w:val="00A53D59"/>
    <w:rsid w:val="00A5763E"/>
    <w:rsid w:val="00A60B28"/>
    <w:rsid w:val="00A614ED"/>
    <w:rsid w:val="00A63374"/>
    <w:rsid w:val="00A64EF8"/>
    <w:rsid w:val="00A663F3"/>
    <w:rsid w:val="00A66AC5"/>
    <w:rsid w:val="00A6761B"/>
    <w:rsid w:val="00A72F08"/>
    <w:rsid w:val="00A74F68"/>
    <w:rsid w:val="00A754BB"/>
    <w:rsid w:val="00A75733"/>
    <w:rsid w:val="00A75F42"/>
    <w:rsid w:val="00A767D7"/>
    <w:rsid w:val="00A772BB"/>
    <w:rsid w:val="00A77EA4"/>
    <w:rsid w:val="00A80AE9"/>
    <w:rsid w:val="00A818B8"/>
    <w:rsid w:val="00A8523A"/>
    <w:rsid w:val="00A905BF"/>
    <w:rsid w:val="00A90D95"/>
    <w:rsid w:val="00A92730"/>
    <w:rsid w:val="00A92D67"/>
    <w:rsid w:val="00A941BF"/>
    <w:rsid w:val="00A9652E"/>
    <w:rsid w:val="00AA0E21"/>
    <w:rsid w:val="00AA51A2"/>
    <w:rsid w:val="00AA658C"/>
    <w:rsid w:val="00AA7C1A"/>
    <w:rsid w:val="00AB4664"/>
    <w:rsid w:val="00AB55B3"/>
    <w:rsid w:val="00AB6329"/>
    <w:rsid w:val="00AB661A"/>
    <w:rsid w:val="00AB76E4"/>
    <w:rsid w:val="00AC083E"/>
    <w:rsid w:val="00AC12C3"/>
    <w:rsid w:val="00AC1F41"/>
    <w:rsid w:val="00AC267D"/>
    <w:rsid w:val="00AC2D87"/>
    <w:rsid w:val="00AC4601"/>
    <w:rsid w:val="00AC5AF0"/>
    <w:rsid w:val="00AC64F8"/>
    <w:rsid w:val="00AD43CE"/>
    <w:rsid w:val="00AD6819"/>
    <w:rsid w:val="00AD6BA2"/>
    <w:rsid w:val="00AD7725"/>
    <w:rsid w:val="00AE2FA8"/>
    <w:rsid w:val="00AE52FA"/>
    <w:rsid w:val="00AE7D36"/>
    <w:rsid w:val="00AF52C1"/>
    <w:rsid w:val="00AF74A3"/>
    <w:rsid w:val="00B003A4"/>
    <w:rsid w:val="00B00C37"/>
    <w:rsid w:val="00B017FA"/>
    <w:rsid w:val="00B018FD"/>
    <w:rsid w:val="00B02572"/>
    <w:rsid w:val="00B028FA"/>
    <w:rsid w:val="00B02B1E"/>
    <w:rsid w:val="00B03B45"/>
    <w:rsid w:val="00B05B5C"/>
    <w:rsid w:val="00B06E5F"/>
    <w:rsid w:val="00B1096B"/>
    <w:rsid w:val="00B109E8"/>
    <w:rsid w:val="00B1153F"/>
    <w:rsid w:val="00B11D67"/>
    <w:rsid w:val="00B12782"/>
    <w:rsid w:val="00B12EB8"/>
    <w:rsid w:val="00B1430D"/>
    <w:rsid w:val="00B14B44"/>
    <w:rsid w:val="00B15727"/>
    <w:rsid w:val="00B16C33"/>
    <w:rsid w:val="00B16CCF"/>
    <w:rsid w:val="00B1738D"/>
    <w:rsid w:val="00B178AD"/>
    <w:rsid w:val="00B21A69"/>
    <w:rsid w:val="00B243F3"/>
    <w:rsid w:val="00B24492"/>
    <w:rsid w:val="00B247B2"/>
    <w:rsid w:val="00B248D7"/>
    <w:rsid w:val="00B257F4"/>
    <w:rsid w:val="00B2580E"/>
    <w:rsid w:val="00B26664"/>
    <w:rsid w:val="00B26A72"/>
    <w:rsid w:val="00B26E98"/>
    <w:rsid w:val="00B303AF"/>
    <w:rsid w:val="00B3499E"/>
    <w:rsid w:val="00B358EC"/>
    <w:rsid w:val="00B37ECB"/>
    <w:rsid w:val="00B40632"/>
    <w:rsid w:val="00B40ECE"/>
    <w:rsid w:val="00B4239B"/>
    <w:rsid w:val="00B42B61"/>
    <w:rsid w:val="00B43F35"/>
    <w:rsid w:val="00B4507C"/>
    <w:rsid w:val="00B46596"/>
    <w:rsid w:val="00B46B29"/>
    <w:rsid w:val="00B514E3"/>
    <w:rsid w:val="00B51D98"/>
    <w:rsid w:val="00B5293F"/>
    <w:rsid w:val="00B54563"/>
    <w:rsid w:val="00B54D08"/>
    <w:rsid w:val="00B5537D"/>
    <w:rsid w:val="00B5562D"/>
    <w:rsid w:val="00B57DED"/>
    <w:rsid w:val="00B621B9"/>
    <w:rsid w:val="00B62B62"/>
    <w:rsid w:val="00B62D1F"/>
    <w:rsid w:val="00B6389F"/>
    <w:rsid w:val="00B649E0"/>
    <w:rsid w:val="00B6647F"/>
    <w:rsid w:val="00B66DBA"/>
    <w:rsid w:val="00B76680"/>
    <w:rsid w:val="00B77263"/>
    <w:rsid w:val="00B83969"/>
    <w:rsid w:val="00B83F53"/>
    <w:rsid w:val="00B84CC3"/>
    <w:rsid w:val="00B85096"/>
    <w:rsid w:val="00B86886"/>
    <w:rsid w:val="00B91D4F"/>
    <w:rsid w:val="00B94976"/>
    <w:rsid w:val="00B95450"/>
    <w:rsid w:val="00B955D2"/>
    <w:rsid w:val="00B95D27"/>
    <w:rsid w:val="00B97938"/>
    <w:rsid w:val="00BA3941"/>
    <w:rsid w:val="00BA64F8"/>
    <w:rsid w:val="00BA7CDA"/>
    <w:rsid w:val="00BB2F88"/>
    <w:rsid w:val="00BB568E"/>
    <w:rsid w:val="00BC0D5F"/>
    <w:rsid w:val="00BC4261"/>
    <w:rsid w:val="00BC48FA"/>
    <w:rsid w:val="00BC531E"/>
    <w:rsid w:val="00BC6298"/>
    <w:rsid w:val="00BC673B"/>
    <w:rsid w:val="00BC712F"/>
    <w:rsid w:val="00BD3AD1"/>
    <w:rsid w:val="00BD6431"/>
    <w:rsid w:val="00BD7ADC"/>
    <w:rsid w:val="00BE07A0"/>
    <w:rsid w:val="00BE2320"/>
    <w:rsid w:val="00BE2B81"/>
    <w:rsid w:val="00BE310F"/>
    <w:rsid w:val="00BE3A00"/>
    <w:rsid w:val="00BE3CFA"/>
    <w:rsid w:val="00BE3CFD"/>
    <w:rsid w:val="00BF16B4"/>
    <w:rsid w:val="00BF207B"/>
    <w:rsid w:val="00BF2884"/>
    <w:rsid w:val="00BF3589"/>
    <w:rsid w:val="00BF5B50"/>
    <w:rsid w:val="00BF6B28"/>
    <w:rsid w:val="00BF7E02"/>
    <w:rsid w:val="00C00757"/>
    <w:rsid w:val="00C02A27"/>
    <w:rsid w:val="00C05D48"/>
    <w:rsid w:val="00C068D6"/>
    <w:rsid w:val="00C06FD9"/>
    <w:rsid w:val="00C10B18"/>
    <w:rsid w:val="00C1197A"/>
    <w:rsid w:val="00C120CB"/>
    <w:rsid w:val="00C12B90"/>
    <w:rsid w:val="00C1333A"/>
    <w:rsid w:val="00C15121"/>
    <w:rsid w:val="00C2041B"/>
    <w:rsid w:val="00C212C4"/>
    <w:rsid w:val="00C2256A"/>
    <w:rsid w:val="00C2365E"/>
    <w:rsid w:val="00C23AE3"/>
    <w:rsid w:val="00C32A8C"/>
    <w:rsid w:val="00C33B04"/>
    <w:rsid w:val="00C34C1C"/>
    <w:rsid w:val="00C35858"/>
    <w:rsid w:val="00C36102"/>
    <w:rsid w:val="00C3734D"/>
    <w:rsid w:val="00C3795E"/>
    <w:rsid w:val="00C455E9"/>
    <w:rsid w:val="00C45989"/>
    <w:rsid w:val="00C47C73"/>
    <w:rsid w:val="00C50044"/>
    <w:rsid w:val="00C51819"/>
    <w:rsid w:val="00C53560"/>
    <w:rsid w:val="00C537D5"/>
    <w:rsid w:val="00C53AA0"/>
    <w:rsid w:val="00C54568"/>
    <w:rsid w:val="00C55542"/>
    <w:rsid w:val="00C5559F"/>
    <w:rsid w:val="00C5576E"/>
    <w:rsid w:val="00C56123"/>
    <w:rsid w:val="00C57BB2"/>
    <w:rsid w:val="00C602D8"/>
    <w:rsid w:val="00C6157E"/>
    <w:rsid w:val="00C62187"/>
    <w:rsid w:val="00C62D1C"/>
    <w:rsid w:val="00C675D0"/>
    <w:rsid w:val="00C7124A"/>
    <w:rsid w:val="00C73E0D"/>
    <w:rsid w:val="00C80B9D"/>
    <w:rsid w:val="00C833B5"/>
    <w:rsid w:val="00C837A4"/>
    <w:rsid w:val="00C85742"/>
    <w:rsid w:val="00C91166"/>
    <w:rsid w:val="00C91661"/>
    <w:rsid w:val="00C92867"/>
    <w:rsid w:val="00C94B4F"/>
    <w:rsid w:val="00C96C49"/>
    <w:rsid w:val="00C97345"/>
    <w:rsid w:val="00CA2ABF"/>
    <w:rsid w:val="00CA31DD"/>
    <w:rsid w:val="00CA393D"/>
    <w:rsid w:val="00CA512E"/>
    <w:rsid w:val="00CA52A9"/>
    <w:rsid w:val="00CA6565"/>
    <w:rsid w:val="00CB3342"/>
    <w:rsid w:val="00CB6CD7"/>
    <w:rsid w:val="00CC0126"/>
    <w:rsid w:val="00CC2B24"/>
    <w:rsid w:val="00CC412C"/>
    <w:rsid w:val="00CC6ABC"/>
    <w:rsid w:val="00CC730C"/>
    <w:rsid w:val="00CC761A"/>
    <w:rsid w:val="00CD4EC1"/>
    <w:rsid w:val="00CD5DDC"/>
    <w:rsid w:val="00CE176F"/>
    <w:rsid w:val="00CE416B"/>
    <w:rsid w:val="00CE5718"/>
    <w:rsid w:val="00CE682A"/>
    <w:rsid w:val="00CF24C8"/>
    <w:rsid w:val="00D024CA"/>
    <w:rsid w:val="00D03790"/>
    <w:rsid w:val="00D04E22"/>
    <w:rsid w:val="00D05766"/>
    <w:rsid w:val="00D059FB"/>
    <w:rsid w:val="00D060B7"/>
    <w:rsid w:val="00D06645"/>
    <w:rsid w:val="00D06CF5"/>
    <w:rsid w:val="00D147F8"/>
    <w:rsid w:val="00D1549A"/>
    <w:rsid w:val="00D173A4"/>
    <w:rsid w:val="00D17F50"/>
    <w:rsid w:val="00D20335"/>
    <w:rsid w:val="00D24252"/>
    <w:rsid w:val="00D25A88"/>
    <w:rsid w:val="00D25AA1"/>
    <w:rsid w:val="00D27A0B"/>
    <w:rsid w:val="00D27F93"/>
    <w:rsid w:val="00D32D2A"/>
    <w:rsid w:val="00D336C0"/>
    <w:rsid w:val="00D33CD9"/>
    <w:rsid w:val="00D35AF4"/>
    <w:rsid w:val="00D3648B"/>
    <w:rsid w:val="00D36AC3"/>
    <w:rsid w:val="00D37A81"/>
    <w:rsid w:val="00D40B93"/>
    <w:rsid w:val="00D42111"/>
    <w:rsid w:val="00D440B0"/>
    <w:rsid w:val="00D4564A"/>
    <w:rsid w:val="00D47905"/>
    <w:rsid w:val="00D50DE9"/>
    <w:rsid w:val="00D52252"/>
    <w:rsid w:val="00D5231F"/>
    <w:rsid w:val="00D5237E"/>
    <w:rsid w:val="00D53344"/>
    <w:rsid w:val="00D55EB0"/>
    <w:rsid w:val="00D565AB"/>
    <w:rsid w:val="00D56624"/>
    <w:rsid w:val="00D572A8"/>
    <w:rsid w:val="00D61497"/>
    <w:rsid w:val="00D6240D"/>
    <w:rsid w:val="00D65913"/>
    <w:rsid w:val="00D6784A"/>
    <w:rsid w:val="00D67A4E"/>
    <w:rsid w:val="00D7113F"/>
    <w:rsid w:val="00D71F3D"/>
    <w:rsid w:val="00D720FE"/>
    <w:rsid w:val="00D722A0"/>
    <w:rsid w:val="00D73FC9"/>
    <w:rsid w:val="00D752CF"/>
    <w:rsid w:val="00D76208"/>
    <w:rsid w:val="00D80869"/>
    <w:rsid w:val="00D81AA3"/>
    <w:rsid w:val="00D83139"/>
    <w:rsid w:val="00D843E0"/>
    <w:rsid w:val="00D905AF"/>
    <w:rsid w:val="00D90E1A"/>
    <w:rsid w:val="00D918D8"/>
    <w:rsid w:val="00DA0027"/>
    <w:rsid w:val="00DA042E"/>
    <w:rsid w:val="00DA0CFC"/>
    <w:rsid w:val="00DA302E"/>
    <w:rsid w:val="00DA320A"/>
    <w:rsid w:val="00DA34BA"/>
    <w:rsid w:val="00DA420D"/>
    <w:rsid w:val="00DA5C67"/>
    <w:rsid w:val="00DB1A2C"/>
    <w:rsid w:val="00DB1A78"/>
    <w:rsid w:val="00DB1BE6"/>
    <w:rsid w:val="00DB3E97"/>
    <w:rsid w:val="00DB4D25"/>
    <w:rsid w:val="00DB5BFC"/>
    <w:rsid w:val="00DB7958"/>
    <w:rsid w:val="00DB7FC3"/>
    <w:rsid w:val="00DC136D"/>
    <w:rsid w:val="00DC4F38"/>
    <w:rsid w:val="00DC5CF5"/>
    <w:rsid w:val="00DC7EA0"/>
    <w:rsid w:val="00DD326E"/>
    <w:rsid w:val="00DD6070"/>
    <w:rsid w:val="00DD71A1"/>
    <w:rsid w:val="00DD7D0E"/>
    <w:rsid w:val="00DE1C3E"/>
    <w:rsid w:val="00DE3318"/>
    <w:rsid w:val="00DE3396"/>
    <w:rsid w:val="00DE4B31"/>
    <w:rsid w:val="00DE5092"/>
    <w:rsid w:val="00DE527F"/>
    <w:rsid w:val="00DE63CA"/>
    <w:rsid w:val="00DE792F"/>
    <w:rsid w:val="00DE7B0F"/>
    <w:rsid w:val="00DE7F54"/>
    <w:rsid w:val="00DF21AB"/>
    <w:rsid w:val="00DF418C"/>
    <w:rsid w:val="00DF4A99"/>
    <w:rsid w:val="00DF5208"/>
    <w:rsid w:val="00E071F5"/>
    <w:rsid w:val="00E10053"/>
    <w:rsid w:val="00E10878"/>
    <w:rsid w:val="00E10C37"/>
    <w:rsid w:val="00E10D01"/>
    <w:rsid w:val="00E10E38"/>
    <w:rsid w:val="00E12C79"/>
    <w:rsid w:val="00E154C4"/>
    <w:rsid w:val="00E155D9"/>
    <w:rsid w:val="00E20FC5"/>
    <w:rsid w:val="00E238B3"/>
    <w:rsid w:val="00E31A8A"/>
    <w:rsid w:val="00E35D14"/>
    <w:rsid w:val="00E3756B"/>
    <w:rsid w:val="00E40127"/>
    <w:rsid w:val="00E46C96"/>
    <w:rsid w:val="00E513D9"/>
    <w:rsid w:val="00E53156"/>
    <w:rsid w:val="00E544A0"/>
    <w:rsid w:val="00E57AB0"/>
    <w:rsid w:val="00E61044"/>
    <w:rsid w:val="00E61A05"/>
    <w:rsid w:val="00E61BB1"/>
    <w:rsid w:val="00E63215"/>
    <w:rsid w:val="00E65238"/>
    <w:rsid w:val="00E67C9A"/>
    <w:rsid w:val="00E733FE"/>
    <w:rsid w:val="00E73F93"/>
    <w:rsid w:val="00E779F4"/>
    <w:rsid w:val="00E80388"/>
    <w:rsid w:val="00E80F78"/>
    <w:rsid w:val="00E81555"/>
    <w:rsid w:val="00E8260A"/>
    <w:rsid w:val="00E83AA0"/>
    <w:rsid w:val="00E83D1A"/>
    <w:rsid w:val="00E83D6F"/>
    <w:rsid w:val="00E8455D"/>
    <w:rsid w:val="00E847C5"/>
    <w:rsid w:val="00E84E5F"/>
    <w:rsid w:val="00E85C16"/>
    <w:rsid w:val="00E86059"/>
    <w:rsid w:val="00E90D49"/>
    <w:rsid w:val="00E92B5F"/>
    <w:rsid w:val="00E92BF8"/>
    <w:rsid w:val="00E9512E"/>
    <w:rsid w:val="00E95F0D"/>
    <w:rsid w:val="00EA2A59"/>
    <w:rsid w:val="00EA2D95"/>
    <w:rsid w:val="00EA5348"/>
    <w:rsid w:val="00EA6023"/>
    <w:rsid w:val="00EA6C12"/>
    <w:rsid w:val="00EA6F8A"/>
    <w:rsid w:val="00EB405C"/>
    <w:rsid w:val="00EB4651"/>
    <w:rsid w:val="00EB55F8"/>
    <w:rsid w:val="00EC09ED"/>
    <w:rsid w:val="00EC213E"/>
    <w:rsid w:val="00EC28F6"/>
    <w:rsid w:val="00EC366D"/>
    <w:rsid w:val="00EC3A0B"/>
    <w:rsid w:val="00EC5694"/>
    <w:rsid w:val="00EC5A0D"/>
    <w:rsid w:val="00EC6674"/>
    <w:rsid w:val="00EC71B2"/>
    <w:rsid w:val="00ED087B"/>
    <w:rsid w:val="00ED1301"/>
    <w:rsid w:val="00ED1700"/>
    <w:rsid w:val="00ED72CA"/>
    <w:rsid w:val="00ED7A5E"/>
    <w:rsid w:val="00EE37D6"/>
    <w:rsid w:val="00EE5E37"/>
    <w:rsid w:val="00EE67FE"/>
    <w:rsid w:val="00EF2C48"/>
    <w:rsid w:val="00EF62F6"/>
    <w:rsid w:val="00EF6F02"/>
    <w:rsid w:val="00F00F15"/>
    <w:rsid w:val="00F01833"/>
    <w:rsid w:val="00F049EF"/>
    <w:rsid w:val="00F04ACA"/>
    <w:rsid w:val="00F1233C"/>
    <w:rsid w:val="00F1269C"/>
    <w:rsid w:val="00F16B3B"/>
    <w:rsid w:val="00F177E3"/>
    <w:rsid w:val="00F2286D"/>
    <w:rsid w:val="00F235B9"/>
    <w:rsid w:val="00F2424C"/>
    <w:rsid w:val="00F24DFF"/>
    <w:rsid w:val="00F27171"/>
    <w:rsid w:val="00F271F9"/>
    <w:rsid w:val="00F33EBD"/>
    <w:rsid w:val="00F354C8"/>
    <w:rsid w:val="00F379D4"/>
    <w:rsid w:val="00F4468D"/>
    <w:rsid w:val="00F45527"/>
    <w:rsid w:val="00F46791"/>
    <w:rsid w:val="00F47CC2"/>
    <w:rsid w:val="00F508F4"/>
    <w:rsid w:val="00F50F96"/>
    <w:rsid w:val="00F51125"/>
    <w:rsid w:val="00F5187B"/>
    <w:rsid w:val="00F52258"/>
    <w:rsid w:val="00F52F3B"/>
    <w:rsid w:val="00F55D68"/>
    <w:rsid w:val="00F66D3F"/>
    <w:rsid w:val="00F70D34"/>
    <w:rsid w:val="00F74592"/>
    <w:rsid w:val="00F75CC8"/>
    <w:rsid w:val="00F76AAC"/>
    <w:rsid w:val="00F76D7B"/>
    <w:rsid w:val="00F80284"/>
    <w:rsid w:val="00F836FA"/>
    <w:rsid w:val="00F83811"/>
    <w:rsid w:val="00F84E2B"/>
    <w:rsid w:val="00F852DE"/>
    <w:rsid w:val="00F86882"/>
    <w:rsid w:val="00F8775D"/>
    <w:rsid w:val="00F87E30"/>
    <w:rsid w:val="00F91E3B"/>
    <w:rsid w:val="00F939BC"/>
    <w:rsid w:val="00F957C1"/>
    <w:rsid w:val="00F95BCA"/>
    <w:rsid w:val="00F97959"/>
    <w:rsid w:val="00FA0C41"/>
    <w:rsid w:val="00FA6FCF"/>
    <w:rsid w:val="00FB1A89"/>
    <w:rsid w:val="00FB23DB"/>
    <w:rsid w:val="00FB3D0B"/>
    <w:rsid w:val="00FB4631"/>
    <w:rsid w:val="00FB592F"/>
    <w:rsid w:val="00FB6B08"/>
    <w:rsid w:val="00FB73DC"/>
    <w:rsid w:val="00FC01FF"/>
    <w:rsid w:val="00FC25F6"/>
    <w:rsid w:val="00FC433D"/>
    <w:rsid w:val="00FC4B32"/>
    <w:rsid w:val="00FC5A00"/>
    <w:rsid w:val="00FC62A5"/>
    <w:rsid w:val="00FC724E"/>
    <w:rsid w:val="00FD0687"/>
    <w:rsid w:val="00FD0DA5"/>
    <w:rsid w:val="00FD231A"/>
    <w:rsid w:val="00FD31D4"/>
    <w:rsid w:val="00FD5ACE"/>
    <w:rsid w:val="00FD740B"/>
    <w:rsid w:val="00FE0352"/>
    <w:rsid w:val="00FE1572"/>
    <w:rsid w:val="00FE2259"/>
    <w:rsid w:val="00FE4197"/>
    <w:rsid w:val="00FE47DA"/>
    <w:rsid w:val="00FE4EF8"/>
    <w:rsid w:val="00FE4F77"/>
    <w:rsid w:val="00FE53D4"/>
    <w:rsid w:val="00FF2AB3"/>
    <w:rsid w:val="00FF3352"/>
    <w:rsid w:val="00FF3D10"/>
    <w:rsid w:val="00FF3FF3"/>
    <w:rsid w:val="00FF4175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FBAE21"/>
  <w15:docId w15:val="{1BBA45B0-6C9B-844A-8315-CE663E28F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33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8F1"/>
    <w:pPr>
      <w:spacing w:before="200" w:after="200" w:line="276" w:lineRule="auto"/>
    </w:pPr>
    <w:rPr>
      <w:rFonts w:ascii="Calibri" w:eastAsia="Times New Roman" w:hAnsi="Calibri" w:cs="Times New Roman"/>
      <w:szCs w:val="20"/>
    </w:rPr>
  </w:style>
  <w:style w:type="paragraph" w:styleId="Heading1">
    <w:name w:val="heading 1"/>
    <w:basedOn w:val="Normal"/>
    <w:next w:val="Normal"/>
    <w:link w:val="Heading1Char"/>
    <w:autoRedefine/>
    <w:qFormat/>
    <w:rsid w:val="00923C55"/>
    <w:pPr>
      <w:keepNext/>
      <w:spacing w:before="240" w:after="120"/>
      <w:outlineLvl w:val="0"/>
    </w:pPr>
    <w:rPr>
      <w:rFonts w:cs="Calibri"/>
      <w:b/>
      <w:color w:val="7030A0"/>
      <w:kern w:val="28"/>
      <w:sz w:val="44"/>
    </w:rPr>
  </w:style>
  <w:style w:type="paragraph" w:styleId="Heading2">
    <w:name w:val="heading 2"/>
    <w:basedOn w:val="Normal"/>
    <w:next w:val="Normal"/>
    <w:link w:val="Heading2Char"/>
    <w:qFormat/>
    <w:rsid w:val="005F70C4"/>
    <w:pPr>
      <w:keepNext/>
      <w:spacing w:before="240" w:after="60"/>
      <w:outlineLvl w:val="1"/>
    </w:pPr>
    <w:rPr>
      <w:rFonts w:ascii="Arial" w:hAnsi="Arial"/>
      <w:b/>
      <w:snapToGrid w:val="0"/>
      <w:color w:val="7030A0"/>
      <w:sz w:val="30"/>
    </w:rPr>
  </w:style>
  <w:style w:type="paragraph" w:styleId="Heading3">
    <w:name w:val="heading 3"/>
    <w:basedOn w:val="Normal"/>
    <w:next w:val="Normal"/>
    <w:link w:val="Heading3Char"/>
    <w:autoRedefine/>
    <w:qFormat/>
    <w:rsid w:val="00825C83"/>
    <w:pPr>
      <w:keepNext/>
      <w:keepLines/>
      <w:spacing w:before="144" w:after="144"/>
      <w:outlineLvl w:val="2"/>
    </w:pPr>
    <w:rPr>
      <w:rFonts w:ascii="Arial Bold" w:hAnsi="Arial Bold"/>
      <w:bCs/>
      <w:color w:val="808080" w:themeColor="background1" w:themeShade="80"/>
      <w:sz w:val="24"/>
      <w:szCs w:val="26"/>
    </w:rPr>
  </w:style>
  <w:style w:type="paragraph" w:styleId="Heading4">
    <w:name w:val="heading 4"/>
    <w:basedOn w:val="Normal"/>
    <w:next w:val="Normal"/>
    <w:link w:val="Heading4Char"/>
    <w:autoRedefine/>
    <w:qFormat/>
    <w:rsid w:val="00A31BA5"/>
    <w:pPr>
      <w:keepNext/>
      <w:keepLines/>
      <w:spacing w:before="240" w:after="60"/>
      <w:outlineLvl w:val="3"/>
    </w:pPr>
    <w:rPr>
      <w:rFonts w:asciiTheme="minorHAnsi" w:hAnsiTheme="minorHAnsi" w:cstheme="majorBidi"/>
      <w:b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autoRedefine/>
    <w:qFormat/>
    <w:rsid w:val="000459F7"/>
    <w:pPr>
      <w:keepNext/>
      <w:spacing w:before="240" w:after="60"/>
      <w:outlineLvl w:val="4"/>
    </w:pPr>
    <w:rPr>
      <w:b/>
      <w:i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23C55"/>
    <w:rPr>
      <w:rFonts w:ascii="Calibri" w:eastAsia="Times New Roman" w:hAnsi="Calibri" w:cs="Calibri"/>
      <w:b/>
      <w:color w:val="7030A0"/>
      <w:kern w:val="28"/>
      <w:sz w:val="44"/>
      <w:szCs w:val="20"/>
    </w:rPr>
  </w:style>
  <w:style w:type="character" w:customStyle="1" w:styleId="Heading2Char">
    <w:name w:val="Heading 2 Char"/>
    <w:basedOn w:val="DefaultParagraphFont"/>
    <w:link w:val="Heading2"/>
    <w:rsid w:val="005F70C4"/>
    <w:rPr>
      <w:rFonts w:ascii="Arial" w:eastAsia="Times New Roman" w:hAnsi="Arial" w:cs="Times New Roman"/>
      <w:b/>
      <w:snapToGrid w:val="0"/>
      <w:color w:val="7030A0"/>
      <w:sz w:val="30"/>
      <w:szCs w:val="20"/>
    </w:rPr>
  </w:style>
  <w:style w:type="character" w:customStyle="1" w:styleId="Heading3Char">
    <w:name w:val="Heading 3 Char"/>
    <w:basedOn w:val="DefaultParagraphFont"/>
    <w:link w:val="Heading3"/>
    <w:rsid w:val="00825C83"/>
    <w:rPr>
      <w:rFonts w:ascii="Arial Bold" w:eastAsia="Times New Roman" w:hAnsi="Arial Bold" w:cs="Times New Roman"/>
      <w:bCs/>
      <w:color w:val="808080" w:themeColor="background1" w:themeShade="80"/>
      <w:sz w:val="24"/>
      <w:szCs w:val="26"/>
    </w:rPr>
  </w:style>
  <w:style w:type="character" w:customStyle="1" w:styleId="Heading4Char">
    <w:name w:val="Heading 4 Char"/>
    <w:basedOn w:val="DefaultParagraphFont"/>
    <w:link w:val="Heading4"/>
    <w:rsid w:val="00A31BA5"/>
    <w:rPr>
      <w:rFonts w:eastAsia="Times New Roman" w:cstheme="majorBidi"/>
      <w:b/>
      <w:color w:val="000000" w:themeColor="text1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0459F7"/>
    <w:rPr>
      <w:rFonts w:ascii="Calibri" w:eastAsia="Times New Roman" w:hAnsi="Calibri" w:cs="Times New Roman"/>
      <w:b/>
      <w:i/>
      <w:color w:val="000000" w:themeColor="text1"/>
      <w:szCs w:val="20"/>
    </w:rPr>
  </w:style>
  <w:style w:type="paragraph" w:styleId="Header">
    <w:name w:val="header"/>
    <w:basedOn w:val="Normal"/>
    <w:link w:val="HeaderChar"/>
    <w:uiPriority w:val="99"/>
    <w:rsid w:val="00EC5694"/>
    <w:pPr>
      <w:tabs>
        <w:tab w:val="center" w:pos="4153"/>
        <w:tab w:val="right" w:pos="8306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EC5694"/>
    <w:rPr>
      <w:rFonts w:ascii="Calibri" w:eastAsia="Times New Roman" w:hAnsi="Calibri" w:cs="Times New Roman"/>
      <w:sz w:val="24"/>
      <w:szCs w:val="20"/>
    </w:rPr>
  </w:style>
  <w:style w:type="paragraph" w:styleId="Footer">
    <w:name w:val="footer"/>
    <w:basedOn w:val="Normal"/>
    <w:link w:val="FooterChar"/>
    <w:rsid w:val="004D749A"/>
    <w:pPr>
      <w:tabs>
        <w:tab w:val="right" w:pos="567"/>
        <w:tab w:val="right" w:pos="2835"/>
        <w:tab w:val="right" w:pos="3969"/>
      </w:tabs>
      <w:ind w:left="142" w:right="142"/>
    </w:pPr>
    <w:rPr>
      <w:color w:val="FFFFFF" w:themeColor="background1"/>
      <w:sz w:val="20"/>
    </w:rPr>
  </w:style>
  <w:style w:type="character" w:customStyle="1" w:styleId="FooterChar">
    <w:name w:val="Footer Char"/>
    <w:basedOn w:val="DefaultParagraphFont"/>
    <w:link w:val="Footer"/>
    <w:rsid w:val="004D749A"/>
    <w:rPr>
      <w:rFonts w:ascii="Calibri" w:eastAsia="Times New Roman" w:hAnsi="Calibri" w:cs="Times New Roman"/>
      <w:color w:val="FFFFFF" w:themeColor="background1"/>
      <w:sz w:val="20"/>
      <w:szCs w:val="20"/>
    </w:rPr>
  </w:style>
  <w:style w:type="paragraph" w:customStyle="1" w:styleId="BodyText1">
    <w:name w:val="Body Text1"/>
    <w:basedOn w:val="Normal"/>
    <w:link w:val="BodytextChar"/>
    <w:qFormat/>
    <w:rsid w:val="00911A17"/>
  </w:style>
  <w:style w:type="paragraph" w:customStyle="1" w:styleId="bullet10">
    <w:name w:val="bullet 1"/>
    <w:basedOn w:val="BodyText"/>
    <w:link w:val="bullet1Char"/>
    <w:qFormat/>
    <w:rsid w:val="00657B12"/>
    <w:pPr>
      <w:numPr>
        <w:numId w:val="3"/>
      </w:numPr>
      <w:spacing w:before="60" w:after="60"/>
      <w:ind w:left="357" w:hanging="357"/>
    </w:pPr>
  </w:style>
  <w:style w:type="character" w:customStyle="1" w:styleId="bullet1Char">
    <w:name w:val="bullet 1 Char"/>
    <w:basedOn w:val="DefaultParagraphFont"/>
    <w:link w:val="bullet10"/>
    <w:rsid w:val="00657B12"/>
    <w:rPr>
      <w:rFonts w:ascii="Calibri" w:eastAsia="Times New Roman" w:hAnsi="Calibri" w:cs="Times New Roman"/>
      <w:szCs w:val="20"/>
    </w:rPr>
  </w:style>
  <w:style w:type="paragraph" w:customStyle="1" w:styleId="note">
    <w:name w:val="note"/>
    <w:basedOn w:val="NoteHeading"/>
    <w:link w:val="noteChar"/>
    <w:qFormat/>
    <w:rsid w:val="00183FC6"/>
    <w:pPr>
      <w:keepNext/>
      <w:spacing w:before="120"/>
    </w:pPr>
    <w:rPr>
      <w:bCs/>
      <w:sz w:val="18"/>
      <w:szCs w:val="16"/>
    </w:rPr>
  </w:style>
  <w:style w:type="character" w:customStyle="1" w:styleId="noteChar">
    <w:name w:val="note Char"/>
    <w:link w:val="note"/>
    <w:rsid w:val="00183FC6"/>
    <w:rPr>
      <w:rFonts w:ascii="Calibri" w:eastAsia="Times New Roman" w:hAnsi="Calibri" w:cs="Times New Roman"/>
      <w:bCs/>
      <w:sz w:val="18"/>
      <w:szCs w:val="16"/>
    </w:rPr>
  </w:style>
  <w:style w:type="paragraph" w:customStyle="1" w:styleId="bullet20">
    <w:name w:val="bullet 2"/>
    <w:basedOn w:val="bullet10"/>
    <w:link w:val="bullet2Char"/>
    <w:qFormat/>
    <w:rsid w:val="009D2444"/>
    <w:pPr>
      <w:numPr>
        <w:numId w:val="4"/>
      </w:numPr>
    </w:pPr>
  </w:style>
  <w:style w:type="character" w:customStyle="1" w:styleId="bullet2Char">
    <w:name w:val="bullet 2 Char"/>
    <w:basedOn w:val="bullet1Char"/>
    <w:link w:val="bullet20"/>
    <w:rsid w:val="009D2444"/>
    <w:rPr>
      <w:rFonts w:ascii="Calibri" w:eastAsia="Times New Roman" w:hAnsi="Calibri" w:cs="Times New Roman"/>
      <w:szCs w:val="20"/>
    </w:rPr>
  </w:style>
  <w:style w:type="paragraph" w:customStyle="1" w:styleId="Tablefigures">
    <w:name w:val="Table figures"/>
    <w:basedOn w:val="Tabletext"/>
    <w:link w:val="TablefiguresChar"/>
    <w:autoRedefine/>
    <w:qFormat/>
    <w:rsid w:val="00EC5694"/>
    <w:pPr>
      <w:jc w:val="right"/>
    </w:pPr>
    <w:rPr>
      <w:bCs/>
    </w:rPr>
  </w:style>
  <w:style w:type="paragraph" w:customStyle="1" w:styleId="Tabletext">
    <w:name w:val="Table text"/>
    <w:basedOn w:val="Normal"/>
    <w:link w:val="TabletextChar"/>
    <w:autoRedefine/>
    <w:qFormat/>
    <w:rsid w:val="00B83F53"/>
    <w:pPr>
      <w:spacing w:before="60" w:after="60"/>
    </w:pPr>
    <w:rPr>
      <w:sz w:val="20"/>
      <w:lang w:eastAsia="en-AU"/>
    </w:rPr>
  </w:style>
  <w:style w:type="character" w:customStyle="1" w:styleId="TablefiguresChar">
    <w:name w:val="Table figures Char"/>
    <w:basedOn w:val="DefaultParagraphFont"/>
    <w:link w:val="Tablefigures"/>
    <w:rsid w:val="00EC5694"/>
    <w:rPr>
      <w:rFonts w:ascii="Calibri" w:eastAsia="Times New Roman" w:hAnsi="Calibri" w:cs="Times New Roman"/>
      <w:sz w:val="20"/>
      <w:szCs w:val="20"/>
      <w:lang w:eastAsia="en-AU"/>
    </w:rPr>
  </w:style>
  <w:style w:type="character" w:customStyle="1" w:styleId="TabletextChar">
    <w:name w:val="Table text Char"/>
    <w:basedOn w:val="DefaultParagraphFont"/>
    <w:link w:val="Tabletext"/>
    <w:rsid w:val="00B83F53"/>
    <w:rPr>
      <w:rFonts w:ascii="Calibri" w:eastAsia="Times New Roman" w:hAnsi="Calibri" w:cs="Times New Roman"/>
      <w:sz w:val="20"/>
      <w:szCs w:val="20"/>
      <w:lang w:eastAsia="en-AU"/>
    </w:rPr>
  </w:style>
  <w:style w:type="paragraph" w:customStyle="1" w:styleId="noteslist">
    <w:name w:val="notes list"/>
    <w:basedOn w:val="Normal"/>
    <w:link w:val="noteslistChar"/>
    <w:qFormat/>
    <w:rsid w:val="00EC5694"/>
    <w:pPr>
      <w:numPr>
        <w:numId w:val="1"/>
      </w:numPr>
      <w:spacing w:before="0" w:after="0"/>
    </w:pPr>
    <w:rPr>
      <w:sz w:val="18"/>
      <w:szCs w:val="24"/>
    </w:rPr>
  </w:style>
  <w:style w:type="character" w:customStyle="1" w:styleId="noteslistChar">
    <w:name w:val="notes list Char"/>
    <w:basedOn w:val="DefaultParagraphFont"/>
    <w:link w:val="noteslist"/>
    <w:rsid w:val="00EC5694"/>
    <w:rPr>
      <w:rFonts w:ascii="Calibri" w:eastAsia="Times New Roman" w:hAnsi="Calibri" w:cs="Times New Roman"/>
      <w:sz w:val="18"/>
      <w:szCs w:val="24"/>
    </w:rPr>
  </w:style>
  <w:style w:type="paragraph" w:customStyle="1" w:styleId="TableFiguresheading">
    <w:name w:val="Table Figures_heading"/>
    <w:basedOn w:val="Normal"/>
    <w:link w:val="TableFiguresheadingChar"/>
    <w:qFormat/>
    <w:rsid w:val="00EC5694"/>
    <w:pPr>
      <w:spacing w:before="0" w:after="0"/>
      <w:jc w:val="right"/>
    </w:pPr>
    <w:rPr>
      <w:b/>
      <w:sz w:val="20"/>
    </w:rPr>
  </w:style>
  <w:style w:type="character" w:customStyle="1" w:styleId="TableFiguresheadingChar">
    <w:name w:val="Table Figures_heading Char"/>
    <w:basedOn w:val="DefaultParagraphFont"/>
    <w:link w:val="TableFiguresheading"/>
    <w:rsid w:val="00EC5694"/>
    <w:rPr>
      <w:rFonts w:ascii="Calibri" w:eastAsia="Times New Roman" w:hAnsi="Calibri" w:cs="Times New Roman"/>
      <w:b/>
      <w:sz w:val="20"/>
      <w:szCs w:val="20"/>
    </w:rPr>
  </w:style>
  <w:style w:type="paragraph" w:customStyle="1" w:styleId="Tabletextbold">
    <w:name w:val="Table text bold"/>
    <w:basedOn w:val="Normal"/>
    <w:qFormat/>
    <w:rsid w:val="00B83F53"/>
    <w:pPr>
      <w:spacing w:before="60" w:after="60"/>
    </w:pPr>
    <w:rPr>
      <w:b/>
      <w:sz w:val="20"/>
      <w:lang w:eastAsia="en-AU"/>
    </w:rPr>
  </w:style>
  <w:style w:type="paragraph" w:customStyle="1" w:styleId="TableTextbolditalics">
    <w:name w:val="Table Text bold italics"/>
    <w:basedOn w:val="Tabletext"/>
    <w:qFormat/>
    <w:rsid w:val="00EC5694"/>
    <w:rPr>
      <w:b/>
      <w:i/>
    </w:rPr>
  </w:style>
  <w:style w:type="paragraph" w:customStyle="1" w:styleId="TableCaption">
    <w:name w:val="Table Caption"/>
    <w:basedOn w:val="Caption"/>
    <w:qFormat/>
    <w:rsid w:val="005F70C4"/>
    <w:pPr>
      <w:keepNext/>
      <w:spacing w:before="240" w:after="120"/>
    </w:pPr>
    <w:rPr>
      <w:b/>
      <w:bCs/>
      <w:i w:val="0"/>
      <w:iCs w:val="0"/>
      <w:color w:val="7030A0"/>
      <w:sz w:val="22"/>
    </w:rPr>
  </w:style>
  <w:style w:type="table" w:customStyle="1" w:styleId="ARTableText">
    <w:name w:val="AR_Table_Text"/>
    <w:basedOn w:val="TableNormal"/>
    <w:uiPriority w:val="99"/>
    <w:qFormat/>
    <w:rsid w:val="00EC5694"/>
    <w:pPr>
      <w:spacing w:after="0" w:line="240" w:lineRule="auto"/>
    </w:pPr>
    <w:rPr>
      <w:rFonts w:eastAsia="Times New Roman" w:cs="Times New Roman"/>
      <w:sz w:val="20"/>
      <w:szCs w:val="20"/>
      <w:lang w:eastAsia="en-AU"/>
    </w:rPr>
    <w:tblPr>
      <w:tblStyleRowBandSize w:val="1"/>
      <w:tblCellMar>
        <w:top w:w="57" w:type="dxa"/>
        <w:bottom w:w="57" w:type="dxa"/>
      </w:tblCellMar>
    </w:tblPr>
    <w:tcPr>
      <w:shd w:val="clear" w:color="auto" w:fill="E0E0E0"/>
      <w:vAlign w:val="bottom"/>
    </w:tcPr>
    <w:tblStylePr w:type="firstRow">
      <w:pPr>
        <w:jc w:val="center"/>
      </w:pPr>
      <w:rPr>
        <w:rFonts w:asciiTheme="minorHAnsi" w:hAnsiTheme="minorHAnsi"/>
        <w:b/>
        <w:sz w:val="20"/>
      </w:rPr>
      <w:tblPr/>
      <w:tcPr>
        <w:tcBorders>
          <w:top w:val="single" w:sz="4" w:space="0" w:color="000000"/>
          <w:left w:val="nil"/>
          <w:bottom w:val="single" w:sz="18" w:space="0" w:color="auto"/>
          <w:right w:val="nil"/>
        </w:tcBorders>
        <w:shd w:val="clear" w:color="auto" w:fill="auto"/>
      </w:tcPr>
    </w:tblStylePr>
    <w:tblStylePr w:type="lastRow">
      <w:rPr>
        <w:rFonts w:asciiTheme="minorHAnsi" w:hAnsiTheme="minorHAnsi"/>
        <w:sz w:val="20"/>
      </w:rPr>
      <w:tblPr/>
      <w:tcPr>
        <w:tcBorders>
          <w:bottom w:val="dotted" w:sz="6" w:space="0" w:color="auto"/>
        </w:tcBorders>
        <w:shd w:val="clear" w:color="auto" w:fill="ECECEC"/>
      </w:tcPr>
    </w:tblStylePr>
    <w:tblStylePr w:type="firstCol">
      <w:pPr>
        <w:jc w:val="left"/>
      </w:pPr>
      <w:rPr>
        <w:rFonts w:asciiTheme="minorHAnsi" w:hAnsiTheme="minorHAnsi"/>
        <w:sz w:val="20"/>
      </w:rPr>
      <w:tblPr/>
      <w:tcPr>
        <w:vAlign w:val="center"/>
      </w:tcPr>
    </w:tblStylePr>
    <w:tblStylePr w:type="band1Horz">
      <w:pPr>
        <w:jc w:val="left"/>
      </w:pPr>
      <w:rPr>
        <w:rFonts w:asciiTheme="minorHAnsi" w:hAnsiTheme="minorHAnsi"/>
        <w:sz w:val="18"/>
      </w:rPr>
      <w:tblPr/>
      <w:tcPr>
        <w:tcBorders>
          <w:bottom w:val="dotted" w:sz="6" w:space="0" w:color="auto"/>
        </w:tcBorders>
        <w:shd w:val="clear" w:color="auto" w:fill="auto"/>
      </w:tcPr>
    </w:tblStylePr>
    <w:tblStylePr w:type="band2Horz">
      <w:rPr>
        <w:rFonts w:asciiTheme="minorHAnsi" w:hAnsiTheme="minorHAnsi"/>
        <w:sz w:val="18"/>
      </w:rPr>
      <w:tblPr/>
      <w:tcPr>
        <w:tcBorders>
          <w:bottom w:val="dotted" w:sz="6" w:space="0" w:color="auto"/>
        </w:tcBorders>
        <w:shd w:val="clear" w:color="auto" w:fill="auto"/>
      </w:tcPr>
    </w:tblStylePr>
  </w:style>
  <w:style w:type="paragraph" w:customStyle="1" w:styleId="TableheadingNormal">
    <w:name w:val="Table_heading_Normal"/>
    <w:basedOn w:val="TableFiguresheading"/>
    <w:qFormat/>
    <w:rsid w:val="00BD7ADC"/>
    <w:pPr>
      <w:spacing w:before="60" w:after="60" w:line="240" w:lineRule="auto"/>
      <w:jc w:val="left"/>
    </w:pPr>
    <w:rPr>
      <w:b w:val="0"/>
      <w:bCs/>
      <w:sz w:val="22"/>
      <w:szCs w:val="22"/>
      <w:lang w:eastAsia="en-AU"/>
    </w:rPr>
  </w:style>
  <w:style w:type="table" w:customStyle="1" w:styleId="ARTableFigures">
    <w:name w:val="AR_Table_Figures"/>
    <w:basedOn w:val="ARTableText"/>
    <w:uiPriority w:val="99"/>
    <w:qFormat/>
    <w:rsid w:val="00EC5694"/>
    <w:pPr>
      <w:jc w:val="right"/>
    </w:pPr>
    <w:tblPr/>
    <w:tblStylePr w:type="firstRow">
      <w:pPr>
        <w:jc w:val="right"/>
      </w:pPr>
      <w:rPr>
        <w:rFonts w:asciiTheme="minorHAnsi" w:hAnsiTheme="minorHAnsi"/>
        <w:b/>
        <w:sz w:val="20"/>
      </w:rPr>
      <w:tblPr/>
      <w:tcPr>
        <w:tcBorders>
          <w:top w:val="single" w:sz="4" w:space="0" w:color="000000"/>
          <w:left w:val="nil"/>
          <w:bottom w:val="single" w:sz="18" w:space="0" w:color="auto"/>
          <w:right w:val="nil"/>
        </w:tcBorders>
        <w:shd w:val="clear" w:color="auto" w:fill="auto"/>
      </w:tcPr>
    </w:tblStylePr>
    <w:tblStylePr w:type="lastRow">
      <w:rPr>
        <w:rFonts w:asciiTheme="minorHAnsi" w:hAnsiTheme="minorHAnsi"/>
        <w:sz w:val="20"/>
      </w:rPr>
      <w:tblPr/>
      <w:tcPr>
        <w:tcBorders>
          <w:bottom w:val="dotted" w:sz="6" w:space="0" w:color="auto"/>
        </w:tcBorders>
        <w:shd w:val="clear" w:color="auto" w:fill="D9D9D9" w:themeFill="background1" w:themeFillShade="D9"/>
      </w:tcPr>
    </w:tblStylePr>
    <w:tblStylePr w:type="firstCol">
      <w:pPr>
        <w:jc w:val="left"/>
      </w:pPr>
      <w:rPr>
        <w:rFonts w:asciiTheme="minorHAnsi" w:hAnsiTheme="minorHAnsi"/>
        <w:sz w:val="20"/>
      </w:rPr>
      <w:tblPr/>
      <w:tcPr>
        <w:vAlign w:val="center"/>
      </w:tcPr>
    </w:tblStylePr>
    <w:tblStylePr w:type="band1Horz">
      <w:pPr>
        <w:jc w:val="right"/>
      </w:pPr>
      <w:rPr>
        <w:rFonts w:asciiTheme="minorHAnsi" w:hAnsiTheme="minorHAnsi"/>
        <w:sz w:val="18"/>
      </w:rPr>
      <w:tblPr/>
      <w:tcPr>
        <w:tcBorders>
          <w:bottom w:val="dotted" w:sz="6" w:space="0" w:color="auto"/>
        </w:tcBorders>
        <w:shd w:val="clear" w:color="auto" w:fill="auto"/>
        <w:vAlign w:val="center"/>
      </w:tcPr>
    </w:tblStylePr>
    <w:tblStylePr w:type="band2Horz">
      <w:pPr>
        <w:jc w:val="right"/>
      </w:pPr>
      <w:rPr>
        <w:rFonts w:asciiTheme="minorHAnsi" w:hAnsiTheme="minorHAnsi"/>
        <w:sz w:val="18"/>
      </w:rPr>
      <w:tblPr/>
      <w:tcPr>
        <w:tcBorders>
          <w:bottom w:val="dotted" w:sz="6" w:space="0" w:color="auto"/>
        </w:tcBorders>
        <w:shd w:val="clear" w:color="auto" w:fill="auto"/>
        <w:vAlign w:val="center"/>
      </w:tcPr>
    </w:tblStylePr>
  </w:style>
  <w:style w:type="paragraph" w:customStyle="1" w:styleId="bullet30">
    <w:name w:val="bullet 3"/>
    <w:basedOn w:val="bullet20"/>
    <w:qFormat/>
    <w:rsid w:val="009D2444"/>
    <w:pPr>
      <w:numPr>
        <w:numId w:val="2"/>
      </w:numPr>
    </w:pPr>
  </w:style>
  <w:style w:type="paragraph" w:customStyle="1" w:styleId="IntroParagraph">
    <w:name w:val="Intro Paragraph"/>
    <w:basedOn w:val="BodyText1"/>
    <w:link w:val="IntroParagraphChar"/>
    <w:qFormat/>
    <w:rsid w:val="005F70C4"/>
    <w:pPr>
      <w:spacing w:before="300" w:after="300"/>
    </w:pPr>
    <w:rPr>
      <w:color w:val="7030A0"/>
      <w:sz w:val="26"/>
    </w:rPr>
  </w:style>
  <w:style w:type="character" w:customStyle="1" w:styleId="BodytextChar">
    <w:name w:val="Body text Char"/>
    <w:basedOn w:val="DefaultParagraphFont"/>
    <w:link w:val="BodyText1"/>
    <w:rsid w:val="00911A17"/>
    <w:rPr>
      <w:rFonts w:ascii="Calibri" w:eastAsia="Times New Roman" w:hAnsi="Calibri" w:cs="Times New Roman"/>
      <w:szCs w:val="20"/>
    </w:rPr>
  </w:style>
  <w:style w:type="character" w:customStyle="1" w:styleId="IntroParagraphChar">
    <w:name w:val="Intro Paragraph Char"/>
    <w:basedOn w:val="BodytextChar"/>
    <w:link w:val="IntroParagraph"/>
    <w:rsid w:val="005F70C4"/>
    <w:rPr>
      <w:rFonts w:ascii="Calibri" w:eastAsia="Times New Roman" w:hAnsi="Calibri" w:cs="Times New Roman"/>
      <w:color w:val="7030A0"/>
      <w:sz w:val="26"/>
      <w:szCs w:val="20"/>
    </w:rPr>
  </w:style>
  <w:style w:type="paragraph" w:styleId="BodyText">
    <w:name w:val="Body Text"/>
    <w:basedOn w:val="Normal"/>
    <w:link w:val="BodyTextChar0"/>
    <w:uiPriority w:val="99"/>
    <w:semiHidden/>
    <w:unhideWhenUsed/>
    <w:rsid w:val="00EC5694"/>
    <w:pPr>
      <w:spacing w:after="120"/>
    </w:pPr>
  </w:style>
  <w:style w:type="character" w:customStyle="1" w:styleId="BodyTextChar0">
    <w:name w:val="Body Text Char"/>
    <w:basedOn w:val="DefaultParagraphFont"/>
    <w:link w:val="BodyText"/>
    <w:uiPriority w:val="99"/>
    <w:semiHidden/>
    <w:rsid w:val="00EC5694"/>
    <w:rPr>
      <w:rFonts w:ascii="Calibri" w:eastAsia="Times New Roman" w:hAnsi="Calibri" w:cs="Times New Roman"/>
      <w:szCs w:val="20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C5694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C5694"/>
    <w:rPr>
      <w:rFonts w:ascii="Calibri" w:eastAsia="Times New Roman" w:hAnsi="Calibri" w:cs="Times New Roman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C5694"/>
    <w:pPr>
      <w:spacing w:before="0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C5694"/>
    <w:rPr>
      <w:color w:val="0563C1" w:themeColor="hyperlink"/>
      <w:u w:val="single"/>
    </w:rPr>
  </w:style>
  <w:style w:type="paragraph" w:styleId="ListParagraph">
    <w:name w:val="List Paragraph"/>
    <w:aliases w:val="List Paragraph1,Recommendation,List Paragraph11,Bullet point,L,List Paragraph111,F5 List Paragraph,Dot pt,CV text,Medium Grid 1 - Accent 21,Numbered Paragraph,List Paragraph2,NFP GP Bulleted List,FooterText,numbered,列出段,lp1,列出段落,列出段落1"/>
    <w:basedOn w:val="Normal"/>
    <w:link w:val="ListParagraphChar"/>
    <w:uiPriority w:val="34"/>
    <w:qFormat/>
    <w:rsid w:val="000C12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33B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3B5"/>
    <w:rPr>
      <w:rFonts w:ascii="Tahoma" w:eastAsia="Times New Roman" w:hAnsi="Tahoma" w:cs="Tahoma"/>
      <w:sz w:val="16"/>
      <w:szCs w:val="16"/>
    </w:rPr>
  </w:style>
  <w:style w:type="table" w:styleId="TableGridLight">
    <w:name w:val="Grid Table Light"/>
    <w:basedOn w:val="TableNormal"/>
    <w:uiPriority w:val="40"/>
    <w:rsid w:val="009D244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9D244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770344"/>
  </w:style>
  <w:style w:type="paragraph" w:customStyle="1" w:styleId="Coverheading">
    <w:name w:val="Cover heading"/>
    <w:qFormat/>
    <w:rsid w:val="00557502"/>
    <w:pPr>
      <w:spacing w:after="1000"/>
      <w:jc w:val="center"/>
    </w:pPr>
    <w:rPr>
      <w:rFonts w:ascii="Arial" w:eastAsia="Times New Roman" w:hAnsi="Arial" w:cs="Times New Roman"/>
      <w:b/>
      <w:color w:val="FFFFFF" w:themeColor="background1"/>
      <w:kern w:val="28"/>
      <w:sz w:val="100"/>
      <w:szCs w:val="100"/>
    </w:rPr>
  </w:style>
  <w:style w:type="paragraph" w:customStyle="1" w:styleId="CoverSub-heading">
    <w:name w:val="Cover Sub-heading"/>
    <w:basedOn w:val="Coverheading"/>
    <w:qFormat/>
    <w:rsid w:val="00557502"/>
    <w:rPr>
      <w:sz w:val="60"/>
      <w:szCs w:val="60"/>
    </w:rPr>
  </w:style>
  <w:style w:type="table" w:styleId="TableGrid">
    <w:name w:val="Table Grid"/>
    <w:basedOn w:val="TableNormal"/>
    <w:uiPriority w:val="99"/>
    <w:rsid w:val="00DB7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22"/>
    <w:qFormat/>
    <w:rsid w:val="007C31FD"/>
    <w:pPr>
      <w:keepLines/>
      <w:spacing w:before="120" w:after="120"/>
      <w:contextualSpacing/>
      <w:outlineLvl w:val="0"/>
    </w:pPr>
    <w:rPr>
      <w:rFonts w:ascii="Arial" w:eastAsiaTheme="majorEastAsia" w:hAnsi="Arial" w:cs="Arial"/>
      <w:b/>
      <w:color w:val="FFFFFF" w:themeColor="background1"/>
      <w:kern w:val="28"/>
      <w:sz w:val="70"/>
      <w:szCs w:val="70"/>
    </w:rPr>
  </w:style>
  <w:style w:type="character" w:customStyle="1" w:styleId="TitleChar">
    <w:name w:val="Title Char"/>
    <w:basedOn w:val="DefaultParagraphFont"/>
    <w:link w:val="Title"/>
    <w:uiPriority w:val="22"/>
    <w:rsid w:val="007C31FD"/>
    <w:rPr>
      <w:rFonts w:ascii="Arial" w:eastAsiaTheme="majorEastAsia" w:hAnsi="Arial" w:cs="Arial"/>
      <w:b/>
      <w:color w:val="FFFFFF" w:themeColor="background1"/>
      <w:kern w:val="28"/>
      <w:sz w:val="70"/>
      <w:szCs w:val="70"/>
    </w:rPr>
  </w:style>
  <w:style w:type="paragraph" w:styleId="Subtitle">
    <w:name w:val="Subtitle"/>
    <w:basedOn w:val="Normal"/>
    <w:next w:val="Normal"/>
    <w:link w:val="SubtitleChar"/>
    <w:uiPriority w:val="23"/>
    <w:qFormat/>
    <w:rsid w:val="00F939BC"/>
    <w:pPr>
      <w:keepLines/>
      <w:numPr>
        <w:ilvl w:val="1"/>
      </w:numPr>
      <w:spacing w:before="120" w:after="480" w:line="360" w:lineRule="exact"/>
      <w:contextualSpacing/>
      <w:jc w:val="right"/>
    </w:pPr>
    <w:rPr>
      <w:rFonts w:asciiTheme="minorHAnsi" w:eastAsiaTheme="minorEastAsia" w:hAnsiTheme="minorHAnsi" w:cstheme="minorBidi"/>
      <w:bCs/>
      <w:color w:val="FFFFFF" w:themeColor="background1"/>
      <w:sz w:val="50"/>
      <w:szCs w:val="50"/>
    </w:rPr>
  </w:style>
  <w:style w:type="character" w:customStyle="1" w:styleId="SubtitleChar">
    <w:name w:val="Subtitle Char"/>
    <w:basedOn w:val="DefaultParagraphFont"/>
    <w:link w:val="Subtitle"/>
    <w:uiPriority w:val="23"/>
    <w:rsid w:val="00F939BC"/>
    <w:rPr>
      <w:rFonts w:eastAsiaTheme="minorEastAsia"/>
      <w:bCs/>
      <w:color w:val="FFFFFF" w:themeColor="background1"/>
      <w:sz w:val="50"/>
      <w:szCs w:val="50"/>
    </w:rPr>
  </w:style>
  <w:style w:type="paragraph" w:customStyle="1" w:styleId="Boxed1Text">
    <w:name w:val="Boxed 1 Text"/>
    <w:basedOn w:val="Normal"/>
    <w:uiPriority w:val="29"/>
    <w:qFormat/>
    <w:rsid w:val="008F4C1C"/>
    <w:pPr>
      <w:pBdr>
        <w:top w:val="single" w:sz="4" w:space="14" w:color="DEEAF6" w:themeColor="accent1" w:themeTint="33"/>
        <w:left w:val="single" w:sz="4" w:space="14" w:color="DEEAF6" w:themeColor="accent1" w:themeTint="33"/>
        <w:bottom w:val="single" w:sz="4" w:space="14" w:color="DEEAF6" w:themeColor="accent1" w:themeTint="33"/>
        <w:right w:val="single" w:sz="4" w:space="14" w:color="DEEAF6" w:themeColor="accent1" w:themeTint="33"/>
      </w:pBdr>
      <w:shd w:val="clear" w:color="auto" w:fill="DEEAF6" w:themeFill="accent1" w:themeFillTint="33"/>
      <w:spacing w:before="120" w:after="60"/>
      <w:ind w:left="284" w:right="284"/>
    </w:pPr>
    <w:rPr>
      <w:rFonts w:asciiTheme="minorHAnsi" w:eastAsiaTheme="minorHAnsi" w:hAnsiTheme="minorHAnsi" w:cstheme="minorBidi"/>
      <w:color w:val="000000" w:themeColor="text1"/>
      <w:szCs w:val="22"/>
    </w:rPr>
  </w:style>
  <w:style w:type="numbering" w:customStyle="1" w:styleId="KCBullets">
    <w:name w:val="KC Bullets"/>
    <w:uiPriority w:val="99"/>
    <w:rsid w:val="00430784"/>
    <w:pPr>
      <w:numPr>
        <w:numId w:val="5"/>
      </w:numPr>
    </w:pPr>
  </w:style>
  <w:style w:type="paragraph" w:customStyle="1" w:styleId="Bullet1">
    <w:name w:val="Bullet 1"/>
    <w:basedOn w:val="Normal"/>
    <w:uiPriority w:val="2"/>
    <w:qFormat/>
    <w:rsid w:val="00430784"/>
    <w:pPr>
      <w:numPr>
        <w:numId w:val="6"/>
      </w:numPr>
      <w:spacing w:before="120" w:after="120"/>
    </w:pPr>
    <w:rPr>
      <w:rFonts w:asciiTheme="minorHAnsi" w:eastAsiaTheme="minorHAnsi" w:hAnsiTheme="minorHAnsi" w:cstheme="minorBidi"/>
      <w:color w:val="000000" w:themeColor="text1"/>
      <w:sz w:val="20"/>
    </w:rPr>
  </w:style>
  <w:style w:type="paragraph" w:customStyle="1" w:styleId="Bullet2">
    <w:name w:val="Bullet 2"/>
    <w:basedOn w:val="Normal"/>
    <w:uiPriority w:val="2"/>
    <w:qFormat/>
    <w:rsid w:val="00430784"/>
    <w:pPr>
      <w:numPr>
        <w:ilvl w:val="1"/>
        <w:numId w:val="6"/>
      </w:numPr>
      <w:spacing w:before="120" w:after="120"/>
    </w:pPr>
    <w:rPr>
      <w:rFonts w:asciiTheme="minorHAnsi" w:eastAsiaTheme="minorHAnsi" w:hAnsiTheme="minorHAnsi" w:cstheme="minorBidi"/>
      <w:color w:val="000000" w:themeColor="text1"/>
      <w:sz w:val="20"/>
    </w:rPr>
  </w:style>
  <w:style w:type="paragraph" w:customStyle="1" w:styleId="Bullet3">
    <w:name w:val="Bullet 3"/>
    <w:basedOn w:val="Normal"/>
    <w:qFormat/>
    <w:rsid w:val="00430784"/>
    <w:pPr>
      <w:numPr>
        <w:ilvl w:val="2"/>
        <w:numId w:val="6"/>
      </w:numPr>
      <w:spacing w:before="120" w:after="120"/>
    </w:pPr>
    <w:rPr>
      <w:rFonts w:asciiTheme="minorHAnsi" w:eastAsiaTheme="minorHAnsi" w:hAnsiTheme="minorHAnsi" w:cstheme="minorBidi"/>
      <w:color w:val="000000" w:themeColor="text1"/>
      <w:sz w:val="20"/>
    </w:rPr>
  </w:style>
  <w:style w:type="paragraph" w:customStyle="1" w:styleId="bulletalpha">
    <w:name w:val="bullet alpha"/>
    <w:basedOn w:val="bullet10"/>
    <w:qFormat/>
    <w:rsid w:val="00E63215"/>
    <w:pPr>
      <w:numPr>
        <w:numId w:val="7"/>
      </w:numPr>
    </w:pPr>
    <w:rPr>
      <w:szCs w:val="22"/>
      <w:lang w:val="en"/>
    </w:rPr>
  </w:style>
  <w:style w:type="paragraph" w:customStyle="1" w:styleId="Bulletroman">
    <w:name w:val="Bullet roman"/>
    <w:basedOn w:val="bulletalpha"/>
    <w:qFormat/>
    <w:rsid w:val="00430784"/>
    <w:pPr>
      <w:numPr>
        <w:numId w:val="8"/>
      </w:numPr>
    </w:pPr>
  </w:style>
  <w:style w:type="paragraph" w:customStyle="1" w:styleId="Boxed1Bullet">
    <w:name w:val="Boxed 1 Bullet"/>
    <w:basedOn w:val="Boxed1Text"/>
    <w:uiPriority w:val="30"/>
    <w:qFormat/>
    <w:rsid w:val="00430784"/>
    <w:pPr>
      <w:numPr>
        <w:numId w:val="9"/>
      </w:numPr>
    </w:pPr>
  </w:style>
  <w:style w:type="paragraph" w:customStyle="1" w:styleId="Boxed2Bullet">
    <w:name w:val="Boxed 2 Bullet"/>
    <w:basedOn w:val="Normal"/>
    <w:uiPriority w:val="32"/>
    <w:qFormat/>
    <w:rsid w:val="00430784"/>
    <w:pPr>
      <w:numPr>
        <w:ilvl w:val="1"/>
        <w:numId w:val="9"/>
      </w:numPr>
      <w:pBdr>
        <w:top w:val="single" w:sz="4" w:space="14" w:color="5B9BD5" w:themeColor="accent1"/>
        <w:left w:val="single" w:sz="4" w:space="14" w:color="5B9BD5" w:themeColor="accent1"/>
        <w:bottom w:val="single" w:sz="4" w:space="14" w:color="5B9BD5" w:themeColor="accent1"/>
        <w:right w:val="single" w:sz="4" w:space="14" w:color="5B9BD5" w:themeColor="accent1"/>
      </w:pBdr>
      <w:spacing w:before="120" w:after="60" w:line="240" w:lineRule="atLeast"/>
      <w:ind w:right="284"/>
    </w:pPr>
    <w:rPr>
      <w:rFonts w:asciiTheme="minorHAnsi" w:eastAsiaTheme="minorHAnsi" w:hAnsiTheme="minorHAnsi" w:cstheme="minorBidi"/>
      <w:color w:val="000000" w:themeColor="text1"/>
      <w:sz w:val="20"/>
    </w:rPr>
  </w:style>
  <w:style w:type="numbering" w:customStyle="1" w:styleId="BoxedBullets">
    <w:name w:val="Boxed Bullets"/>
    <w:uiPriority w:val="99"/>
    <w:rsid w:val="00430784"/>
    <w:pPr>
      <w:numPr>
        <w:numId w:val="9"/>
      </w:numPr>
    </w:pPr>
  </w:style>
  <w:style w:type="character" w:styleId="IntenseEmphasis">
    <w:name w:val="Intense Emphasis"/>
    <w:basedOn w:val="DefaultParagraphFont"/>
    <w:uiPriority w:val="33"/>
    <w:qFormat/>
    <w:rsid w:val="00430784"/>
    <w:rPr>
      <w:b/>
      <w:i/>
      <w:iCs/>
      <w:color w:val="000000" w:themeColor="text1"/>
    </w:rPr>
  </w:style>
  <w:style w:type="paragraph" w:customStyle="1" w:styleId="NormalIndent5mm">
    <w:name w:val="Normal Indent 5mm"/>
    <w:basedOn w:val="Normal"/>
    <w:qFormat/>
    <w:rsid w:val="00B514E3"/>
    <w:pPr>
      <w:spacing w:before="120" w:after="120" w:line="240" w:lineRule="auto"/>
      <w:ind w:left="284"/>
    </w:pPr>
    <w:rPr>
      <w:rFonts w:asciiTheme="minorHAnsi" w:eastAsiaTheme="minorHAnsi" w:hAnsiTheme="minorHAnsi" w:cstheme="minorBidi"/>
      <w:color w:val="000000" w:themeColor="text1"/>
      <w:sz w:val="20"/>
    </w:rPr>
  </w:style>
  <w:style w:type="character" w:styleId="Strong">
    <w:name w:val="Strong"/>
    <w:basedOn w:val="DefaultParagraphFont"/>
    <w:uiPriority w:val="22"/>
    <w:qFormat/>
    <w:rsid w:val="001F5A1E"/>
    <w:rPr>
      <w:b/>
      <w:bCs/>
    </w:rPr>
  </w:style>
  <w:style w:type="paragraph" w:customStyle="1" w:styleId="Boxed1Heading">
    <w:name w:val="Boxed 1 Heading"/>
    <w:basedOn w:val="Boxed1Text"/>
    <w:uiPriority w:val="29"/>
    <w:qFormat/>
    <w:rsid w:val="00495C6A"/>
    <w:pPr>
      <w:keepNext/>
      <w:spacing w:line="240" w:lineRule="atLeast"/>
    </w:pPr>
    <w:rPr>
      <w:b/>
      <w:szCs w:val="20"/>
    </w:rPr>
  </w:style>
  <w:style w:type="numbering" w:customStyle="1" w:styleId="FigureNumbers">
    <w:name w:val="Figure Numbers"/>
    <w:uiPriority w:val="99"/>
    <w:rsid w:val="00495C6A"/>
    <w:pPr>
      <w:numPr>
        <w:numId w:val="10"/>
      </w:numPr>
    </w:pPr>
  </w:style>
  <w:style w:type="paragraph" w:customStyle="1" w:styleId="FigureTitle">
    <w:name w:val="Figure Title"/>
    <w:basedOn w:val="Normal"/>
    <w:uiPriority w:val="12"/>
    <w:qFormat/>
    <w:rsid w:val="00495C6A"/>
    <w:pPr>
      <w:keepNext/>
      <w:numPr>
        <w:numId w:val="11"/>
      </w:numPr>
      <w:spacing w:before="240" w:after="120" w:line="240" w:lineRule="auto"/>
    </w:pPr>
    <w:rPr>
      <w:rFonts w:asciiTheme="majorHAnsi" w:eastAsiaTheme="minorHAnsi" w:hAnsiTheme="majorHAnsi" w:cstheme="minorBidi"/>
      <w:color w:val="000000" w:themeColor="text1"/>
      <w:sz w:val="20"/>
    </w:rPr>
  </w:style>
  <w:style w:type="character" w:customStyle="1" w:styleId="heading10">
    <w:name w:val="heading1"/>
    <w:basedOn w:val="DefaultParagraphFont"/>
    <w:rsid w:val="007811EC"/>
    <w:rPr>
      <w:rFonts w:ascii="Calibri" w:hAnsi="Calibri" w:cs="Calibri" w:hint="default"/>
      <w:b/>
      <w:bCs/>
      <w:i w:val="0"/>
      <w:iCs w:val="0"/>
      <w:color w:val="000000"/>
    </w:rPr>
  </w:style>
  <w:style w:type="paragraph" w:customStyle="1" w:styleId="AppendixNumbered">
    <w:name w:val="Appendix Numbered"/>
    <w:basedOn w:val="Heading2"/>
    <w:uiPriority w:val="11"/>
    <w:qFormat/>
    <w:rsid w:val="00C45989"/>
    <w:pPr>
      <w:keepLines/>
      <w:pageBreakBefore/>
      <w:numPr>
        <w:numId w:val="15"/>
      </w:numPr>
      <w:spacing w:before="360" w:after="120" w:line="240" w:lineRule="auto"/>
    </w:pPr>
    <w:rPr>
      <w:rFonts w:asciiTheme="majorHAnsi" w:eastAsiaTheme="majorEastAsia" w:hAnsiTheme="majorHAnsi" w:cstheme="majorBidi"/>
      <w:snapToGrid/>
      <w:color w:val="5B9BD5" w:themeColor="accent1"/>
      <w:szCs w:val="26"/>
    </w:rPr>
  </w:style>
  <w:style w:type="numbering" w:customStyle="1" w:styleId="AppendixNumbers">
    <w:name w:val="Appendix Numbers"/>
    <w:uiPriority w:val="99"/>
    <w:rsid w:val="00C45989"/>
    <w:pPr>
      <w:numPr>
        <w:numId w:val="12"/>
      </w:numPr>
    </w:pPr>
  </w:style>
  <w:style w:type="table" w:customStyle="1" w:styleId="DefaultTable1">
    <w:name w:val="Default Table 1"/>
    <w:basedOn w:val="GridTable5Dark-Accent1"/>
    <w:uiPriority w:val="99"/>
    <w:rsid w:val="00C45989"/>
    <w:pPr>
      <w:spacing w:before="60" w:after="60"/>
    </w:pPr>
    <w:rPr>
      <w:color w:val="000000" w:themeColor="text1"/>
      <w:sz w:val="18"/>
      <w:szCs w:val="20"/>
      <w:lang w:eastAsia="en-A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</w:pPr>
      <w:rPr>
        <w:rFonts w:asciiTheme="majorHAnsi" w:hAnsiTheme="majorHAnsi"/>
        <w:b/>
        <w:bCs/>
        <w:caps w:val="0"/>
        <w:smallCaps w:val="0"/>
        <w:color w:val="FFFFFF" w:themeColor="background1"/>
        <w:sz w:val="18"/>
      </w:rPr>
      <w:tblPr/>
      <w:trPr>
        <w:cantSplit w:val="0"/>
        <w:tblHeader/>
      </w:trPr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5B9BD5" w:themeFill="accent1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BFBFBF" w:themeFill="background1" w:themeFillShade="BF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pPr>
        <w:jc w:val="right"/>
      </w:pPr>
      <w:rPr>
        <w:b/>
        <w:bCs/>
        <w:color w:val="000000" w:themeColor="text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BFBF" w:themeFill="background1" w:themeFillShade="BF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2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DEEAF6" w:themeFill="accent1" w:themeFillTint="33"/>
      </w:tcPr>
    </w:tblStylePr>
    <w:tblStylePr w:type="band2Horz">
      <w:tblPr/>
      <w:tcPr>
        <w:shd w:val="clear" w:color="auto" w:fill="BDD6EE" w:themeFill="accent1" w:themeFillTint="66"/>
      </w:tcPr>
    </w:tblStylePr>
  </w:style>
  <w:style w:type="numbering" w:customStyle="1" w:styleId="TableNumbers">
    <w:name w:val="Table Numbers"/>
    <w:uiPriority w:val="99"/>
    <w:rsid w:val="00C45989"/>
    <w:pPr>
      <w:numPr>
        <w:numId w:val="13"/>
      </w:numPr>
    </w:pPr>
  </w:style>
  <w:style w:type="paragraph" w:customStyle="1" w:styleId="TableTitle">
    <w:name w:val="Table Title"/>
    <w:basedOn w:val="FigureTitle"/>
    <w:uiPriority w:val="12"/>
    <w:qFormat/>
    <w:rsid w:val="00C45989"/>
    <w:pPr>
      <w:numPr>
        <w:numId w:val="14"/>
      </w:numPr>
    </w:pPr>
  </w:style>
  <w:style w:type="table" w:styleId="GridTable5Dark-Accent1">
    <w:name w:val="Grid Table 5 Dark Accent 1"/>
    <w:basedOn w:val="TableNormal"/>
    <w:uiPriority w:val="50"/>
    <w:rsid w:val="00C459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5331E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31E2"/>
    <w:rPr>
      <w:color w:val="605E5C"/>
      <w:shd w:val="clear" w:color="auto" w:fill="E1DFDD"/>
    </w:rPr>
  </w:style>
  <w:style w:type="paragraph" w:customStyle="1" w:styleId="bulletnumbers">
    <w:name w:val="bullet numbers"/>
    <w:basedOn w:val="Normal"/>
    <w:qFormat/>
    <w:rsid w:val="00C23AE3"/>
    <w:pPr>
      <w:numPr>
        <w:numId w:val="16"/>
      </w:numPr>
      <w:spacing w:before="30" w:after="30"/>
      <w:ind w:left="357" w:hanging="357"/>
    </w:pPr>
    <w:rPr>
      <w:rFonts w:asciiTheme="minorHAnsi" w:eastAsiaTheme="minorHAnsi" w:hAnsiTheme="minorHAnsi"/>
      <w:szCs w:val="22"/>
    </w:rPr>
  </w:style>
  <w:style w:type="paragraph" w:customStyle="1" w:styleId="Directoratename">
    <w:name w:val="Directorate name"/>
    <w:basedOn w:val="Normal"/>
    <w:qFormat/>
    <w:rsid w:val="008F4C1C"/>
    <w:rPr>
      <w:b/>
      <w:bCs/>
      <w:color w:val="7030A0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723F7"/>
    <w:pPr>
      <w:spacing w:before="0"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23F7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723F7"/>
    <w:rPr>
      <w:vertAlign w:val="superscript"/>
    </w:rPr>
  </w:style>
  <w:style w:type="table" w:customStyle="1" w:styleId="LightShading1">
    <w:name w:val="Light Shading1"/>
    <w:basedOn w:val="TableNormal"/>
    <w:uiPriority w:val="60"/>
    <w:rsid w:val="002014DC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lang w:eastAsia="en-A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014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14DC"/>
    <w:pPr>
      <w:spacing w:before="0" w:after="160"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14DC"/>
    <w:rPr>
      <w:sz w:val="20"/>
      <w:szCs w:val="20"/>
    </w:rPr>
  </w:style>
  <w:style w:type="character" w:customStyle="1" w:styleId="charbolditals">
    <w:name w:val="charbolditals"/>
    <w:basedOn w:val="DefaultParagraphFont"/>
    <w:rsid w:val="002014DC"/>
  </w:style>
  <w:style w:type="paragraph" w:styleId="TOC1">
    <w:name w:val="toc 1"/>
    <w:basedOn w:val="Normal"/>
    <w:next w:val="Normal"/>
    <w:autoRedefine/>
    <w:uiPriority w:val="39"/>
    <w:unhideWhenUsed/>
    <w:rsid w:val="004C09A3"/>
    <w:pPr>
      <w:tabs>
        <w:tab w:val="right" w:leader="dot" w:pos="9629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C09A3"/>
    <w:pPr>
      <w:tabs>
        <w:tab w:val="right" w:leader="dot" w:pos="9629"/>
      </w:tabs>
      <w:spacing w:after="100"/>
      <w:ind w:left="220"/>
    </w:pPr>
  </w:style>
  <w:style w:type="paragraph" w:styleId="TOCHeading">
    <w:name w:val="TOC Heading"/>
    <w:basedOn w:val="Heading1"/>
    <w:next w:val="Normal"/>
    <w:uiPriority w:val="39"/>
    <w:unhideWhenUsed/>
    <w:qFormat/>
    <w:rsid w:val="005456A2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kern w:val="0"/>
      <w:sz w:val="32"/>
      <w:szCs w:val="32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269C"/>
    <w:pPr>
      <w:spacing w:before="200" w:after="200"/>
    </w:pPr>
    <w:rPr>
      <w:rFonts w:ascii="Calibri" w:eastAsia="Times New Roman" w:hAnsi="Calibri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269C"/>
    <w:rPr>
      <w:rFonts w:ascii="Calibri" w:eastAsia="Times New Roman" w:hAnsi="Calibri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067E09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paragraph" w:customStyle="1" w:styleId="1-PACT">
    <w:name w:val="1. - PACT"/>
    <w:basedOn w:val="Normal"/>
    <w:qFormat/>
    <w:rsid w:val="0034662C"/>
    <w:pPr>
      <w:numPr>
        <w:ilvl w:val="1"/>
        <w:numId w:val="18"/>
      </w:numPr>
      <w:spacing w:before="240" w:after="120" w:line="240" w:lineRule="auto"/>
      <w:jc w:val="both"/>
      <w:outlineLvl w:val="3"/>
    </w:pPr>
    <w:rPr>
      <w:rFonts w:ascii="Arial" w:eastAsiaTheme="minorHAnsi" w:hAnsi="Arial" w:cs="Arial"/>
      <w:b/>
      <w:color w:val="482D8C"/>
      <w:sz w:val="44"/>
      <w:szCs w:val="44"/>
    </w:rPr>
  </w:style>
  <w:style w:type="paragraph" w:customStyle="1" w:styleId="11-PACT">
    <w:name w:val="1.1 - PACT"/>
    <w:basedOn w:val="Normal"/>
    <w:qFormat/>
    <w:rsid w:val="0034662C"/>
    <w:pPr>
      <w:numPr>
        <w:ilvl w:val="2"/>
        <w:numId w:val="18"/>
      </w:numPr>
      <w:spacing w:before="240" w:after="120" w:line="240" w:lineRule="auto"/>
      <w:jc w:val="both"/>
      <w:outlineLvl w:val="4"/>
    </w:pPr>
    <w:rPr>
      <w:rFonts w:ascii="Arial" w:eastAsiaTheme="minorHAnsi" w:hAnsi="Arial" w:cs="Arial"/>
      <w:color w:val="482D8C"/>
      <w:sz w:val="32"/>
      <w:szCs w:val="32"/>
    </w:rPr>
  </w:style>
  <w:style w:type="paragraph" w:customStyle="1" w:styleId="111-PACT">
    <w:name w:val="1.1.1. - PACT"/>
    <w:basedOn w:val="Normal"/>
    <w:link w:val="111-PACTChar"/>
    <w:qFormat/>
    <w:rsid w:val="0034662C"/>
    <w:pPr>
      <w:numPr>
        <w:ilvl w:val="3"/>
        <w:numId w:val="18"/>
      </w:numPr>
      <w:spacing w:before="120" w:after="120" w:line="240" w:lineRule="auto"/>
      <w:jc w:val="both"/>
      <w:outlineLvl w:val="5"/>
    </w:pPr>
    <w:rPr>
      <w:rFonts w:eastAsiaTheme="minorHAnsi"/>
      <w:szCs w:val="22"/>
    </w:rPr>
  </w:style>
  <w:style w:type="paragraph" w:customStyle="1" w:styleId="a-PACT">
    <w:name w:val="(a) - PACT"/>
    <w:basedOn w:val="i-PACT"/>
    <w:link w:val="a-PACTChar"/>
    <w:qFormat/>
    <w:rsid w:val="0034662C"/>
    <w:pPr>
      <w:numPr>
        <w:ilvl w:val="4"/>
      </w:numPr>
      <w:outlineLvl w:val="6"/>
    </w:pPr>
  </w:style>
  <w:style w:type="paragraph" w:customStyle="1" w:styleId="i-PACT">
    <w:name w:val="i. - PACT"/>
    <w:basedOn w:val="Normal"/>
    <w:qFormat/>
    <w:rsid w:val="0034662C"/>
    <w:pPr>
      <w:numPr>
        <w:ilvl w:val="5"/>
        <w:numId w:val="18"/>
      </w:numPr>
      <w:spacing w:before="0" w:after="120" w:line="240" w:lineRule="auto"/>
      <w:jc w:val="both"/>
      <w:outlineLvl w:val="5"/>
    </w:pPr>
    <w:rPr>
      <w:rFonts w:eastAsia="Calibri"/>
      <w:szCs w:val="22"/>
    </w:rPr>
  </w:style>
  <w:style w:type="character" w:customStyle="1" w:styleId="a-PACTChar">
    <w:name w:val="(a) - PACT Char"/>
    <w:basedOn w:val="DefaultParagraphFont"/>
    <w:link w:val="a-PACT"/>
    <w:rsid w:val="0034662C"/>
    <w:rPr>
      <w:rFonts w:ascii="Calibri" w:eastAsia="Calibri" w:hAnsi="Calibri" w:cs="Times New Roman"/>
    </w:rPr>
  </w:style>
  <w:style w:type="paragraph" w:customStyle="1" w:styleId="Schedule1PACT">
    <w:name w:val="Schedule 1. PACT"/>
    <w:basedOn w:val="Normal"/>
    <w:qFormat/>
    <w:rsid w:val="0034662C"/>
    <w:pPr>
      <w:pageBreakBefore/>
      <w:numPr>
        <w:numId w:val="18"/>
      </w:numPr>
      <w:spacing w:before="240" w:after="120" w:line="240" w:lineRule="auto"/>
      <w:outlineLvl w:val="3"/>
    </w:pPr>
    <w:rPr>
      <w:rFonts w:asciiTheme="majorHAnsi" w:eastAsiaTheme="minorHAnsi" w:hAnsiTheme="majorHAnsi" w:cstheme="majorHAnsi"/>
      <w:b/>
      <w:color w:val="482D8C"/>
      <w:sz w:val="44"/>
      <w:szCs w:val="44"/>
    </w:rPr>
  </w:style>
  <w:style w:type="character" w:customStyle="1" w:styleId="111-PACTChar">
    <w:name w:val="1.1.1. - PACT Char"/>
    <w:basedOn w:val="DefaultParagraphFont"/>
    <w:link w:val="111-PACT"/>
    <w:rsid w:val="001D48BC"/>
    <w:rPr>
      <w:rFonts w:ascii="Calibri" w:hAnsi="Calibri" w:cs="Times New Roman"/>
    </w:rPr>
  </w:style>
  <w:style w:type="paragraph" w:styleId="Revision">
    <w:name w:val="Revision"/>
    <w:hidden/>
    <w:uiPriority w:val="99"/>
    <w:semiHidden/>
    <w:rsid w:val="00C3734D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character" w:customStyle="1" w:styleId="ListParagraphChar">
    <w:name w:val="List Paragraph Char"/>
    <w:aliases w:val="List Paragraph1 Char,Recommendation Char,List Paragraph11 Char,Bullet point Char,L Char,List Paragraph111 Char,F5 List Paragraph Char,Dot pt Char,CV text Char,Medium Grid 1 - Accent 21 Char,Numbered Paragraph Char,FooterText Char"/>
    <w:link w:val="ListParagraph"/>
    <w:uiPriority w:val="34"/>
    <w:rsid w:val="00EA6F8A"/>
    <w:rPr>
      <w:rFonts w:ascii="Calibri" w:eastAsia="Times New Roman" w:hAnsi="Calibri" w:cs="Times New Roman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036D53"/>
    <w:pPr>
      <w:spacing w:after="100"/>
      <w:ind w:left="440"/>
    </w:pPr>
  </w:style>
  <w:style w:type="paragraph" w:customStyle="1" w:styleId="Definition">
    <w:name w:val="Definition"/>
    <w:basedOn w:val="Normal"/>
    <w:link w:val="DefinitionChar"/>
    <w:rsid w:val="001560CF"/>
    <w:pPr>
      <w:numPr>
        <w:numId w:val="25"/>
      </w:numPr>
      <w:spacing w:before="0" w:after="240" w:line="240" w:lineRule="auto"/>
    </w:pPr>
    <w:rPr>
      <w:rFonts w:ascii="Arial" w:hAnsi="Arial"/>
      <w:sz w:val="20"/>
      <w:szCs w:val="22"/>
    </w:rPr>
  </w:style>
  <w:style w:type="paragraph" w:customStyle="1" w:styleId="DefinitionNum2">
    <w:name w:val="DefinitionNum2"/>
    <w:basedOn w:val="Normal"/>
    <w:rsid w:val="001560CF"/>
    <w:pPr>
      <w:numPr>
        <w:ilvl w:val="1"/>
        <w:numId w:val="25"/>
      </w:numPr>
      <w:spacing w:before="0" w:after="240" w:line="240" w:lineRule="auto"/>
    </w:pPr>
    <w:rPr>
      <w:rFonts w:ascii="Arial" w:hAnsi="Arial"/>
      <w:sz w:val="20"/>
      <w:szCs w:val="24"/>
    </w:rPr>
  </w:style>
  <w:style w:type="paragraph" w:customStyle="1" w:styleId="DefinitionNum3">
    <w:name w:val="DefinitionNum3"/>
    <w:basedOn w:val="Normal"/>
    <w:rsid w:val="001560CF"/>
    <w:pPr>
      <w:numPr>
        <w:ilvl w:val="2"/>
        <w:numId w:val="25"/>
      </w:numPr>
      <w:spacing w:before="0" w:after="240" w:line="240" w:lineRule="auto"/>
      <w:outlineLvl w:val="2"/>
    </w:pPr>
    <w:rPr>
      <w:rFonts w:ascii="Arial" w:hAnsi="Arial"/>
      <w:sz w:val="20"/>
      <w:szCs w:val="22"/>
    </w:rPr>
  </w:style>
  <w:style w:type="paragraph" w:customStyle="1" w:styleId="DefinitionNum4">
    <w:name w:val="DefinitionNum4"/>
    <w:basedOn w:val="Normal"/>
    <w:rsid w:val="001560CF"/>
    <w:pPr>
      <w:numPr>
        <w:ilvl w:val="3"/>
        <w:numId w:val="25"/>
      </w:numPr>
      <w:spacing w:before="0" w:after="240" w:line="240" w:lineRule="auto"/>
    </w:pPr>
    <w:rPr>
      <w:rFonts w:ascii="Arial" w:hAnsi="Arial"/>
      <w:sz w:val="20"/>
      <w:szCs w:val="24"/>
    </w:rPr>
  </w:style>
  <w:style w:type="numbering" w:customStyle="1" w:styleId="Definitions">
    <w:name w:val="Definitions"/>
    <w:rsid w:val="001560CF"/>
    <w:pPr>
      <w:numPr>
        <w:numId w:val="24"/>
      </w:numPr>
    </w:pPr>
  </w:style>
  <w:style w:type="character" w:customStyle="1" w:styleId="DefinitionChar">
    <w:name w:val="Definition Char"/>
    <w:basedOn w:val="DefaultParagraphFont"/>
    <w:link w:val="Definition"/>
    <w:rsid w:val="001560CF"/>
    <w:rPr>
      <w:rFonts w:ascii="Arial" w:eastAsia="Times New Roman" w:hAnsi="Arial" w:cs="Times New Roman"/>
      <w:sz w:val="20"/>
    </w:rPr>
  </w:style>
  <w:style w:type="character" w:customStyle="1" w:styleId="cf01">
    <w:name w:val="cf01"/>
    <w:basedOn w:val="DefaultParagraphFont"/>
    <w:rsid w:val="00C91166"/>
    <w:rPr>
      <w:rFonts w:ascii="Segoe UI" w:hAnsi="Segoe UI" w:cs="Segoe UI" w:hint="default"/>
      <w:i/>
      <w:iCs/>
      <w:sz w:val="18"/>
      <w:szCs w:val="18"/>
    </w:rPr>
  </w:style>
  <w:style w:type="paragraph" w:customStyle="1" w:styleId="pf0">
    <w:name w:val="pf0"/>
    <w:basedOn w:val="Normal"/>
    <w:rsid w:val="00C911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  <w:style w:type="character" w:customStyle="1" w:styleId="ui-provider">
    <w:name w:val="ui-provider"/>
    <w:basedOn w:val="DefaultParagraphFont"/>
    <w:rsid w:val="0074490C"/>
  </w:style>
  <w:style w:type="paragraph" w:customStyle="1" w:styleId="Bbodytext">
    <w:name w:val="B_body_text"/>
    <w:basedOn w:val="Normal"/>
    <w:link w:val="BbodytextChar"/>
    <w:qFormat/>
    <w:rsid w:val="00923C55"/>
    <w:pPr>
      <w:spacing w:before="120" w:after="120" w:line="240" w:lineRule="auto"/>
    </w:pPr>
    <w:rPr>
      <w:rFonts w:asciiTheme="minorHAnsi" w:eastAsiaTheme="minorHAnsi" w:hAnsiTheme="minorHAnsi" w:cstheme="minorBidi"/>
      <w:sz w:val="24"/>
      <w:szCs w:val="22"/>
    </w:rPr>
  </w:style>
  <w:style w:type="character" w:customStyle="1" w:styleId="BbodytextChar">
    <w:name w:val="B_body_text Char"/>
    <w:basedOn w:val="DefaultParagraphFont"/>
    <w:link w:val="Bbodytext"/>
    <w:rsid w:val="00923C55"/>
    <w:rPr>
      <w:sz w:val="24"/>
    </w:rPr>
  </w:style>
  <w:style w:type="paragraph" w:customStyle="1" w:styleId="TableHeading">
    <w:name w:val="Table Heading"/>
    <w:basedOn w:val="Normal"/>
    <w:qFormat/>
    <w:rsid w:val="00923C55"/>
    <w:pPr>
      <w:spacing w:before="240" w:after="120"/>
      <w:outlineLvl w:val="0"/>
    </w:pPr>
    <w:rPr>
      <w:b/>
      <w:sz w:val="20"/>
      <w:szCs w:val="2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6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file:///\\nas327s1\PICC\CAMPAIGN%20and%20CREATIVE\Design_Hub\Branding\Post%20election%20options\Brand%20book%20update\Look%20&amp;%20feel%20development\Brand%20products%20various\AAA_Templates\Word%20templates\A4%20Reports\Content\Images\WHoG%20cover%20top\Cover%20WHoG%20long_.png" TargetMode="External"/><Relationship Id="rId17" Type="http://schemas.openxmlformats.org/officeDocument/2006/relationships/hyperlink" Target="https://www.iss-stoxx.com/stewardship/voting-policy-gateway/proxy-voting-policies/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file:///\\nas327s1\PICC\CAMPAIGN%20and%20CREATIVE\Design_Hub\Branding\Post%20election%20options\Brand%20book%20update\Look%20&amp;%20feel%20development\Brand%20products%20various\AAA_Templates\Word%20templates\A4%20Reports\Content\Images\Header%20WHoG\Header%20WHog_B%20thin.png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6c841be-bb08-4901-87b0-0033aa80d2c6" xsi:nil="true"/>
    <DocumentType xmlns="f6c841be-bb08-4901-87b0-0033aa80d2c6" xsi:nil="true"/>
    <lcf76f155ced4ddcb4097134ff3c332f xmlns="f6c841be-bb08-4901-87b0-0033aa80d2c6">
      <Terms xmlns="http://schemas.microsoft.com/office/infopath/2007/PartnerControls"/>
    </lcf76f155ced4ddcb4097134ff3c332f>
    <TaxCatchAll xmlns="4d47241e-7224-40da-83d9-1113ff4a433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D9B5854DD0943985B1931B7971495" ma:contentTypeVersion="19" ma:contentTypeDescription="Create a new document." ma:contentTypeScope="" ma:versionID="aec6f21c815671188cde2abac0075900">
  <xsd:schema xmlns:xsd="http://www.w3.org/2001/XMLSchema" xmlns:xs="http://www.w3.org/2001/XMLSchema" xmlns:p="http://schemas.microsoft.com/office/2006/metadata/properties" xmlns:ns2="f6c841be-bb08-4901-87b0-0033aa80d2c6" xmlns:ns3="4d47241e-7224-40da-83d9-1113ff4a4334" targetNamespace="http://schemas.microsoft.com/office/2006/metadata/properties" ma:root="true" ma:fieldsID="321f9ca8876a6050411e27632b4ddb20" ns2:_="" ns3:_="">
    <xsd:import namespace="f6c841be-bb08-4901-87b0-0033aa80d2c6"/>
    <xsd:import namespace="4d47241e-7224-40da-83d9-1113ff4a43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2:DocumentTyp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841be-bb08-4901-87b0-0033aa80d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Sign-off status" ma:internalName="Sign_x002d_off_x0020_status">
      <xsd:simpleType>
        <xsd:restriction base="dms:Text"/>
      </xsd:simpleType>
    </xsd:element>
    <xsd:element name="DocumentType" ma:index="11" nillable="true" ma:displayName="Document Type" ma:format="Dropdown" ma:internalName="DocumentType">
      <xsd:simpleType>
        <xsd:restriction base="dms:Choice">
          <xsd:enumeration value="Guideline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32ba9fb-117d-4a5c-9dda-ba2761168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7241e-7224-40da-83d9-1113ff4a433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5dcb94e-5755-4384-ae7a-b1d759b3967d}" ma:internalName="TaxCatchAll" ma:showField="CatchAllData" ma:web="4d47241e-7224-40da-83d9-1113ff4a43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84DB80-A521-429B-8B43-37D8A844619C}">
  <ds:schemaRefs>
    <ds:schemaRef ds:uri="http://schemas.microsoft.com/office/2006/metadata/properties"/>
    <ds:schemaRef ds:uri="http://schemas.microsoft.com/office/infopath/2007/PartnerControls"/>
    <ds:schemaRef ds:uri="f6c841be-bb08-4901-87b0-0033aa80d2c6"/>
    <ds:schemaRef ds:uri="4d47241e-7224-40da-83d9-1113ff4a4334"/>
  </ds:schemaRefs>
</ds:datastoreItem>
</file>

<file path=customXml/itemProps2.xml><?xml version="1.0" encoding="utf-8"?>
<ds:datastoreItem xmlns:ds="http://schemas.openxmlformats.org/officeDocument/2006/customXml" ds:itemID="{B08D71D4-E4DA-409D-98DE-F2C5F857E3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841be-bb08-4901-87b0-0033aa80d2c6"/>
    <ds:schemaRef ds:uri="4d47241e-7224-40da-83d9-1113ff4a43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889FB0-8892-4E43-B0A9-12DC07353A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B681A3-58C3-4541-82AC-C3AB1893F7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Proxy Voting Policy</dc:title>
  <dc:creator>ACT Government</dc:creator>
  <cp:lastModifiedBy>Fitzgibbon, Kathleen</cp:lastModifiedBy>
  <cp:revision>7</cp:revision>
  <cp:lastPrinted>2026-08-20T23:30:00Z</cp:lastPrinted>
  <dcterms:created xsi:type="dcterms:W3CDTF">2026-07-13T07:00:00Z</dcterms:created>
  <dcterms:modified xsi:type="dcterms:W3CDTF">2026-08-25T05:21:00Z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0x010100190D9B5854DD0943985B1931B7971495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2021-06-17T05:19:54Z</vt:lpwstr>
  </property>
  <property fmtid="{D5CDD505-2E9C-101B-9397-08002B2CF9AE}" pid="5" name="MSIP_Label_69af8531-eb46-4968-8cb3-105d2f5ea87e_Method">
    <vt:lpwstr>Privileged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fc30cf60-cc8e-4fde-87ed-fd93859bb71d</vt:lpwstr>
  </property>
  <property fmtid="{D5CDD505-2E9C-101B-9397-08002B2CF9AE}" pid="9" name="MSIP_Label_69af8531-eb46-4968-8cb3-105d2f5ea87e_ContentBits">
    <vt:lpwstr>0</vt:lpwstr>
  </property>
</Properties>
</file>