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DF37" w14:textId="6C3138E9" w:rsidR="000A2FFC" w:rsidRDefault="00E753AA">
      <w:bookmarkStart w:id="0" w:name="_Hlk70693919"/>
      <w:bookmarkEnd w:id="0"/>
      <w:r>
        <w:rPr>
          <w:noProof/>
        </w:rPr>
        <w:drawing>
          <wp:anchor distT="0" distB="0" distL="114300" distR="114300" simplePos="0" relativeHeight="251658240" behindDoc="1" locked="0" layoutInCell="1" allowOverlap="1" wp14:anchorId="6A5DBD08" wp14:editId="02A7C851">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39808" behindDoc="0" locked="0" layoutInCell="1" allowOverlap="1" wp14:anchorId="43C608AD" wp14:editId="79BC7888">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7D553A83" w14:textId="77777777" w:rsidR="00F875BD" w:rsidRDefault="00F875BD"/>
        <w:p w14:paraId="49B2A568" w14:textId="4FA47AE8" w:rsidR="00F875BD" w:rsidRDefault="00E52582">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41856" behindDoc="0" locked="0" layoutInCell="1" allowOverlap="1" wp14:anchorId="19CC4138" wp14:editId="0C40BCF9">
                    <wp:simplePos x="0" y="0"/>
                    <wp:positionH relativeFrom="margin">
                      <wp:posOffset>-208915</wp:posOffset>
                    </wp:positionH>
                    <wp:positionV relativeFrom="page">
                      <wp:posOffset>7810500</wp:posOffset>
                    </wp:positionV>
                    <wp:extent cx="4495800" cy="91694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9A790" w14:textId="1D6914C1" w:rsidR="00D4090F" w:rsidRDefault="00D4090F" w:rsidP="0089332C">
                                <w:pPr>
                                  <w:pStyle w:val="Intro"/>
                                  <w:rPr>
                                    <w:color w:val="FFFFFF"/>
                                  </w:rPr>
                                </w:pPr>
                                <w:r>
                                  <w:rPr>
                                    <w:color w:val="FFFFFF"/>
                                  </w:rPr>
                                  <w:t>Chief Minister, Treasury and Economic Development Directorate</w:t>
                                </w:r>
                              </w:p>
                              <w:p w14:paraId="634DEF0D" w14:textId="64EA5D89" w:rsidR="00C03A11" w:rsidRPr="000016B9" w:rsidRDefault="00A06EBD" w:rsidP="0089332C">
                                <w:pPr>
                                  <w:pStyle w:val="Intro"/>
                                  <w:rPr>
                                    <w:caps/>
                                    <w:color w:val="FFFFFF"/>
                                  </w:rPr>
                                </w:pPr>
                                <w:r>
                                  <w:rPr>
                                    <w:color w:val="FFFFFF"/>
                                  </w:rPr>
                                  <w:t>June</w:t>
                                </w:r>
                                <w:r w:rsidR="0060038A">
                                  <w:rPr>
                                    <w:color w:val="FFFFFF"/>
                                  </w:rPr>
                                  <w:t xml:space="preserve"> 2023</w:t>
                                </w:r>
                              </w:p>
                              <w:p w14:paraId="4B1E4223" w14:textId="15A3150E" w:rsidR="00D4090F" w:rsidRPr="000016B9" w:rsidRDefault="00D4090F" w:rsidP="0089332C">
                                <w:pPr>
                                  <w:pStyle w:val="Intro"/>
                                  <w:rPr>
                                    <w:caps/>
                                    <w:color w:val="FFFFFF"/>
                                  </w:rPr>
                                </w:pPr>
                                <w:r>
                                  <w:rPr>
                                    <w:color w:val="FFFFFF"/>
                                  </w:rPr>
                                  <w:t xml:space="preserve">Policy </w:t>
                                </w:r>
                                <w:proofErr w:type="gramStart"/>
                                <w:r>
                                  <w:rPr>
                                    <w:color w:val="FFFFFF"/>
                                  </w:rPr>
                                  <w:t>start</w:t>
                                </w:r>
                                <w:proofErr w:type="gramEnd"/>
                                <w:r>
                                  <w:rPr>
                                    <w:color w:val="FFFFFF"/>
                                  </w:rPr>
                                  <w:t xml:space="preserve"> date: </w:t>
                                </w:r>
                                <w:r w:rsidR="00E52582">
                                  <w:rPr>
                                    <w:color w:val="FFFFFF"/>
                                  </w:rPr>
                                  <w:t xml:space="preserve">For the Financial Year ended </w:t>
                                </w:r>
                                <w:r w:rsidR="00DF5B17" w:rsidRPr="00E52582">
                                  <w:rPr>
                                    <w:color w:val="FFFFFF"/>
                                  </w:rPr>
                                  <w:t>30</w:t>
                                </w:r>
                                <w:r w:rsidR="00277D4E" w:rsidRPr="00E52582">
                                  <w:rPr>
                                    <w:color w:val="FFFFFF"/>
                                  </w:rPr>
                                  <w:t xml:space="preserve"> </w:t>
                                </w:r>
                                <w:r w:rsidR="00556945" w:rsidRPr="00E52582">
                                  <w:rPr>
                                    <w:color w:val="FFFFFF"/>
                                  </w:rPr>
                                  <w:t xml:space="preserve">June </w:t>
                                </w:r>
                                <w:r w:rsidR="0060038A">
                                  <w:rPr>
                                    <w:color w:val="FFFFFF"/>
                                  </w:rPr>
                                  <w:t>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CC4138" id="_x0000_t202" coordsize="21600,21600" o:spt="202" path="m,l,21600r21600,l21600,xe">
                    <v:stroke joinstyle="miter"/>
                    <v:path gradientshapeok="t" o:connecttype="rect"/>
                  </v:shapetype>
                  <v:shape id="Text Box 10" o:spid="_x0000_s1026" type="#_x0000_t202" style="position:absolute;margin-left:-16.45pt;margin-top:615pt;width:354pt;height:72.2pt;z-index:25164185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X3wEAAKEDAAAOAAAAZHJzL2Uyb0RvYy54bWysU9tu2zAMfR+wfxD0vtgO3K4x4hRdiwwD&#10;ugvQ7QNkWbaF2aJGKbGzrx8lJ2m2vhV7ESSSPjznkF7fTkPP9gqdBlPybJFypoyEWpu25D++b9/d&#10;cOa8MLXowaiSH5Tjt5u3b9ajLdQSOuhrhYxAjCtGW/LOe1skiZOdGoRbgFWGkg3gIDw9sU1qFCOh&#10;D32yTNPrZASsLYJUzlH0YU7yTcRvGiX916ZxyrO+5MTNxxPjWYUz2axF0aKwnZZHGuIVLAahDTU9&#10;Qz0IL9gO9QuoQUsEB41fSBgSaBotVdRAarL0HzVPnbAqaiFznD3b5P4frPyyf7LfkPnpA0w0wCjC&#10;2UeQPx0zcN8J06o7RBg7JWpqnAXLktG64vhpsNoVLoBU42eoachi5yECTQ0OwRXSyQidBnA4m64m&#10;zyQF83x1dZNSSlJulV2v8jiVRBSnry06/1HBwMKl5EhDjehi/+h8YCOKU0loZmCr+z4Otjd/Bagw&#10;RCL7QHim7qdqouqgooL6QDoQ5j2hvaZLB/ibs5F2pOTu106g4qz/ZMiLVZYTWebjI796v6QHXmaq&#10;y4wwkqBK7jmbr/d+XsSdRd121Onk/h35t9VR2jOrI2/ag6j4uLNh0S7fser5z9r8AQAA//8DAFBL&#10;AwQUAAYACAAAACEA3l0b3+EAAAANAQAADwAAAGRycy9kb3ducmV2LnhtbEyPzU7DMBCE70i8g7VI&#10;3Fq7SWloiFNVqC1HoEQ9u/GSRMQ/it00vD3LCY4782l2pthMpmcjDqFzVsJiLoChrZ3ubCOh+tjP&#10;HoGFqKxWvbMo4RsDbMrbm0Ll2l3tO47H2DAKsSFXEtoYfc55qFs0KsydR0vepxuMinQODdeDulK4&#10;6XkixIob1Vn60CqPzy3WX8eLkeCjP2Qvw+vbdrcfRXU6VEnX7KS8v5u2T8AiTvEPht/6VB1K6nR2&#10;F6sD6yXM0mRNKBlJKmgVIavsYQHsTFKaLZfAy4L/X1H+AAAA//8DAFBLAQItABQABgAIAAAAIQC2&#10;gziS/gAAAOEBAAATAAAAAAAAAAAAAAAAAAAAAABbQ29udGVudF9UeXBlc10ueG1sUEsBAi0AFAAG&#10;AAgAAAAhADj9If/WAAAAlAEAAAsAAAAAAAAAAAAAAAAALwEAAF9yZWxzLy5yZWxzUEsBAi0AFAAG&#10;AAgAAAAhAFPKb5ffAQAAoQMAAA4AAAAAAAAAAAAAAAAALgIAAGRycy9lMm9Eb2MueG1sUEsBAi0A&#10;FAAGAAgAAAAhAN5dG9/hAAAADQEAAA8AAAAAAAAAAAAAAAAAOQQAAGRycy9kb3ducmV2LnhtbFBL&#10;BQYAAAAABAAEAPMAAABHBQAAAAA=&#10;" filled="f" stroked="f">
                    <v:textbox style="mso-fit-shape-to-text:t">
                      <w:txbxContent>
                        <w:p w14:paraId="7979A790" w14:textId="1D6914C1" w:rsidR="00D4090F" w:rsidRDefault="00D4090F" w:rsidP="0089332C">
                          <w:pPr>
                            <w:pStyle w:val="Intro"/>
                            <w:rPr>
                              <w:color w:val="FFFFFF"/>
                            </w:rPr>
                          </w:pPr>
                          <w:r>
                            <w:rPr>
                              <w:color w:val="FFFFFF"/>
                            </w:rPr>
                            <w:t>Chief Minister, Treasury and Economic Development Directorate</w:t>
                          </w:r>
                        </w:p>
                        <w:p w14:paraId="634DEF0D" w14:textId="64EA5D89" w:rsidR="00C03A11" w:rsidRPr="000016B9" w:rsidRDefault="00A06EBD" w:rsidP="0089332C">
                          <w:pPr>
                            <w:pStyle w:val="Intro"/>
                            <w:rPr>
                              <w:caps/>
                              <w:color w:val="FFFFFF"/>
                            </w:rPr>
                          </w:pPr>
                          <w:r>
                            <w:rPr>
                              <w:color w:val="FFFFFF"/>
                            </w:rPr>
                            <w:t>June</w:t>
                          </w:r>
                          <w:r w:rsidR="0060038A">
                            <w:rPr>
                              <w:color w:val="FFFFFF"/>
                            </w:rPr>
                            <w:t xml:space="preserve"> 2023</w:t>
                          </w:r>
                        </w:p>
                        <w:p w14:paraId="4B1E4223" w14:textId="15A3150E" w:rsidR="00D4090F" w:rsidRPr="000016B9" w:rsidRDefault="00D4090F" w:rsidP="0089332C">
                          <w:pPr>
                            <w:pStyle w:val="Intro"/>
                            <w:rPr>
                              <w:caps/>
                              <w:color w:val="FFFFFF"/>
                            </w:rPr>
                          </w:pPr>
                          <w:r>
                            <w:rPr>
                              <w:color w:val="FFFFFF"/>
                            </w:rPr>
                            <w:t xml:space="preserve">Policy </w:t>
                          </w:r>
                          <w:proofErr w:type="gramStart"/>
                          <w:r>
                            <w:rPr>
                              <w:color w:val="FFFFFF"/>
                            </w:rPr>
                            <w:t>start</w:t>
                          </w:r>
                          <w:proofErr w:type="gramEnd"/>
                          <w:r>
                            <w:rPr>
                              <w:color w:val="FFFFFF"/>
                            </w:rPr>
                            <w:t xml:space="preserve"> date: </w:t>
                          </w:r>
                          <w:r w:rsidR="00E52582">
                            <w:rPr>
                              <w:color w:val="FFFFFF"/>
                            </w:rPr>
                            <w:t xml:space="preserve">For the Financial Year ended </w:t>
                          </w:r>
                          <w:r w:rsidR="00DF5B17" w:rsidRPr="00E52582">
                            <w:rPr>
                              <w:color w:val="FFFFFF"/>
                            </w:rPr>
                            <w:t>30</w:t>
                          </w:r>
                          <w:r w:rsidR="00277D4E" w:rsidRPr="00E52582">
                            <w:rPr>
                              <w:color w:val="FFFFFF"/>
                            </w:rPr>
                            <w:t xml:space="preserve"> </w:t>
                          </w:r>
                          <w:r w:rsidR="00556945" w:rsidRPr="00E52582">
                            <w:rPr>
                              <w:color w:val="FFFFFF"/>
                            </w:rPr>
                            <w:t xml:space="preserve">June </w:t>
                          </w:r>
                          <w:r w:rsidR="0060038A">
                            <w:rPr>
                              <w:color w:val="FFFFFF"/>
                            </w:rPr>
                            <w:t>2023</w:t>
                          </w:r>
                        </w:p>
                      </w:txbxContent>
                    </v:textbox>
                    <w10:wrap anchorx="margin" anchory="page"/>
                  </v:shape>
                </w:pict>
              </mc:Fallback>
            </mc:AlternateContent>
          </w: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40832" behindDoc="0" locked="0" layoutInCell="1" allowOverlap="1" wp14:anchorId="21171CE4" wp14:editId="614E8C72">
                    <wp:simplePos x="0" y="0"/>
                    <wp:positionH relativeFrom="margin">
                      <wp:posOffset>-123190</wp:posOffset>
                    </wp:positionH>
                    <wp:positionV relativeFrom="page">
                      <wp:posOffset>3105150</wp:posOffset>
                    </wp:positionV>
                    <wp:extent cx="5657850" cy="340995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40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0ED60" w14:textId="7F79E3BE" w:rsidR="00E52582" w:rsidRPr="00E52582" w:rsidRDefault="00E52582" w:rsidP="00215F3B">
                                <w:pPr>
                                  <w:pStyle w:val="Title"/>
                                  <w:spacing w:before="120" w:line="240" w:lineRule="auto"/>
                                  <w:jc w:val="center"/>
                                  <w:rPr>
                                    <w:color w:val="FFFFFF"/>
                                    <w:lang w:val="en-US"/>
                                  </w:rPr>
                                </w:pPr>
                                <w:r w:rsidRPr="00E52582">
                                  <w:rPr>
                                    <w:color w:val="FFFFFF"/>
                                    <w:lang w:val="en-US"/>
                                  </w:rPr>
                                  <w:t>AA</w:t>
                                </w:r>
                                <w:r>
                                  <w:rPr>
                                    <w:color w:val="FFFFFF"/>
                                    <w:lang w:val="en-US"/>
                                  </w:rPr>
                                  <w:t>P</w:t>
                                </w:r>
                                <w:r w:rsidRPr="00E52582">
                                  <w:rPr>
                                    <w:color w:val="FFFFFF"/>
                                    <w:lang w:val="en-US"/>
                                  </w:rPr>
                                  <w:t xml:space="preserve">P </w:t>
                                </w:r>
                                <w:r>
                                  <w:rPr>
                                    <w:color w:val="FFFFFF"/>
                                    <w:lang w:val="en-US"/>
                                  </w:rPr>
                                  <w:t>110</w:t>
                                </w:r>
                              </w:p>
                              <w:p w14:paraId="3E3F58C9" w14:textId="5F79A18D" w:rsidR="00E52582" w:rsidRPr="00E52582" w:rsidRDefault="00E52582" w:rsidP="00215F3B">
                                <w:pPr>
                                  <w:pStyle w:val="Title"/>
                                  <w:spacing w:before="120" w:line="240" w:lineRule="auto"/>
                                  <w:jc w:val="center"/>
                                  <w:rPr>
                                    <w:color w:val="FFFFFF"/>
                                    <w:lang w:val="en-US"/>
                                  </w:rPr>
                                </w:pPr>
                                <w:r w:rsidRPr="00E52582">
                                  <w:rPr>
                                    <w:color w:val="FFFFFF"/>
                                    <w:lang w:val="en-US"/>
                                  </w:rPr>
                                  <w:t xml:space="preserve">ACT Accounting </w:t>
                                </w:r>
                                <w:r w:rsidR="00215F3B">
                                  <w:rPr>
                                    <w:color w:val="FFFFFF"/>
                                    <w:lang w:val="en-US"/>
                                  </w:rPr>
                                  <w:t>Policy</w:t>
                                </w:r>
                                <w:r w:rsidRPr="00E52582">
                                  <w:rPr>
                                    <w:color w:val="FFFFFF"/>
                                    <w:lang w:val="en-US"/>
                                  </w:rPr>
                                  <w:t xml:space="preserve"> Paper</w:t>
                                </w:r>
                              </w:p>
                              <w:p w14:paraId="56102324" w14:textId="1F3DF9DA" w:rsidR="00E52582" w:rsidRDefault="00E52582" w:rsidP="00215F3B">
                                <w:pPr>
                                  <w:pStyle w:val="Title"/>
                                  <w:spacing w:before="120" w:line="240" w:lineRule="auto"/>
                                  <w:jc w:val="center"/>
                                  <w:rPr>
                                    <w:color w:val="FFFFFF"/>
                                    <w:lang w:val="en-US"/>
                                  </w:rPr>
                                </w:pPr>
                                <w:r w:rsidRPr="00E52582">
                                  <w:rPr>
                                    <w:color w:val="FFFFFF"/>
                                    <w:lang w:val="en-US"/>
                                  </w:rPr>
                                  <w:t>on</w:t>
                                </w:r>
                              </w:p>
                              <w:p w14:paraId="309B196E" w14:textId="0447EB07" w:rsidR="00D4090F" w:rsidRPr="00C403DB" w:rsidRDefault="00BA1D65" w:rsidP="00215F3B">
                                <w:pPr>
                                  <w:pStyle w:val="Title"/>
                                  <w:spacing w:before="120" w:line="240" w:lineRule="auto"/>
                                  <w:jc w:val="center"/>
                                  <w:rPr>
                                    <w:color w:val="FFFFFF"/>
                                    <w:lang w:val="en-US"/>
                                  </w:rPr>
                                </w:pPr>
                                <w:r>
                                  <w:rPr>
                                    <w:color w:val="FFFFFF"/>
                                    <w:lang w:val="en-US"/>
                                  </w:rPr>
                                  <w:t>EMPLOYEE BENEFITS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71CE4" id="Text Box 9" o:spid="_x0000_s1027" type="#_x0000_t202" style="position:absolute;margin-left:-9.7pt;margin-top:244.5pt;width:445.5pt;height:268.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104gEAAKkDAAAOAAAAZHJzL2Uyb0RvYy54bWysU9tu2zAMfR+wfxD0vtjJkrYx4hRdiw4D&#10;ugvQ9QNkWYqF2aJGKbGzrx8lu2m2vg17EURSPjznkN5cD13LDgq9AVvy+SznTFkJtbG7kj99v393&#10;xZkPwtaiBatKflSeX2/fvtn0rlALaKCtFTICsb7oXcmbEFyRZV42qhN+Bk5ZKmrATgQKcZfVKHpC&#10;79pskecXWQ9YOwSpvKfs3Vjk24SvtZLhq9ZeBdaWnLiFdGI6q3hm240odihcY+REQ/wDi04YS01P&#10;UHciCLZH8wqqMxLBgw4zCV0GWhupkgZSM8//UvPYCKeSFjLHu5NN/v/Byi+HR/cNWRg+wEADTCK8&#10;ewD5wzMLt42wO3WDCH2jRE2N59GyrHe+mD6NVvvCR5Cq/ww1DVnsAySgQWMXXSGdjNBpAMeT6WoI&#10;TFJydbG6vFpRSVLt/TJfrymIPUTx/LlDHz4q6Fi8lBxpqgleHB58GJ8+P4ndLNybtk2Tbe0fCcKM&#10;mUQ/Mh65h6EamKknbVFNBfWR9CCM+0L7TZcG8BdnPe1Kyf3PvUDFWfvJkifr+XIZlysFy9XlggI8&#10;r1TnFWElQZU8cDZeb8O4kHuHZtdQp3EKFm7IR22SwhdWE33ah+TRtLtx4c7j9OrlD9v+BgAA//8D&#10;AFBLAwQUAAYACAAAACEAam+98d8AAAAMAQAADwAAAGRycy9kb3ducmV2LnhtbEyPy07DMBBF90j8&#10;gzVI7Fo7VQhJiFMhEFsQ5SGxc+NpEhGPo9htwt8zrOhyNEf3nlttFzeIE06h96QhWSsQSI23PbUa&#10;3t+eVjmIEA1ZM3hCDT8YYFtfXlSmtH6mVzztYis4hEJpNHQxjqWUoenQmbD2IxL/Dn5yJvI5tdJO&#10;ZuZwN8iNUpl0pidu6MyIDx0237uj0/DxfPj6TNVL++huxtkvSpIrpNbXV8v9HYiIS/yH4U+f1aFm&#10;p70/kg1i0LBKipRRDWle8Cgm8tskA7FnVG0yBbKu5PmI+hcAAP//AwBQSwECLQAUAAYACAAAACEA&#10;toM4kv4AAADhAQAAEwAAAAAAAAAAAAAAAAAAAAAAW0NvbnRlbnRfVHlwZXNdLnhtbFBLAQItABQA&#10;BgAIAAAAIQA4/SH/1gAAAJQBAAALAAAAAAAAAAAAAAAAAC8BAABfcmVscy8ucmVsc1BLAQItABQA&#10;BgAIAAAAIQAVFH104gEAAKkDAAAOAAAAAAAAAAAAAAAAAC4CAABkcnMvZTJvRG9jLnhtbFBLAQIt&#10;ABQABgAIAAAAIQBqb73x3wAAAAwBAAAPAAAAAAAAAAAAAAAAADwEAABkcnMvZG93bnJldi54bWxQ&#10;SwUGAAAAAAQABADzAAAASAUAAAAA&#10;" filled="f" stroked="f">
                    <v:textbox>
                      <w:txbxContent>
                        <w:p w14:paraId="4420ED60" w14:textId="7F79E3BE" w:rsidR="00E52582" w:rsidRPr="00E52582" w:rsidRDefault="00E52582" w:rsidP="00215F3B">
                          <w:pPr>
                            <w:pStyle w:val="Title"/>
                            <w:spacing w:before="120" w:line="240" w:lineRule="auto"/>
                            <w:jc w:val="center"/>
                            <w:rPr>
                              <w:color w:val="FFFFFF"/>
                              <w:lang w:val="en-US"/>
                            </w:rPr>
                          </w:pPr>
                          <w:r w:rsidRPr="00E52582">
                            <w:rPr>
                              <w:color w:val="FFFFFF"/>
                              <w:lang w:val="en-US"/>
                            </w:rPr>
                            <w:t>AA</w:t>
                          </w:r>
                          <w:r>
                            <w:rPr>
                              <w:color w:val="FFFFFF"/>
                              <w:lang w:val="en-US"/>
                            </w:rPr>
                            <w:t>P</w:t>
                          </w:r>
                          <w:r w:rsidRPr="00E52582">
                            <w:rPr>
                              <w:color w:val="FFFFFF"/>
                              <w:lang w:val="en-US"/>
                            </w:rPr>
                            <w:t xml:space="preserve">P </w:t>
                          </w:r>
                          <w:r>
                            <w:rPr>
                              <w:color w:val="FFFFFF"/>
                              <w:lang w:val="en-US"/>
                            </w:rPr>
                            <w:t>110</w:t>
                          </w:r>
                        </w:p>
                        <w:p w14:paraId="3E3F58C9" w14:textId="5F79A18D" w:rsidR="00E52582" w:rsidRPr="00E52582" w:rsidRDefault="00E52582" w:rsidP="00215F3B">
                          <w:pPr>
                            <w:pStyle w:val="Title"/>
                            <w:spacing w:before="120" w:line="240" w:lineRule="auto"/>
                            <w:jc w:val="center"/>
                            <w:rPr>
                              <w:color w:val="FFFFFF"/>
                              <w:lang w:val="en-US"/>
                            </w:rPr>
                          </w:pPr>
                          <w:r w:rsidRPr="00E52582">
                            <w:rPr>
                              <w:color w:val="FFFFFF"/>
                              <w:lang w:val="en-US"/>
                            </w:rPr>
                            <w:t xml:space="preserve">ACT Accounting </w:t>
                          </w:r>
                          <w:r w:rsidR="00215F3B">
                            <w:rPr>
                              <w:color w:val="FFFFFF"/>
                              <w:lang w:val="en-US"/>
                            </w:rPr>
                            <w:t>Policy</w:t>
                          </w:r>
                          <w:r w:rsidRPr="00E52582">
                            <w:rPr>
                              <w:color w:val="FFFFFF"/>
                              <w:lang w:val="en-US"/>
                            </w:rPr>
                            <w:t xml:space="preserve"> Paper</w:t>
                          </w:r>
                        </w:p>
                        <w:p w14:paraId="56102324" w14:textId="1F3DF9DA" w:rsidR="00E52582" w:rsidRDefault="00E52582" w:rsidP="00215F3B">
                          <w:pPr>
                            <w:pStyle w:val="Title"/>
                            <w:spacing w:before="120" w:line="240" w:lineRule="auto"/>
                            <w:jc w:val="center"/>
                            <w:rPr>
                              <w:color w:val="FFFFFF"/>
                              <w:lang w:val="en-US"/>
                            </w:rPr>
                          </w:pPr>
                          <w:r w:rsidRPr="00E52582">
                            <w:rPr>
                              <w:color w:val="FFFFFF"/>
                              <w:lang w:val="en-US"/>
                            </w:rPr>
                            <w:t>on</w:t>
                          </w:r>
                        </w:p>
                        <w:p w14:paraId="309B196E" w14:textId="0447EB07" w:rsidR="00D4090F" w:rsidRPr="00C403DB" w:rsidRDefault="00BA1D65" w:rsidP="00215F3B">
                          <w:pPr>
                            <w:pStyle w:val="Title"/>
                            <w:spacing w:before="120" w:line="240" w:lineRule="auto"/>
                            <w:jc w:val="center"/>
                            <w:rPr>
                              <w:color w:val="FFFFFF"/>
                              <w:lang w:val="en-US"/>
                            </w:rPr>
                          </w:pPr>
                          <w:r>
                            <w:rPr>
                              <w:color w:val="FFFFFF"/>
                              <w:lang w:val="en-US"/>
                            </w:rPr>
                            <w:t>EMPLOYEE BENEFITS</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13EDF1FC" w14:textId="2F6BB52B" w:rsidR="00B665DD" w:rsidRPr="00B90D82" w:rsidRDefault="00A65782" w:rsidP="00B90D82">
      <w:pPr>
        <w:pStyle w:val="Normal1"/>
        <w:jc w:val="center"/>
        <w:rPr>
          <w:color w:val="7270D0" w:themeColor="accent4" w:themeTint="99"/>
          <w:sz w:val="72"/>
          <w:szCs w:val="72"/>
        </w:rPr>
      </w:pPr>
      <w:bookmarkStart w:id="1" w:name="_Toc64020120"/>
      <w:r w:rsidRPr="00B90D82">
        <w:rPr>
          <w:color w:val="7270D0" w:themeColor="accent4" w:themeTint="99"/>
          <w:sz w:val="72"/>
          <w:szCs w:val="72"/>
        </w:rPr>
        <w:lastRenderedPageBreak/>
        <w:t xml:space="preserve">TABLE OF </w:t>
      </w:r>
      <w:r w:rsidR="002D33BC" w:rsidRPr="00B90D82">
        <w:rPr>
          <w:color w:val="7270D0" w:themeColor="accent4" w:themeTint="99"/>
          <w:sz w:val="72"/>
          <w:szCs w:val="72"/>
        </w:rPr>
        <w:t>C</w:t>
      </w:r>
      <w:r w:rsidRPr="00B90D82">
        <w:rPr>
          <w:color w:val="7270D0" w:themeColor="accent4" w:themeTint="99"/>
          <w:sz w:val="72"/>
          <w:szCs w:val="72"/>
        </w:rPr>
        <w:t>ONTENTS</w:t>
      </w:r>
      <w:bookmarkEnd w:id="1"/>
    </w:p>
    <w:p w14:paraId="1D983B5D" w14:textId="1E80023A" w:rsidR="00CD2587" w:rsidRDefault="00657107">
      <w:pPr>
        <w:pStyle w:val="TOC1"/>
        <w:rPr>
          <w:rFonts w:eastAsiaTheme="minorEastAsia" w:cstheme="minorBidi"/>
          <w:b w:val="0"/>
          <w:caps w:val="0"/>
          <w:color w:val="auto"/>
          <w:sz w:val="22"/>
          <w:szCs w:val="22"/>
        </w:rPr>
      </w:pPr>
      <w:r w:rsidRPr="00215F3B">
        <w:rPr>
          <w:rFonts w:ascii="Calibri" w:hAnsi="Calibri"/>
          <w:color w:val="auto"/>
          <w:kern w:val="22"/>
        </w:rPr>
        <w:fldChar w:fldCharType="begin"/>
      </w:r>
      <w:r w:rsidRPr="00215F3B">
        <w:instrText xml:space="preserve"> TOC \o "1-4" \h \z \u </w:instrText>
      </w:r>
      <w:r w:rsidRPr="00215F3B">
        <w:rPr>
          <w:rFonts w:ascii="Calibri" w:hAnsi="Calibri"/>
          <w:color w:val="auto"/>
          <w:kern w:val="22"/>
        </w:rPr>
        <w:fldChar w:fldCharType="separate"/>
      </w:r>
      <w:hyperlink w:anchor="_Toc137036611" w:history="1">
        <w:r w:rsidR="00CD2587" w:rsidRPr="00ED29A0">
          <w:rPr>
            <w:rStyle w:val="Hyperlink"/>
          </w:rPr>
          <w:t>1.</w:t>
        </w:r>
        <w:r w:rsidR="00CD2587">
          <w:rPr>
            <w:rFonts w:eastAsiaTheme="minorEastAsia" w:cstheme="minorBidi"/>
            <w:b w:val="0"/>
            <w:caps w:val="0"/>
            <w:color w:val="auto"/>
            <w:sz w:val="22"/>
            <w:szCs w:val="22"/>
          </w:rPr>
          <w:tab/>
        </w:r>
        <w:r w:rsidR="00CD2587" w:rsidRPr="00ED29A0">
          <w:rPr>
            <w:rStyle w:val="Hyperlink"/>
          </w:rPr>
          <w:t>Introduction</w:t>
        </w:r>
        <w:r w:rsidR="00CD2587">
          <w:rPr>
            <w:webHidden/>
          </w:rPr>
          <w:tab/>
        </w:r>
        <w:r w:rsidR="00CD2587">
          <w:rPr>
            <w:webHidden/>
          </w:rPr>
          <w:fldChar w:fldCharType="begin"/>
        </w:r>
        <w:r w:rsidR="00CD2587">
          <w:rPr>
            <w:webHidden/>
          </w:rPr>
          <w:instrText xml:space="preserve"> PAGEREF _Toc137036611 \h </w:instrText>
        </w:r>
        <w:r w:rsidR="00CD2587">
          <w:rPr>
            <w:webHidden/>
          </w:rPr>
        </w:r>
        <w:r w:rsidR="00CD2587">
          <w:rPr>
            <w:webHidden/>
          </w:rPr>
          <w:fldChar w:fldCharType="separate"/>
        </w:r>
        <w:r w:rsidR="00CD2587">
          <w:rPr>
            <w:webHidden/>
          </w:rPr>
          <w:t>4</w:t>
        </w:r>
        <w:r w:rsidR="00CD2587">
          <w:rPr>
            <w:webHidden/>
          </w:rPr>
          <w:fldChar w:fldCharType="end"/>
        </w:r>
      </w:hyperlink>
    </w:p>
    <w:p w14:paraId="742A25F7" w14:textId="27BDC677" w:rsidR="00CD2587" w:rsidRDefault="006C77E2">
      <w:pPr>
        <w:pStyle w:val="TOC2"/>
        <w:rPr>
          <w:rFonts w:eastAsiaTheme="minorEastAsia" w:cstheme="minorBidi"/>
          <w:color w:val="auto"/>
          <w:sz w:val="22"/>
          <w:szCs w:val="22"/>
        </w:rPr>
      </w:pPr>
      <w:hyperlink w:anchor="_Toc137036612" w:history="1">
        <w:r w:rsidR="00CD2587" w:rsidRPr="00ED29A0">
          <w:rPr>
            <w:rStyle w:val="Hyperlink"/>
          </w:rPr>
          <w:t>1.1 APPLICATION</w:t>
        </w:r>
        <w:r w:rsidR="00CD2587">
          <w:rPr>
            <w:webHidden/>
          </w:rPr>
          <w:tab/>
        </w:r>
        <w:r w:rsidR="00CD2587">
          <w:rPr>
            <w:webHidden/>
          </w:rPr>
          <w:fldChar w:fldCharType="begin"/>
        </w:r>
        <w:r w:rsidR="00CD2587">
          <w:rPr>
            <w:webHidden/>
          </w:rPr>
          <w:instrText xml:space="preserve"> PAGEREF _Toc137036612 \h </w:instrText>
        </w:r>
        <w:r w:rsidR="00CD2587">
          <w:rPr>
            <w:webHidden/>
          </w:rPr>
        </w:r>
        <w:r w:rsidR="00CD2587">
          <w:rPr>
            <w:webHidden/>
          </w:rPr>
          <w:fldChar w:fldCharType="separate"/>
        </w:r>
        <w:r w:rsidR="00CD2587">
          <w:rPr>
            <w:webHidden/>
          </w:rPr>
          <w:t>4</w:t>
        </w:r>
        <w:r w:rsidR="00CD2587">
          <w:rPr>
            <w:webHidden/>
          </w:rPr>
          <w:fldChar w:fldCharType="end"/>
        </w:r>
      </w:hyperlink>
    </w:p>
    <w:p w14:paraId="0FFF6401" w14:textId="5CB71D3C" w:rsidR="00CD2587" w:rsidRDefault="006C77E2">
      <w:pPr>
        <w:pStyle w:val="TOC3"/>
        <w:rPr>
          <w:rFonts w:eastAsiaTheme="minorEastAsia" w:cstheme="minorBidi"/>
          <w:noProof/>
          <w:sz w:val="22"/>
          <w:szCs w:val="22"/>
        </w:rPr>
      </w:pPr>
      <w:hyperlink w:anchor="_Toc137036613" w:history="1">
        <w:r w:rsidR="00CD2587" w:rsidRPr="00ED29A0">
          <w:rPr>
            <w:rStyle w:val="Hyperlink"/>
            <w:noProof/>
          </w:rPr>
          <w:t>1.1.1 Purpose</w:t>
        </w:r>
        <w:r w:rsidR="00CD2587">
          <w:rPr>
            <w:noProof/>
            <w:webHidden/>
          </w:rPr>
          <w:tab/>
        </w:r>
        <w:r w:rsidR="00CD2587">
          <w:rPr>
            <w:noProof/>
            <w:webHidden/>
          </w:rPr>
          <w:fldChar w:fldCharType="begin"/>
        </w:r>
        <w:r w:rsidR="00CD2587">
          <w:rPr>
            <w:noProof/>
            <w:webHidden/>
          </w:rPr>
          <w:instrText xml:space="preserve"> PAGEREF _Toc137036613 \h </w:instrText>
        </w:r>
        <w:r w:rsidR="00CD2587">
          <w:rPr>
            <w:noProof/>
            <w:webHidden/>
          </w:rPr>
        </w:r>
        <w:r w:rsidR="00CD2587">
          <w:rPr>
            <w:noProof/>
            <w:webHidden/>
          </w:rPr>
          <w:fldChar w:fldCharType="separate"/>
        </w:r>
        <w:r w:rsidR="00CD2587">
          <w:rPr>
            <w:noProof/>
            <w:webHidden/>
          </w:rPr>
          <w:t>4</w:t>
        </w:r>
        <w:r w:rsidR="00CD2587">
          <w:rPr>
            <w:noProof/>
            <w:webHidden/>
          </w:rPr>
          <w:fldChar w:fldCharType="end"/>
        </w:r>
      </w:hyperlink>
    </w:p>
    <w:p w14:paraId="53AC23CC" w14:textId="49A3F724" w:rsidR="00CD2587" w:rsidRDefault="006C77E2">
      <w:pPr>
        <w:pStyle w:val="TOC3"/>
        <w:rPr>
          <w:rFonts w:eastAsiaTheme="minorEastAsia" w:cstheme="minorBidi"/>
          <w:noProof/>
          <w:sz w:val="22"/>
          <w:szCs w:val="22"/>
        </w:rPr>
      </w:pPr>
      <w:hyperlink w:anchor="_Toc137036614" w:history="1">
        <w:r w:rsidR="00CD2587" w:rsidRPr="00ED29A0">
          <w:rPr>
            <w:rStyle w:val="Hyperlink"/>
            <w:bCs/>
            <w:noProof/>
          </w:rPr>
          <w:t>1.1.2 Application Date</w:t>
        </w:r>
        <w:r w:rsidR="00CD2587">
          <w:rPr>
            <w:noProof/>
            <w:webHidden/>
          </w:rPr>
          <w:tab/>
        </w:r>
        <w:r w:rsidR="00CD2587">
          <w:rPr>
            <w:noProof/>
            <w:webHidden/>
          </w:rPr>
          <w:fldChar w:fldCharType="begin"/>
        </w:r>
        <w:r w:rsidR="00CD2587">
          <w:rPr>
            <w:noProof/>
            <w:webHidden/>
          </w:rPr>
          <w:instrText xml:space="preserve"> PAGEREF _Toc137036614 \h </w:instrText>
        </w:r>
        <w:r w:rsidR="00CD2587">
          <w:rPr>
            <w:noProof/>
            <w:webHidden/>
          </w:rPr>
        </w:r>
        <w:r w:rsidR="00CD2587">
          <w:rPr>
            <w:noProof/>
            <w:webHidden/>
          </w:rPr>
          <w:fldChar w:fldCharType="separate"/>
        </w:r>
        <w:r w:rsidR="00CD2587">
          <w:rPr>
            <w:noProof/>
            <w:webHidden/>
          </w:rPr>
          <w:t>4</w:t>
        </w:r>
        <w:r w:rsidR="00CD2587">
          <w:rPr>
            <w:noProof/>
            <w:webHidden/>
          </w:rPr>
          <w:fldChar w:fldCharType="end"/>
        </w:r>
      </w:hyperlink>
    </w:p>
    <w:p w14:paraId="0DE6341C" w14:textId="0539BF9E" w:rsidR="00CD2587" w:rsidRDefault="006C77E2">
      <w:pPr>
        <w:pStyle w:val="TOC3"/>
        <w:rPr>
          <w:rFonts w:eastAsiaTheme="minorEastAsia" w:cstheme="minorBidi"/>
          <w:noProof/>
          <w:sz w:val="22"/>
          <w:szCs w:val="22"/>
        </w:rPr>
      </w:pPr>
      <w:hyperlink w:anchor="_Toc137036615" w:history="1">
        <w:r w:rsidR="00CD2587" w:rsidRPr="00ED29A0">
          <w:rPr>
            <w:rStyle w:val="Hyperlink"/>
            <w:bCs/>
            <w:noProof/>
          </w:rPr>
          <w:t>1.1.3 Agencies Covered by this Policy</w:t>
        </w:r>
        <w:r w:rsidR="00CD2587">
          <w:rPr>
            <w:noProof/>
            <w:webHidden/>
          </w:rPr>
          <w:tab/>
        </w:r>
        <w:r w:rsidR="00CD2587">
          <w:rPr>
            <w:noProof/>
            <w:webHidden/>
          </w:rPr>
          <w:fldChar w:fldCharType="begin"/>
        </w:r>
        <w:r w:rsidR="00CD2587">
          <w:rPr>
            <w:noProof/>
            <w:webHidden/>
          </w:rPr>
          <w:instrText xml:space="preserve"> PAGEREF _Toc137036615 \h </w:instrText>
        </w:r>
        <w:r w:rsidR="00CD2587">
          <w:rPr>
            <w:noProof/>
            <w:webHidden/>
          </w:rPr>
        </w:r>
        <w:r w:rsidR="00CD2587">
          <w:rPr>
            <w:noProof/>
            <w:webHidden/>
          </w:rPr>
          <w:fldChar w:fldCharType="separate"/>
        </w:r>
        <w:r w:rsidR="00CD2587">
          <w:rPr>
            <w:noProof/>
            <w:webHidden/>
          </w:rPr>
          <w:t>4</w:t>
        </w:r>
        <w:r w:rsidR="00CD2587">
          <w:rPr>
            <w:noProof/>
            <w:webHidden/>
          </w:rPr>
          <w:fldChar w:fldCharType="end"/>
        </w:r>
      </w:hyperlink>
    </w:p>
    <w:p w14:paraId="5369D855" w14:textId="2CFB8DE0" w:rsidR="00CD2587" w:rsidRDefault="006C77E2">
      <w:pPr>
        <w:pStyle w:val="TOC3"/>
        <w:rPr>
          <w:rFonts w:eastAsiaTheme="minorEastAsia" w:cstheme="minorBidi"/>
          <w:noProof/>
          <w:sz w:val="22"/>
          <w:szCs w:val="22"/>
        </w:rPr>
      </w:pPr>
      <w:hyperlink w:anchor="_Toc137036616" w:history="1">
        <w:r w:rsidR="00CD2587" w:rsidRPr="00ED29A0">
          <w:rPr>
            <w:rStyle w:val="Hyperlink"/>
            <w:noProof/>
          </w:rPr>
          <w:t>1.1.4 Contact</w:t>
        </w:r>
        <w:r w:rsidR="00CD2587">
          <w:rPr>
            <w:noProof/>
            <w:webHidden/>
          </w:rPr>
          <w:tab/>
        </w:r>
        <w:r w:rsidR="00CD2587">
          <w:rPr>
            <w:noProof/>
            <w:webHidden/>
          </w:rPr>
          <w:fldChar w:fldCharType="begin"/>
        </w:r>
        <w:r w:rsidR="00CD2587">
          <w:rPr>
            <w:noProof/>
            <w:webHidden/>
          </w:rPr>
          <w:instrText xml:space="preserve"> PAGEREF _Toc137036616 \h </w:instrText>
        </w:r>
        <w:r w:rsidR="00CD2587">
          <w:rPr>
            <w:noProof/>
            <w:webHidden/>
          </w:rPr>
        </w:r>
        <w:r w:rsidR="00CD2587">
          <w:rPr>
            <w:noProof/>
            <w:webHidden/>
          </w:rPr>
          <w:fldChar w:fldCharType="separate"/>
        </w:r>
        <w:r w:rsidR="00CD2587">
          <w:rPr>
            <w:noProof/>
            <w:webHidden/>
          </w:rPr>
          <w:t>4</w:t>
        </w:r>
        <w:r w:rsidR="00CD2587">
          <w:rPr>
            <w:noProof/>
            <w:webHidden/>
          </w:rPr>
          <w:fldChar w:fldCharType="end"/>
        </w:r>
      </w:hyperlink>
    </w:p>
    <w:p w14:paraId="1E9D1DA2" w14:textId="3FE3289F" w:rsidR="00CD2587" w:rsidRDefault="006C77E2">
      <w:pPr>
        <w:pStyle w:val="TOC1"/>
        <w:rPr>
          <w:rFonts w:eastAsiaTheme="minorEastAsia" w:cstheme="minorBidi"/>
          <w:b w:val="0"/>
          <w:caps w:val="0"/>
          <w:color w:val="auto"/>
          <w:sz w:val="22"/>
          <w:szCs w:val="22"/>
        </w:rPr>
      </w:pPr>
      <w:hyperlink w:anchor="_Toc137036617" w:history="1">
        <w:r w:rsidR="00CD2587" w:rsidRPr="00ED29A0">
          <w:rPr>
            <w:rStyle w:val="Hyperlink"/>
          </w:rPr>
          <w:t>2.</w:t>
        </w:r>
        <w:r w:rsidR="00CD2587">
          <w:rPr>
            <w:rFonts w:eastAsiaTheme="minorEastAsia" w:cstheme="minorBidi"/>
            <w:b w:val="0"/>
            <w:caps w:val="0"/>
            <w:color w:val="auto"/>
            <w:sz w:val="22"/>
            <w:szCs w:val="22"/>
          </w:rPr>
          <w:tab/>
        </w:r>
        <w:r w:rsidR="00CD2587" w:rsidRPr="00ED29A0">
          <w:rPr>
            <w:rStyle w:val="Hyperlink"/>
            <w:lang w:val="en-US"/>
          </w:rPr>
          <w:t>Short-Term Employee Benefits</w:t>
        </w:r>
        <w:r w:rsidR="00CD2587">
          <w:rPr>
            <w:webHidden/>
          </w:rPr>
          <w:tab/>
        </w:r>
        <w:r w:rsidR="00CD2587">
          <w:rPr>
            <w:webHidden/>
          </w:rPr>
          <w:fldChar w:fldCharType="begin"/>
        </w:r>
        <w:r w:rsidR="00CD2587">
          <w:rPr>
            <w:webHidden/>
          </w:rPr>
          <w:instrText xml:space="preserve"> PAGEREF _Toc137036617 \h </w:instrText>
        </w:r>
        <w:r w:rsidR="00CD2587">
          <w:rPr>
            <w:webHidden/>
          </w:rPr>
        </w:r>
        <w:r w:rsidR="00CD2587">
          <w:rPr>
            <w:webHidden/>
          </w:rPr>
          <w:fldChar w:fldCharType="separate"/>
        </w:r>
        <w:r w:rsidR="00CD2587">
          <w:rPr>
            <w:webHidden/>
          </w:rPr>
          <w:t>5</w:t>
        </w:r>
        <w:r w:rsidR="00CD2587">
          <w:rPr>
            <w:webHidden/>
          </w:rPr>
          <w:fldChar w:fldCharType="end"/>
        </w:r>
      </w:hyperlink>
    </w:p>
    <w:p w14:paraId="0C8680C9" w14:textId="76D0AF9E" w:rsidR="00CD2587" w:rsidRDefault="006C77E2">
      <w:pPr>
        <w:pStyle w:val="TOC2"/>
        <w:rPr>
          <w:rFonts w:eastAsiaTheme="minorEastAsia" w:cstheme="minorBidi"/>
          <w:color w:val="auto"/>
          <w:sz w:val="22"/>
          <w:szCs w:val="22"/>
        </w:rPr>
      </w:pPr>
      <w:hyperlink w:anchor="_Toc137036618" w:history="1">
        <w:r w:rsidR="00CD2587" w:rsidRPr="00ED29A0">
          <w:rPr>
            <w:rStyle w:val="Hyperlink"/>
          </w:rPr>
          <w:t>2.1 Examples of Short-Term Employee Benefits</w:t>
        </w:r>
        <w:r w:rsidR="00CD2587">
          <w:rPr>
            <w:webHidden/>
          </w:rPr>
          <w:tab/>
        </w:r>
        <w:r w:rsidR="00CD2587">
          <w:rPr>
            <w:webHidden/>
          </w:rPr>
          <w:fldChar w:fldCharType="begin"/>
        </w:r>
        <w:r w:rsidR="00CD2587">
          <w:rPr>
            <w:webHidden/>
          </w:rPr>
          <w:instrText xml:space="preserve"> PAGEREF _Toc137036618 \h </w:instrText>
        </w:r>
        <w:r w:rsidR="00CD2587">
          <w:rPr>
            <w:webHidden/>
          </w:rPr>
        </w:r>
        <w:r w:rsidR="00CD2587">
          <w:rPr>
            <w:webHidden/>
          </w:rPr>
          <w:fldChar w:fldCharType="separate"/>
        </w:r>
        <w:r w:rsidR="00CD2587">
          <w:rPr>
            <w:webHidden/>
          </w:rPr>
          <w:t>5</w:t>
        </w:r>
        <w:r w:rsidR="00CD2587">
          <w:rPr>
            <w:webHidden/>
          </w:rPr>
          <w:fldChar w:fldCharType="end"/>
        </w:r>
      </w:hyperlink>
    </w:p>
    <w:p w14:paraId="1F074396" w14:textId="5B88B8B3" w:rsidR="00CD2587" w:rsidRDefault="006C77E2">
      <w:pPr>
        <w:pStyle w:val="TOC2"/>
        <w:rPr>
          <w:rFonts w:eastAsiaTheme="minorEastAsia" w:cstheme="minorBidi"/>
          <w:color w:val="auto"/>
          <w:sz w:val="22"/>
          <w:szCs w:val="22"/>
        </w:rPr>
      </w:pPr>
      <w:hyperlink w:anchor="_Toc137036619" w:history="1">
        <w:r w:rsidR="00CD2587" w:rsidRPr="00ED29A0">
          <w:rPr>
            <w:rStyle w:val="Hyperlink"/>
          </w:rPr>
          <w:t>2.2 Measurement of Short-Term Employee Benefits</w:t>
        </w:r>
        <w:r w:rsidR="00CD2587">
          <w:rPr>
            <w:webHidden/>
          </w:rPr>
          <w:tab/>
        </w:r>
        <w:r w:rsidR="00CD2587">
          <w:rPr>
            <w:webHidden/>
          </w:rPr>
          <w:fldChar w:fldCharType="begin"/>
        </w:r>
        <w:r w:rsidR="00CD2587">
          <w:rPr>
            <w:webHidden/>
          </w:rPr>
          <w:instrText xml:space="preserve"> PAGEREF _Toc137036619 \h </w:instrText>
        </w:r>
        <w:r w:rsidR="00CD2587">
          <w:rPr>
            <w:webHidden/>
          </w:rPr>
        </w:r>
        <w:r w:rsidR="00CD2587">
          <w:rPr>
            <w:webHidden/>
          </w:rPr>
          <w:fldChar w:fldCharType="separate"/>
        </w:r>
        <w:r w:rsidR="00CD2587">
          <w:rPr>
            <w:webHidden/>
          </w:rPr>
          <w:t>5</w:t>
        </w:r>
        <w:r w:rsidR="00CD2587">
          <w:rPr>
            <w:webHidden/>
          </w:rPr>
          <w:fldChar w:fldCharType="end"/>
        </w:r>
      </w:hyperlink>
    </w:p>
    <w:p w14:paraId="74B89D8B" w14:textId="73B6F606" w:rsidR="00CD2587" w:rsidRDefault="006C77E2">
      <w:pPr>
        <w:pStyle w:val="TOC2"/>
        <w:rPr>
          <w:rFonts w:eastAsiaTheme="minorEastAsia" w:cstheme="minorBidi"/>
          <w:color w:val="auto"/>
          <w:sz w:val="22"/>
          <w:szCs w:val="22"/>
        </w:rPr>
      </w:pPr>
      <w:hyperlink w:anchor="_Toc137036620" w:history="1">
        <w:r w:rsidR="00CD2587" w:rsidRPr="00ED29A0">
          <w:rPr>
            <w:rStyle w:val="Hyperlink"/>
          </w:rPr>
          <w:t>2.3 Personal Leave</w:t>
        </w:r>
        <w:r w:rsidR="00CD2587">
          <w:rPr>
            <w:webHidden/>
          </w:rPr>
          <w:tab/>
        </w:r>
        <w:r w:rsidR="00CD2587">
          <w:rPr>
            <w:webHidden/>
          </w:rPr>
          <w:fldChar w:fldCharType="begin"/>
        </w:r>
        <w:r w:rsidR="00CD2587">
          <w:rPr>
            <w:webHidden/>
          </w:rPr>
          <w:instrText xml:space="preserve"> PAGEREF _Toc137036620 \h </w:instrText>
        </w:r>
        <w:r w:rsidR="00CD2587">
          <w:rPr>
            <w:webHidden/>
          </w:rPr>
        </w:r>
        <w:r w:rsidR="00CD2587">
          <w:rPr>
            <w:webHidden/>
          </w:rPr>
          <w:fldChar w:fldCharType="separate"/>
        </w:r>
        <w:r w:rsidR="00CD2587">
          <w:rPr>
            <w:webHidden/>
          </w:rPr>
          <w:t>5</w:t>
        </w:r>
        <w:r w:rsidR="00CD2587">
          <w:rPr>
            <w:webHidden/>
          </w:rPr>
          <w:fldChar w:fldCharType="end"/>
        </w:r>
      </w:hyperlink>
    </w:p>
    <w:p w14:paraId="6980C558" w14:textId="65CFF0BF" w:rsidR="00CD2587" w:rsidRDefault="006C77E2">
      <w:pPr>
        <w:pStyle w:val="TOC1"/>
        <w:rPr>
          <w:rFonts w:eastAsiaTheme="minorEastAsia" w:cstheme="minorBidi"/>
          <w:b w:val="0"/>
          <w:caps w:val="0"/>
          <w:color w:val="auto"/>
          <w:sz w:val="22"/>
          <w:szCs w:val="22"/>
        </w:rPr>
      </w:pPr>
      <w:hyperlink w:anchor="_Toc137036621" w:history="1">
        <w:r w:rsidR="00CD2587" w:rsidRPr="00ED29A0">
          <w:rPr>
            <w:rStyle w:val="Hyperlink"/>
            <w:lang w:val="en-US"/>
          </w:rPr>
          <w:t>3. Long-term Employee Benefits</w:t>
        </w:r>
        <w:r w:rsidR="00CD2587">
          <w:rPr>
            <w:webHidden/>
          </w:rPr>
          <w:tab/>
        </w:r>
        <w:r w:rsidR="00CD2587">
          <w:rPr>
            <w:webHidden/>
          </w:rPr>
          <w:fldChar w:fldCharType="begin"/>
        </w:r>
        <w:r w:rsidR="00CD2587">
          <w:rPr>
            <w:webHidden/>
          </w:rPr>
          <w:instrText xml:space="preserve"> PAGEREF _Toc137036621 \h </w:instrText>
        </w:r>
        <w:r w:rsidR="00CD2587">
          <w:rPr>
            <w:webHidden/>
          </w:rPr>
        </w:r>
        <w:r w:rsidR="00CD2587">
          <w:rPr>
            <w:webHidden/>
          </w:rPr>
          <w:fldChar w:fldCharType="separate"/>
        </w:r>
        <w:r w:rsidR="00CD2587">
          <w:rPr>
            <w:webHidden/>
          </w:rPr>
          <w:t>6</w:t>
        </w:r>
        <w:r w:rsidR="00CD2587">
          <w:rPr>
            <w:webHidden/>
          </w:rPr>
          <w:fldChar w:fldCharType="end"/>
        </w:r>
      </w:hyperlink>
    </w:p>
    <w:p w14:paraId="0C1FB7E2" w14:textId="1EA121A1" w:rsidR="00CD2587" w:rsidRDefault="006C77E2">
      <w:pPr>
        <w:pStyle w:val="TOC2"/>
        <w:rPr>
          <w:rFonts w:eastAsiaTheme="minorEastAsia" w:cstheme="minorBidi"/>
          <w:color w:val="auto"/>
          <w:sz w:val="22"/>
          <w:szCs w:val="22"/>
        </w:rPr>
      </w:pPr>
      <w:hyperlink w:anchor="_Toc137036622" w:history="1">
        <w:r w:rsidR="00CD2587" w:rsidRPr="00ED29A0">
          <w:rPr>
            <w:rStyle w:val="Hyperlink"/>
          </w:rPr>
          <w:t>3.1 Definition</w:t>
        </w:r>
        <w:r w:rsidR="00CD2587">
          <w:rPr>
            <w:webHidden/>
          </w:rPr>
          <w:tab/>
        </w:r>
        <w:r w:rsidR="00CD2587">
          <w:rPr>
            <w:webHidden/>
          </w:rPr>
          <w:fldChar w:fldCharType="begin"/>
        </w:r>
        <w:r w:rsidR="00CD2587">
          <w:rPr>
            <w:webHidden/>
          </w:rPr>
          <w:instrText xml:space="preserve"> PAGEREF _Toc137036622 \h </w:instrText>
        </w:r>
        <w:r w:rsidR="00CD2587">
          <w:rPr>
            <w:webHidden/>
          </w:rPr>
        </w:r>
        <w:r w:rsidR="00CD2587">
          <w:rPr>
            <w:webHidden/>
          </w:rPr>
          <w:fldChar w:fldCharType="separate"/>
        </w:r>
        <w:r w:rsidR="00CD2587">
          <w:rPr>
            <w:webHidden/>
          </w:rPr>
          <w:t>6</w:t>
        </w:r>
        <w:r w:rsidR="00CD2587">
          <w:rPr>
            <w:webHidden/>
          </w:rPr>
          <w:fldChar w:fldCharType="end"/>
        </w:r>
      </w:hyperlink>
    </w:p>
    <w:p w14:paraId="37DE16B2" w14:textId="607C40BC" w:rsidR="00CD2587" w:rsidRDefault="006C77E2">
      <w:pPr>
        <w:pStyle w:val="TOC2"/>
        <w:rPr>
          <w:rFonts w:eastAsiaTheme="minorEastAsia" w:cstheme="minorBidi"/>
          <w:color w:val="auto"/>
          <w:sz w:val="22"/>
          <w:szCs w:val="22"/>
        </w:rPr>
      </w:pPr>
      <w:hyperlink w:anchor="_Toc137036623" w:history="1">
        <w:r w:rsidR="00CD2587" w:rsidRPr="00ED29A0">
          <w:rPr>
            <w:rStyle w:val="Hyperlink"/>
          </w:rPr>
          <w:t>3.2 Steps for Calculating Long Service Leave (LSL) and Annual Leave (AL) Liabilities</w:t>
        </w:r>
        <w:r w:rsidR="00CD2587">
          <w:rPr>
            <w:webHidden/>
          </w:rPr>
          <w:tab/>
        </w:r>
        <w:r w:rsidR="00CD2587">
          <w:rPr>
            <w:webHidden/>
          </w:rPr>
          <w:fldChar w:fldCharType="begin"/>
        </w:r>
        <w:r w:rsidR="00CD2587">
          <w:rPr>
            <w:webHidden/>
          </w:rPr>
          <w:instrText xml:space="preserve"> PAGEREF _Toc137036623 \h </w:instrText>
        </w:r>
        <w:r w:rsidR="00CD2587">
          <w:rPr>
            <w:webHidden/>
          </w:rPr>
        </w:r>
        <w:r w:rsidR="00CD2587">
          <w:rPr>
            <w:webHidden/>
          </w:rPr>
          <w:fldChar w:fldCharType="separate"/>
        </w:r>
        <w:r w:rsidR="00CD2587">
          <w:rPr>
            <w:webHidden/>
          </w:rPr>
          <w:t>6</w:t>
        </w:r>
        <w:r w:rsidR="00CD2587">
          <w:rPr>
            <w:webHidden/>
          </w:rPr>
          <w:fldChar w:fldCharType="end"/>
        </w:r>
      </w:hyperlink>
    </w:p>
    <w:p w14:paraId="5E1969FA" w14:textId="0CD4F2EF" w:rsidR="00CD2587" w:rsidRDefault="006C77E2">
      <w:pPr>
        <w:pStyle w:val="TOC3"/>
        <w:rPr>
          <w:rFonts w:eastAsiaTheme="minorEastAsia" w:cstheme="minorBidi"/>
          <w:noProof/>
          <w:sz w:val="22"/>
          <w:szCs w:val="22"/>
        </w:rPr>
      </w:pPr>
      <w:hyperlink w:anchor="_Toc137036624" w:history="1">
        <w:r w:rsidR="00CD2587" w:rsidRPr="00ED29A0">
          <w:rPr>
            <w:rStyle w:val="Hyperlink"/>
            <w:noProof/>
          </w:rPr>
          <w:t>3.2.1 LSL Probability Factor Step</w:t>
        </w:r>
        <w:r w:rsidR="00CD2587">
          <w:rPr>
            <w:noProof/>
            <w:webHidden/>
          </w:rPr>
          <w:tab/>
        </w:r>
        <w:r w:rsidR="00CD2587">
          <w:rPr>
            <w:noProof/>
            <w:webHidden/>
          </w:rPr>
          <w:fldChar w:fldCharType="begin"/>
        </w:r>
        <w:r w:rsidR="00CD2587">
          <w:rPr>
            <w:noProof/>
            <w:webHidden/>
          </w:rPr>
          <w:instrText xml:space="preserve"> PAGEREF _Toc137036624 \h </w:instrText>
        </w:r>
        <w:r w:rsidR="00CD2587">
          <w:rPr>
            <w:noProof/>
            <w:webHidden/>
          </w:rPr>
        </w:r>
        <w:r w:rsidR="00CD2587">
          <w:rPr>
            <w:noProof/>
            <w:webHidden/>
          </w:rPr>
          <w:fldChar w:fldCharType="separate"/>
        </w:r>
        <w:r w:rsidR="00CD2587">
          <w:rPr>
            <w:noProof/>
            <w:webHidden/>
          </w:rPr>
          <w:t>7</w:t>
        </w:r>
        <w:r w:rsidR="00CD2587">
          <w:rPr>
            <w:noProof/>
            <w:webHidden/>
          </w:rPr>
          <w:fldChar w:fldCharType="end"/>
        </w:r>
      </w:hyperlink>
    </w:p>
    <w:p w14:paraId="10038852" w14:textId="0CC1FF1C" w:rsidR="00CD2587" w:rsidRDefault="006C77E2">
      <w:pPr>
        <w:pStyle w:val="TOC3"/>
        <w:rPr>
          <w:rFonts w:eastAsiaTheme="minorEastAsia" w:cstheme="minorBidi"/>
          <w:noProof/>
          <w:sz w:val="22"/>
          <w:szCs w:val="22"/>
        </w:rPr>
      </w:pPr>
      <w:hyperlink w:anchor="_Toc137036625" w:history="1">
        <w:r w:rsidR="00CD2587" w:rsidRPr="00ED29A0">
          <w:rPr>
            <w:rStyle w:val="Hyperlink"/>
            <w:noProof/>
          </w:rPr>
          <w:t>3.2.2 AL/LSL On-Cost Step</w:t>
        </w:r>
        <w:r w:rsidR="00CD2587">
          <w:rPr>
            <w:noProof/>
            <w:webHidden/>
          </w:rPr>
          <w:tab/>
        </w:r>
        <w:r w:rsidR="00CD2587">
          <w:rPr>
            <w:noProof/>
            <w:webHidden/>
          </w:rPr>
          <w:fldChar w:fldCharType="begin"/>
        </w:r>
        <w:r w:rsidR="00CD2587">
          <w:rPr>
            <w:noProof/>
            <w:webHidden/>
          </w:rPr>
          <w:instrText xml:space="preserve"> PAGEREF _Toc137036625 \h </w:instrText>
        </w:r>
        <w:r w:rsidR="00CD2587">
          <w:rPr>
            <w:noProof/>
            <w:webHidden/>
          </w:rPr>
        </w:r>
        <w:r w:rsidR="00CD2587">
          <w:rPr>
            <w:noProof/>
            <w:webHidden/>
          </w:rPr>
          <w:fldChar w:fldCharType="separate"/>
        </w:r>
        <w:r w:rsidR="00CD2587">
          <w:rPr>
            <w:noProof/>
            <w:webHidden/>
          </w:rPr>
          <w:t>8</w:t>
        </w:r>
        <w:r w:rsidR="00CD2587">
          <w:rPr>
            <w:noProof/>
            <w:webHidden/>
          </w:rPr>
          <w:fldChar w:fldCharType="end"/>
        </w:r>
      </w:hyperlink>
    </w:p>
    <w:p w14:paraId="729165DD" w14:textId="0EA7B1FF" w:rsidR="00CD2587" w:rsidRDefault="006C77E2">
      <w:pPr>
        <w:pStyle w:val="TOC3"/>
        <w:rPr>
          <w:rFonts w:eastAsiaTheme="minorEastAsia" w:cstheme="minorBidi"/>
          <w:noProof/>
          <w:sz w:val="22"/>
          <w:szCs w:val="22"/>
        </w:rPr>
      </w:pPr>
      <w:hyperlink w:anchor="_Toc137036626" w:history="1">
        <w:r w:rsidR="00CD2587" w:rsidRPr="00ED29A0">
          <w:rPr>
            <w:rStyle w:val="Hyperlink"/>
            <w:bCs/>
            <w:noProof/>
          </w:rPr>
          <w:t>3.2.2.1 Superannuation On-Costs</w:t>
        </w:r>
        <w:r w:rsidR="00CD2587">
          <w:rPr>
            <w:noProof/>
            <w:webHidden/>
          </w:rPr>
          <w:tab/>
        </w:r>
        <w:r w:rsidR="00CD2587">
          <w:rPr>
            <w:noProof/>
            <w:webHidden/>
          </w:rPr>
          <w:fldChar w:fldCharType="begin"/>
        </w:r>
        <w:r w:rsidR="00CD2587">
          <w:rPr>
            <w:noProof/>
            <w:webHidden/>
          </w:rPr>
          <w:instrText xml:space="preserve"> PAGEREF _Toc137036626 \h </w:instrText>
        </w:r>
        <w:r w:rsidR="00CD2587">
          <w:rPr>
            <w:noProof/>
            <w:webHidden/>
          </w:rPr>
        </w:r>
        <w:r w:rsidR="00CD2587">
          <w:rPr>
            <w:noProof/>
            <w:webHidden/>
          </w:rPr>
          <w:fldChar w:fldCharType="separate"/>
        </w:r>
        <w:r w:rsidR="00CD2587">
          <w:rPr>
            <w:noProof/>
            <w:webHidden/>
          </w:rPr>
          <w:t>8</w:t>
        </w:r>
        <w:r w:rsidR="00CD2587">
          <w:rPr>
            <w:noProof/>
            <w:webHidden/>
          </w:rPr>
          <w:fldChar w:fldCharType="end"/>
        </w:r>
      </w:hyperlink>
    </w:p>
    <w:p w14:paraId="4EFDB257" w14:textId="03400867" w:rsidR="00CD2587" w:rsidRDefault="006C77E2">
      <w:pPr>
        <w:pStyle w:val="TOC3"/>
        <w:rPr>
          <w:rFonts w:eastAsiaTheme="minorEastAsia" w:cstheme="minorBidi"/>
          <w:noProof/>
          <w:sz w:val="22"/>
          <w:szCs w:val="22"/>
        </w:rPr>
      </w:pPr>
      <w:hyperlink w:anchor="_Toc137036627" w:history="1">
        <w:r w:rsidR="00CD2587" w:rsidRPr="00ED29A0">
          <w:rPr>
            <w:rStyle w:val="Hyperlink"/>
            <w:bCs/>
            <w:noProof/>
          </w:rPr>
          <w:t>3.2.2.2 LSL and AL On-Costs</w:t>
        </w:r>
        <w:r w:rsidR="00CD2587">
          <w:rPr>
            <w:noProof/>
            <w:webHidden/>
          </w:rPr>
          <w:tab/>
        </w:r>
        <w:r w:rsidR="00CD2587">
          <w:rPr>
            <w:noProof/>
            <w:webHidden/>
          </w:rPr>
          <w:fldChar w:fldCharType="begin"/>
        </w:r>
        <w:r w:rsidR="00CD2587">
          <w:rPr>
            <w:noProof/>
            <w:webHidden/>
          </w:rPr>
          <w:instrText xml:space="preserve"> PAGEREF _Toc137036627 \h </w:instrText>
        </w:r>
        <w:r w:rsidR="00CD2587">
          <w:rPr>
            <w:noProof/>
            <w:webHidden/>
          </w:rPr>
        </w:r>
        <w:r w:rsidR="00CD2587">
          <w:rPr>
            <w:noProof/>
            <w:webHidden/>
          </w:rPr>
          <w:fldChar w:fldCharType="separate"/>
        </w:r>
        <w:r w:rsidR="00CD2587">
          <w:rPr>
            <w:noProof/>
            <w:webHidden/>
          </w:rPr>
          <w:t>8</w:t>
        </w:r>
        <w:r w:rsidR="00CD2587">
          <w:rPr>
            <w:noProof/>
            <w:webHidden/>
          </w:rPr>
          <w:fldChar w:fldCharType="end"/>
        </w:r>
      </w:hyperlink>
    </w:p>
    <w:p w14:paraId="75AF9289" w14:textId="43E6C748" w:rsidR="00CD2587" w:rsidRDefault="006C77E2">
      <w:pPr>
        <w:pStyle w:val="TOC3"/>
        <w:rPr>
          <w:rFonts w:eastAsiaTheme="minorEastAsia" w:cstheme="minorBidi"/>
          <w:noProof/>
          <w:sz w:val="22"/>
          <w:szCs w:val="22"/>
        </w:rPr>
      </w:pPr>
      <w:hyperlink w:anchor="_Toc137036628" w:history="1">
        <w:r w:rsidR="00CD2587" w:rsidRPr="00ED29A0">
          <w:rPr>
            <w:rStyle w:val="Hyperlink"/>
            <w:noProof/>
          </w:rPr>
          <w:t>3.2.3 LSL Present Value Factor Step</w:t>
        </w:r>
        <w:r w:rsidR="00CD2587">
          <w:rPr>
            <w:noProof/>
            <w:webHidden/>
          </w:rPr>
          <w:tab/>
        </w:r>
        <w:r w:rsidR="00CD2587">
          <w:rPr>
            <w:noProof/>
            <w:webHidden/>
          </w:rPr>
          <w:fldChar w:fldCharType="begin"/>
        </w:r>
        <w:r w:rsidR="00CD2587">
          <w:rPr>
            <w:noProof/>
            <w:webHidden/>
          </w:rPr>
          <w:instrText xml:space="preserve"> PAGEREF _Toc137036628 \h </w:instrText>
        </w:r>
        <w:r w:rsidR="00CD2587">
          <w:rPr>
            <w:noProof/>
            <w:webHidden/>
          </w:rPr>
        </w:r>
        <w:r w:rsidR="00CD2587">
          <w:rPr>
            <w:noProof/>
            <w:webHidden/>
          </w:rPr>
          <w:fldChar w:fldCharType="separate"/>
        </w:r>
        <w:r w:rsidR="00CD2587">
          <w:rPr>
            <w:noProof/>
            <w:webHidden/>
          </w:rPr>
          <w:t>9</w:t>
        </w:r>
        <w:r w:rsidR="00CD2587">
          <w:rPr>
            <w:noProof/>
            <w:webHidden/>
          </w:rPr>
          <w:fldChar w:fldCharType="end"/>
        </w:r>
      </w:hyperlink>
    </w:p>
    <w:p w14:paraId="6B95974A" w14:textId="52FC2704" w:rsidR="00CD2587" w:rsidRDefault="006C77E2">
      <w:pPr>
        <w:pStyle w:val="TOC3"/>
        <w:rPr>
          <w:rFonts w:eastAsiaTheme="minorEastAsia" w:cstheme="minorBidi"/>
          <w:noProof/>
          <w:sz w:val="22"/>
          <w:szCs w:val="22"/>
        </w:rPr>
      </w:pPr>
      <w:hyperlink w:anchor="_Toc137036629" w:history="1">
        <w:r w:rsidR="00CD2587" w:rsidRPr="00ED29A0">
          <w:rPr>
            <w:rStyle w:val="Hyperlink"/>
            <w:noProof/>
          </w:rPr>
          <w:t>3.2.4 AL Present Value Step</w:t>
        </w:r>
        <w:r w:rsidR="00CD2587">
          <w:rPr>
            <w:noProof/>
            <w:webHidden/>
          </w:rPr>
          <w:tab/>
        </w:r>
        <w:r w:rsidR="00CD2587">
          <w:rPr>
            <w:noProof/>
            <w:webHidden/>
          </w:rPr>
          <w:fldChar w:fldCharType="begin"/>
        </w:r>
        <w:r w:rsidR="00CD2587">
          <w:rPr>
            <w:noProof/>
            <w:webHidden/>
          </w:rPr>
          <w:instrText xml:space="preserve"> PAGEREF _Toc137036629 \h </w:instrText>
        </w:r>
        <w:r w:rsidR="00CD2587">
          <w:rPr>
            <w:noProof/>
            <w:webHidden/>
          </w:rPr>
        </w:r>
        <w:r w:rsidR="00CD2587">
          <w:rPr>
            <w:noProof/>
            <w:webHidden/>
          </w:rPr>
          <w:fldChar w:fldCharType="separate"/>
        </w:r>
        <w:r w:rsidR="00CD2587">
          <w:rPr>
            <w:noProof/>
            <w:webHidden/>
          </w:rPr>
          <w:t>9</w:t>
        </w:r>
        <w:r w:rsidR="00CD2587">
          <w:rPr>
            <w:noProof/>
            <w:webHidden/>
          </w:rPr>
          <w:fldChar w:fldCharType="end"/>
        </w:r>
      </w:hyperlink>
    </w:p>
    <w:p w14:paraId="64D9E618" w14:textId="1025E46A" w:rsidR="00CD2587" w:rsidRDefault="006C77E2">
      <w:pPr>
        <w:pStyle w:val="TOC2"/>
        <w:rPr>
          <w:rFonts w:eastAsiaTheme="minorEastAsia" w:cstheme="minorBidi"/>
          <w:color w:val="auto"/>
          <w:sz w:val="22"/>
          <w:szCs w:val="22"/>
        </w:rPr>
      </w:pPr>
      <w:hyperlink w:anchor="_Toc137036630" w:history="1">
        <w:r w:rsidR="00CD2587" w:rsidRPr="00ED29A0">
          <w:rPr>
            <w:rStyle w:val="Hyperlink"/>
          </w:rPr>
          <w:t>3.3 Shared Services Agencies</w:t>
        </w:r>
        <w:r w:rsidR="00CD2587">
          <w:rPr>
            <w:webHidden/>
          </w:rPr>
          <w:tab/>
        </w:r>
        <w:r w:rsidR="00CD2587">
          <w:rPr>
            <w:webHidden/>
          </w:rPr>
          <w:fldChar w:fldCharType="begin"/>
        </w:r>
        <w:r w:rsidR="00CD2587">
          <w:rPr>
            <w:webHidden/>
          </w:rPr>
          <w:instrText xml:space="preserve"> PAGEREF _Toc137036630 \h </w:instrText>
        </w:r>
        <w:r w:rsidR="00CD2587">
          <w:rPr>
            <w:webHidden/>
          </w:rPr>
        </w:r>
        <w:r w:rsidR="00CD2587">
          <w:rPr>
            <w:webHidden/>
          </w:rPr>
          <w:fldChar w:fldCharType="separate"/>
        </w:r>
        <w:r w:rsidR="00CD2587">
          <w:rPr>
            <w:webHidden/>
          </w:rPr>
          <w:t>11</w:t>
        </w:r>
        <w:r w:rsidR="00CD2587">
          <w:rPr>
            <w:webHidden/>
          </w:rPr>
          <w:fldChar w:fldCharType="end"/>
        </w:r>
      </w:hyperlink>
    </w:p>
    <w:p w14:paraId="165D1C6F" w14:textId="170990E5" w:rsidR="00CD2587" w:rsidRDefault="006C77E2">
      <w:pPr>
        <w:pStyle w:val="TOC2"/>
        <w:rPr>
          <w:rFonts w:eastAsiaTheme="minorEastAsia" w:cstheme="minorBidi"/>
          <w:color w:val="auto"/>
          <w:sz w:val="22"/>
          <w:szCs w:val="22"/>
        </w:rPr>
      </w:pPr>
      <w:hyperlink w:anchor="_Toc137036631" w:history="1">
        <w:r w:rsidR="00CD2587" w:rsidRPr="00ED29A0">
          <w:rPr>
            <w:rStyle w:val="Hyperlink"/>
          </w:rPr>
          <w:t>3.4 Unwinding of Employee Provisions</w:t>
        </w:r>
        <w:r w:rsidR="00CD2587">
          <w:rPr>
            <w:webHidden/>
          </w:rPr>
          <w:tab/>
        </w:r>
        <w:r w:rsidR="00CD2587">
          <w:rPr>
            <w:webHidden/>
          </w:rPr>
          <w:fldChar w:fldCharType="begin"/>
        </w:r>
        <w:r w:rsidR="00CD2587">
          <w:rPr>
            <w:webHidden/>
          </w:rPr>
          <w:instrText xml:space="preserve"> PAGEREF _Toc137036631 \h </w:instrText>
        </w:r>
        <w:r w:rsidR="00CD2587">
          <w:rPr>
            <w:webHidden/>
          </w:rPr>
        </w:r>
        <w:r w:rsidR="00CD2587">
          <w:rPr>
            <w:webHidden/>
          </w:rPr>
          <w:fldChar w:fldCharType="separate"/>
        </w:r>
        <w:r w:rsidR="00CD2587">
          <w:rPr>
            <w:webHidden/>
          </w:rPr>
          <w:t>11</w:t>
        </w:r>
        <w:r w:rsidR="00CD2587">
          <w:rPr>
            <w:webHidden/>
          </w:rPr>
          <w:fldChar w:fldCharType="end"/>
        </w:r>
      </w:hyperlink>
    </w:p>
    <w:p w14:paraId="0D188F84" w14:textId="7BDC58C2" w:rsidR="00CD2587" w:rsidRDefault="006C77E2">
      <w:pPr>
        <w:pStyle w:val="TOC1"/>
        <w:rPr>
          <w:rFonts w:eastAsiaTheme="minorEastAsia" w:cstheme="minorBidi"/>
          <w:b w:val="0"/>
          <w:caps w:val="0"/>
          <w:color w:val="auto"/>
          <w:sz w:val="22"/>
          <w:szCs w:val="22"/>
        </w:rPr>
      </w:pPr>
      <w:hyperlink w:anchor="_Toc137036632" w:history="1">
        <w:r w:rsidR="00CD2587" w:rsidRPr="00ED29A0">
          <w:rPr>
            <w:rStyle w:val="Hyperlink"/>
            <w:lang w:val="en-US"/>
          </w:rPr>
          <w:t>4. Short-Term/Long-Term VS. Current/Non-Current</w:t>
        </w:r>
        <w:r w:rsidR="00CD2587">
          <w:rPr>
            <w:webHidden/>
          </w:rPr>
          <w:tab/>
        </w:r>
        <w:r w:rsidR="00CD2587">
          <w:rPr>
            <w:webHidden/>
          </w:rPr>
          <w:fldChar w:fldCharType="begin"/>
        </w:r>
        <w:r w:rsidR="00CD2587">
          <w:rPr>
            <w:webHidden/>
          </w:rPr>
          <w:instrText xml:space="preserve"> PAGEREF _Toc137036632 \h </w:instrText>
        </w:r>
        <w:r w:rsidR="00CD2587">
          <w:rPr>
            <w:webHidden/>
          </w:rPr>
        </w:r>
        <w:r w:rsidR="00CD2587">
          <w:rPr>
            <w:webHidden/>
          </w:rPr>
          <w:fldChar w:fldCharType="separate"/>
        </w:r>
        <w:r w:rsidR="00CD2587">
          <w:rPr>
            <w:webHidden/>
          </w:rPr>
          <w:t>11</w:t>
        </w:r>
        <w:r w:rsidR="00CD2587">
          <w:rPr>
            <w:webHidden/>
          </w:rPr>
          <w:fldChar w:fldCharType="end"/>
        </w:r>
      </w:hyperlink>
    </w:p>
    <w:p w14:paraId="02466F7B" w14:textId="31E3A58F" w:rsidR="00CD2587" w:rsidRDefault="006C77E2">
      <w:pPr>
        <w:pStyle w:val="TOC2"/>
        <w:rPr>
          <w:rFonts w:eastAsiaTheme="minorEastAsia" w:cstheme="minorBidi"/>
          <w:color w:val="auto"/>
          <w:sz w:val="22"/>
          <w:szCs w:val="22"/>
        </w:rPr>
      </w:pPr>
      <w:hyperlink w:anchor="_Toc137036633" w:history="1">
        <w:r w:rsidR="00CD2587" w:rsidRPr="00ED29A0">
          <w:rPr>
            <w:rStyle w:val="Hyperlink"/>
          </w:rPr>
          <w:t>4.1 Classification of Annual Leave as Current/Non-Current</w:t>
        </w:r>
        <w:r w:rsidR="00CD2587">
          <w:rPr>
            <w:webHidden/>
          </w:rPr>
          <w:tab/>
        </w:r>
        <w:r w:rsidR="00CD2587">
          <w:rPr>
            <w:webHidden/>
          </w:rPr>
          <w:fldChar w:fldCharType="begin"/>
        </w:r>
        <w:r w:rsidR="00CD2587">
          <w:rPr>
            <w:webHidden/>
          </w:rPr>
          <w:instrText xml:space="preserve"> PAGEREF _Toc137036633 \h </w:instrText>
        </w:r>
        <w:r w:rsidR="00CD2587">
          <w:rPr>
            <w:webHidden/>
          </w:rPr>
        </w:r>
        <w:r w:rsidR="00CD2587">
          <w:rPr>
            <w:webHidden/>
          </w:rPr>
          <w:fldChar w:fldCharType="separate"/>
        </w:r>
        <w:r w:rsidR="00CD2587">
          <w:rPr>
            <w:webHidden/>
          </w:rPr>
          <w:t>12</w:t>
        </w:r>
        <w:r w:rsidR="00CD2587">
          <w:rPr>
            <w:webHidden/>
          </w:rPr>
          <w:fldChar w:fldCharType="end"/>
        </w:r>
      </w:hyperlink>
    </w:p>
    <w:p w14:paraId="632F81D2" w14:textId="5B75C0D1" w:rsidR="00CD2587" w:rsidRDefault="006C77E2">
      <w:pPr>
        <w:pStyle w:val="TOC2"/>
        <w:rPr>
          <w:rFonts w:eastAsiaTheme="minorEastAsia" w:cstheme="minorBidi"/>
          <w:color w:val="auto"/>
          <w:sz w:val="22"/>
          <w:szCs w:val="22"/>
        </w:rPr>
      </w:pPr>
      <w:hyperlink w:anchor="_Toc137036634" w:history="1">
        <w:r w:rsidR="00CD2587" w:rsidRPr="00ED29A0">
          <w:rPr>
            <w:rStyle w:val="Hyperlink"/>
          </w:rPr>
          <w:t>4.2 Classification of Long Service Leave as Current /Non-Current</w:t>
        </w:r>
        <w:r w:rsidR="00CD2587">
          <w:rPr>
            <w:webHidden/>
          </w:rPr>
          <w:tab/>
        </w:r>
        <w:r w:rsidR="00CD2587">
          <w:rPr>
            <w:webHidden/>
          </w:rPr>
          <w:fldChar w:fldCharType="begin"/>
        </w:r>
        <w:r w:rsidR="00CD2587">
          <w:rPr>
            <w:webHidden/>
          </w:rPr>
          <w:instrText xml:space="preserve"> PAGEREF _Toc137036634 \h </w:instrText>
        </w:r>
        <w:r w:rsidR="00CD2587">
          <w:rPr>
            <w:webHidden/>
          </w:rPr>
        </w:r>
        <w:r w:rsidR="00CD2587">
          <w:rPr>
            <w:webHidden/>
          </w:rPr>
          <w:fldChar w:fldCharType="separate"/>
        </w:r>
        <w:r w:rsidR="00CD2587">
          <w:rPr>
            <w:webHidden/>
          </w:rPr>
          <w:t>12</w:t>
        </w:r>
        <w:r w:rsidR="00CD2587">
          <w:rPr>
            <w:webHidden/>
          </w:rPr>
          <w:fldChar w:fldCharType="end"/>
        </w:r>
      </w:hyperlink>
    </w:p>
    <w:p w14:paraId="309441B7" w14:textId="7ECD7173" w:rsidR="00CD2587" w:rsidRDefault="006C77E2">
      <w:pPr>
        <w:pStyle w:val="TOC1"/>
        <w:rPr>
          <w:rFonts w:eastAsiaTheme="minorEastAsia" w:cstheme="minorBidi"/>
          <w:b w:val="0"/>
          <w:caps w:val="0"/>
          <w:color w:val="auto"/>
          <w:sz w:val="22"/>
          <w:szCs w:val="22"/>
        </w:rPr>
      </w:pPr>
      <w:hyperlink w:anchor="_Toc137036635" w:history="1">
        <w:r w:rsidR="00CD2587" w:rsidRPr="00ED29A0">
          <w:rPr>
            <w:rStyle w:val="Hyperlink"/>
            <w:lang w:val="en-US"/>
          </w:rPr>
          <w:t xml:space="preserve">5. </w:t>
        </w:r>
        <w:r w:rsidR="00CD2587" w:rsidRPr="006C77E2">
          <w:rPr>
            <w:rStyle w:val="Hyperlink"/>
            <w:sz w:val="31"/>
            <w:szCs w:val="31"/>
            <w:lang w:val="en-US"/>
          </w:rPr>
          <w:t>Transfer of Employee Benefit Liabilities between Agencies</w:t>
        </w:r>
        <w:r w:rsidR="00CD2587" w:rsidRPr="006C77E2">
          <w:rPr>
            <w:webHidden/>
            <w:sz w:val="31"/>
            <w:szCs w:val="31"/>
          </w:rPr>
          <w:tab/>
        </w:r>
        <w:r w:rsidR="00CD2587" w:rsidRPr="006C77E2">
          <w:rPr>
            <w:webHidden/>
            <w:sz w:val="31"/>
            <w:szCs w:val="31"/>
          </w:rPr>
          <w:fldChar w:fldCharType="begin"/>
        </w:r>
        <w:r w:rsidR="00CD2587" w:rsidRPr="006C77E2">
          <w:rPr>
            <w:webHidden/>
            <w:sz w:val="31"/>
            <w:szCs w:val="31"/>
          </w:rPr>
          <w:instrText xml:space="preserve"> PAGEREF _Toc137036635 \h </w:instrText>
        </w:r>
        <w:r w:rsidR="00CD2587" w:rsidRPr="006C77E2">
          <w:rPr>
            <w:webHidden/>
            <w:sz w:val="31"/>
            <w:szCs w:val="31"/>
          </w:rPr>
        </w:r>
        <w:r w:rsidR="00CD2587" w:rsidRPr="006C77E2">
          <w:rPr>
            <w:webHidden/>
            <w:sz w:val="31"/>
            <w:szCs w:val="31"/>
          </w:rPr>
          <w:fldChar w:fldCharType="separate"/>
        </w:r>
        <w:r w:rsidR="00CD2587" w:rsidRPr="006C77E2">
          <w:rPr>
            <w:webHidden/>
            <w:sz w:val="31"/>
            <w:szCs w:val="31"/>
          </w:rPr>
          <w:t>12</w:t>
        </w:r>
        <w:r w:rsidR="00CD2587" w:rsidRPr="006C77E2">
          <w:rPr>
            <w:webHidden/>
            <w:sz w:val="31"/>
            <w:szCs w:val="31"/>
          </w:rPr>
          <w:fldChar w:fldCharType="end"/>
        </w:r>
      </w:hyperlink>
    </w:p>
    <w:p w14:paraId="42A9CD97" w14:textId="45B62E1F" w:rsidR="00CD2587" w:rsidRDefault="006C77E2">
      <w:pPr>
        <w:pStyle w:val="TOC2"/>
        <w:rPr>
          <w:rFonts w:eastAsiaTheme="minorEastAsia" w:cstheme="minorBidi"/>
          <w:color w:val="auto"/>
          <w:sz w:val="22"/>
          <w:szCs w:val="22"/>
        </w:rPr>
      </w:pPr>
      <w:hyperlink w:anchor="_Toc137036636" w:history="1">
        <w:r w:rsidR="00CD2587" w:rsidRPr="00ED29A0">
          <w:rPr>
            <w:rStyle w:val="Hyperlink"/>
          </w:rPr>
          <w:t>5.1 Accounting Treatment of Transfers</w:t>
        </w:r>
        <w:r w:rsidR="00CD2587">
          <w:rPr>
            <w:webHidden/>
          </w:rPr>
          <w:tab/>
        </w:r>
        <w:r w:rsidR="00CD2587">
          <w:rPr>
            <w:webHidden/>
          </w:rPr>
          <w:fldChar w:fldCharType="begin"/>
        </w:r>
        <w:r w:rsidR="00CD2587">
          <w:rPr>
            <w:webHidden/>
          </w:rPr>
          <w:instrText xml:space="preserve"> PAGEREF _Toc137036636 \h </w:instrText>
        </w:r>
        <w:r w:rsidR="00CD2587">
          <w:rPr>
            <w:webHidden/>
          </w:rPr>
        </w:r>
        <w:r w:rsidR="00CD2587">
          <w:rPr>
            <w:webHidden/>
          </w:rPr>
          <w:fldChar w:fldCharType="separate"/>
        </w:r>
        <w:r w:rsidR="00CD2587">
          <w:rPr>
            <w:webHidden/>
          </w:rPr>
          <w:t>12</w:t>
        </w:r>
        <w:r w:rsidR="00CD2587">
          <w:rPr>
            <w:webHidden/>
          </w:rPr>
          <w:fldChar w:fldCharType="end"/>
        </w:r>
      </w:hyperlink>
    </w:p>
    <w:p w14:paraId="0740F7F8" w14:textId="46FF79C0" w:rsidR="00CD2587" w:rsidRDefault="006C77E2">
      <w:pPr>
        <w:pStyle w:val="TOC1"/>
        <w:rPr>
          <w:rFonts w:eastAsiaTheme="minorEastAsia" w:cstheme="minorBidi"/>
          <w:b w:val="0"/>
          <w:caps w:val="0"/>
          <w:color w:val="auto"/>
          <w:sz w:val="22"/>
          <w:szCs w:val="22"/>
        </w:rPr>
      </w:pPr>
      <w:hyperlink w:anchor="_Toc137036637" w:history="1">
        <w:r w:rsidR="00CD2587" w:rsidRPr="00ED29A0">
          <w:rPr>
            <w:rStyle w:val="Hyperlink"/>
            <w:lang w:val="en-US"/>
          </w:rPr>
          <w:t>6 Paid Parental Leave</w:t>
        </w:r>
        <w:r w:rsidR="00CD2587">
          <w:rPr>
            <w:webHidden/>
          </w:rPr>
          <w:tab/>
        </w:r>
        <w:r w:rsidR="00CD2587">
          <w:rPr>
            <w:webHidden/>
          </w:rPr>
          <w:fldChar w:fldCharType="begin"/>
        </w:r>
        <w:r w:rsidR="00CD2587">
          <w:rPr>
            <w:webHidden/>
          </w:rPr>
          <w:instrText xml:space="preserve"> PAGEREF _Toc137036637 \h </w:instrText>
        </w:r>
        <w:r w:rsidR="00CD2587">
          <w:rPr>
            <w:webHidden/>
          </w:rPr>
        </w:r>
        <w:r w:rsidR="00CD2587">
          <w:rPr>
            <w:webHidden/>
          </w:rPr>
          <w:fldChar w:fldCharType="separate"/>
        </w:r>
        <w:r w:rsidR="00CD2587">
          <w:rPr>
            <w:webHidden/>
          </w:rPr>
          <w:t>13</w:t>
        </w:r>
        <w:r w:rsidR="00CD2587">
          <w:rPr>
            <w:webHidden/>
          </w:rPr>
          <w:fldChar w:fldCharType="end"/>
        </w:r>
      </w:hyperlink>
    </w:p>
    <w:p w14:paraId="62759DF6" w14:textId="1F89B39B" w:rsidR="00CD2587" w:rsidRDefault="006C77E2">
      <w:pPr>
        <w:pStyle w:val="TOC2"/>
        <w:rPr>
          <w:rFonts w:eastAsiaTheme="minorEastAsia" w:cstheme="minorBidi"/>
          <w:color w:val="auto"/>
          <w:sz w:val="22"/>
          <w:szCs w:val="22"/>
        </w:rPr>
      </w:pPr>
      <w:hyperlink w:anchor="_Toc137036638" w:history="1">
        <w:r w:rsidR="00CD2587" w:rsidRPr="00ED29A0">
          <w:rPr>
            <w:rStyle w:val="Hyperlink"/>
          </w:rPr>
          <w:t>6.1 Administration Process</w:t>
        </w:r>
        <w:r w:rsidR="00CD2587">
          <w:rPr>
            <w:webHidden/>
          </w:rPr>
          <w:tab/>
        </w:r>
        <w:r w:rsidR="00CD2587">
          <w:rPr>
            <w:webHidden/>
          </w:rPr>
          <w:fldChar w:fldCharType="begin"/>
        </w:r>
        <w:r w:rsidR="00CD2587">
          <w:rPr>
            <w:webHidden/>
          </w:rPr>
          <w:instrText xml:space="preserve"> PAGEREF _Toc137036638 \h </w:instrText>
        </w:r>
        <w:r w:rsidR="00CD2587">
          <w:rPr>
            <w:webHidden/>
          </w:rPr>
        </w:r>
        <w:r w:rsidR="00CD2587">
          <w:rPr>
            <w:webHidden/>
          </w:rPr>
          <w:fldChar w:fldCharType="separate"/>
        </w:r>
        <w:r w:rsidR="00CD2587">
          <w:rPr>
            <w:webHidden/>
          </w:rPr>
          <w:t>13</w:t>
        </w:r>
        <w:r w:rsidR="00CD2587">
          <w:rPr>
            <w:webHidden/>
          </w:rPr>
          <w:fldChar w:fldCharType="end"/>
        </w:r>
      </w:hyperlink>
    </w:p>
    <w:p w14:paraId="5539E166" w14:textId="0E66D484" w:rsidR="00CD2587" w:rsidRDefault="006C77E2">
      <w:pPr>
        <w:pStyle w:val="TOC2"/>
        <w:rPr>
          <w:rFonts w:eastAsiaTheme="minorEastAsia" w:cstheme="minorBidi"/>
          <w:color w:val="auto"/>
          <w:sz w:val="22"/>
          <w:szCs w:val="22"/>
        </w:rPr>
      </w:pPr>
      <w:hyperlink w:anchor="_Toc137036639" w:history="1">
        <w:r w:rsidR="00CD2587" w:rsidRPr="00ED29A0">
          <w:rPr>
            <w:rStyle w:val="Hyperlink"/>
          </w:rPr>
          <w:t>6.2 Accounting Treatment</w:t>
        </w:r>
        <w:r w:rsidR="00CD2587">
          <w:rPr>
            <w:webHidden/>
          </w:rPr>
          <w:tab/>
        </w:r>
        <w:r w:rsidR="00CD2587">
          <w:rPr>
            <w:webHidden/>
          </w:rPr>
          <w:fldChar w:fldCharType="begin"/>
        </w:r>
        <w:r w:rsidR="00CD2587">
          <w:rPr>
            <w:webHidden/>
          </w:rPr>
          <w:instrText xml:space="preserve"> PAGEREF _Toc137036639 \h </w:instrText>
        </w:r>
        <w:r w:rsidR="00CD2587">
          <w:rPr>
            <w:webHidden/>
          </w:rPr>
        </w:r>
        <w:r w:rsidR="00CD2587">
          <w:rPr>
            <w:webHidden/>
          </w:rPr>
          <w:fldChar w:fldCharType="separate"/>
        </w:r>
        <w:r w:rsidR="00CD2587">
          <w:rPr>
            <w:webHidden/>
          </w:rPr>
          <w:t>14</w:t>
        </w:r>
        <w:r w:rsidR="00CD2587">
          <w:rPr>
            <w:webHidden/>
          </w:rPr>
          <w:fldChar w:fldCharType="end"/>
        </w:r>
      </w:hyperlink>
    </w:p>
    <w:p w14:paraId="2888E9A3" w14:textId="5983E086" w:rsidR="00CD2587" w:rsidRDefault="006C77E2">
      <w:pPr>
        <w:pStyle w:val="TOC1"/>
        <w:rPr>
          <w:rFonts w:eastAsiaTheme="minorEastAsia" w:cstheme="minorBidi"/>
          <w:b w:val="0"/>
          <w:caps w:val="0"/>
          <w:color w:val="auto"/>
          <w:sz w:val="22"/>
          <w:szCs w:val="22"/>
        </w:rPr>
      </w:pPr>
      <w:hyperlink w:anchor="_Toc137036640" w:history="1">
        <w:r w:rsidR="00CD2587" w:rsidRPr="00ED29A0">
          <w:rPr>
            <w:rStyle w:val="Hyperlink"/>
            <w:lang w:val="en-US"/>
          </w:rPr>
          <w:t>ATTACHMENT A – Calculation of Long Service Leave Liability and Expense</w:t>
        </w:r>
        <w:r w:rsidR="00CD2587">
          <w:rPr>
            <w:webHidden/>
          </w:rPr>
          <w:tab/>
        </w:r>
        <w:r w:rsidR="00CD2587">
          <w:rPr>
            <w:webHidden/>
          </w:rPr>
          <w:fldChar w:fldCharType="begin"/>
        </w:r>
        <w:r w:rsidR="00CD2587">
          <w:rPr>
            <w:webHidden/>
          </w:rPr>
          <w:instrText xml:space="preserve"> PAGEREF _Toc137036640 \h </w:instrText>
        </w:r>
        <w:r w:rsidR="00CD2587">
          <w:rPr>
            <w:webHidden/>
          </w:rPr>
        </w:r>
        <w:r w:rsidR="00CD2587">
          <w:rPr>
            <w:webHidden/>
          </w:rPr>
          <w:fldChar w:fldCharType="separate"/>
        </w:r>
        <w:r w:rsidR="00CD2587">
          <w:rPr>
            <w:webHidden/>
          </w:rPr>
          <w:t>15</w:t>
        </w:r>
        <w:r w:rsidR="00CD2587">
          <w:rPr>
            <w:webHidden/>
          </w:rPr>
          <w:fldChar w:fldCharType="end"/>
        </w:r>
      </w:hyperlink>
    </w:p>
    <w:p w14:paraId="2777D50D" w14:textId="5DB698A8" w:rsidR="00CD2587" w:rsidRDefault="006C77E2">
      <w:pPr>
        <w:pStyle w:val="TOC2"/>
        <w:rPr>
          <w:rFonts w:eastAsiaTheme="minorEastAsia" w:cstheme="minorBidi"/>
          <w:color w:val="auto"/>
          <w:sz w:val="22"/>
          <w:szCs w:val="22"/>
        </w:rPr>
      </w:pPr>
      <w:hyperlink w:anchor="_Toc137036641" w:history="1">
        <w:r w:rsidR="00CD2587" w:rsidRPr="00ED29A0">
          <w:rPr>
            <w:rStyle w:val="Hyperlink"/>
          </w:rPr>
          <w:t>A1. Recognition and Measurement</w:t>
        </w:r>
        <w:r w:rsidR="00CD2587">
          <w:rPr>
            <w:webHidden/>
          </w:rPr>
          <w:tab/>
        </w:r>
        <w:r w:rsidR="00CD2587">
          <w:rPr>
            <w:webHidden/>
          </w:rPr>
          <w:fldChar w:fldCharType="begin"/>
        </w:r>
        <w:r w:rsidR="00CD2587">
          <w:rPr>
            <w:webHidden/>
          </w:rPr>
          <w:instrText xml:space="preserve"> PAGEREF _Toc137036641 \h </w:instrText>
        </w:r>
        <w:r w:rsidR="00CD2587">
          <w:rPr>
            <w:webHidden/>
          </w:rPr>
        </w:r>
        <w:r w:rsidR="00CD2587">
          <w:rPr>
            <w:webHidden/>
          </w:rPr>
          <w:fldChar w:fldCharType="separate"/>
        </w:r>
        <w:r w:rsidR="00CD2587">
          <w:rPr>
            <w:webHidden/>
          </w:rPr>
          <w:t>15</w:t>
        </w:r>
        <w:r w:rsidR="00CD2587">
          <w:rPr>
            <w:webHidden/>
          </w:rPr>
          <w:fldChar w:fldCharType="end"/>
        </w:r>
      </w:hyperlink>
    </w:p>
    <w:p w14:paraId="3B352E76" w14:textId="0F473DBC" w:rsidR="00CD2587" w:rsidRDefault="006C77E2">
      <w:pPr>
        <w:pStyle w:val="TOC2"/>
        <w:rPr>
          <w:rFonts w:eastAsiaTheme="minorEastAsia" w:cstheme="minorBidi"/>
          <w:color w:val="auto"/>
          <w:sz w:val="22"/>
          <w:szCs w:val="22"/>
        </w:rPr>
      </w:pPr>
      <w:hyperlink w:anchor="_Toc137036642" w:history="1">
        <w:r w:rsidR="00CD2587" w:rsidRPr="00ED29A0">
          <w:rPr>
            <w:rStyle w:val="Hyperlink"/>
          </w:rPr>
          <w:t>A2 Disclosure &amp; Calculation</w:t>
        </w:r>
        <w:r w:rsidR="00CD2587">
          <w:rPr>
            <w:webHidden/>
          </w:rPr>
          <w:tab/>
        </w:r>
        <w:r w:rsidR="00CD2587">
          <w:rPr>
            <w:webHidden/>
          </w:rPr>
          <w:fldChar w:fldCharType="begin"/>
        </w:r>
        <w:r w:rsidR="00CD2587">
          <w:rPr>
            <w:webHidden/>
          </w:rPr>
          <w:instrText xml:space="preserve"> PAGEREF _Toc137036642 \h </w:instrText>
        </w:r>
        <w:r w:rsidR="00CD2587">
          <w:rPr>
            <w:webHidden/>
          </w:rPr>
        </w:r>
        <w:r w:rsidR="00CD2587">
          <w:rPr>
            <w:webHidden/>
          </w:rPr>
          <w:fldChar w:fldCharType="separate"/>
        </w:r>
        <w:r w:rsidR="00CD2587">
          <w:rPr>
            <w:webHidden/>
          </w:rPr>
          <w:t>17</w:t>
        </w:r>
        <w:r w:rsidR="00CD2587">
          <w:rPr>
            <w:webHidden/>
          </w:rPr>
          <w:fldChar w:fldCharType="end"/>
        </w:r>
      </w:hyperlink>
    </w:p>
    <w:p w14:paraId="02443D70" w14:textId="4C5A3EED" w:rsidR="00CD2587" w:rsidRDefault="006C77E2">
      <w:pPr>
        <w:pStyle w:val="TOC1"/>
        <w:rPr>
          <w:rFonts w:eastAsiaTheme="minorEastAsia" w:cstheme="minorBidi"/>
          <w:b w:val="0"/>
          <w:caps w:val="0"/>
          <w:color w:val="auto"/>
          <w:sz w:val="22"/>
          <w:szCs w:val="22"/>
        </w:rPr>
      </w:pPr>
      <w:hyperlink w:anchor="_Toc137036643" w:history="1">
        <w:r w:rsidR="00CD2587" w:rsidRPr="00ED29A0">
          <w:rPr>
            <w:rStyle w:val="Hyperlink"/>
            <w:lang w:val="en-US"/>
          </w:rPr>
          <w:t>ATTACHMENT B – Calculation of Annual Leave Liability and Expense</w:t>
        </w:r>
        <w:r w:rsidR="00CD2587">
          <w:rPr>
            <w:webHidden/>
          </w:rPr>
          <w:tab/>
        </w:r>
        <w:r w:rsidR="00CD2587">
          <w:rPr>
            <w:webHidden/>
          </w:rPr>
          <w:fldChar w:fldCharType="begin"/>
        </w:r>
        <w:r w:rsidR="00CD2587">
          <w:rPr>
            <w:webHidden/>
          </w:rPr>
          <w:instrText xml:space="preserve"> PAGEREF _Toc137036643 \h </w:instrText>
        </w:r>
        <w:r w:rsidR="00CD2587">
          <w:rPr>
            <w:webHidden/>
          </w:rPr>
        </w:r>
        <w:r w:rsidR="00CD2587">
          <w:rPr>
            <w:webHidden/>
          </w:rPr>
          <w:fldChar w:fldCharType="separate"/>
        </w:r>
        <w:r w:rsidR="00CD2587">
          <w:rPr>
            <w:webHidden/>
          </w:rPr>
          <w:t>19</w:t>
        </w:r>
        <w:r w:rsidR="00CD2587">
          <w:rPr>
            <w:webHidden/>
          </w:rPr>
          <w:fldChar w:fldCharType="end"/>
        </w:r>
      </w:hyperlink>
    </w:p>
    <w:p w14:paraId="0EF599A1" w14:textId="14DA823E" w:rsidR="00CD2587" w:rsidRDefault="006C77E2">
      <w:pPr>
        <w:pStyle w:val="TOC2"/>
        <w:rPr>
          <w:rFonts w:eastAsiaTheme="minorEastAsia" w:cstheme="minorBidi"/>
          <w:color w:val="auto"/>
          <w:sz w:val="22"/>
          <w:szCs w:val="22"/>
        </w:rPr>
      </w:pPr>
      <w:hyperlink w:anchor="_Toc137036644" w:history="1">
        <w:r w:rsidR="00CD2587" w:rsidRPr="00ED29A0">
          <w:rPr>
            <w:rStyle w:val="Hyperlink"/>
            <w:lang w:val="en-US"/>
          </w:rPr>
          <w:t>B1 Recognition and Measurement</w:t>
        </w:r>
        <w:r w:rsidR="00CD2587">
          <w:rPr>
            <w:webHidden/>
          </w:rPr>
          <w:tab/>
        </w:r>
        <w:r w:rsidR="00CD2587">
          <w:rPr>
            <w:webHidden/>
          </w:rPr>
          <w:fldChar w:fldCharType="begin"/>
        </w:r>
        <w:r w:rsidR="00CD2587">
          <w:rPr>
            <w:webHidden/>
          </w:rPr>
          <w:instrText xml:space="preserve"> PAGEREF _Toc137036644 \h </w:instrText>
        </w:r>
        <w:r w:rsidR="00CD2587">
          <w:rPr>
            <w:webHidden/>
          </w:rPr>
        </w:r>
        <w:r w:rsidR="00CD2587">
          <w:rPr>
            <w:webHidden/>
          </w:rPr>
          <w:fldChar w:fldCharType="separate"/>
        </w:r>
        <w:r w:rsidR="00CD2587">
          <w:rPr>
            <w:webHidden/>
          </w:rPr>
          <w:t>19</w:t>
        </w:r>
        <w:r w:rsidR="00CD2587">
          <w:rPr>
            <w:webHidden/>
          </w:rPr>
          <w:fldChar w:fldCharType="end"/>
        </w:r>
      </w:hyperlink>
    </w:p>
    <w:p w14:paraId="7F1361D8" w14:textId="6727A570" w:rsidR="00CD2587" w:rsidRDefault="006C77E2">
      <w:pPr>
        <w:pStyle w:val="TOC2"/>
        <w:rPr>
          <w:rFonts w:eastAsiaTheme="minorEastAsia" w:cstheme="minorBidi"/>
          <w:color w:val="auto"/>
          <w:sz w:val="22"/>
          <w:szCs w:val="22"/>
        </w:rPr>
      </w:pPr>
      <w:hyperlink w:anchor="_Toc137036645" w:history="1">
        <w:r w:rsidR="00CD2587" w:rsidRPr="00ED29A0">
          <w:rPr>
            <w:rStyle w:val="Hyperlink"/>
            <w:lang w:val="en-US"/>
          </w:rPr>
          <w:t>B2. Disclosure</w:t>
        </w:r>
        <w:r w:rsidR="00CD2587">
          <w:rPr>
            <w:webHidden/>
          </w:rPr>
          <w:tab/>
        </w:r>
        <w:r w:rsidR="00CD2587">
          <w:rPr>
            <w:webHidden/>
          </w:rPr>
          <w:fldChar w:fldCharType="begin"/>
        </w:r>
        <w:r w:rsidR="00CD2587">
          <w:rPr>
            <w:webHidden/>
          </w:rPr>
          <w:instrText xml:space="preserve"> PAGEREF _Toc137036645 \h </w:instrText>
        </w:r>
        <w:r w:rsidR="00CD2587">
          <w:rPr>
            <w:webHidden/>
          </w:rPr>
        </w:r>
        <w:r w:rsidR="00CD2587">
          <w:rPr>
            <w:webHidden/>
          </w:rPr>
          <w:fldChar w:fldCharType="separate"/>
        </w:r>
        <w:r w:rsidR="00CD2587">
          <w:rPr>
            <w:webHidden/>
          </w:rPr>
          <w:t>20</w:t>
        </w:r>
        <w:r w:rsidR="00CD2587">
          <w:rPr>
            <w:webHidden/>
          </w:rPr>
          <w:fldChar w:fldCharType="end"/>
        </w:r>
      </w:hyperlink>
    </w:p>
    <w:p w14:paraId="259DA0B1" w14:textId="136092B8" w:rsidR="00CD2587" w:rsidRDefault="006C77E2">
      <w:pPr>
        <w:pStyle w:val="TOC1"/>
        <w:rPr>
          <w:rFonts w:eastAsiaTheme="minorEastAsia" w:cstheme="minorBidi"/>
          <w:b w:val="0"/>
          <w:caps w:val="0"/>
          <w:color w:val="auto"/>
          <w:sz w:val="22"/>
          <w:szCs w:val="22"/>
        </w:rPr>
      </w:pPr>
      <w:hyperlink w:anchor="_Toc137036646" w:history="1">
        <w:r w:rsidR="00CD2587" w:rsidRPr="00ED29A0">
          <w:rPr>
            <w:rStyle w:val="Hyperlink"/>
            <w:lang w:val="en-US"/>
          </w:rPr>
          <w:t>ATTACHMENT C – Transfer of Employee Benefit Liabilities to/From ACT AGENCIES</w:t>
        </w:r>
        <w:r w:rsidR="00CD2587">
          <w:rPr>
            <w:webHidden/>
          </w:rPr>
          <w:tab/>
        </w:r>
        <w:r w:rsidR="00CD2587">
          <w:rPr>
            <w:webHidden/>
          </w:rPr>
          <w:fldChar w:fldCharType="begin"/>
        </w:r>
        <w:r w:rsidR="00CD2587">
          <w:rPr>
            <w:webHidden/>
          </w:rPr>
          <w:instrText xml:space="preserve"> PAGEREF _Toc137036646 \h </w:instrText>
        </w:r>
        <w:r w:rsidR="00CD2587">
          <w:rPr>
            <w:webHidden/>
          </w:rPr>
        </w:r>
        <w:r w:rsidR="00CD2587">
          <w:rPr>
            <w:webHidden/>
          </w:rPr>
          <w:fldChar w:fldCharType="separate"/>
        </w:r>
        <w:r w:rsidR="00CD2587">
          <w:rPr>
            <w:webHidden/>
          </w:rPr>
          <w:t>21</w:t>
        </w:r>
        <w:r w:rsidR="00CD2587">
          <w:rPr>
            <w:webHidden/>
          </w:rPr>
          <w:fldChar w:fldCharType="end"/>
        </w:r>
      </w:hyperlink>
    </w:p>
    <w:p w14:paraId="2B2A7EA5" w14:textId="510A56F4" w:rsidR="00CD2587" w:rsidRDefault="006C77E2">
      <w:pPr>
        <w:pStyle w:val="TOC2"/>
        <w:rPr>
          <w:rFonts w:eastAsiaTheme="minorEastAsia" w:cstheme="minorBidi"/>
          <w:color w:val="auto"/>
          <w:sz w:val="22"/>
          <w:szCs w:val="22"/>
        </w:rPr>
      </w:pPr>
      <w:hyperlink w:anchor="_Toc137036647" w:history="1">
        <w:r w:rsidR="00CD2587" w:rsidRPr="00ED29A0">
          <w:rPr>
            <w:rStyle w:val="Hyperlink"/>
          </w:rPr>
          <w:t>C1. Background</w:t>
        </w:r>
        <w:r w:rsidR="00CD2587">
          <w:rPr>
            <w:webHidden/>
          </w:rPr>
          <w:tab/>
        </w:r>
        <w:r w:rsidR="00CD2587">
          <w:rPr>
            <w:webHidden/>
          </w:rPr>
          <w:fldChar w:fldCharType="begin"/>
        </w:r>
        <w:r w:rsidR="00CD2587">
          <w:rPr>
            <w:webHidden/>
          </w:rPr>
          <w:instrText xml:space="preserve"> PAGEREF _Toc137036647 \h </w:instrText>
        </w:r>
        <w:r w:rsidR="00CD2587">
          <w:rPr>
            <w:webHidden/>
          </w:rPr>
        </w:r>
        <w:r w:rsidR="00CD2587">
          <w:rPr>
            <w:webHidden/>
          </w:rPr>
          <w:fldChar w:fldCharType="separate"/>
        </w:r>
        <w:r w:rsidR="00CD2587">
          <w:rPr>
            <w:webHidden/>
          </w:rPr>
          <w:t>21</w:t>
        </w:r>
        <w:r w:rsidR="00CD2587">
          <w:rPr>
            <w:webHidden/>
          </w:rPr>
          <w:fldChar w:fldCharType="end"/>
        </w:r>
      </w:hyperlink>
    </w:p>
    <w:p w14:paraId="18493957" w14:textId="2F959549" w:rsidR="00CD2587" w:rsidRDefault="006C77E2">
      <w:pPr>
        <w:pStyle w:val="TOC2"/>
        <w:rPr>
          <w:rFonts w:eastAsiaTheme="minorEastAsia" w:cstheme="minorBidi"/>
          <w:color w:val="auto"/>
          <w:sz w:val="22"/>
          <w:szCs w:val="22"/>
        </w:rPr>
      </w:pPr>
      <w:hyperlink w:anchor="_Toc137036648" w:history="1">
        <w:r w:rsidR="00CD2587" w:rsidRPr="00ED29A0">
          <w:rPr>
            <w:rStyle w:val="Hyperlink"/>
          </w:rPr>
          <w:t>C2. Transfers Between ACT Government Agencies</w:t>
        </w:r>
        <w:r w:rsidR="00CD2587">
          <w:rPr>
            <w:webHidden/>
          </w:rPr>
          <w:tab/>
        </w:r>
        <w:r w:rsidR="00CD2587">
          <w:rPr>
            <w:webHidden/>
          </w:rPr>
          <w:fldChar w:fldCharType="begin"/>
        </w:r>
        <w:r w:rsidR="00CD2587">
          <w:rPr>
            <w:webHidden/>
          </w:rPr>
          <w:instrText xml:space="preserve"> PAGEREF _Toc137036648 \h </w:instrText>
        </w:r>
        <w:r w:rsidR="00CD2587">
          <w:rPr>
            <w:webHidden/>
          </w:rPr>
        </w:r>
        <w:r w:rsidR="00CD2587">
          <w:rPr>
            <w:webHidden/>
          </w:rPr>
          <w:fldChar w:fldCharType="separate"/>
        </w:r>
        <w:r w:rsidR="00CD2587">
          <w:rPr>
            <w:webHidden/>
          </w:rPr>
          <w:t>21</w:t>
        </w:r>
        <w:r w:rsidR="00CD2587">
          <w:rPr>
            <w:webHidden/>
          </w:rPr>
          <w:fldChar w:fldCharType="end"/>
        </w:r>
      </w:hyperlink>
    </w:p>
    <w:p w14:paraId="4C297753" w14:textId="53814B30" w:rsidR="00CD2587" w:rsidRDefault="006C77E2">
      <w:pPr>
        <w:pStyle w:val="TOC3"/>
        <w:rPr>
          <w:rFonts w:eastAsiaTheme="minorEastAsia" w:cstheme="minorBidi"/>
          <w:noProof/>
          <w:sz w:val="22"/>
          <w:szCs w:val="22"/>
        </w:rPr>
      </w:pPr>
      <w:hyperlink w:anchor="_Toc137036649" w:history="1">
        <w:r w:rsidR="00CD2587" w:rsidRPr="00ED29A0">
          <w:rPr>
            <w:rStyle w:val="Hyperlink"/>
            <w:noProof/>
          </w:rPr>
          <w:t>C.2.1</w:t>
        </w:r>
        <w:r w:rsidR="00CD2587">
          <w:rPr>
            <w:rFonts w:eastAsiaTheme="minorEastAsia" w:cstheme="minorBidi"/>
            <w:noProof/>
            <w:sz w:val="22"/>
            <w:szCs w:val="22"/>
          </w:rPr>
          <w:tab/>
        </w:r>
        <w:r w:rsidR="00CD2587" w:rsidRPr="00ED29A0">
          <w:rPr>
            <w:rStyle w:val="Hyperlink"/>
            <w:noProof/>
          </w:rPr>
          <w:t>Process</w:t>
        </w:r>
        <w:r w:rsidR="00CD2587">
          <w:rPr>
            <w:noProof/>
            <w:webHidden/>
          </w:rPr>
          <w:tab/>
        </w:r>
        <w:r w:rsidR="00CD2587">
          <w:rPr>
            <w:noProof/>
            <w:webHidden/>
          </w:rPr>
          <w:fldChar w:fldCharType="begin"/>
        </w:r>
        <w:r w:rsidR="00CD2587">
          <w:rPr>
            <w:noProof/>
            <w:webHidden/>
          </w:rPr>
          <w:instrText xml:space="preserve"> PAGEREF _Toc137036649 \h </w:instrText>
        </w:r>
        <w:r w:rsidR="00CD2587">
          <w:rPr>
            <w:noProof/>
            <w:webHidden/>
          </w:rPr>
        </w:r>
        <w:r w:rsidR="00CD2587">
          <w:rPr>
            <w:noProof/>
            <w:webHidden/>
          </w:rPr>
          <w:fldChar w:fldCharType="separate"/>
        </w:r>
        <w:r w:rsidR="00CD2587">
          <w:rPr>
            <w:noProof/>
            <w:webHidden/>
          </w:rPr>
          <w:t>21</w:t>
        </w:r>
        <w:r w:rsidR="00CD2587">
          <w:rPr>
            <w:noProof/>
            <w:webHidden/>
          </w:rPr>
          <w:fldChar w:fldCharType="end"/>
        </w:r>
      </w:hyperlink>
    </w:p>
    <w:p w14:paraId="6DD3983F" w14:textId="6A14D9ED" w:rsidR="00CD2587" w:rsidRDefault="006C77E2">
      <w:pPr>
        <w:pStyle w:val="TOC3"/>
        <w:rPr>
          <w:rFonts w:eastAsiaTheme="minorEastAsia" w:cstheme="minorBidi"/>
          <w:noProof/>
          <w:sz w:val="22"/>
          <w:szCs w:val="22"/>
        </w:rPr>
      </w:pPr>
      <w:hyperlink w:anchor="_Toc137036650" w:history="1">
        <w:r w:rsidR="00CD2587" w:rsidRPr="00ED29A0">
          <w:rPr>
            <w:rStyle w:val="Hyperlink"/>
            <w:noProof/>
          </w:rPr>
          <w:t>C.2.2</w:t>
        </w:r>
        <w:r w:rsidR="00CD2587">
          <w:rPr>
            <w:rFonts w:eastAsiaTheme="minorEastAsia" w:cstheme="minorBidi"/>
            <w:noProof/>
            <w:sz w:val="22"/>
            <w:szCs w:val="22"/>
          </w:rPr>
          <w:tab/>
        </w:r>
        <w:r w:rsidR="00CD2587" w:rsidRPr="00ED29A0">
          <w:rPr>
            <w:rStyle w:val="Hyperlink"/>
            <w:noProof/>
          </w:rPr>
          <w:t>Amount to be transferred</w:t>
        </w:r>
        <w:r w:rsidR="00CD2587">
          <w:rPr>
            <w:noProof/>
            <w:webHidden/>
          </w:rPr>
          <w:tab/>
        </w:r>
        <w:r w:rsidR="00CD2587">
          <w:rPr>
            <w:noProof/>
            <w:webHidden/>
          </w:rPr>
          <w:fldChar w:fldCharType="begin"/>
        </w:r>
        <w:r w:rsidR="00CD2587">
          <w:rPr>
            <w:noProof/>
            <w:webHidden/>
          </w:rPr>
          <w:instrText xml:space="preserve"> PAGEREF _Toc137036650 \h </w:instrText>
        </w:r>
        <w:r w:rsidR="00CD2587">
          <w:rPr>
            <w:noProof/>
            <w:webHidden/>
          </w:rPr>
        </w:r>
        <w:r w:rsidR="00CD2587">
          <w:rPr>
            <w:noProof/>
            <w:webHidden/>
          </w:rPr>
          <w:fldChar w:fldCharType="separate"/>
        </w:r>
        <w:r w:rsidR="00CD2587">
          <w:rPr>
            <w:noProof/>
            <w:webHidden/>
          </w:rPr>
          <w:t>22</w:t>
        </w:r>
        <w:r w:rsidR="00CD2587">
          <w:rPr>
            <w:noProof/>
            <w:webHidden/>
          </w:rPr>
          <w:fldChar w:fldCharType="end"/>
        </w:r>
      </w:hyperlink>
    </w:p>
    <w:p w14:paraId="698494B5" w14:textId="05A8FFD9" w:rsidR="00CD2587" w:rsidRDefault="006C77E2">
      <w:pPr>
        <w:pStyle w:val="TOC3"/>
        <w:rPr>
          <w:rFonts w:eastAsiaTheme="minorEastAsia" w:cstheme="minorBidi"/>
          <w:noProof/>
          <w:sz w:val="22"/>
          <w:szCs w:val="22"/>
        </w:rPr>
      </w:pPr>
      <w:hyperlink w:anchor="_Toc137036651" w:history="1">
        <w:r w:rsidR="00CD2587" w:rsidRPr="00ED29A0">
          <w:rPr>
            <w:rStyle w:val="Hyperlink"/>
            <w:noProof/>
          </w:rPr>
          <w:t>C.2.3</w:t>
        </w:r>
        <w:r w:rsidR="00CD2587">
          <w:rPr>
            <w:rFonts w:eastAsiaTheme="minorEastAsia" w:cstheme="minorBidi"/>
            <w:noProof/>
            <w:sz w:val="22"/>
            <w:szCs w:val="22"/>
          </w:rPr>
          <w:tab/>
        </w:r>
        <w:r w:rsidR="00CD2587" w:rsidRPr="00ED29A0">
          <w:rPr>
            <w:rStyle w:val="Hyperlink"/>
            <w:noProof/>
          </w:rPr>
          <w:t>Timing and Method of Payment</w:t>
        </w:r>
        <w:r w:rsidR="00CD2587">
          <w:rPr>
            <w:noProof/>
            <w:webHidden/>
          </w:rPr>
          <w:tab/>
        </w:r>
        <w:r w:rsidR="00CD2587">
          <w:rPr>
            <w:noProof/>
            <w:webHidden/>
          </w:rPr>
          <w:fldChar w:fldCharType="begin"/>
        </w:r>
        <w:r w:rsidR="00CD2587">
          <w:rPr>
            <w:noProof/>
            <w:webHidden/>
          </w:rPr>
          <w:instrText xml:space="preserve"> PAGEREF _Toc137036651 \h </w:instrText>
        </w:r>
        <w:r w:rsidR="00CD2587">
          <w:rPr>
            <w:noProof/>
            <w:webHidden/>
          </w:rPr>
        </w:r>
        <w:r w:rsidR="00CD2587">
          <w:rPr>
            <w:noProof/>
            <w:webHidden/>
          </w:rPr>
          <w:fldChar w:fldCharType="separate"/>
        </w:r>
        <w:r w:rsidR="00CD2587">
          <w:rPr>
            <w:noProof/>
            <w:webHidden/>
          </w:rPr>
          <w:t>23</w:t>
        </w:r>
        <w:r w:rsidR="00CD2587">
          <w:rPr>
            <w:noProof/>
            <w:webHidden/>
          </w:rPr>
          <w:fldChar w:fldCharType="end"/>
        </w:r>
      </w:hyperlink>
    </w:p>
    <w:p w14:paraId="1E49CC48" w14:textId="2BEE2A71" w:rsidR="00CD2587" w:rsidRDefault="006C77E2">
      <w:pPr>
        <w:pStyle w:val="TOC1"/>
        <w:rPr>
          <w:rFonts w:eastAsiaTheme="minorEastAsia" w:cstheme="minorBidi"/>
          <w:b w:val="0"/>
          <w:caps w:val="0"/>
          <w:color w:val="auto"/>
          <w:sz w:val="22"/>
          <w:szCs w:val="22"/>
        </w:rPr>
      </w:pPr>
      <w:hyperlink w:anchor="_Toc137036652" w:history="1">
        <w:r w:rsidR="00CD2587" w:rsidRPr="00ED29A0">
          <w:rPr>
            <w:rStyle w:val="Hyperlink"/>
            <w:lang w:val="en-US"/>
          </w:rPr>
          <w:t>ATTACHMENT D – Sample form Transfer of Employee benefits to a Smaller Agency</w:t>
        </w:r>
        <w:r w:rsidR="00CD2587">
          <w:rPr>
            <w:webHidden/>
          </w:rPr>
          <w:tab/>
        </w:r>
        <w:r w:rsidR="00CD2587">
          <w:rPr>
            <w:webHidden/>
          </w:rPr>
          <w:fldChar w:fldCharType="begin"/>
        </w:r>
        <w:r w:rsidR="00CD2587">
          <w:rPr>
            <w:webHidden/>
          </w:rPr>
          <w:instrText xml:space="preserve"> PAGEREF _Toc137036652 \h </w:instrText>
        </w:r>
        <w:r w:rsidR="00CD2587">
          <w:rPr>
            <w:webHidden/>
          </w:rPr>
        </w:r>
        <w:r w:rsidR="00CD2587">
          <w:rPr>
            <w:webHidden/>
          </w:rPr>
          <w:fldChar w:fldCharType="separate"/>
        </w:r>
        <w:r w:rsidR="00CD2587">
          <w:rPr>
            <w:webHidden/>
          </w:rPr>
          <w:t>24</w:t>
        </w:r>
        <w:r w:rsidR="00CD2587">
          <w:rPr>
            <w:webHidden/>
          </w:rPr>
          <w:fldChar w:fldCharType="end"/>
        </w:r>
      </w:hyperlink>
    </w:p>
    <w:p w14:paraId="25546D5C" w14:textId="102EA88C" w:rsidR="00C403DB" w:rsidRPr="00CF5CC6" w:rsidRDefault="00657107" w:rsidP="002D7176">
      <w:pPr>
        <w:pStyle w:val="Heading1"/>
        <w:numPr>
          <w:ilvl w:val="0"/>
          <w:numId w:val="0"/>
        </w:numPr>
        <w:spacing w:before="120" w:after="0" w:line="240" w:lineRule="auto"/>
      </w:pPr>
      <w:r w:rsidRPr="00215F3B">
        <w:rPr>
          <w:sz w:val="56"/>
          <w:szCs w:val="56"/>
        </w:rPr>
        <w:fldChar w:fldCharType="end"/>
      </w:r>
      <w:r w:rsidR="00C34A60">
        <w:br w:type="page"/>
      </w:r>
      <w:bookmarkStart w:id="2" w:name="_Toc137036611"/>
      <w:r w:rsidR="004D2EBC" w:rsidRPr="00CF5CC6">
        <w:lastRenderedPageBreak/>
        <w:t>1.</w:t>
      </w:r>
      <w:r w:rsidR="004D2EBC" w:rsidRPr="00CF5CC6">
        <w:tab/>
      </w:r>
      <w:bookmarkStart w:id="3" w:name="_Toc91480210"/>
      <w:bookmarkStart w:id="4" w:name="_Toc98757559"/>
      <w:bookmarkStart w:id="5" w:name="_Toc98821839"/>
      <w:bookmarkStart w:id="6" w:name="_Toc98826654"/>
      <w:bookmarkStart w:id="7" w:name="_Toc98826841"/>
      <w:bookmarkStart w:id="8" w:name="_Toc101586632"/>
      <w:bookmarkStart w:id="9" w:name="_Toc58146757"/>
      <w:r w:rsidR="00C403DB" w:rsidRPr="00CF5CC6">
        <w:t>Introduction</w:t>
      </w:r>
      <w:bookmarkEnd w:id="3"/>
      <w:bookmarkEnd w:id="4"/>
      <w:bookmarkEnd w:id="5"/>
      <w:bookmarkEnd w:id="6"/>
      <w:bookmarkEnd w:id="7"/>
      <w:bookmarkEnd w:id="8"/>
      <w:bookmarkEnd w:id="9"/>
      <w:bookmarkEnd w:id="2"/>
    </w:p>
    <w:p w14:paraId="012CF44E" w14:textId="3E9B45E7" w:rsidR="00B22CD5" w:rsidRPr="00657107" w:rsidRDefault="00C403DB" w:rsidP="00657107">
      <w:pPr>
        <w:pStyle w:val="Heading2"/>
      </w:pPr>
      <w:bookmarkStart w:id="10" w:name="_Toc137036612"/>
      <w:bookmarkStart w:id="11" w:name="_Toc58146758"/>
      <w:r w:rsidRPr="00657107">
        <w:t>1.1</w:t>
      </w:r>
      <w:r w:rsidR="00B22CD5" w:rsidRPr="00657107">
        <w:t xml:space="preserve"> A</w:t>
      </w:r>
      <w:r w:rsidR="00657107" w:rsidRPr="00657107">
        <w:t>PPLICATION</w:t>
      </w:r>
      <w:bookmarkEnd w:id="10"/>
      <w:r w:rsidRPr="00657107">
        <w:t xml:space="preserve"> </w:t>
      </w:r>
    </w:p>
    <w:p w14:paraId="32F4190C" w14:textId="639DAF31" w:rsidR="00C403DB" w:rsidRPr="00C81BB2" w:rsidRDefault="009E5982" w:rsidP="009E5982">
      <w:pPr>
        <w:pStyle w:val="Heading3"/>
        <w:spacing w:before="360" w:line="276" w:lineRule="auto"/>
      </w:pPr>
      <w:bookmarkStart w:id="12" w:name="_Toc137036613"/>
      <w:r>
        <w:t xml:space="preserve">1.1.1 </w:t>
      </w:r>
      <w:r w:rsidR="00C403DB" w:rsidRPr="00C81BB2">
        <w:t>Purpose</w:t>
      </w:r>
      <w:bookmarkEnd w:id="11"/>
      <w:bookmarkEnd w:id="12"/>
    </w:p>
    <w:p w14:paraId="474258E2" w14:textId="4D60A057" w:rsidR="00BA1D65" w:rsidRPr="00E52582" w:rsidRDefault="00BA1D65" w:rsidP="00215F3B">
      <w:pPr>
        <w:spacing w:after="120" w:line="276" w:lineRule="auto"/>
        <w:jc w:val="both"/>
        <w:rPr>
          <w:sz w:val="22"/>
          <w:szCs w:val="22"/>
        </w:rPr>
      </w:pPr>
      <w:r w:rsidRPr="00E52582">
        <w:rPr>
          <w:sz w:val="22"/>
          <w:szCs w:val="22"/>
        </w:rPr>
        <w:t xml:space="preserve">This ACT Accounting Policy </w:t>
      </w:r>
      <w:r w:rsidR="00E52582">
        <w:rPr>
          <w:sz w:val="22"/>
          <w:szCs w:val="22"/>
        </w:rPr>
        <w:t xml:space="preserve">paper </w:t>
      </w:r>
      <w:r w:rsidRPr="00E52582">
        <w:rPr>
          <w:sz w:val="22"/>
          <w:szCs w:val="22"/>
        </w:rPr>
        <w:t xml:space="preserve">provides guidance to </w:t>
      </w:r>
      <w:r w:rsidR="00E52582">
        <w:rPr>
          <w:sz w:val="22"/>
          <w:szCs w:val="22"/>
        </w:rPr>
        <w:t>d</w:t>
      </w:r>
      <w:r w:rsidRPr="00E52582">
        <w:rPr>
          <w:sz w:val="22"/>
          <w:szCs w:val="22"/>
        </w:rPr>
        <w:t xml:space="preserve">irectorates and </w:t>
      </w:r>
      <w:r w:rsidR="00E52582">
        <w:rPr>
          <w:sz w:val="22"/>
          <w:szCs w:val="22"/>
        </w:rPr>
        <w:t>t</w:t>
      </w:r>
      <w:r w:rsidRPr="00E52582">
        <w:rPr>
          <w:sz w:val="22"/>
          <w:szCs w:val="22"/>
        </w:rPr>
        <w:t xml:space="preserve">erritory </w:t>
      </w:r>
      <w:r w:rsidR="00E52582">
        <w:rPr>
          <w:sz w:val="22"/>
          <w:szCs w:val="22"/>
        </w:rPr>
        <w:t>a</w:t>
      </w:r>
      <w:r w:rsidRPr="00E52582">
        <w:rPr>
          <w:sz w:val="22"/>
          <w:szCs w:val="22"/>
        </w:rPr>
        <w:t xml:space="preserve">uthorities on the accounting for employee benefits. </w:t>
      </w:r>
      <w:r w:rsidR="004D6E34">
        <w:rPr>
          <w:sz w:val="22"/>
          <w:szCs w:val="22"/>
        </w:rPr>
        <w:t xml:space="preserve">It outlines three shorthand methods that should be used by ACT Government Agencies to calculate their long service leave liability and two shorthand methods to calculate their annual leave liability. </w:t>
      </w:r>
      <w:r w:rsidR="0060038A" w:rsidRPr="001F4216">
        <w:rPr>
          <w:sz w:val="22"/>
          <w:szCs w:val="22"/>
        </w:rPr>
        <w:t>It provides illustrative examples t</w:t>
      </w:r>
      <w:r w:rsidR="0060038A">
        <w:rPr>
          <w:sz w:val="22"/>
          <w:szCs w:val="22"/>
        </w:rPr>
        <w:t>hat</w:t>
      </w:r>
      <w:r w:rsidR="0060038A" w:rsidRPr="001F4216">
        <w:rPr>
          <w:sz w:val="22"/>
          <w:szCs w:val="22"/>
        </w:rPr>
        <w:t xml:space="preserve"> outline how </w:t>
      </w:r>
      <w:r w:rsidR="0060038A">
        <w:rPr>
          <w:sz w:val="22"/>
          <w:szCs w:val="22"/>
        </w:rPr>
        <w:t>long service leave and annual leave liabilities are calculated</w:t>
      </w:r>
      <w:r w:rsidR="0060038A" w:rsidRPr="001F4216">
        <w:rPr>
          <w:sz w:val="22"/>
          <w:szCs w:val="22"/>
        </w:rPr>
        <w:t xml:space="preserve">. </w:t>
      </w:r>
      <w:r w:rsidRPr="00E52582">
        <w:rPr>
          <w:sz w:val="22"/>
          <w:szCs w:val="22"/>
        </w:rPr>
        <w:t xml:space="preserve">This Policy is to be read in conjunction with Australian Accounting Standard AASB 119 </w:t>
      </w:r>
      <w:r w:rsidRPr="00E52582">
        <w:rPr>
          <w:i/>
          <w:iCs/>
          <w:sz w:val="22"/>
          <w:szCs w:val="22"/>
        </w:rPr>
        <w:t>Employee Benefits.</w:t>
      </w:r>
    </w:p>
    <w:p w14:paraId="77781418" w14:textId="1E77CBBC" w:rsidR="00BA1D65" w:rsidRPr="00B25617" w:rsidRDefault="00BA1D65" w:rsidP="00215F3B">
      <w:pPr>
        <w:spacing w:after="120" w:line="276" w:lineRule="auto"/>
        <w:jc w:val="both"/>
        <w:rPr>
          <w:sz w:val="22"/>
          <w:szCs w:val="22"/>
        </w:rPr>
      </w:pPr>
      <w:r w:rsidRPr="00215F3B">
        <w:rPr>
          <w:sz w:val="22"/>
          <w:szCs w:val="22"/>
        </w:rPr>
        <w:t xml:space="preserve">There is no intention that the ACT Accounting Policies will replicate the Accounting Standards.  Consequently, </w:t>
      </w:r>
      <w:r w:rsidR="0060038A">
        <w:rPr>
          <w:sz w:val="22"/>
          <w:szCs w:val="22"/>
        </w:rPr>
        <w:t>agencies</w:t>
      </w:r>
      <w:r w:rsidRPr="00B25617">
        <w:rPr>
          <w:sz w:val="22"/>
          <w:szCs w:val="22"/>
        </w:rPr>
        <w:t xml:space="preserve"> should ensure that they have a thorough understanding of the content of the standards before reading and applying relevant ACT Accounting Policies.</w:t>
      </w:r>
    </w:p>
    <w:p w14:paraId="70D211A6" w14:textId="130788CD" w:rsidR="00C403DB" w:rsidRPr="003A6F39" w:rsidRDefault="009E5982" w:rsidP="009E5982">
      <w:pPr>
        <w:pStyle w:val="Heading3"/>
        <w:spacing w:before="360" w:line="276" w:lineRule="auto"/>
        <w:rPr>
          <w:b w:val="0"/>
          <w:bCs/>
        </w:rPr>
      </w:pPr>
      <w:bookmarkStart w:id="13" w:name="_Toc58146759"/>
      <w:bookmarkStart w:id="14" w:name="_Toc137036614"/>
      <w:r>
        <w:rPr>
          <w:rStyle w:val="Heading3Char"/>
          <w:b/>
          <w:bCs/>
        </w:rPr>
        <w:t xml:space="preserve">1.1.2 </w:t>
      </w:r>
      <w:r w:rsidR="00C403DB" w:rsidRPr="003A6F39">
        <w:rPr>
          <w:rStyle w:val="Heading3Char"/>
          <w:b/>
          <w:bCs/>
        </w:rPr>
        <w:t>Application Date</w:t>
      </w:r>
      <w:bookmarkEnd w:id="13"/>
      <w:bookmarkEnd w:id="14"/>
    </w:p>
    <w:p w14:paraId="73AC6308" w14:textId="714301DD" w:rsidR="00BA1D65" w:rsidRPr="00215F3B" w:rsidRDefault="0060038A" w:rsidP="00215F3B">
      <w:pPr>
        <w:spacing w:after="120" w:line="276" w:lineRule="auto"/>
        <w:jc w:val="both"/>
        <w:rPr>
          <w:sz w:val="22"/>
          <w:szCs w:val="22"/>
        </w:rPr>
      </w:pPr>
      <w:bookmarkStart w:id="15" w:name="_Toc58146760"/>
      <w:r w:rsidRPr="00C71950">
        <w:rPr>
          <w:sz w:val="22"/>
          <w:szCs w:val="22"/>
        </w:rPr>
        <w:t>This ACT Accounting Policy applies to reporting periods beginning on or after 1 July 2022. For agencies whose financial year ends on 30 June, this policy is applicable to financial years ending on or after 30 June 2023. For agencies whose financial year ends on 31 December, this policy is applicable to financial years ending on or after 31 December 2023.</w:t>
      </w:r>
      <w:r w:rsidRPr="00215F3B" w:rsidDel="0060038A">
        <w:rPr>
          <w:sz w:val="22"/>
          <w:szCs w:val="22"/>
        </w:rPr>
        <w:t xml:space="preserve"> </w:t>
      </w:r>
    </w:p>
    <w:p w14:paraId="2E331920" w14:textId="77CE5CD0" w:rsidR="00C403DB" w:rsidRPr="003A6F39" w:rsidRDefault="009E5982" w:rsidP="009E5982">
      <w:pPr>
        <w:pStyle w:val="Heading3"/>
        <w:spacing w:before="360" w:line="276" w:lineRule="auto"/>
        <w:rPr>
          <w:b w:val="0"/>
          <w:bCs/>
        </w:rPr>
      </w:pPr>
      <w:bookmarkStart w:id="16" w:name="_Toc137036615"/>
      <w:r>
        <w:rPr>
          <w:rStyle w:val="Heading3Char"/>
          <w:b/>
          <w:bCs/>
        </w:rPr>
        <w:t xml:space="preserve">1.1.3 </w:t>
      </w:r>
      <w:r w:rsidR="00C403DB" w:rsidRPr="003A6F39">
        <w:rPr>
          <w:rStyle w:val="Heading3Char"/>
          <w:b/>
          <w:bCs/>
        </w:rPr>
        <w:t>Agencies Covered by this Policy</w:t>
      </w:r>
      <w:bookmarkEnd w:id="15"/>
      <w:bookmarkEnd w:id="16"/>
    </w:p>
    <w:p w14:paraId="33CD0768" w14:textId="77777777" w:rsidR="00932354" w:rsidRPr="000362BF" w:rsidRDefault="00932354" w:rsidP="00215F3B">
      <w:pPr>
        <w:pStyle w:val="Footer"/>
        <w:spacing w:after="120" w:line="276" w:lineRule="auto"/>
        <w:jc w:val="both"/>
        <w:rPr>
          <w:sz w:val="22"/>
          <w:szCs w:val="22"/>
        </w:rPr>
      </w:pPr>
      <w:r w:rsidRPr="000362BF">
        <w:rPr>
          <w:sz w:val="22"/>
          <w:szCs w:val="22"/>
        </w:rPr>
        <w:t>This policy applies to ACT Government Agencies, that is directorates and territory authorities.</w:t>
      </w:r>
    </w:p>
    <w:p w14:paraId="7E27165D" w14:textId="26D97F97" w:rsidR="00C403DB" w:rsidRPr="00CF5CC6" w:rsidRDefault="009E5982" w:rsidP="009E5982">
      <w:pPr>
        <w:pStyle w:val="Heading3"/>
        <w:spacing w:before="360" w:after="0" w:line="240" w:lineRule="auto"/>
      </w:pPr>
      <w:bookmarkStart w:id="17" w:name="_Toc102736451"/>
      <w:bookmarkStart w:id="18" w:name="_Toc102736452"/>
      <w:bookmarkStart w:id="19" w:name="_Toc58146761"/>
      <w:bookmarkStart w:id="20" w:name="_Toc137036616"/>
      <w:bookmarkEnd w:id="17"/>
      <w:bookmarkEnd w:id="18"/>
      <w:r>
        <w:t xml:space="preserve">1.1.4 </w:t>
      </w:r>
      <w:r w:rsidR="00C403DB" w:rsidRPr="00CF5CC6">
        <w:t>Contact</w:t>
      </w:r>
      <w:bookmarkEnd w:id="19"/>
      <w:bookmarkEnd w:id="20"/>
    </w:p>
    <w:p w14:paraId="3C91D7CF" w14:textId="3A95D289" w:rsidR="00C403DB" w:rsidRPr="00B25617" w:rsidRDefault="00C403DB" w:rsidP="00215F3B">
      <w:pPr>
        <w:spacing w:after="120" w:line="276" w:lineRule="auto"/>
        <w:jc w:val="both"/>
        <w:rPr>
          <w:sz w:val="22"/>
          <w:szCs w:val="22"/>
        </w:rPr>
      </w:pPr>
      <w:r w:rsidRPr="00B25617">
        <w:rPr>
          <w:sz w:val="22"/>
          <w:szCs w:val="22"/>
        </w:rPr>
        <w:t xml:space="preserve">If you have any questions regarding this Policy, contact the Financial Reporting and Framework (FRF) Branch to provide further clarification. Contact details are listed on the </w:t>
      </w:r>
      <w:r w:rsidR="0060038A" w:rsidRPr="00C8222F">
        <w:rPr>
          <w:sz w:val="22"/>
          <w:szCs w:val="22"/>
        </w:rPr>
        <w:t>Accounting in the ACT Government</w:t>
      </w:r>
      <w:r w:rsidR="0060038A" w:rsidRPr="00B25617">
        <w:rPr>
          <w:sz w:val="22"/>
          <w:szCs w:val="22"/>
        </w:rPr>
        <w:t xml:space="preserve"> </w:t>
      </w:r>
      <w:r w:rsidRPr="00B25617">
        <w:rPr>
          <w:sz w:val="22"/>
          <w:szCs w:val="22"/>
        </w:rPr>
        <w:t xml:space="preserve">website: </w:t>
      </w:r>
      <w:hyperlink r:id="rId13" w:history="1">
        <w:r w:rsidR="0060038A" w:rsidRPr="0060038A">
          <w:rPr>
            <w:rStyle w:val="Hyperlink"/>
            <w:sz w:val="22"/>
            <w:szCs w:val="22"/>
          </w:rPr>
          <w:t>https://www.treasury.act.gov.au/accounting/</w:t>
        </w:r>
      </w:hyperlink>
      <w:r w:rsidRPr="00B25617">
        <w:rPr>
          <w:sz w:val="22"/>
          <w:szCs w:val="22"/>
        </w:rPr>
        <w:t>.</w:t>
      </w:r>
    </w:p>
    <w:p w14:paraId="6E7EE242" w14:textId="321DA56A" w:rsidR="00C510B3" w:rsidRPr="00A61ED8" w:rsidRDefault="00C510B3" w:rsidP="00215F3B">
      <w:pPr>
        <w:spacing w:before="360" w:after="60" w:line="276" w:lineRule="auto"/>
        <w:rPr>
          <w:b/>
          <w:color w:val="D189C4" w:themeColor="accent3" w:themeTint="99"/>
          <w:sz w:val="32"/>
          <w:szCs w:val="28"/>
        </w:rPr>
      </w:pPr>
      <w:r w:rsidRPr="00A61ED8">
        <w:rPr>
          <w:b/>
          <w:color w:val="D189C4" w:themeColor="accent3" w:themeTint="99"/>
          <w:sz w:val="32"/>
          <w:szCs w:val="28"/>
        </w:rPr>
        <w:t>1.1.</w:t>
      </w:r>
      <w:r w:rsidR="009E5982">
        <w:rPr>
          <w:b/>
          <w:color w:val="D189C4" w:themeColor="accent3" w:themeTint="99"/>
          <w:sz w:val="32"/>
          <w:szCs w:val="28"/>
        </w:rPr>
        <w:t xml:space="preserve">5 </w:t>
      </w:r>
      <w:r w:rsidRPr="00A61ED8">
        <w:rPr>
          <w:b/>
          <w:color w:val="D189C4" w:themeColor="accent3" w:themeTint="99"/>
          <w:sz w:val="32"/>
          <w:szCs w:val="28"/>
        </w:rPr>
        <w:t xml:space="preserve">Application of Policy </w:t>
      </w:r>
    </w:p>
    <w:p w14:paraId="6220DA33" w14:textId="1732614D" w:rsidR="00C510B3" w:rsidRDefault="00A4390E" w:rsidP="00215F3B">
      <w:pPr>
        <w:spacing w:after="120" w:line="276" w:lineRule="auto"/>
        <w:jc w:val="both"/>
        <w:rPr>
          <w:sz w:val="22"/>
          <w:szCs w:val="22"/>
        </w:rPr>
      </w:pPr>
      <w:r w:rsidRPr="00A61ED8">
        <w:rPr>
          <w:sz w:val="22"/>
          <w:szCs w:val="22"/>
        </w:rPr>
        <w:t xml:space="preserve">Requirements of this policy are included in </w:t>
      </w:r>
      <w:r w:rsidRPr="00A61ED8">
        <w:rPr>
          <w:b/>
          <w:bCs/>
          <w:sz w:val="22"/>
          <w:szCs w:val="22"/>
        </w:rPr>
        <w:t>bold</w:t>
      </w:r>
      <w:r w:rsidRPr="00A61ED8">
        <w:rPr>
          <w:sz w:val="22"/>
          <w:szCs w:val="22"/>
        </w:rPr>
        <w:t xml:space="preserve"> text, with un-bolded text being background information/commentary.</w:t>
      </w:r>
      <w:r w:rsidRPr="00216B2F">
        <w:rPr>
          <w:sz w:val="22"/>
          <w:szCs w:val="22"/>
        </w:rPr>
        <w:t xml:space="preserve"> </w:t>
      </w:r>
    </w:p>
    <w:p w14:paraId="02CB882A" w14:textId="0A529457" w:rsidR="002B0CC5" w:rsidRDefault="002B0CC5" w:rsidP="00215F3B">
      <w:pPr>
        <w:spacing w:after="120" w:line="276" w:lineRule="auto"/>
        <w:jc w:val="both"/>
        <w:rPr>
          <w:sz w:val="22"/>
          <w:szCs w:val="22"/>
        </w:rPr>
      </w:pPr>
      <w:r>
        <w:rPr>
          <w:sz w:val="22"/>
          <w:szCs w:val="22"/>
        </w:rPr>
        <w:br w:type="page"/>
      </w:r>
    </w:p>
    <w:p w14:paraId="664D60E7" w14:textId="562A7203" w:rsidR="00FB55F3" w:rsidRPr="00CF5CC6" w:rsidRDefault="00FB55F3" w:rsidP="00FB55F3">
      <w:pPr>
        <w:pStyle w:val="Heading1"/>
        <w:numPr>
          <w:ilvl w:val="0"/>
          <w:numId w:val="0"/>
        </w:numPr>
        <w:spacing w:line="276" w:lineRule="auto"/>
      </w:pPr>
      <w:bookmarkStart w:id="21" w:name="_Toc137036617"/>
      <w:r>
        <w:lastRenderedPageBreak/>
        <w:t>2</w:t>
      </w:r>
      <w:r w:rsidRPr="00CF5CC6">
        <w:t>.</w:t>
      </w:r>
      <w:r w:rsidRPr="00CF5CC6">
        <w:tab/>
      </w:r>
      <w:r w:rsidR="00BA1D65" w:rsidRPr="00CB1038">
        <w:rPr>
          <w:lang w:val="en-US"/>
        </w:rPr>
        <w:t>Short-Term Employee Benefits</w:t>
      </w:r>
      <w:bookmarkEnd w:id="21"/>
    </w:p>
    <w:p w14:paraId="37A7E4D8" w14:textId="40B2DB1C" w:rsidR="00FB55F3" w:rsidRPr="00657107" w:rsidRDefault="00FB55F3" w:rsidP="00215F3B">
      <w:pPr>
        <w:pStyle w:val="Heading2"/>
        <w:spacing w:before="360" w:line="276" w:lineRule="auto"/>
      </w:pPr>
      <w:bookmarkStart w:id="22" w:name="_Toc137036618"/>
      <w:r>
        <w:t>2</w:t>
      </w:r>
      <w:r w:rsidRPr="00657107">
        <w:t xml:space="preserve">.1 </w:t>
      </w:r>
      <w:r w:rsidR="00BA1D65" w:rsidRPr="00CB1038">
        <w:t>Examples of Short-Term Employee Benefits</w:t>
      </w:r>
      <w:bookmarkEnd w:id="22"/>
      <w:r w:rsidRPr="00657107">
        <w:t xml:space="preserve"> </w:t>
      </w:r>
    </w:p>
    <w:p w14:paraId="7B6E6463" w14:textId="378F69A1" w:rsidR="002339BE" w:rsidRDefault="002339BE" w:rsidP="00215F3B">
      <w:pPr>
        <w:spacing w:after="120" w:line="276" w:lineRule="auto"/>
        <w:jc w:val="both"/>
        <w:rPr>
          <w:sz w:val="22"/>
          <w:szCs w:val="22"/>
          <w:lang w:val="en-US"/>
        </w:rPr>
      </w:pPr>
      <w:r w:rsidRPr="002B0CC5">
        <w:rPr>
          <w:b/>
          <w:bCs/>
          <w:sz w:val="22"/>
          <w:szCs w:val="22"/>
          <w:lang w:val="en-US"/>
        </w:rPr>
        <w:t>S</w:t>
      </w:r>
      <w:r w:rsidR="00BA1D65" w:rsidRPr="002B0CC5">
        <w:rPr>
          <w:b/>
          <w:bCs/>
          <w:sz w:val="22"/>
          <w:szCs w:val="22"/>
          <w:lang w:val="en-US"/>
        </w:rPr>
        <w:t xml:space="preserve">hort-term employee benefits </w:t>
      </w:r>
      <w:r w:rsidRPr="002B0CC5">
        <w:rPr>
          <w:b/>
          <w:bCs/>
          <w:sz w:val="22"/>
          <w:szCs w:val="22"/>
          <w:lang w:val="en-US"/>
        </w:rPr>
        <w:t xml:space="preserve">are defined </w:t>
      </w:r>
      <w:r w:rsidR="002F3965" w:rsidRPr="002B0CC5">
        <w:rPr>
          <w:b/>
          <w:bCs/>
          <w:sz w:val="22"/>
          <w:szCs w:val="22"/>
          <w:lang w:val="en-US"/>
        </w:rPr>
        <w:t xml:space="preserve">as </w:t>
      </w:r>
      <w:r w:rsidR="00BA1D65" w:rsidRPr="002B0CC5">
        <w:rPr>
          <w:b/>
          <w:bCs/>
          <w:sz w:val="22"/>
          <w:szCs w:val="22"/>
          <w:lang w:val="en-US"/>
        </w:rPr>
        <w:t>employee benefits (other than termination benefits) that are expected to be settled wholly before twelve months after the end of the reporting period in which the employees render the related service</w:t>
      </w:r>
      <w:r w:rsidRPr="002B0CC5">
        <w:rPr>
          <w:b/>
          <w:bCs/>
          <w:sz w:val="22"/>
          <w:szCs w:val="22"/>
          <w:lang w:val="en-US"/>
        </w:rPr>
        <w:t xml:space="preserve"> </w:t>
      </w:r>
      <w:r>
        <w:rPr>
          <w:sz w:val="22"/>
          <w:szCs w:val="22"/>
          <w:lang w:val="en-US"/>
        </w:rPr>
        <w:t>(</w:t>
      </w:r>
      <w:r w:rsidRPr="00F32593">
        <w:rPr>
          <w:sz w:val="22"/>
          <w:szCs w:val="22"/>
          <w:lang w:val="en-US"/>
        </w:rPr>
        <w:t>AASB 119 para 8</w:t>
      </w:r>
      <w:r>
        <w:rPr>
          <w:sz w:val="22"/>
          <w:szCs w:val="22"/>
          <w:lang w:val="en-US"/>
        </w:rPr>
        <w:t>)</w:t>
      </w:r>
      <w:r w:rsidR="00BA1D65" w:rsidRPr="00F32593">
        <w:rPr>
          <w:sz w:val="22"/>
          <w:szCs w:val="22"/>
          <w:lang w:val="en-US"/>
        </w:rPr>
        <w:t xml:space="preserve">. </w:t>
      </w:r>
    </w:p>
    <w:p w14:paraId="57ADC345" w14:textId="70AEC94D" w:rsidR="00BA1D65" w:rsidRPr="00F32593" w:rsidRDefault="00BA1D65" w:rsidP="00215F3B">
      <w:pPr>
        <w:spacing w:after="120" w:line="276" w:lineRule="auto"/>
        <w:jc w:val="both"/>
        <w:rPr>
          <w:sz w:val="22"/>
          <w:szCs w:val="22"/>
          <w:lang w:val="en-US"/>
        </w:rPr>
      </w:pPr>
      <w:r w:rsidRPr="00F32593">
        <w:rPr>
          <w:sz w:val="22"/>
          <w:szCs w:val="22"/>
          <w:lang w:val="en-US"/>
        </w:rPr>
        <w:t>Examples of these benefits in AASB</w:t>
      </w:r>
      <w:r w:rsidR="002B0CC5">
        <w:rPr>
          <w:sz w:val="22"/>
          <w:szCs w:val="22"/>
          <w:lang w:val="en-US"/>
        </w:rPr>
        <w:t xml:space="preserve"> </w:t>
      </w:r>
      <w:r w:rsidRPr="00F32593">
        <w:rPr>
          <w:sz w:val="22"/>
          <w:szCs w:val="22"/>
          <w:lang w:val="en-US"/>
        </w:rPr>
        <w:t>119</w:t>
      </w:r>
      <w:r w:rsidR="002F3965" w:rsidRPr="00F32593">
        <w:rPr>
          <w:sz w:val="22"/>
          <w:szCs w:val="22"/>
          <w:lang w:val="en-US"/>
        </w:rPr>
        <w:t xml:space="preserve"> para </w:t>
      </w:r>
      <w:r w:rsidRPr="00F32593">
        <w:rPr>
          <w:sz w:val="22"/>
          <w:szCs w:val="22"/>
          <w:lang w:val="en-US"/>
        </w:rPr>
        <w:t>9 include:</w:t>
      </w:r>
    </w:p>
    <w:p w14:paraId="1BDB544E" w14:textId="73679938" w:rsidR="002F3965" w:rsidRPr="00F32593" w:rsidRDefault="00BA1D65" w:rsidP="00F32593">
      <w:pPr>
        <w:pStyle w:val="ListParagraph"/>
        <w:numPr>
          <w:ilvl w:val="3"/>
          <w:numId w:val="11"/>
        </w:numPr>
        <w:tabs>
          <w:tab w:val="clear" w:pos="2520"/>
        </w:tabs>
        <w:spacing w:after="120" w:line="276" w:lineRule="auto"/>
        <w:ind w:left="851"/>
        <w:jc w:val="both"/>
        <w:rPr>
          <w:sz w:val="22"/>
          <w:szCs w:val="22"/>
          <w:lang w:val="en-US"/>
        </w:rPr>
      </w:pPr>
      <w:r w:rsidRPr="00F32593">
        <w:rPr>
          <w:sz w:val="22"/>
          <w:szCs w:val="22"/>
          <w:lang w:val="en-US"/>
        </w:rPr>
        <w:t xml:space="preserve">wages and </w:t>
      </w:r>
      <w:proofErr w:type="gramStart"/>
      <w:r w:rsidRPr="00F32593">
        <w:rPr>
          <w:sz w:val="22"/>
          <w:szCs w:val="22"/>
          <w:lang w:val="en-US"/>
        </w:rPr>
        <w:t>salaries;</w:t>
      </w:r>
      <w:proofErr w:type="gramEnd"/>
    </w:p>
    <w:p w14:paraId="036B8693" w14:textId="20CE0D27" w:rsidR="00BA1D65" w:rsidRPr="00254AB4" w:rsidRDefault="00BA1D65" w:rsidP="00254AB4">
      <w:pPr>
        <w:numPr>
          <w:ilvl w:val="0"/>
          <w:numId w:val="11"/>
        </w:numPr>
        <w:tabs>
          <w:tab w:val="clear" w:pos="360"/>
        </w:tabs>
        <w:spacing w:after="120" w:line="276" w:lineRule="auto"/>
        <w:ind w:left="851"/>
        <w:jc w:val="both"/>
        <w:rPr>
          <w:sz w:val="22"/>
          <w:szCs w:val="22"/>
          <w:lang w:val="en-US"/>
        </w:rPr>
      </w:pPr>
      <w:r w:rsidRPr="00254AB4">
        <w:rPr>
          <w:sz w:val="22"/>
          <w:szCs w:val="22"/>
          <w:lang w:val="en-US"/>
        </w:rPr>
        <w:t>annual leave loading; and</w:t>
      </w:r>
    </w:p>
    <w:p w14:paraId="4F166BBA" w14:textId="77777777" w:rsidR="00BA1D65" w:rsidRPr="00254AB4" w:rsidRDefault="00BA1D65" w:rsidP="00254AB4">
      <w:pPr>
        <w:numPr>
          <w:ilvl w:val="0"/>
          <w:numId w:val="11"/>
        </w:numPr>
        <w:tabs>
          <w:tab w:val="clear" w:pos="360"/>
        </w:tabs>
        <w:spacing w:after="120" w:line="276" w:lineRule="auto"/>
        <w:ind w:left="851"/>
        <w:jc w:val="both"/>
        <w:rPr>
          <w:sz w:val="22"/>
          <w:szCs w:val="22"/>
        </w:rPr>
      </w:pPr>
      <w:r w:rsidRPr="00254AB4">
        <w:rPr>
          <w:sz w:val="22"/>
          <w:szCs w:val="22"/>
          <w:lang w:val="en-US"/>
        </w:rPr>
        <w:t xml:space="preserve">non-monetary benefits (such as medical care, housing, cars and free or </w:t>
      </w:r>
      <w:proofErr w:type="spellStart"/>
      <w:r w:rsidRPr="00254AB4">
        <w:rPr>
          <w:sz w:val="22"/>
          <w:szCs w:val="22"/>
          <w:lang w:val="en-US"/>
        </w:rPr>
        <w:t>subsidised</w:t>
      </w:r>
      <w:proofErr w:type="spellEnd"/>
      <w:r w:rsidRPr="00254AB4">
        <w:rPr>
          <w:sz w:val="22"/>
          <w:szCs w:val="22"/>
          <w:lang w:val="en-US"/>
        </w:rPr>
        <w:t xml:space="preserve"> goods or services) for current employees.</w:t>
      </w:r>
    </w:p>
    <w:p w14:paraId="2A2F8C7F" w14:textId="77777777" w:rsidR="00BA1D65" w:rsidRPr="00254AB4" w:rsidRDefault="00BA1D65" w:rsidP="00254AB4">
      <w:pPr>
        <w:spacing w:after="120" w:line="276" w:lineRule="auto"/>
        <w:jc w:val="both"/>
        <w:rPr>
          <w:sz w:val="22"/>
          <w:szCs w:val="22"/>
          <w:lang w:val="en-US"/>
        </w:rPr>
      </w:pPr>
      <w:r w:rsidRPr="00254AB4">
        <w:rPr>
          <w:sz w:val="22"/>
          <w:szCs w:val="22"/>
          <w:lang w:val="en-US"/>
        </w:rPr>
        <w:t>In ACT public sector agencies, it is unlikely that the total annual leave benefit for all employees would be settled wholly before 12 months after the end of the annual reporting period.</w:t>
      </w:r>
    </w:p>
    <w:p w14:paraId="5771B40B" w14:textId="43345026" w:rsidR="009A6CEF" w:rsidRPr="009A6CEF" w:rsidRDefault="00BA1D65" w:rsidP="00D75475">
      <w:pPr>
        <w:pStyle w:val="Normal1"/>
        <w:spacing w:after="120" w:line="276" w:lineRule="auto"/>
        <w:jc w:val="both"/>
        <w:rPr>
          <w:b/>
          <w:caps/>
          <w:lang w:val="en-US"/>
        </w:rPr>
      </w:pPr>
      <w:r w:rsidRPr="009A6CEF">
        <w:rPr>
          <w:lang w:val="en-US"/>
        </w:rPr>
        <w:t xml:space="preserve">To determine the difference between short-term and long-term employee benefits see Section 4 </w:t>
      </w:r>
      <w:r w:rsidR="00B01384" w:rsidRPr="00BD50D1">
        <w:rPr>
          <w:i/>
          <w:iCs/>
          <w:lang w:val="en-US"/>
        </w:rPr>
        <w:t>Short-Term/Long-Term</w:t>
      </w:r>
      <w:r w:rsidR="00B01384" w:rsidRPr="00B01384">
        <w:rPr>
          <w:i/>
          <w:iCs/>
          <w:lang w:val="en-US"/>
        </w:rPr>
        <w:t xml:space="preserve"> </w:t>
      </w:r>
      <w:r w:rsidR="00B01384">
        <w:rPr>
          <w:i/>
          <w:iCs/>
          <w:lang w:val="en-US"/>
        </w:rPr>
        <w:t xml:space="preserve">vs </w:t>
      </w:r>
      <w:r w:rsidRPr="002B0CC5">
        <w:rPr>
          <w:i/>
          <w:iCs/>
          <w:lang w:val="en-US"/>
        </w:rPr>
        <w:t>Current/Non-Current</w:t>
      </w:r>
      <w:r w:rsidRPr="009A6CEF">
        <w:rPr>
          <w:lang w:val="en-US"/>
        </w:rPr>
        <w:t>.</w:t>
      </w:r>
      <w:r w:rsidR="009A6CEF" w:rsidRPr="009A6CEF">
        <w:rPr>
          <w:lang w:val="en-US"/>
        </w:rPr>
        <w:t xml:space="preserve">  </w:t>
      </w:r>
      <w:bookmarkStart w:id="23" w:name="_Toc79159872"/>
      <w:bookmarkStart w:id="24" w:name="OLE_LINK6"/>
      <w:bookmarkStart w:id="25" w:name="OLE_LINK7"/>
    </w:p>
    <w:p w14:paraId="56526D8F" w14:textId="3E0EC393" w:rsidR="00BA1D65" w:rsidRPr="00CB1038" w:rsidRDefault="00BA1D65" w:rsidP="009A6CEF">
      <w:pPr>
        <w:pStyle w:val="Heading2"/>
        <w:spacing w:before="360" w:line="276" w:lineRule="auto"/>
      </w:pPr>
      <w:bookmarkStart w:id="26" w:name="_Toc137036619"/>
      <w:r>
        <w:t xml:space="preserve">2.2 </w:t>
      </w:r>
      <w:r w:rsidRPr="00CB1038">
        <w:t>Measurement of Short-Term Employee Benefits</w:t>
      </w:r>
      <w:bookmarkEnd w:id="23"/>
      <w:bookmarkEnd w:id="26"/>
    </w:p>
    <w:bookmarkEnd w:id="24"/>
    <w:bookmarkEnd w:id="25"/>
    <w:p w14:paraId="3341F77E" w14:textId="34494415" w:rsidR="00BA1D65" w:rsidRPr="00724B2C" w:rsidRDefault="002339BE" w:rsidP="00724B2C">
      <w:pPr>
        <w:spacing w:after="120" w:line="276" w:lineRule="auto"/>
        <w:jc w:val="both"/>
        <w:rPr>
          <w:sz w:val="22"/>
          <w:szCs w:val="22"/>
        </w:rPr>
      </w:pPr>
      <w:r w:rsidRPr="002B0CC5">
        <w:rPr>
          <w:b/>
          <w:bCs/>
          <w:sz w:val="22"/>
          <w:szCs w:val="22"/>
          <w:lang w:val="en-US"/>
        </w:rPr>
        <w:t>W</w:t>
      </w:r>
      <w:r w:rsidR="00BA1D65" w:rsidRPr="002B0CC5">
        <w:rPr>
          <w:b/>
          <w:bCs/>
          <w:sz w:val="22"/>
          <w:szCs w:val="22"/>
          <w:lang w:val="en-US"/>
        </w:rPr>
        <w:t xml:space="preserve">hen an employee has rendered service to an </w:t>
      </w:r>
      <w:r w:rsidR="002F3965" w:rsidRPr="002B0CC5">
        <w:rPr>
          <w:b/>
          <w:bCs/>
          <w:sz w:val="22"/>
          <w:szCs w:val="22"/>
          <w:lang w:val="en-US"/>
        </w:rPr>
        <w:t>agency</w:t>
      </w:r>
      <w:r w:rsidR="00BA1D65" w:rsidRPr="002B0CC5">
        <w:rPr>
          <w:b/>
          <w:bCs/>
          <w:sz w:val="22"/>
          <w:szCs w:val="22"/>
          <w:lang w:val="en-US"/>
        </w:rPr>
        <w:t xml:space="preserve"> during a reporting period, the </w:t>
      </w:r>
      <w:r w:rsidR="002F3965" w:rsidRPr="002B0CC5">
        <w:rPr>
          <w:b/>
          <w:bCs/>
          <w:sz w:val="22"/>
          <w:szCs w:val="22"/>
          <w:lang w:val="en-US"/>
        </w:rPr>
        <w:t>agency</w:t>
      </w:r>
      <w:r w:rsidR="00BA1D65" w:rsidRPr="002B0CC5">
        <w:rPr>
          <w:b/>
          <w:bCs/>
          <w:sz w:val="22"/>
          <w:szCs w:val="22"/>
          <w:lang w:val="en-US"/>
        </w:rPr>
        <w:t xml:space="preserve"> shall recognise the undiscounted amount of short-term employee benefits expected to be paid in exchange for that service</w:t>
      </w:r>
      <w:r>
        <w:rPr>
          <w:sz w:val="22"/>
          <w:szCs w:val="22"/>
          <w:lang w:val="en-US"/>
        </w:rPr>
        <w:t xml:space="preserve"> (</w:t>
      </w:r>
      <w:r w:rsidRPr="00724B2C">
        <w:rPr>
          <w:sz w:val="22"/>
          <w:szCs w:val="22"/>
          <w:lang w:val="en-US"/>
        </w:rPr>
        <w:t>AASB 119 para 11</w:t>
      </w:r>
      <w:r>
        <w:rPr>
          <w:sz w:val="22"/>
          <w:szCs w:val="22"/>
          <w:lang w:val="en-US"/>
        </w:rPr>
        <w:t>)</w:t>
      </w:r>
      <w:r w:rsidR="00BA1D65" w:rsidRPr="00724B2C">
        <w:rPr>
          <w:sz w:val="22"/>
          <w:szCs w:val="22"/>
          <w:lang w:val="en-US"/>
        </w:rPr>
        <w:t>. As such, t</w:t>
      </w:r>
      <w:r w:rsidR="00BA1D65" w:rsidRPr="00724B2C">
        <w:rPr>
          <w:bCs/>
          <w:iCs/>
          <w:sz w:val="22"/>
          <w:szCs w:val="22"/>
          <w:lang w:val="en-US"/>
        </w:rPr>
        <w:t xml:space="preserve">he undiscounted amount (or nominal amount) is calculated based on the remuneration rates </w:t>
      </w:r>
      <w:r w:rsidR="00BA1D65" w:rsidRPr="00724B2C">
        <w:rPr>
          <w:bCs/>
          <w:iCs/>
          <w:sz w:val="22"/>
          <w:szCs w:val="22"/>
        </w:rPr>
        <w:t xml:space="preserve">that the </w:t>
      </w:r>
      <w:r w:rsidR="002F3965" w:rsidRPr="00724B2C">
        <w:rPr>
          <w:bCs/>
          <w:iCs/>
          <w:sz w:val="22"/>
          <w:szCs w:val="22"/>
        </w:rPr>
        <w:t xml:space="preserve">agency </w:t>
      </w:r>
      <w:r w:rsidR="00BA1D65" w:rsidRPr="00724B2C">
        <w:rPr>
          <w:bCs/>
          <w:iCs/>
          <w:sz w:val="22"/>
          <w:szCs w:val="22"/>
        </w:rPr>
        <w:t>expects to pay when the liability is settled, rather than remuneration rates as at the reporting date</w:t>
      </w:r>
      <w:r w:rsidR="00BA1D65" w:rsidRPr="00724B2C">
        <w:rPr>
          <w:bCs/>
          <w:i/>
          <w:iCs/>
          <w:sz w:val="22"/>
          <w:szCs w:val="22"/>
        </w:rPr>
        <w:t>.</w:t>
      </w:r>
      <w:r w:rsidR="00BA1D65" w:rsidRPr="00724B2C">
        <w:rPr>
          <w:sz w:val="22"/>
          <w:szCs w:val="22"/>
        </w:rPr>
        <w:t xml:space="preserve"> </w:t>
      </w:r>
    </w:p>
    <w:p w14:paraId="65908258" w14:textId="77777777" w:rsidR="00BA1D65" w:rsidRPr="00724B2C" w:rsidRDefault="00BA1D65" w:rsidP="00724B2C">
      <w:pPr>
        <w:spacing w:after="120" w:line="276" w:lineRule="auto"/>
        <w:jc w:val="both"/>
        <w:rPr>
          <w:sz w:val="22"/>
          <w:szCs w:val="22"/>
        </w:rPr>
      </w:pPr>
      <w:r w:rsidRPr="00724B2C">
        <w:rPr>
          <w:sz w:val="22"/>
          <w:szCs w:val="22"/>
        </w:rPr>
        <w:t xml:space="preserve">Therefore, balances taken out of an agency’s HR system at the end of the reporting period will need to be adjusted for any known Enterprise Agreement (EA) increases. Where an EA is being renegotiated and the outcome is not known, then best estimates of pay outcomes need to be made. </w:t>
      </w:r>
    </w:p>
    <w:p w14:paraId="412D026B" w14:textId="37B90748" w:rsidR="00BA1D65" w:rsidRPr="00724B2C" w:rsidRDefault="00BA1D65" w:rsidP="00724B2C">
      <w:pPr>
        <w:spacing w:after="120" w:line="276" w:lineRule="auto"/>
        <w:jc w:val="both"/>
        <w:rPr>
          <w:sz w:val="22"/>
          <w:szCs w:val="22"/>
          <w:lang w:val="en-US"/>
        </w:rPr>
      </w:pPr>
      <w:r w:rsidRPr="00724B2C">
        <w:rPr>
          <w:sz w:val="22"/>
          <w:szCs w:val="22"/>
          <w:lang w:val="en-US"/>
        </w:rPr>
        <w:t xml:space="preserve">As noted above, in ACT public sector agencies, it is unlikely that the total annual leave benefit for all employees would be settled wholly before 12 months after the end of the annual reporting period.  Consequently, </w:t>
      </w:r>
      <w:r w:rsidR="00C16B52">
        <w:rPr>
          <w:sz w:val="22"/>
          <w:szCs w:val="22"/>
          <w:lang w:val="en-US"/>
        </w:rPr>
        <w:t xml:space="preserve">the amount of </w:t>
      </w:r>
      <w:r w:rsidRPr="00724B2C">
        <w:rPr>
          <w:sz w:val="22"/>
          <w:szCs w:val="22"/>
          <w:lang w:val="en-US"/>
        </w:rPr>
        <w:t>annual leave</w:t>
      </w:r>
      <w:r w:rsidR="00C16B52">
        <w:rPr>
          <w:sz w:val="22"/>
          <w:szCs w:val="22"/>
          <w:lang w:val="en-US"/>
        </w:rPr>
        <w:t xml:space="preserve"> to be settled after 12 months will </w:t>
      </w:r>
      <w:r w:rsidRPr="00724B2C">
        <w:rPr>
          <w:sz w:val="22"/>
          <w:szCs w:val="22"/>
          <w:lang w:val="en-US"/>
        </w:rPr>
        <w:t xml:space="preserve">be a long-term employee benefit which AASB 119 requires to be measured at present value.  </w:t>
      </w:r>
    </w:p>
    <w:p w14:paraId="226D4A84" w14:textId="07A7E669" w:rsidR="00BA1D65" w:rsidRPr="00CB1038" w:rsidRDefault="00BA1D65" w:rsidP="00724B2C">
      <w:pPr>
        <w:pStyle w:val="Heading2"/>
        <w:spacing w:before="360" w:line="276" w:lineRule="auto"/>
      </w:pPr>
      <w:bookmarkStart w:id="27" w:name="_Toc79159873"/>
      <w:bookmarkStart w:id="28" w:name="_Toc137036620"/>
      <w:r>
        <w:t xml:space="preserve">2.3 </w:t>
      </w:r>
      <w:r w:rsidRPr="00CB1038">
        <w:t>Personal Leave</w:t>
      </w:r>
      <w:bookmarkEnd w:id="27"/>
      <w:bookmarkEnd w:id="28"/>
    </w:p>
    <w:p w14:paraId="55D0739B" w14:textId="6FD115D7" w:rsidR="00BA1D65" w:rsidRPr="00724B2C" w:rsidRDefault="00BA1D65" w:rsidP="00724B2C">
      <w:pPr>
        <w:spacing w:after="120" w:line="276" w:lineRule="auto"/>
        <w:jc w:val="both"/>
        <w:rPr>
          <w:sz w:val="22"/>
          <w:szCs w:val="22"/>
        </w:rPr>
      </w:pPr>
      <w:r w:rsidRPr="002B0CC5">
        <w:rPr>
          <w:b/>
          <w:bCs/>
          <w:sz w:val="22"/>
          <w:szCs w:val="22"/>
        </w:rPr>
        <w:t xml:space="preserve">ACT Government agencies must not take up a liability for </w:t>
      </w:r>
      <w:r w:rsidR="000B03BE" w:rsidRPr="002B0CC5">
        <w:rPr>
          <w:b/>
          <w:bCs/>
          <w:sz w:val="22"/>
          <w:szCs w:val="22"/>
        </w:rPr>
        <w:t>personal</w:t>
      </w:r>
      <w:r w:rsidRPr="002B0CC5">
        <w:rPr>
          <w:b/>
          <w:bCs/>
          <w:sz w:val="22"/>
          <w:szCs w:val="22"/>
        </w:rPr>
        <w:t xml:space="preserve"> leave where employees are accruing non-vesting </w:t>
      </w:r>
      <w:r w:rsidR="000B03BE" w:rsidRPr="002B0CC5">
        <w:rPr>
          <w:b/>
          <w:bCs/>
          <w:sz w:val="22"/>
          <w:szCs w:val="22"/>
        </w:rPr>
        <w:t>personal</w:t>
      </w:r>
      <w:r w:rsidRPr="002B0CC5">
        <w:rPr>
          <w:b/>
          <w:bCs/>
          <w:sz w:val="22"/>
          <w:szCs w:val="22"/>
        </w:rPr>
        <w:t xml:space="preserve"> leave and the average </w:t>
      </w:r>
      <w:r w:rsidR="000B03BE" w:rsidRPr="002B0CC5">
        <w:rPr>
          <w:b/>
          <w:bCs/>
          <w:sz w:val="22"/>
          <w:szCs w:val="22"/>
        </w:rPr>
        <w:t>personal</w:t>
      </w:r>
      <w:r w:rsidRPr="002B0CC5">
        <w:rPr>
          <w:b/>
          <w:bCs/>
          <w:sz w:val="22"/>
          <w:szCs w:val="22"/>
        </w:rPr>
        <w:t xml:space="preserve"> leave estimate to be taken each year is less than the annual entitlement.</w:t>
      </w:r>
      <w:r w:rsidRPr="00724B2C">
        <w:rPr>
          <w:sz w:val="22"/>
          <w:szCs w:val="22"/>
        </w:rPr>
        <w:t xml:space="preserve"> In most, if not all cases, agencies are going to have employees accruing non-vesting </w:t>
      </w:r>
      <w:r w:rsidR="000B03BE" w:rsidRPr="00724B2C">
        <w:rPr>
          <w:sz w:val="22"/>
          <w:szCs w:val="22"/>
        </w:rPr>
        <w:t xml:space="preserve">personal </w:t>
      </w:r>
      <w:r w:rsidRPr="00724B2C">
        <w:rPr>
          <w:sz w:val="22"/>
          <w:szCs w:val="22"/>
        </w:rPr>
        <w:t xml:space="preserve">leave.  </w:t>
      </w:r>
    </w:p>
    <w:p w14:paraId="67E48DE0" w14:textId="66AE3624" w:rsidR="00BA1D65" w:rsidRPr="00724B2C" w:rsidRDefault="00BA1D65" w:rsidP="00724B2C">
      <w:pPr>
        <w:spacing w:after="120" w:line="276" w:lineRule="auto"/>
        <w:jc w:val="both"/>
        <w:rPr>
          <w:sz w:val="22"/>
          <w:szCs w:val="22"/>
        </w:rPr>
      </w:pPr>
      <w:r w:rsidRPr="00724B2C">
        <w:rPr>
          <w:sz w:val="22"/>
          <w:szCs w:val="22"/>
        </w:rPr>
        <w:t>An agency must assess whether</w:t>
      </w:r>
      <w:r w:rsidR="002339BE">
        <w:rPr>
          <w:sz w:val="22"/>
          <w:szCs w:val="22"/>
        </w:rPr>
        <w:t>,</w:t>
      </w:r>
      <w:r w:rsidRPr="00724B2C">
        <w:rPr>
          <w:sz w:val="22"/>
          <w:szCs w:val="22"/>
        </w:rPr>
        <w:t xml:space="preserve"> on average</w:t>
      </w:r>
      <w:r w:rsidR="002339BE">
        <w:rPr>
          <w:sz w:val="22"/>
          <w:szCs w:val="22"/>
        </w:rPr>
        <w:t>,</w:t>
      </w:r>
      <w:r w:rsidRPr="00724B2C">
        <w:rPr>
          <w:sz w:val="22"/>
          <w:szCs w:val="22"/>
        </w:rPr>
        <w:t xml:space="preserve"> its employees are going to take more </w:t>
      </w:r>
      <w:r w:rsidR="000B03BE" w:rsidRPr="00724B2C">
        <w:rPr>
          <w:sz w:val="22"/>
          <w:szCs w:val="22"/>
        </w:rPr>
        <w:t>personal</w:t>
      </w:r>
      <w:r w:rsidRPr="00724B2C">
        <w:rPr>
          <w:sz w:val="22"/>
          <w:szCs w:val="22"/>
        </w:rPr>
        <w:t xml:space="preserve"> leave than they will accrue in the next 12 months. For example, where employees in an agency accrue </w:t>
      </w:r>
      <w:r w:rsidR="002339BE">
        <w:rPr>
          <w:sz w:val="22"/>
          <w:szCs w:val="22"/>
        </w:rPr>
        <w:t>18 days</w:t>
      </w:r>
      <w:r w:rsidR="0017608F">
        <w:rPr>
          <w:sz w:val="22"/>
          <w:szCs w:val="22"/>
        </w:rPr>
        <w:t xml:space="preserve"> </w:t>
      </w:r>
      <w:r w:rsidRPr="00724B2C">
        <w:rPr>
          <w:sz w:val="22"/>
          <w:szCs w:val="22"/>
        </w:rPr>
        <w:t xml:space="preserve">of personal leave a year and the agency </w:t>
      </w:r>
      <w:proofErr w:type="gramStart"/>
      <w:r w:rsidRPr="00724B2C">
        <w:rPr>
          <w:sz w:val="22"/>
          <w:szCs w:val="22"/>
        </w:rPr>
        <w:t>expects</w:t>
      </w:r>
      <w:proofErr w:type="gramEnd"/>
      <w:r w:rsidRPr="00724B2C">
        <w:rPr>
          <w:sz w:val="22"/>
          <w:szCs w:val="22"/>
        </w:rPr>
        <w:t xml:space="preserve"> that on average its employees are going to take </w:t>
      </w:r>
      <w:r w:rsidR="002339BE">
        <w:rPr>
          <w:sz w:val="22"/>
          <w:szCs w:val="22"/>
        </w:rPr>
        <w:t>20 days</w:t>
      </w:r>
      <w:r w:rsidR="0017608F">
        <w:rPr>
          <w:sz w:val="22"/>
          <w:szCs w:val="22"/>
        </w:rPr>
        <w:t xml:space="preserve"> of</w:t>
      </w:r>
      <w:r w:rsidRPr="00724B2C">
        <w:rPr>
          <w:sz w:val="22"/>
          <w:szCs w:val="22"/>
        </w:rPr>
        <w:t xml:space="preserve"> </w:t>
      </w:r>
      <w:r w:rsidR="0017608F">
        <w:rPr>
          <w:sz w:val="22"/>
          <w:szCs w:val="22"/>
        </w:rPr>
        <w:t xml:space="preserve">personal </w:t>
      </w:r>
      <w:r w:rsidRPr="00724B2C">
        <w:rPr>
          <w:sz w:val="22"/>
          <w:szCs w:val="22"/>
        </w:rPr>
        <w:t xml:space="preserve">leave over the next 12 months then the agency will have to take up a liability for </w:t>
      </w:r>
      <w:r w:rsidR="000B03BE" w:rsidRPr="00724B2C">
        <w:rPr>
          <w:sz w:val="22"/>
          <w:szCs w:val="22"/>
        </w:rPr>
        <w:t xml:space="preserve">personal </w:t>
      </w:r>
      <w:r w:rsidRPr="00724B2C">
        <w:rPr>
          <w:sz w:val="22"/>
          <w:szCs w:val="22"/>
        </w:rPr>
        <w:t>leave. Note that this would only occur in rare circumstances.</w:t>
      </w:r>
    </w:p>
    <w:p w14:paraId="63C0DCB9" w14:textId="77777777" w:rsidR="00BA1D65" w:rsidRPr="00CB1038" w:rsidRDefault="00BA1D65" w:rsidP="004C21D4">
      <w:pPr>
        <w:pStyle w:val="Heading1"/>
        <w:numPr>
          <w:ilvl w:val="0"/>
          <w:numId w:val="0"/>
        </w:numPr>
        <w:rPr>
          <w:lang w:val="en-US"/>
        </w:rPr>
      </w:pPr>
      <w:bookmarkStart w:id="29" w:name="_Toc149104780"/>
      <w:bookmarkStart w:id="30" w:name="_Toc149104847"/>
      <w:bookmarkStart w:id="31" w:name="_Toc79159874"/>
      <w:bookmarkStart w:id="32" w:name="_Toc137036621"/>
      <w:r>
        <w:rPr>
          <w:lang w:val="en-US"/>
        </w:rPr>
        <w:lastRenderedPageBreak/>
        <w:t xml:space="preserve">3. </w:t>
      </w:r>
      <w:r w:rsidRPr="00CB1038">
        <w:rPr>
          <w:lang w:val="en-US"/>
        </w:rPr>
        <w:t>Long-term Employee Benefits</w:t>
      </w:r>
      <w:bookmarkEnd w:id="29"/>
      <w:bookmarkEnd w:id="30"/>
      <w:bookmarkEnd w:id="31"/>
      <w:bookmarkEnd w:id="32"/>
    </w:p>
    <w:p w14:paraId="78E09825" w14:textId="77777777" w:rsidR="00BA1D65" w:rsidRPr="00CB1038" w:rsidRDefault="00BA1D65" w:rsidP="0017608F">
      <w:pPr>
        <w:pStyle w:val="Heading2"/>
        <w:spacing w:before="360" w:line="276" w:lineRule="auto"/>
      </w:pPr>
      <w:bookmarkStart w:id="33" w:name="_Toc149104781"/>
      <w:bookmarkStart w:id="34" w:name="_Toc149104848"/>
      <w:bookmarkStart w:id="35" w:name="_Toc79159875"/>
      <w:bookmarkStart w:id="36" w:name="_Toc137036622"/>
      <w:r>
        <w:t xml:space="preserve">3.1 </w:t>
      </w:r>
      <w:r w:rsidRPr="00CB1038">
        <w:t>Definition</w:t>
      </w:r>
      <w:bookmarkEnd w:id="33"/>
      <w:bookmarkEnd w:id="34"/>
      <w:bookmarkEnd w:id="35"/>
      <w:bookmarkEnd w:id="36"/>
    </w:p>
    <w:p w14:paraId="6FA80988" w14:textId="58309C7E" w:rsidR="00175015" w:rsidRDefault="00175015" w:rsidP="0017608F">
      <w:pPr>
        <w:spacing w:after="120" w:line="276" w:lineRule="auto"/>
        <w:jc w:val="both"/>
        <w:rPr>
          <w:sz w:val="22"/>
          <w:szCs w:val="22"/>
          <w:lang w:val="en-US"/>
        </w:rPr>
      </w:pPr>
      <w:r w:rsidRPr="002B0CC5">
        <w:rPr>
          <w:b/>
          <w:bCs/>
          <w:sz w:val="22"/>
          <w:szCs w:val="22"/>
          <w:lang w:val="en-US"/>
        </w:rPr>
        <w:t>O</w:t>
      </w:r>
      <w:r w:rsidR="00BA1D65" w:rsidRPr="002B0CC5">
        <w:rPr>
          <w:b/>
          <w:bCs/>
          <w:sz w:val="22"/>
          <w:szCs w:val="22"/>
          <w:lang w:val="en-US"/>
        </w:rPr>
        <w:t>ther long-term employee benefits include benefits that are not expected to be settled wholly before twelve months after the end of the annual reporting period in which the employees render the related service</w:t>
      </w:r>
      <w:r>
        <w:rPr>
          <w:sz w:val="22"/>
          <w:szCs w:val="22"/>
          <w:lang w:val="en-US"/>
        </w:rPr>
        <w:t xml:space="preserve"> (</w:t>
      </w:r>
      <w:r w:rsidRPr="0017608F">
        <w:rPr>
          <w:sz w:val="22"/>
          <w:szCs w:val="22"/>
          <w:lang w:val="en-US"/>
        </w:rPr>
        <w:t>AASB 119 para 153</w:t>
      </w:r>
      <w:r>
        <w:rPr>
          <w:sz w:val="22"/>
          <w:szCs w:val="22"/>
          <w:lang w:val="en-US"/>
        </w:rPr>
        <w:t>)</w:t>
      </w:r>
      <w:r w:rsidR="00BA1D65" w:rsidRPr="0017608F">
        <w:rPr>
          <w:sz w:val="22"/>
          <w:szCs w:val="22"/>
          <w:lang w:val="en-US"/>
        </w:rPr>
        <w:t xml:space="preserve">. </w:t>
      </w:r>
    </w:p>
    <w:p w14:paraId="5B39B5B5" w14:textId="1BCF02B8" w:rsidR="00BA1D65" w:rsidRPr="0017608F" w:rsidRDefault="00BA1D65" w:rsidP="0017608F">
      <w:pPr>
        <w:spacing w:after="120" w:line="276" w:lineRule="auto"/>
        <w:jc w:val="both"/>
        <w:rPr>
          <w:sz w:val="22"/>
          <w:szCs w:val="22"/>
          <w:lang w:val="en-US"/>
        </w:rPr>
      </w:pPr>
      <w:r w:rsidRPr="0017608F">
        <w:rPr>
          <w:sz w:val="22"/>
          <w:szCs w:val="22"/>
          <w:lang w:val="en-US"/>
        </w:rPr>
        <w:t>Examples of these benefits include:</w:t>
      </w:r>
    </w:p>
    <w:p w14:paraId="2D94EAA2" w14:textId="43BA7CEC" w:rsidR="00BA1D65" w:rsidRPr="00341DE1" w:rsidRDefault="00BA1D65" w:rsidP="00341DE1">
      <w:pPr>
        <w:numPr>
          <w:ilvl w:val="0"/>
          <w:numId w:val="12"/>
        </w:numPr>
        <w:tabs>
          <w:tab w:val="clear" w:pos="360"/>
          <w:tab w:val="num" w:pos="851"/>
        </w:tabs>
        <w:spacing w:after="120" w:line="276" w:lineRule="auto"/>
        <w:ind w:left="851"/>
        <w:jc w:val="both"/>
        <w:rPr>
          <w:sz w:val="22"/>
          <w:szCs w:val="22"/>
          <w:lang w:val="en-US"/>
        </w:rPr>
      </w:pPr>
      <w:r w:rsidRPr="0017608F">
        <w:rPr>
          <w:sz w:val="22"/>
          <w:szCs w:val="22"/>
          <w:lang w:val="en-US"/>
        </w:rPr>
        <w:t xml:space="preserve">long-term compensated absences such as long service or sabbatical </w:t>
      </w:r>
      <w:proofErr w:type="gramStart"/>
      <w:r w:rsidRPr="0017608F">
        <w:rPr>
          <w:sz w:val="22"/>
          <w:szCs w:val="22"/>
          <w:lang w:val="en-US"/>
        </w:rPr>
        <w:t>leave;</w:t>
      </w:r>
      <w:proofErr w:type="gramEnd"/>
    </w:p>
    <w:p w14:paraId="44FA1A00" w14:textId="4AD2C6D8" w:rsidR="00BA1D65" w:rsidRPr="0017608F" w:rsidRDefault="00BA1D65" w:rsidP="0017608F">
      <w:pPr>
        <w:numPr>
          <w:ilvl w:val="0"/>
          <w:numId w:val="12"/>
        </w:numPr>
        <w:tabs>
          <w:tab w:val="clear" w:pos="360"/>
          <w:tab w:val="num" w:pos="851"/>
        </w:tabs>
        <w:spacing w:after="120" w:line="276" w:lineRule="auto"/>
        <w:ind w:left="851"/>
        <w:jc w:val="both"/>
        <w:rPr>
          <w:sz w:val="22"/>
          <w:szCs w:val="22"/>
          <w:lang w:val="en-US"/>
        </w:rPr>
      </w:pPr>
      <w:r w:rsidRPr="0017608F">
        <w:rPr>
          <w:sz w:val="22"/>
          <w:szCs w:val="22"/>
          <w:lang w:val="en-US"/>
        </w:rPr>
        <w:t xml:space="preserve">long-term disability </w:t>
      </w:r>
      <w:proofErr w:type="gramStart"/>
      <w:r w:rsidRPr="0017608F">
        <w:rPr>
          <w:sz w:val="22"/>
          <w:szCs w:val="22"/>
          <w:lang w:val="en-US"/>
        </w:rPr>
        <w:t>benefits</w:t>
      </w:r>
      <w:r w:rsidR="00341DE1">
        <w:rPr>
          <w:sz w:val="22"/>
          <w:szCs w:val="22"/>
          <w:lang w:val="en-US"/>
        </w:rPr>
        <w:t>;</w:t>
      </w:r>
      <w:proofErr w:type="gramEnd"/>
    </w:p>
    <w:p w14:paraId="155D8B77" w14:textId="41ED61EE" w:rsidR="00341DE1" w:rsidRDefault="00BA1D65" w:rsidP="0017608F">
      <w:pPr>
        <w:numPr>
          <w:ilvl w:val="0"/>
          <w:numId w:val="12"/>
        </w:numPr>
        <w:tabs>
          <w:tab w:val="clear" w:pos="360"/>
          <w:tab w:val="num" w:pos="851"/>
        </w:tabs>
        <w:spacing w:after="120" w:line="276" w:lineRule="auto"/>
        <w:ind w:left="851"/>
        <w:jc w:val="both"/>
        <w:rPr>
          <w:sz w:val="22"/>
          <w:szCs w:val="22"/>
          <w:lang w:val="en-US"/>
        </w:rPr>
      </w:pPr>
      <w:r w:rsidRPr="0017608F">
        <w:rPr>
          <w:sz w:val="22"/>
          <w:szCs w:val="22"/>
          <w:lang w:val="en-US"/>
        </w:rPr>
        <w:t>deferred remuneration</w:t>
      </w:r>
      <w:r w:rsidR="00341DE1" w:rsidRPr="0017608F">
        <w:rPr>
          <w:sz w:val="22"/>
          <w:szCs w:val="22"/>
          <w:lang w:val="en-US"/>
        </w:rPr>
        <w:t>; and</w:t>
      </w:r>
    </w:p>
    <w:p w14:paraId="49C440F9" w14:textId="68C9156C" w:rsidR="00BA1D65" w:rsidRPr="0017608F" w:rsidRDefault="00341DE1" w:rsidP="0017608F">
      <w:pPr>
        <w:numPr>
          <w:ilvl w:val="0"/>
          <w:numId w:val="12"/>
        </w:numPr>
        <w:tabs>
          <w:tab w:val="clear" w:pos="360"/>
          <w:tab w:val="num" w:pos="851"/>
        </w:tabs>
        <w:spacing w:after="120" w:line="276" w:lineRule="auto"/>
        <w:ind w:left="851"/>
        <w:jc w:val="both"/>
        <w:rPr>
          <w:sz w:val="22"/>
          <w:szCs w:val="22"/>
          <w:lang w:val="en-US"/>
        </w:rPr>
      </w:pPr>
      <w:r w:rsidRPr="0017608F">
        <w:rPr>
          <w:sz w:val="22"/>
          <w:szCs w:val="22"/>
          <w:lang w:val="en-US"/>
        </w:rPr>
        <w:t>other long service benefits</w:t>
      </w:r>
      <w:r w:rsidR="00BA1D65" w:rsidRPr="0017608F">
        <w:rPr>
          <w:sz w:val="22"/>
          <w:szCs w:val="22"/>
          <w:lang w:val="en-US"/>
        </w:rPr>
        <w:t>.</w:t>
      </w:r>
    </w:p>
    <w:p w14:paraId="7F78D988" w14:textId="77777777" w:rsidR="00BA1D65" w:rsidRPr="0017608F" w:rsidRDefault="00BA1D65" w:rsidP="0017608F">
      <w:pPr>
        <w:spacing w:after="120" w:line="276" w:lineRule="auto"/>
        <w:jc w:val="both"/>
        <w:rPr>
          <w:sz w:val="22"/>
          <w:szCs w:val="22"/>
          <w:lang w:val="en-US"/>
        </w:rPr>
      </w:pPr>
      <w:r w:rsidRPr="0017608F">
        <w:rPr>
          <w:sz w:val="22"/>
          <w:szCs w:val="22"/>
          <w:lang w:val="en-US"/>
        </w:rPr>
        <w:t xml:space="preserve">As noted previously, long-term employee benefits are likely to include annual leave, as annual leave for all employees is not normally expected to be settled wholly within 12 months.  </w:t>
      </w:r>
    </w:p>
    <w:p w14:paraId="54A194E9" w14:textId="7E8F8630" w:rsidR="009978CE" w:rsidRDefault="00BA1D65">
      <w:pPr>
        <w:spacing w:after="120" w:line="276" w:lineRule="auto"/>
        <w:jc w:val="both"/>
        <w:rPr>
          <w:sz w:val="22"/>
          <w:szCs w:val="22"/>
          <w:lang w:val="en-US"/>
        </w:rPr>
      </w:pPr>
      <w:r w:rsidRPr="002B0CC5">
        <w:rPr>
          <w:b/>
          <w:bCs/>
          <w:sz w:val="22"/>
          <w:szCs w:val="22"/>
          <w:lang w:val="en-US"/>
        </w:rPr>
        <w:t>Present value measurement is required for long-term employee benefit liabilities that are not expected to be settled wholly before 12 months after the end of the period in which the employees render the related service</w:t>
      </w:r>
      <w:r w:rsidRPr="0017608F">
        <w:rPr>
          <w:sz w:val="22"/>
          <w:szCs w:val="22"/>
          <w:lang w:val="en-US"/>
        </w:rPr>
        <w:t xml:space="preserve"> (AASB 119</w:t>
      </w:r>
      <w:r w:rsidR="0017608F">
        <w:rPr>
          <w:sz w:val="22"/>
          <w:szCs w:val="22"/>
          <w:lang w:val="en-US"/>
        </w:rPr>
        <w:t xml:space="preserve"> </w:t>
      </w:r>
      <w:r w:rsidR="000B03BE">
        <w:rPr>
          <w:sz w:val="22"/>
          <w:szCs w:val="22"/>
          <w:lang w:val="en-US"/>
        </w:rPr>
        <w:t>para</w:t>
      </w:r>
      <w:r w:rsidR="00F32593">
        <w:rPr>
          <w:sz w:val="22"/>
          <w:szCs w:val="22"/>
          <w:lang w:val="en-US"/>
        </w:rPr>
        <w:t xml:space="preserve"> </w:t>
      </w:r>
      <w:r w:rsidRPr="0017608F">
        <w:rPr>
          <w:sz w:val="22"/>
          <w:szCs w:val="22"/>
          <w:lang w:val="en-US"/>
        </w:rPr>
        <w:t xml:space="preserve">60, 66 and 156).  </w:t>
      </w:r>
    </w:p>
    <w:p w14:paraId="0FC528E2" w14:textId="300E65CB" w:rsidR="00526032" w:rsidRPr="0035531A" w:rsidRDefault="00175015" w:rsidP="0017608F">
      <w:pPr>
        <w:spacing w:after="120" w:line="276" w:lineRule="auto"/>
        <w:jc w:val="both"/>
        <w:rPr>
          <w:sz w:val="22"/>
          <w:szCs w:val="22"/>
        </w:rPr>
      </w:pPr>
      <w:r>
        <w:rPr>
          <w:sz w:val="22"/>
          <w:szCs w:val="22"/>
        </w:rPr>
        <w:t>N</w:t>
      </w:r>
      <w:r w:rsidR="00526032" w:rsidRPr="0035531A">
        <w:rPr>
          <w:sz w:val="22"/>
          <w:szCs w:val="22"/>
        </w:rPr>
        <w:t xml:space="preserve">o specific allowance is required for employees over the age </w:t>
      </w:r>
      <w:r w:rsidR="002B0CC5">
        <w:rPr>
          <w:sz w:val="22"/>
          <w:szCs w:val="22"/>
        </w:rPr>
        <w:t xml:space="preserve">of </w:t>
      </w:r>
      <w:r w:rsidR="00526032" w:rsidRPr="0035531A">
        <w:rPr>
          <w:sz w:val="22"/>
          <w:szCs w:val="22"/>
        </w:rPr>
        <w:t>55</w:t>
      </w:r>
      <w:r>
        <w:rPr>
          <w:sz w:val="22"/>
          <w:szCs w:val="22"/>
        </w:rPr>
        <w:t xml:space="preserve"> when compared to those staff under 55 year</w:t>
      </w:r>
      <w:r w:rsidR="00B51777">
        <w:rPr>
          <w:sz w:val="22"/>
          <w:szCs w:val="22"/>
        </w:rPr>
        <w:t>s</w:t>
      </w:r>
      <w:r>
        <w:rPr>
          <w:sz w:val="22"/>
          <w:szCs w:val="22"/>
        </w:rPr>
        <w:t xml:space="preserve"> old, </w:t>
      </w:r>
      <w:proofErr w:type="gramStart"/>
      <w:r>
        <w:rPr>
          <w:sz w:val="22"/>
          <w:szCs w:val="22"/>
        </w:rPr>
        <w:t>with the exception of</w:t>
      </w:r>
      <w:proofErr w:type="gramEnd"/>
      <w:r>
        <w:rPr>
          <w:sz w:val="22"/>
          <w:szCs w:val="22"/>
        </w:rPr>
        <w:t xml:space="preserve"> the probability factors for these staff (Section 3.2 below)</w:t>
      </w:r>
      <w:r w:rsidR="00526032" w:rsidRPr="0035531A">
        <w:rPr>
          <w:sz w:val="22"/>
          <w:szCs w:val="22"/>
        </w:rPr>
        <w:t xml:space="preserve">. </w:t>
      </w:r>
    </w:p>
    <w:p w14:paraId="7101097B" w14:textId="17CD42A1" w:rsidR="00BA1D65" w:rsidRPr="00CB1038" w:rsidRDefault="00BA1D65" w:rsidP="00DC60D0">
      <w:pPr>
        <w:pStyle w:val="Heading2"/>
        <w:spacing w:before="360" w:line="240" w:lineRule="auto"/>
      </w:pPr>
      <w:bookmarkStart w:id="37" w:name="_Toc79159876"/>
      <w:bookmarkStart w:id="38" w:name="_Toc137036623"/>
      <w:r>
        <w:t>3.2 S</w:t>
      </w:r>
      <w:r w:rsidR="00B97F50">
        <w:t>teps</w:t>
      </w:r>
      <w:r w:rsidRPr="00CB1038">
        <w:t xml:space="preserve"> for Calculating Long Service Leave (LSL) and Annual Leave (AL) Liabilities</w:t>
      </w:r>
      <w:bookmarkEnd w:id="37"/>
      <w:bookmarkEnd w:id="38"/>
    </w:p>
    <w:p w14:paraId="4FD5B3BC" w14:textId="77777777" w:rsidR="00BA1D65" w:rsidRPr="002B0CC5" w:rsidRDefault="00BA1D65" w:rsidP="0017608F">
      <w:pPr>
        <w:spacing w:after="120" w:line="276" w:lineRule="auto"/>
        <w:jc w:val="both"/>
        <w:rPr>
          <w:b/>
          <w:bCs/>
          <w:sz w:val="22"/>
          <w:szCs w:val="22"/>
        </w:rPr>
      </w:pPr>
      <w:r w:rsidRPr="002B0CC5">
        <w:rPr>
          <w:b/>
          <w:bCs/>
          <w:sz w:val="22"/>
          <w:szCs w:val="22"/>
        </w:rPr>
        <w:t xml:space="preserve">There are four ACT Government accounting steps which have been developed to assist agencies with the calculation of their LSL and AL liabilities. These steps are as follows: </w:t>
      </w:r>
    </w:p>
    <w:p w14:paraId="545D1D78" w14:textId="69374B60" w:rsidR="00BA1D65" w:rsidRPr="002B0CC5" w:rsidRDefault="00BA1D65" w:rsidP="0017608F">
      <w:pPr>
        <w:pStyle w:val="ListParagraph"/>
        <w:numPr>
          <w:ilvl w:val="0"/>
          <w:numId w:val="9"/>
        </w:numPr>
        <w:tabs>
          <w:tab w:val="clear" w:pos="360"/>
          <w:tab w:val="num" w:pos="851"/>
        </w:tabs>
        <w:spacing w:after="120" w:line="276" w:lineRule="auto"/>
        <w:ind w:left="851"/>
        <w:contextualSpacing w:val="0"/>
        <w:jc w:val="both"/>
        <w:rPr>
          <w:b/>
          <w:bCs/>
          <w:sz w:val="22"/>
          <w:szCs w:val="22"/>
        </w:rPr>
      </w:pPr>
      <w:r w:rsidRPr="002B0CC5">
        <w:rPr>
          <w:b/>
          <w:bCs/>
          <w:sz w:val="22"/>
          <w:szCs w:val="22"/>
        </w:rPr>
        <w:t xml:space="preserve">LSL Probability Factor Step – This step is used to adjust the LSL liability for the probability of staff reaching their unconditional LSL entitlement, which is 7 years of </w:t>
      </w:r>
      <w:proofErr w:type="gramStart"/>
      <w:r w:rsidRPr="002B0CC5">
        <w:rPr>
          <w:b/>
          <w:bCs/>
          <w:sz w:val="22"/>
          <w:szCs w:val="22"/>
        </w:rPr>
        <w:t>service</w:t>
      </w:r>
      <w:r w:rsidR="002D7176" w:rsidRPr="002B0CC5">
        <w:rPr>
          <w:b/>
          <w:bCs/>
          <w:sz w:val="22"/>
          <w:szCs w:val="22"/>
        </w:rPr>
        <w:t>;</w:t>
      </w:r>
      <w:proofErr w:type="gramEnd"/>
      <w:r w:rsidRPr="002B0CC5">
        <w:rPr>
          <w:b/>
          <w:bCs/>
          <w:sz w:val="22"/>
          <w:szCs w:val="22"/>
        </w:rPr>
        <w:t xml:space="preserve">  </w:t>
      </w:r>
    </w:p>
    <w:p w14:paraId="13406D32" w14:textId="09539AF6" w:rsidR="00BA1D65" w:rsidRPr="002B0CC5" w:rsidRDefault="00BA1D65" w:rsidP="0017608F">
      <w:pPr>
        <w:pStyle w:val="ListParagraph"/>
        <w:numPr>
          <w:ilvl w:val="0"/>
          <w:numId w:val="9"/>
        </w:numPr>
        <w:tabs>
          <w:tab w:val="clear" w:pos="360"/>
          <w:tab w:val="num" w:pos="851"/>
        </w:tabs>
        <w:spacing w:after="120" w:line="276" w:lineRule="auto"/>
        <w:ind w:left="851"/>
        <w:contextualSpacing w:val="0"/>
        <w:jc w:val="both"/>
        <w:rPr>
          <w:b/>
          <w:bCs/>
          <w:sz w:val="22"/>
          <w:szCs w:val="22"/>
        </w:rPr>
      </w:pPr>
      <w:r w:rsidRPr="002B0CC5">
        <w:rPr>
          <w:b/>
          <w:bCs/>
          <w:sz w:val="22"/>
          <w:szCs w:val="22"/>
        </w:rPr>
        <w:t>AL/LSL On-Cost Step – This step is used to assist agencies in estimating the percentage of employees that take leave in-service (leave taken while employed), and therefore how much superannuation on-costs, LSL on-costs, AL on-costs, and any other material on-costs are included in the liability. This may also include all directly associated on-costs (</w:t>
      </w:r>
      <w:proofErr w:type="gramStart"/>
      <w:r w:rsidRPr="002B0CC5">
        <w:rPr>
          <w:b/>
          <w:bCs/>
          <w:sz w:val="22"/>
          <w:szCs w:val="22"/>
        </w:rPr>
        <w:t>e.g.</w:t>
      </w:r>
      <w:proofErr w:type="gramEnd"/>
      <w:r w:rsidRPr="002B0CC5">
        <w:rPr>
          <w:b/>
          <w:bCs/>
          <w:sz w:val="22"/>
          <w:szCs w:val="22"/>
        </w:rPr>
        <w:t xml:space="preserve"> employer superannuation contributions, payroll tax (where applicable) and workers’ compensation insurance) to be included where material</w:t>
      </w:r>
      <w:r w:rsidR="002D7176" w:rsidRPr="002B0CC5">
        <w:rPr>
          <w:b/>
          <w:bCs/>
          <w:sz w:val="22"/>
          <w:szCs w:val="22"/>
        </w:rPr>
        <w:t>;</w:t>
      </w:r>
    </w:p>
    <w:p w14:paraId="29A9E085" w14:textId="676C9739" w:rsidR="00BA1D65" w:rsidRPr="002B0CC5" w:rsidRDefault="00BA1D65" w:rsidP="002D7176">
      <w:pPr>
        <w:pStyle w:val="ListParagraph"/>
        <w:numPr>
          <w:ilvl w:val="0"/>
          <w:numId w:val="9"/>
        </w:numPr>
        <w:tabs>
          <w:tab w:val="clear" w:pos="360"/>
          <w:tab w:val="left" w:pos="426"/>
          <w:tab w:val="num" w:pos="851"/>
        </w:tabs>
        <w:spacing w:after="120" w:line="276" w:lineRule="auto"/>
        <w:ind w:left="851"/>
        <w:contextualSpacing w:val="0"/>
        <w:jc w:val="both"/>
        <w:rPr>
          <w:b/>
          <w:bCs/>
          <w:sz w:val="22"/>
          <w:szCs w:val="22"/>
        </w:rPr>
      </w:pPr>
      <w:r w:rsidRPr="002B0CC5">
        <w:rPr>
          <w:b/>
          <w:bCs/>
          <w:sz w:val="22"/>
          <w:szCs w:val="22"/>
        </w:rPr>
        <w:t>LSL Present Value Step – This step is used to estimate the present value of the LSL liability</w:t>
      </w:r>
      <w:r w:rsidR="002D7176" w:rsidRPr="002B0CC5">
        <w:rPr>
          <w:b/>
          <w:bCs/>
          <w:sz w:val="22"/>
          <w:szCs w:val="22"/>
        </w:rPr>
        <w:t>; and</w:t>
      </w:r>
    </w:p>
    <w:p w14:paraId="7517217C" w14:textId="4BF246F7" w:rsidR="00BA1D65" w:rsidRPr="002B0CC5" w:rsidRDefault="00BA1D65" w:rsidP="0017608F">
      <w:pPr>
        <w:pStyle w:val="ListParagraph"/>
        <w:numPr>
          <w:ilvl w:val="0"/>
          <w:numId w:val="9"/>
        </w:numPr>
        <w:tabs>
          <w:tab w:val="clear" w:pos="360"/>
          <w:tab w:val="left" w:pos="426"/>
          <w:tab w:val="num" w:pos="851"/>
        </w:tabs>
        <w:spacing w:after="120" w:line="276" w:lineRule="auto"/>
        <w:ind w:left="851"/>
        <w:contextualSpacing w:val="0"/>
        <w:jc w:val="both"/>
        <w:rPr>
          <w:b/>
          <w:bCs/>
          <w:sz w:val="22"/>
          <w:szCs w:val="22"/>
        </w:rPr>
      </w:pPr>
      <w:r w:rsidRPr="002B0CC5">
        <w:rPr>
          <w:b/>
          <w:bCs/>
          <w:sz w:val="22"/>
          <w:szCs w:val="22"/>
        </w:rPr>
        <w:t>AL Present Value Step – This step is used to estimate the present value of the Annual Leave Liabilities.</w:t>
      </w:r>
    </w:p>
    <w:p w14:paraId="4505CC16" w14:textId="7EF76132" w:rsidR="00BA1D65" w:rsidRPr="00CB1038" w:rsidRDefault="00BA1D65" w:rsidP="0017608F">
      <w:pPr>
        <w:spacing w:after="120" w:line="276" w:lineRule="auto"/>
      </w:pPr>
      <w:r w:rsidRPr="0017608F">
        <w:rPr>
          <w:sz w:val="22"/>
          <w:szCs w:val="22"/>
        </w:rPr>
        <w:t>The steps are further</w:t>
      </w:r>
      <w:r w:rsidRPr="00CB1038">
        <w:t xml:space="preserve"> outlined below.</w:t>
      </w:r>
    </w:p>
    <w:p w14:paraId="02BFB968" w14:textId="77777777" w:rsidR="00BA1D65" w:rsidRPr="00CB1038" w:rsidRDefault="00BA1D65" w:rsidP="0017608F">
      <w:pPr>
        <w:pStyle w:val="Heading3"/>
        <w:spacing w:before="360" w:line="276" w:lineRule="auto"/>
      </w:pPr>
      <w:bookmarkStart w:id="39" w:name="_Toc149104783"/>
      <w:bookmarkStart w:id="40" w:name="_Toc149104850"/>
      <w:bookmarkStart w:id="41" w:name="_Toc79159877"/>
      <w:bookmarkStart w:id="42" w:name="_Toc137036624"/>
      <w:r>
        <w:lastRenderedPageBreak/>
        <w:t xml:space="preserve">3.2.1 </w:t>
      </w:r>
      <w:bookmarkStart w:id="43" w:name="_Hlk14173316"/>
      <w:r w:rsidRPr="00D73E94">
        <w:t>LSL</w:t>
      </w:r>
      <w:r w:rsidRPr="00CB1038">
        <w:t xml:space="preserve"> Probability Factor </w:t>
      </w:r>
      <w:bookmarkEnd w:id="39"/>
      <w:bookmarkEnd w:id="40"/>
      <w:bookmarkEnd w:id="43"/>
      <w:r>
        <w:t>Step</w:t>
      </w:r>
      <w:bookmarkEnd w:id="41"/>
      <w:bookmarkEnd w:id="42"/>
    </w:p>
    <w:p w14:paraId="10388F92" w14:textId="49E51879" w:rsidR="00BA1D65" w:rsidRPr="0017608F" w:rsidRDefault="00BA1D65" w:rsidP="0017608F">
      <w:pPr>
        <w:spacing w:after="120" w:line="276" w:lineRule="auto"/>
        <w:jc w:val="both"/>
        <w:rPr>
          <w:sz w:val="22"/>
          <w:szCs w:val="22"/>
          <w:lang w:val="en-US"/>
        </w:rPr>
      </w:pPr>
      <w:r w:rsidRPr="002B0CC5">
        <w:rPr>
          <w:b/>
          <w:bCs/>
          <w:sz w:val="22"/>
          <w:szCs w:val="22"/>
          <w:lang w:val="en-US"/>
        </w:rPr>
        <w:t>Although not specifically required by AASB 119, probability factors should be used when calculating the LSL liability for employees</w:t>
      </w:r>
      <w:r w:rsidRPr="0017608F">
        <w:rPr>
          <w:sz w:val="22"/>
          <w:szCs w:val="22"/>
          <w:lang w:val="en-US"/>
        </w:rPr>
        <w:t>. This approach is a calculation step for the recognition of probable LSL liabilities to eventuate for employees with less than</w:t>
      </w:r>
      <w:r w:rsidR="00DC60D0" w:rsidRPr="0017608F">
        <w:rPr>
          <w:sz w:val="22"/>
          <w:szCs w:val="22"/>
          <w:lang w:val="en-US"/>
        </w:rPr>
        <w:t xml:space="preserve"> </w:t>
      </w:r>
      <w:r w:rsidRPr="0017608F">
        <w:rPr>
          <w:sz w:val="22"/>
          <w:szCs w:val="22"/>
          <w:lang w:val="en-US"/>
        </w:rPr>
        <w:t xml:space="preserve">7 years of service. </w:t>
      </w:r>
    </w:p>
    <w:p w14:paraId="709AD75B" w14:textId="6C970D7E" w:rsidR="004436A6" w:rsidRDefault="00BA1D65" w:rsidP="00B9632C">
      <w:pPr>
        <w:spacing w:after="120" w:line="276" w:lineRule="auto"/>
        <w:jc w:val="both"/>
        <w:rPr>
          <w:sz w:val="22"/>
          <w:szCs w:val="22"/>
        </w:rPr>
      </w:pPr>
      <w:r w:rsidRPr="00B81B0F">
        <w:rPr>
          <w:b/>
          <w:bCs/>
          <w:sz w:val="22"/>
          <w:szCs w:val="22"/>
          <w:lang w:val="en-US"/>
        </w:rPr>
        <w:t>Agencies are to apply the probability percentages in the following table</w:t>
      </w:r>
      <w:r w:rsidR="004436A6">
        <w:rPr>
          <w:b/>
          <w:bCs/>
          <w:sz w:val="22"/>
          <w:szCs w:val="22"/>
          <w:lang w:val="en-US"/>
        </w:rPr>
        <w:t>s</w:t>
      </w:r>
      <w:r w:rsidRPr="00B81B0F">
        <w:rPr>
          <w:b/>
          <w:bCs/>
          <w:sz w:val="22"/>
          <w:szCs w:val="22"/>
          <w:lang w:val="en-US"/>
        </w:rPr>
        <w:t xml:space="preserve"> to each employee’s LSL balance in accordance with their completed years of service</w:t>
      </w:r>
      <w:r w:rsidR="004436A6">
        <w:rPr>
          <w:b/>
          <w:bCs/>
          <w:sz w:val="22"/>
          <w:szCs w:val="22"/>
          <w:lang w:val="en-US"/>
        </w:rPr>
        <w:t>.</w:t>
      </w:r>
      <w:r w:rsidRPr="00B81B0F">
        <w:rPr>
          <w:b/>
          <w:bCs/>
          <w:sz w:val="22"/>
          <w:szCs w:val="22"/>
        </w:rPr>
        <w:t xml:space="preserve"> </w:t>
      </w:r>
    </w:p>
    <w:p w14:paraId="462E0C71" w14:textId="40E318AD" w:rsidR="00BA1D65" w:rsidRPr="00B81B0F" w:rsidRDefault="004436A6" w:rsidP="00B9632C">
      <w:pPr>
        <w:spacing w:after="120" w:line="276" w:lineRule="auto"/>
        <w:jc w:val="both"/>
        <w:rPr>
          <w:b/>
          <w:bCs/>
          <w:sz w:val="22"/>
          <w:szCs w:val="22"/>
        </w:rPr>
      </w:pPr>
      <w:r>
        <w:rPr>
          <w:sz w:val="22"/>
          <w:szCs w:val="22"/>
        </w:rPr>
        <w:t xml:space="preserve">The percentages </w:t>
      </w:r>
      <w:r w:rsidR="00A5339D" w:rsidRPr="00B81B0F">
        <w:rPr>
          <w:sz w:val="22"/>
          <w:szCs w:val="22"/>
        </w:rPr>
        <w:t xml:space="preserve">for </w:t>
      </w:r>
      <w:r w:rsidR="00A5339D" w:rsidRPr="00B81B0F">
        <w:rPr>
          <w:rFonts w:eastAsia="Times New Roman"/>
          <w:color w:val="000000"/>
        </w:rPr>
        <w:t xml:space="preserve">employees who are </w:t>
      </w:r>
      <w:r w:rsidR="00B01384" w:rsidRPr="00B81B0F">
        <w:rPr>
          <w:rFonts w:eastAsia="Times New Roman"/>
          <w:color w:val="000000"/>
        </w:rPr>
        <w:t>under</w:t>
      </w:r>
      <w:r w:rsidR="00A5339D" w:rsidRPr="00B81B0F">
        <w:rPr>
          <w:rFonts w:eastAsia="Times New Roman"/>
          <w:color w:val="000000"/>
        </w:rPr>
        <w:t xml:space="preserve"> 55 years old</w:t>
      </w:r>
      <w:r w:rsidR="00A5339D">
        <w:rPr>
          <w:sz w:val="22"/>
          <w:szCs w:val="22"/>
        </w:rPr>
        <w:t xml:space="preserve"> </w:t>
      </w:r>
      <w:r>
        <w:rPr>
          <w:sz w:val="22"/>
          <w:szCs w:val="22"/>
        </w:rPr>
        <w:t xml:space="preserve">are </w:t>
      </w:r>
      <w:r w:rsidR="00BA1D65" w:rsidRPr="004436A6">
        <w:rPr>
          <w:sz w:val="22"/>
          <w:szCs w:val="22"/>
        </w:rPr>
        <w:t xml:space="preserve">based on the </w:t>
      </w:r>
      <w:r w:rsidR="00A5339D">
        <w:rPr>
          <w:sz w:val="22"/>
          <w:szCs w:val="22"/>
        </w:rPr>
        <w:t>“</w:t>
      </w:r>
      <w:r w:rsidR="00BA1D65" w:rsidRPr="004436A6">
        <w:rPr>
          <w:sz w:val="22"/>
          <w:szCs w:val="22"/>
        </w:rPr>
        <w:t>AGA Shorthand Valuation Step for Long Service Leave Liabilities ACT Government Employees Report</w:t>
      </w:r>
      <w:r w:rsidR="00A5339D">
        <w:rPr>
          <w:sz w:val="22"/>
          <w:szCs w:val="22"/>
        </w:rPr>
        <w:t>”</w:t>
      </w:r>
      <w:r w:rsidR="00BA1D65" w:rsidRPr="004436A6">
        <w:rPr>
          <w:sz w:val="22"/>
          <w:szCs w:val="22"/>
        </w:rPr>
        <w:t xml:space="preserve"> dated </w:t>
      </w:r>
      <w:r w:rsidR="00063EBD" w:rsidRPr="004436A6">
        <w:rPr>
          <w:sz w:val="22"/>
          <w:szCs w:val="22"/>
        </w:rPr>
        <w:t>June</w:t>
      </w:r>
      <w:r w:rsidR="00377C3E" w:rsidRPr="004436A6">
        <w:rPr>
          <w:sz w:val="22"/>
          <w:szCs w:val="22"/>
        </w:rPr>
        <w:t xml:space="preserve"> 2022</w:t>
      </w:r>
      <w:r w:rsidR="00BA1D65" w:rsidRPr="00B81B0F">
        <w:rPr>
          <w:b/>
          <w:bCs/>
          <w:sz w:val="22"/>
          <w:szCs w:val="22"/>
        </w:rPr>
        <w:t>.</w:t>
      </w:r>
    </w:p>
    <w:p w14:paraId="0A7508B0" w14:textId="71D05221" w:rsidR="00E2117D" w:rsidRPr="00235286" w:rsidRDefault="00235286" w:rsidP="00C33E2C">
      <w:pPr>
        <w:spacing w:before="240" w:after="120" w:line="276" w:lineRule="auto"/>
        <w:jc w:val="both"/>
        <w:rPr>
          <w:sz w:val="22"/>
          <w:szCs w:val="22"/>
          <w:u w:val="single"/>
        </w:rPr>
      </w:pPr>
      <w:bookmarkStart w:id="44" w:name="_Hlk136446966"/>
      <w:r w:rsidRPr="00B81B0F">
        <w:rPr>
          <w:sz w:val="22"/>
          <w:szCs w:val="22"/>
        </w:rPr>
        <w:t xml:space="preserve">ACT Government Agencies that do </w:t>
      </w:r>
      <w:r w:rsidRPr="00B81B0F">
        <w:rPr>
          <w:sz w:val="22"/>
          <w:szCs w:val="22"/>
          <w:u w:val="single"/>
        </w:rPr>
        <w:t>not</w:t>
      </w:r>
      <w:r w:rsidRPr="00235286">
        <w:rPr>
          <w:sz w:val="22"/>
          <w:szCs w:val="22"/>
        </w:rPr>
        <w:t xml:space="preserve"> use Shared Services HR can choose to either use the probability factors in Table 1 for all employees regardless of age, or to apply Table 1 for employees under 55 years old and Table 2 for employees 55 years or older</w:t>
      </w:r>
      <w:bookmarkEnd w:id="44"/>
      <w:r w:rsidRPr="00235286">
        <w:rPr>
          <w:sz w:val="22"/>
          <w:szCs w:val="22"/>
        </w:rPr>
        <w:t xml:space="preserve">. </w:t>
      </w:r>
    </w:p>
    <w:p w14:paraId="1911D959" w14:textId="1A68C3B6" w:rsidR="00BC29DE" w:rsidRPr="004436A6" w:rsidRDefault="00A5339D" w:rsidP="00C33E2C">
      <w:pPr>
        <w:spacing w:before="240" w:after="120" w:line="276" w:lineRule="auto"/>
        <w:jc w:val="both"/>
        <w:rPr>
          <w:sz w:val="22"/>
          <w:szCs w:val="22"/>
          <w:u w:val="single"/>
        </w:rPr>
      </w:pPr>
      <w:r>
        <w:rPr>
          <w:sz w:val="22"/>
          <w:szCs w:val="22"/>
          <w:u w:val="single"/>
        </w:rPr>
        <w:t xml:space="preserve">Table 1: </w:t>
      </w:r>
      <w:r w:rsidR="00C156F4" w:rsidRPr="004436A6">
        <w:rPr>
          <w:sz w:val="22"/>
          <w:szCs w:val="22"/>
          <w:u w:val="single"/>
        </w:rPr>
        <w:t xml:space="preserve">Probability Table for </w:t>
      </w:r>
      <w:r w:rsidR="00C156F4" w:rsidRPr="004436A6">
        <w:rPr>
          <w:rFonts w:eastAsia="Times New Roman"/>
          <w:color w:val="000000"/>
          <w:u w:val="single"/>
        </w:rPr>
        <w:t xml:space="preserve">Employees who are </w:t>
      </w:r>
      <w:r w:rsidR="00B01384">
        <w:rPr>
          <w:rFonts w:eastAsia="Times New Roman"/>
          <w:color w:val="000000"/>
          <w:u w:val="single"/>
        </w:rPr>
        <w:t>Under</w:t>
      </w:r>
      <w:r w:rsidR="00C156F4" w:rsidRPr="004436A6">
        <w:rPr>
          <w:rFonts w:eastAsia="Times New Roman"/>
          <w:color w:val="000000"/>
          <w:u w:val="single"/>
        </w:rPr>
        <w:t xml:space="preserve"> 55</w:t>
      </w:r>
      <w:r w:rsidR="00B01384">
        <w:rPr>
          <w:rFonts w:eastAsia="Times New Roman"/>
          <w:color w:val="000000"/>
          <w:u w:val="single"/>
        </w:rPr>
        <w:t xml:space="preserve"> Y</w:t>
      </w:r>
      <w:r w:rsidR="00C156F4" w:rsidRPr="004436A6">
        <w:rPr>
          <w:rFonts w:eastAsia="Times New Roman"/>
          <w:color w:val="000000"/>
          <w:u w:val="single"/>
        </w:rPr>
        <w:t xml:space="preserve">ears </w:t>
      </w:r>
      <w:r w:rsidR="00B01384">
        <w:rPr>
          <w:rFonts w:eastAsia="Times New Roman"/>
          <w:color w:val="000000"/>
          <w:u w:val="single"/>
        </w:rPr>
        <w:t>O</w:t>
      </w:r>
      <w:r w:rsidR="00C156F4" w:rsidRPr="004436A6">
        <w:rPr>
          <w:rFonts w:eastAsia="Times New Roman"/>
          <w:color w:val="000000"/>
          <w:u w:val="single"/>
        </w:rPr>
        <w:t>ld</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4111"/>
      </w:tblGrid>
      <w:tr w:rsidR="00BA1D65" w:rsidRPr="00352002" w14:paraId="3A07DDD2" w14:textId="77777777" w:rsidTr="00B81B0F">
        <w:trPr>
          <w:trHeight w:val="418"/>
        </w:trPr>
        <w:tc>
          <w:tcPr>
            <w:tcW w:w="3114" w:type="dxa"/>
            <w:tcBorders>
              <w:bottom w:val="single" w:sz="4" w:space="0" w:color="auto"/>
            </w:tcBorders>
            <w:shd w:val="clear" w:color="auto" w:fill="AF9CDF" w:themeFill="background2" w:themeFillTint="66"/>
            <w:vAlign w:val="center"/>
          </w:tcPr>
          <w:p w14:paraId="6FA01A06" w14:textId="77777777" w:rsidR="00BA1D65" w:rsidRPr="00EB3B4B" w:rsidRDefault="00BA1D65" w:rsidP="00C33E2C">
            <w:pPr>
              <w:spacing w:before="80" w:after="80" w:line="276" w:lineRule="auto"/>
              <w:jc w:val="center"/>
              <w:rPr>
                <w:b/>
                <w:iCs/>
                <w:sz w:val="22"/>
                <w:szCs w:val="22"/>
              </w:rPr>
            </w:pPr>
            <w:r w:rsidRPr="00EB3B4B">
              <w:rPr>
                <w:b/>
                <w:iCs/>
                <w:sz w:val="22"/>
                <w:szCs w:val="22"/>
              </w:rPr>
              <w:t>Completed Years of Service</w:t>
            </w:r>
          </w:p>
        </w:tc>
        <w:tc>
          <w:tcPr>
            <w:tcW w:w="4111" w:type="dxa"/>
            <w:shd w:val="clear" w:color="auto" w:fill="AF9CDF" w:themeFill="background2" w:themeFillTint="66"/>
            <w:vAlign w:val="center"/>
          </w:tcPr>
          <w:p w14:paraId="6C134340" w14:textId="77777777" w:rsidR="00BA1D65" w:rsidRPr="00EB3B4B" w:rsidRDefault="00BA1D65" w:rsidP="00C33E2C">
            <w:pPr>
              <w:spacing w:before="80" w:after="80" w:line="276" w:lineRule="auto"/>
              <w:jc w:val="center"/>
              <w:rPr>
                <w:b/>
                <w:iCs/>
                <w:sz w:val="22"/>
                <w:szCs w:val="22"/>
              </w:rPr>
            </w:pPr>
            <w:r w:rsidRPr="00EB3B4B">
              <w:rPr>
                <w:b/>
                <w:iCs/>
                <w:sz w:val="22"/>
                <w:szCs w:val="22"/>
              </w:rPr>
              <w:t>Recommended ACT LSL Probability Factors</w:t>
            </w:r>
          </w:p>
        </w:tc>
      </w:tr>
      <w:tr w:rsidR="00377C3E" w:rsidRPr="00352002" w14:paraId="365460BE" w14:textId="77777777" w:rsidTr="0017608F">
        <w:tc>
          <w:tcPr>
            <w:tcW w:w="3114" w:type="dxa"/>
            <w:shd w:val="clear" w:color="auto" w:fill="FFFFFF" w:themeFill="background1"/>
            <w:vAlign w:val="center"/>
          </w:tcPr>
          <w:p w14:paraId="5AD58699" w14:textId="77777777" w:rsidR="00377C3E" w:rsidRPr="0017608F" w:rsidRDefault="00377C3E" w:rsidP="00C33E2C">
            <w:pPr>
              <w:spacing w:before="80" w:after="80" w:line="276" w:lineRule="auto"/>
              <w:jc w:val="center"/>
              <w:rPr>
                <w:iCs/>
                <w:sz w:val="22"/>
                <w:szCs w:val="22"/>
              </w:rPr>
            </w:pPr>
            <w:r w:rsidRPr="0017608F">
              <w:rPr>
                <w:iCs/>
                <w:sz w:val="22"/>
                <w:szCs w:val="22"/>
              </w:rPr>
              <w:t>0</w:t>
            </w:r>
          </w:p>
        </w:tc>
        <w:tc>
          <w:tcPr>
            <w:tcW w:w="4111" w:type="dxa"/>
            <w:shd w:val="clear" w:color="auto" w:fill="FFFFFF" w:themeFill="background1"/>
            <w:vAlign w:val="center"/>
          </w:tcPr>
          <w:p w14:paraId="4C997618" w14:textId="4FFF795A" w:rsidR="00377C3E" w:rsidRPr="0017608F" w:rsidRDefault="00377C3E" w:rsidP="00C33E2C">
            <w:pPr>
              <w:spacing w:before="80" w:after="80" w:line="276" w:lineRule="auto"/>
              <w:jc w:val="center"/>
              <w:rPr>
                <w:sz w:val="22"/>
                <w:szCs w:val="22"/>
              </w:rPr>
            </w:pPr>
            <w:r w:rsidRPr="0017608F">
              <w:rPr>
                <w:rFonts w:cs="Arial"/>
                <w:bCs/>
                <w:sz w:val="22"/>
                <w:szCs w:val="22"/>
              </w:rPr>
              <w:t>0.56</w:t>
            </w:r>
          </w:p>
        </w:tc>
      </w:tr>
      <w:tr w:rsidR="00377C3E" w:rsidRPr="00352002" w14:paraId="27033231" w14:textId="77777777" w:rsidTr="0017608F">
        <w:tc>
          <w:tcPr>
            <w:tcW w:w="3114" w:type="dxa"/>
            <w:shd w:val="clear" w:color="auto" w:fill="FFFFFF" w:themeFill="background1"/>
            <w:vAlign w:val="center"/>
          </w:tcPr>
          <w:p w14:paraId="5E1033AF" w14:textId="77777777" w:rsidR="00377C3E" w:rsidRPr="0017608F" w:rsidRDefault="00377C3E" w:rsidP="00C33E2C">
            <w:pPr>
              <w:spacing w:before="80" w:after="80" w:line="276" w:lineRule="auto"/>
              <w:jc w:val="center"/>
              <w:rPr>
                <w:iCs/>
                <w:sz w:val="22"/>
                <w:szCs w:val="22"/>
              </w:rPr>
            </w:pPr>
            <w:r w:rsidRPr="0017608F">
              <w:rPr>
                <w:iCs/>
                <w:sz w:val="22"/>
                <w:szCs w:val="22"/>
              </w:rPr>
              <w:t>1</w:t>
            </w:r>
          </w:p>
        </w:tc>
        <w:tc>
          <w:tcPr>
            <w:tcW w:w="4111" w:type="dxa"/>
            <w:shd w:val="clear" w:color="auto" w:fill="FFFFFF" w:themeFill="background1"/>
            <w:vAlign w:val="center"/>
          </w:tcPr>
          <w:p w14:paraId="2E9BB889" w14:textId="16DF4C37" w:rsidR="00377C3E" w:rsidRPr="0017608F" w:rsidRDefault="00377C3E" w:rsidP="00C33E2C">
            <w:pPr>
              <w:spacing w:before="80" w:after="80" w:line="276" w:lineRule="auto"/>
              <w:jc w:val="center"/>
              <w:rPr>
                <w:sz w:val="22"/>
                <w:szCs w:val="22"/>
                <w:lang w:val="en-US"/>
              </w:rPr>
            </w:pPr>
            <w:r w:rsidRPr="0017608F">
              <w:rPr>
                <w:rFonts w:cs="Arial"/>
                <w:bCs/>
                <w:sz w:val="22"/>
                <w:szCs w:val="22"/>
              </w:rPr>
              <w:t>0.63</w:t>
            </w:r>
          </w:p>
        </w:tc>
      </w:tr>
      <w:tr w:rsidR="00377C3E" w:rsidRPr="00352002" w14:paraId="23503793" w14:textId="77777777" w:rsidTr="0017608F">
        <w:tc>
          <w:tcPr>
            <w:tcW w:w="3114" w:type="dxa"/>
            <w:shd w:val="clear" w:color="auto" w:fill="FFFFFF" w:themeFill="background1"/>
            <w:vAlign w:val="center"/>
          </w:tcPr>
          <w:p w14:paraId="40A95426" w14:textId="77777777" w:rsidR="00377C3E" w:rsidRPr="0017608F" w:rsidRDefault="00377C3E" w:rsidP="00C33E2C">
            <w:pPr>
              <w:spacing w:before="80" w:after="80" w:line="276" w:lineRule="auto"/>
              <w:jc w:val="center"/>
              <w:rPr>
                <w:iCs/>
                <w:sz w:val="22"/>
                <w:szCs w:val="22"/>
              </w:rPr>
            </w:pPr>
            <w:r w:rsidRPr="0017608F">
              <w:rPr>
                <w:iCs/>
                <w:sz w:val="22"/>
                <w:szCs w:val="22"/>
              </w:rPr>
              <w:t>2</w:t>
            </w:r>
          </w:p>
        </w:tc>
        <w:tc>
          <w:tcPr>
            <w:tcW w:w="4111" w:type="dxa"/>
            <w:shd w:val="clear" w:color="auto" w:fill="FFFFFF" w:themeFill="background1"/>
            <w:vAlign w:val="center"/>
          </w:tcPr>
          <w:p w14:paraId="3B0E012F" w14:textId="0F7B85AB" w:rsidR="00377C3E" w:rsidRPr="0017608F" w:rsidRDefault="00377C3E" w:rsidP="00C33E2C">
            <w:pPr>
              <w:spacing w:before="80" w:after="80" w:line="276" w:lineRule="auto"/>
              <w:jc w:val="center"/>
              <w:rPr>
                <w:sz w:val="22"/>
                <w:szCs w:val="22"/>
                <w:lang w:val="en-US"/>
              </w:rPr>
            </w:pPr>
            <w:r w:rsidRPr="0017608F">
              <w:rPr>
                <w:rFonts w:cs="Arial"/>
                <w:bCs/>
                <w:sz w:val="22"/>
                <w:szCs w:val="22"/>
              </w:rPr>
              <w:t>0.70</w:t>
            </w:r>
          </w:p>
        </w:tc>
      </w:tr>
      <w:tr w:rsidR="00377C3E" w:rsidRPr="00352002" w14:paraId="3EF81930" w14:textId="77777777" w:rsidTr="0017608F">
        <w:tc>
          <w:tcPr>
            <w:tcW w:w="3114" w:type="dxa"/>
            <w:shd w:val="clear" w:color="auto" w:fill="FFFFFF" w:themeFill="background1"/>
            <w:vAlign w:val="center"/>
          </w:tcPr>
          <w:p w14:paraId="5770D187" w14:textId="77777777" w:rsidR="00377C3E" w:rsidRPr="0017608F" w:rsidRDefault="00377C3E" w:rsidP="00C33E2C">
            <w:pPr>
              <w:spacing w:before="80" w:after="80" w:line="276" w:lineRule="auto"/>
              <w:jc w:val="center"/>
              <w:rPr>
                <w:iCs/>
                <w:sz w:val="22"/>
                <w:szCs w:val="22"/>
              </w:rPr>
            </w:pPr>
            <w:r w:rsidRPr="0017608F">
              <w:rPr>
                <w:iCs/>
                <w:sz w:val="22"/>
                <w:szCs w:val="22"/>
              </w:rPr>
              <w:t>3</w:t>
            </w:r>
          </w:p>
        </w:tc>
        <w:tc>
          <w:tcPr>
            <w:tcW w:w="4111" w:type="dxa"/>
            <w:shd w:val="clear" w:color="auto" w:fill="FFFFFF" w:themeFill="background1"/>
            <w:vAlign w:val="center"/>
          </w:tcPr>
          <w:p w14:paraId="1E22FAB1" w14:textId="10C3A0A1" w:rsidR="00377C3E" w:rsidRPr="0017608F" w:rsidRDefault="00377C3E" w:rsidP="00C33E2C">
            <w:pPr>
              <w:spacing w:before="80" w:after="80" w:line="276" w:lineRule="auto"/>
              <w:jc w:val="center"/>
              <w:rPr>
                <w:sz w:val="22"/>
                <w:szCs w:val="22"/>
                <w:lang w:val="en-US"/>
              </w:rPr>
            </w:pPr>
            <w:r w:rsidRPr="0017608F">
              <w:rPr>
                <w:rFonts w:cs="Arial"/>
                <w:bCs/>
                <w:sz w:val="22"/>
                <w:szCs w:val="22"/>
              </w:rPr>
              <w:t>0.76</w:t>
            </w:r>
          </w:p>
        </w:tc>
      </w:tr>
      <w:tr w:rsidR="00377C3E" w:rsidRPr="00352002" w14:paraId="319A02C9" w14:textId="77777777" w:rsidTr="0017608F">
        <w:tc>
          <w:tcPr>
            <w:tcW w:w="3114" w:type="dxa"/>
            <w:tcBorders>
              <w:bottom w:val="single" w:sz="4" w:space="0" w:color="auto"/>
            </w:tcBorders>
            <w:shd w:val="clear" w:color="auto" w:fill="FFFFFF" w:themeFill="background1"/>
            <w:vAlign w:val="center"/>
          </w:tcPr>
          <w:p w14:paraId="4EEB2BD1" w14:textId="77777777" w:rsidR="00377C3E" w:rsidRPr="0017608F" w:rsidRDefault="00377C3E" w:rsidP="00C33E2C">
            <w:pPr>
              <w:spacing w:before="80" w:after="80" w:line="276" w:lineRule="auto"/>
              <w:jc w:val="center"/>
              <w:rPr>
                <w:iCs/>
                <w:sz w:val="22"/>
                <w:szCs w:val="22"/>
              </w:rPr>
            </w:pPr>
            <w:r w:rsidRPr="0017608F">
              <w:rPr>
                <w:iCs/>
                <w:sz w:val="22"/>
                <w:szCs w:val="22"/>
              </w:rPr>
              <w:t>4</w:t>
            </w:r>
          </w:p>
        </w:tc>
        <w:tc>
          <w:tcPr>
            <w:tcW w:w="4111" w:type="dxa"/>
            <w:shd w:val="clear" w:color="auto" w:fill="FFFFFF" w:themeFill="background1"/>
            <w:vAlign w:val="center"/>
          </w:tcPr>
          <w:p w14:paraId="2EFCC18D" w14:textId="3BF5FA1C" w:rsidR="00377C3E" w:rsidRPr="0017608F" w:rsidRDefault="00377C3E" w:rsidP="00C33E2C">
            <w:pPr>
              <w:spacing w:before="80" w:after="80" w:line="276" w:lineRule="auto"/>
              <w:jc w:val="center"/>
              <w:rPr>
                <w:sz w:val="22"/>
                <w:szCs w:val="22"/>
                <w:lang w:val="en-US"/>
              </w:rPr>
            </w:pPr>
            <w:r w:rsidRPr="0017608F">
              <w:rPr>
                <w:rFonts w:cs="Arial"/>
                <w:bCs/>
                <w:sz w:val="22"/>
                <w:szCs w:val="22"/>
              </w:rPr>
              <w:t>0.83</w:t>
            </w:r>
          </w:p>
        </w:tc>
      </w:tr>
      <w:tr w:rsidR="00377C3E" w:rsidRPr="00352002" w14:paraId="1D833A68" w14:textId="77777777" w:rsidTr="0017608F">
        <w:tc>
          <w:tcPr>
            <w:tcW w:w="3114" w:type="dxa"/>
            <w:shd w:val="clear" w:color="auto" w:fill="FFFFFF" w:themeFill="background1"/>
            <w:vAlign w:val="center"/>
          </w:tcPr>
          <w:p w14:paraId="7C699436" w14:textId="77777777" w:rsidR="00377C3E" w:rsidRPr="0017608F" w:rsidRDefault="00377C3E" w:rsidP="00C33E2C">
            <w:pPr>
              <w:spacing w:before="80" w:after="80" w:line="276" w:lineRule="auto"/>
              <w:jc w:val="center"/>
              <w:rPr>
                <w:iCs/>
                <w:sz w:val="22"/>
                <w:szCs w:val="22"/>
              </w:rPr>
            </w:pPr>
            <w:r w:rsidRPr="0017608F">
              <w:rPr>
                <w:iCs/>
                <w:sz w:val="22"/>
                <w:szCs w:val="22"/>
              </w:rPr>
              <w:t>5</w:t>
            </w:r>
          </w:p>
        </w:tc>
        <w:tc>
          <w:tcPr>
            <w:tcW w:w="4111" w:type="dxa"/>
            <w:shd w:val="clear" w:color="auto" w:fill="FFFFFF" w:themeFill="background1"/>
            <w:vAlign w:val="center"/>
          </w:tcPr>
          <w:p w14:paraId="7967C87C" w14:textId="6688D1CC" w:rsidR="00377C3E" w:rsidRPr="0017608F" w:rsidRDefault="00377C3E" w:rsidP="00C33E2C">
            <w:pPr>
              <w:spacing w:before="80" w:after="80" w:line="276" w:lineRule="auto"/>
              <w:jc w:val="center"/>
              <w:rPr>
                <w:sz w:val="22"/>
                <w:szCs w:val="22"/>
                <w:lang w:val="en-US"/>
              </w:rPr>
            </w:pPr>
            <w:r w:rsidRPr="0017608F">
              <w:rPr>
                <w:rFonts w:cs="Arial"/>
                <w:bCs/>
                <w:sz w:val="22"/>
                <w:szCs w:val="22"/>
              </w:rPr>
              <w:t>0.89</w:t>
            </w:r>
          </w:p>
        </w:tc>
      </w:tr>
      <w:tr w:rsidR="00377C3E" w:rsidRPr="00352002" w14:paraId="5E49F009" w14:textId="77777777" w:rsidTr="0017608F">
        <w:tc>
          <w:tcPr>
            <w:tcW w:w="3114" w:type="dxa"/>
            <w:shd w:val="clear" w:color="auto" w:fill="FFFFFF" w:themeFill="background1"/>
            <w:vAlign w:val="center"/>
          </w:tcPr>
          <w:p w14:paraId="4E6456E9" w14:textId="77777777" w:rsidR="00377C3E" w:rsidRPr="0017608F" w:rsidRDefault="00377C3E" w:rsidP="00C33E2C">
            <w:pPr>
              <w:spacing w:before="80" w:after="80" w:line="276" w:lineRule="auto"/>
              <w:jc w:val="center"/>
              <w:rPr>
                <w:iCs/>
                <w:sz w:val="22"/>
                <w:szCs w:val="22"/>
              </w:rPr>
            </w:pPr>
            <w:r w:rsidRPr="0017608F">
              <w:rPr>
                <w:iCs/>
                <w:sz w:val="22"/>
                <w:szCs w:val="22"/>
              </w:rPr>
              <w:t>6</w:t>
            </w:r>
          </w:p>
        </w:tc>
        <w:tc>
          <w:tcPr>
            <w:tcW w:w="4111" w:type="dxa"/>
            <w:shd w:val="clear" w:color="auto" w:fill="FFFFFF" w:themeFill="background1"/>
            <w:vAlign w:val="center"/>
          </w:tcPr>
          <w:p w14:paraId="7A670C25" w14:textId="29E55FD8" w:rsidR="00377C3E" w:rsidRPr="0017608F" w:rsidRDefault="00377C3E" w:rsidP="00C33E2C">
            <w:pPr>
              <w:spacing w:before="80" w:after="80" w:line="276" w:lineRule="auto"/>
              <w:jc w:val="center"/>
              <w:rPr>
                <w:sz w:val="22"/>
                <w:szCs w:val="22"/>
                <w:lang w:val="en-US"/>
              </w:rPr>
            </w:pPr>
            <w:r w:rsidRPr="0017608F">
              <w:rPr>
                <w:rFonts w:cs="Arial"/>
                <w:bCs/>
                <w:sz w:val="22"/>
                <w:szCs w:val="22"/>
              </w:rPr>
              <w:t>0.95</w:t>
            </w:r>
          </w:p>
        </w:tc>
      </w:tr>
      <w:tr w:rsidR="00377C3E" w:rsidRPr="00CB1038" w14:paraId="73402A6C" w14:textId="77777777" w:rsidTr="0017608F">
        <w:tc>
          <w:tcPr>
            <w:tcW w:w="3114" w:type="dxa"/>
            <w:shd w:val="clear" w:color="auto" w:fill="FFFFFF" w:themeFill="background1"/>
            <w:vAlign w:val="center"/>
          </w:tcPr>
          <w:p w14:paraId="558A6834" w14:textId="77777777" w:rsidR="00377C3E" w:rsidRPr="0017608F" w:rsidRDefault="00377C3E" w:rsidP="00C33E2C">
            <w:pPr>
              <w:spacing w:before="80" w:after="80" w:line="276" w:lineRule="auto"/>
              <w:jc w:val="center"/>
              <w:rPr>
                <w:iCs/>
                <w:sz w:val="22"/>
                <w:szCs w:val="22"/>
              </w:rPr>
            </w:pPr>
            <w:r w:rsidRPr="0017608F">
              <w:rPr>
                <w:iCs/>
                <w:sz w:val="22"/>
                <w:szCs w:val="22"/>
              </w:rPr>
              <w:t>7+</w:t>
            </w:r>
          </w:p>
        </w:tc>
        <w:tc>
          <w:tcPr>
            <w:tcW w:w="4111" w:type="dxa"/>
            <w:shd w:val="clear" w:color="auto" w:fill="FFFFFF" w:themeFill="background1"/>
            <w:vAlign w:val="center"/>
          </w:tcPr>
          <w:p w14:paraId="39CC720D" w14:textId="5F9AA80D" w:rsidR="00377C3E" w:rsidRPr="0017608F" w:rsidRDefault="00377C3E" w:rsidP="00C33E2C">
            <w:pPr>
              <w:spacing w:before="80" w:after="80" w:line="276" w:lineRule="auto"/>
              <w:jc w:val="center"/>
              <w:rPr>
                <w:sz w:val="22"/>
                <w:szCs w:val="22"/>
                <w:lang w:val="en-US"/>
              </w:rPr>
            </w:pPr>
            <w:r w:rsidRPr="0017608F">
              <w:rPr>
                <w:rFonts w:cs="Arial"/>
                <w:bCs/>
                <w:sz w:val="22"/>
                <w:szCs w:val="22"/>
              </w:rPr>
              <w:t>1.00</w:t>
            </w:r>
          </w:p>
        </w:tc>
      </w:tr>
    </w:tbl>
    <w:p w14:paraId="71F39860" w14:textId="77777777" w:rsidR="000441D2" w:rsidRDefault="000441D2" w:rsidP="00B9632C">
      <w:pPr>
        <w:spacing w:after="0" w:line="276" w:lineRule="auto"/>
        <w:jc w:val="both"/>
      </w:pPr>
    </w:p>
    <w:p w14:paraId="3D431399" w14:textId="77777777" w:rsidR="000441D2" w:rsidRDefault="000441D2" w:rsidP="00B9632C">
      <w:pPr>
        <w:spacing w:after="0" w:line="276" w:lineRule="auto"/>
        <w:jc w:val="both"/>
      </w:pPr>
    </w:p>
    <w:p w14:paraId="1185605A" w14:textId="77777777" w:rsidR="000441D2" w:rsidRDefault="000441D2" w:rsidP="00B9632C">
      <w:pPr>
        <w:spacing w:after="0" w:line="276" w:lineRule="auto"/>
        <w:jc w:val="both"/>
      </w:pPr>
    </w:p>
    <w:p w14:paraId="2F5524E9" w14:textId="77777777" w:rsidR="000441D2" w:rsidRDefault="000441D2" w:rsidP="00B9632C">
      <w:pPr>
        <w:spacing w:after="0" w:line="276" w:lineRule="auto"/>
        <w:jc w:val="both"/>
      </w:pPr>
    </w:p>
    <w:p w14:paraId="702AAAD1" w14:textId="77777777" w:rsidR="000441D2" w:rsidRDefault="000441D2" w:rsidP="00B9632C">
      <w:pPr>
        <w:spacing w:after="0" w:line="276" w:lineRule="auto"/>
        <w:jc w:val="both"/>
      </w:pPr>
    </w:p>
    <w:p w14:paraId="732B60D2" w14:textId="77777777" w:rsidR="000441D2" w:rsidRDefault="000441D2" w:rsidP="00B9632C">
      <w:pPr>
        <w:spacing w:after="0" w:line="276" w:lineRule="auto"/>
        <w:jc w:val="both"/>
      </w:pPr>
    </w:p>
    <w:p w14:paraId="27140ACD" w14:textId="77777777" w:rsidR="000441D2" w:rsidRDefault="000441D2" w:rsidP="00B9632C">
      <w:pPr>
        <w:spacing w:after="0" w:line="276" w:lineRule="auto"/>
        <w:jc w:val="both"/>
      </w:pPr>
    </w:p>
    <w:p w14:paraId="5E8EF713" w14:textId="77777777" w:rsidR="000441D2" w:rsidRDefault="000441D2" w:rsidP="00B9632C">
      <w:pPr>
        <w:spacing w:after="0" w:line="276" w:lineRule="auto"/>
        <w:jc w:val="both"/>
      </w:pPr>
    </w:p>
    <w:p w14:paraId="58E3B82F" w14:textId="77777777" w:rsidR="000441D2" w:rsidRDefault="000441D2" w:rsidP="00B9632C">
      <w:pPr>
        <w:spacing w:after="0" w:line="276" w:lineRule="auto"/>
        <w:jc w:val="both"/>
      </w:pPr>
    </w:p>
    <w:p w14:paraId="195AB25C" w14:textId="77777777" w:rsidR="000441D2" w:rsidRDefault="000441D2" w:rsidP="00B9632C">
      <w:pPr>
        <w:spacing w:after="0" w:line="276" w:lineRule="auto"/>
        <w:jc w:val="both"/>
      </w:pPr>
    </w:p>
    <w:p w14:paraId="3A5DE71C" w14:textId="5DF74870" w:rsidR="000441D2" w:rsidRDefault="000441D2" w:rsidP="00B9632C">
      <w:pPr>
        <w:spacing w:after="0" w:line="276" w:lineRule="auto"/>
        <w:jc w:val="both"/>
      </w:pPr>
    </w:p>
    <w:p w14:paraId="562B55B0" w14:textId="77777777" w:rsidR="00E2117D" w:rsidRDefault="00E2117D" w:rsidP="00BE0D03">
      <w:pPr>
        <w:spacing w:after="120" w:line="276" w:lineRule="auto"/>
        <w:jc w:val="both"/>
        <w:rPr>
          <w:sz w:val="22"/>
          <w:szCs w:val="22"/>
        </w:rPr>
      </w:pPr>
    </w:p>
    <w:p w14:paraId="18FFFBDB" w14:textId="77777777" w:rsidR="00E2117D" w:rsidRDefault="00E2117D" w:rsidP="00BE0D03">
      <w:pPr>
        <w:spacing w:after="120" w:line="276" w:lineRule="auto"/>
        <w:jc w:val="both"/>
        <w:rPr>
          <w:sz w:val="22"/>
          <w:szCs w:val="22"/>
        </w:rPr>
      </w:pPr>
    </w:p>
    <w:p w14:paraId="3DB107B0" w14:textId="77777777" w:rsidR="00E2117D" w:rsidRDefault="00E2117D" w:rsidP="00BE0D03">
      <w:pPr>
        <w:spacing w:after="120" w:line="276" w:lineRule="auto"/>
        <w:jc w:val="both"/>
        <w:rPr>
          <w:sz w:val="22"/>
          <w:szCs w:val="22"/>
        </w:rPr>
      </w:pPr>
    </w:p>
    <w:p w14:paraId="66FA0671" w14:textId="57FA703F" w:rsidR="00BE0D03" w:rsidRPr="0017608F" w:rsidRDefault="00BE0D03" w:rsidP="00BE0D03">
      <w:pPr>
        <w:spacing w:after="120" w:line="276" w:lineRule="auto"/>
        <w:jc w:val="both"/>
        <w:rPr>
          <w:sz w:val="22"/>
          <w:szCs w:val="22"/>
        </w:rPr>
      </w:pPr>
      <w:r w:rsidRPr="0017608F">
        <w:rPr>
          <w:sz w:val="22"/>
          <w:szCs w:val="22"/>
        </w:rPr>
        <w:t>The actuarial advice has confirmed:</w:t>
      </w:r>
    </w:p>
    <w:p w14:paraId="20D6025B" w14:textId="77777777" w:rsidR="00BE0D03" w:rsidRPr="00B81B0F" w:rsidRDefault="00BE0D03" w:rsidP="00BE0D03">
      <w:pPr>
        <w:pStyle w:val="ListParagraph"/>
        <w:numPr>
          <w:ilvl w:val="0"/>
          <w:numId w:val="26"/>
        </w:numPr>
        <w:spacing w:after="0" w:line="276" w:lineRule="auto"/>
        <w:ind w:left="850" w:hanging="357"/>
        <w:contextualSpacing w:val="0"/>
        <w:jc w:val="both"/>
        <w:rPr>
          <w:bCs/>
          <w:i/>
          <w:iCs/>
          <w:sz w:val="22"/>
          <w:szCs w:val="22"/>
        </w:rPr>
      </w:pPr>
      <w:r w:rsidRPr="00B81B0F">
        <w:rPr>
          <w:bCs/>
          <w:i/>
          <w:iCs/>
          <w:sz w:val="22"/>
          <w:szCs w:val="22"/>
        </w:rPr>
        <w:t>One Size Fits All approach</w:t>
      </w:r>
    </w:p>
    <w:p w14:paraId="4D2526B6" w14:textId="77777777" w:rsidR="00BE0D03" w:rsidRDefault="00BE0D03" w:rsidP="00BE0D03">
      <w:pPr>
        <w:pStyle w:val="Normal1"/>
        <w:spacing w:after="120" w:line="276" w:lineRule="auto"/>
        <w:ind w:left="851"/>
        <w:jc w:val="both"/>
      </w:pPr>
      <w:r w:rsidRPr="00B9632C">
        <w:t xml:space="preserve">Using Agency specific probability factors for large agencies do not yield results materially different from the factors in the above table (typically difference is within 0.6%).  Therefore, a one size fits all approach as a standardised approach remains appropriate. </w:t>
      </w:r>
    </w:p>
    <w:p w14:paraId="72A2DD1B" w14:textId="714A6A31" w:rsidR="00BC29DE" w:rsidRPr="004436A6" w:rsidRDefault="00A5339D" w:rsidP="00C33E2C">
      <w:pPr>
        <w:spacing w:before="240" w:after="120" w:line="276" w:lineRule="auto"/>
        <w:jc w:val="both"/>
        <w:rPr>
          <w:sz w:val="22"/>
          <w:szCs w:val="22"/>
          <w:u w:val="single"/>
        </w:rPr>
      </w:pPr>
      <w:r>
        <w:rPr>
          <w:sz w:val="22"/>
          <w:szCs w:val="22"/>
          <w:u w:val="single"/>
        </w:rPr>
        <w:t xml:space="preserve">Table 2: </w:t>
      </w:r>
      <w:r w:rsidR="00C156F4" w:rsidRPr="004436A6">
        <w:rPr>
          <w:sz w:val="22"/>
          <w:szCs w:val="22"/>
          <w:u w:val="single"/>
        </w:rPr>
        <w:t xml:space="preserve">Probability Table for Employees who are 55 </w:t>
      </w:r>
      <w:r w:rsidR="00B01384">
        <w:rPr>
          <w:sz w:val="22"/>
          <w:szCs w:val="22"/>
          <w:u w:val="single"/>
        </w:rPr>
        <w:t>Y</w:t>
      </w:r>
      <w:r w:rsidR="00C156F4" w:rsidRPr="004436A6">
        <w:rPr>
          <w:sz w:val="22"/>
          <w:szCs w:val="22"/>
          <w:u w:val="single"/>
        </w:rPr>
        <w:t xml:space="preserve">ears or </w:t>
      </w:r>
      <w:r w:rsidR="00B01384">
        <w:rPr>
          <w:sz w:val="22"/>
          <w:szCs w:val="22"/>
          <w:u w:val="single"/>
        </w:rPr>
        <w:t>O</w:t>
      </w:r>
      <w:r w:rsidR="00C156F4" w:rsidRPr="004436A6">
        <w:rPr>
          <w:sz w:val="22"/>
          <w:szCs w:val="22"/>
          <w:u w:val="single"/>
        </w:rPr>
        <w:t>lder</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4111"/>
      </w:tblGrid>
      <w:tr w:rsidR="00C156F4" w:rsidRPr="00352002" w14:paraId="7904B634" w14:textId="77777777" w:rsidTr="00B81B0F">
        <w:trPr>
          <w:trHeight w:val="418"/>
        </w:trPr>
        <w:tc>
          <w:tcPr>
            <w:tcW w:w="3114" w:type="dxa"/>
            <w:tcBorders>
              <w:bottom w:val="single" w:sz="4" w:space="0" w:color="auto"/>
            </w:tcBorders>
            <w:shd w:val="clear" w:color="auto" w:fill="AF9CDF" w:themeFill="background2" w:themeFillTint="66"/>
            <w:vAlign w:val="center"/>
          </w:tcPr>
          <w:p w14:paraId="403930E6" w14:textId="77777777" w:rsidR="00C156F4" w:rsidRPr="00EB3B4B" w:rsidRDefault="00C156F4" w:rsidP="00565AC1">
            <w:pPr>
              <w:spacing w:before="80" w:after="80" w:line="276" w:lineRule="auto"/>
              <w:jc w:val="center"/>
              <w:rPr>
                <w:b/>
                <w:iCs/>
                <w:sz w:val="22"/>
                <w:szCs w:val="22"/>
              </w:rPr>
            </w:pPr>
            <w:r w:rsidRPr="00EB3B4B">
              <w:rPr>
                <w:b/>
                <w:iCs/>
                <w:sz w:val="22"/>
                <w:szCs w:val="22"/>
              </w:rPr>
              <w:t>Completed Years of Service</w:t>
            </w:r>
          </w:p>
        </w:tc>
        <w:tc>
          <w:tcPr>
            <w:tcW w:w="4111" w:type="dxa"/>
            <w:shd w:val="clear" w:color="auto" w:fill="AF9CDF" w:themeFill="background2" w:themeFillTint="66"/>
            <w:vAlign w:val="center"/>
          </w:tcPr>
          <w:p w14:paraId="6D15D120" w14:textId="77777777" w:rsidR="00C156F4" w:rsidRPr="00EB3B4B" w:rsidRDefault="00C156F4" w:rsidP="00565AC1">
            <w:pPr>
              <w:spacing w:before="80" w:after="80" w:line="276" w:lineRule="auto"/>
              <w:jc w:val="center"/>
              <w:rPr>
                <w:b/>
                <w:iCs/>
                <w:sz w:val="22"/>
                <w:szCs w:val="22"/>
              </w:rPr>
            </w:pPr>
            <w:r w:rsidRPr="00EB3B4B">
              <w:rPr>
                <w:b/>
                <w:iCs/>
                <w:sz w:val="22"/>
                <w:szCs w:val="22"/>
              </w:rPr>
              <w:t>Recommended ACT LSL Probability Factors</w:t>
            </w:r>
          </w:p>
        </w:tc>
      </w:tr>
      <w:tr w:rsidR="00C156F4" w:rsidRPr="00352002" w14:paraId="36FA6084" w14:textId="77777777" w:rsidTr="00565AC1">
        <w:tc>
          <w:tcPr>
            <w:tcW w:w="3114" w:type="dxa"/>
            <w:shd w:val="clear" w:color="auto" w:fill="FFFFFF" w:themeFill="background1"/>
            <w:vAlign w:val="center"/>
          </w:tcPr>
          <w:p w14:paraId="44CED337" w14:textId="77777777" w:rsidR="00C156F4" w:rsidRPr="0017608F" w:rsidRDefault="00C156F4" w:rsidP="00565AC1">
            <w:pPr>
              <w:spacing w:before="80" w:after="80" w:line="276" w:lineRule="auto"/>
              <w:jc w:val="center"/>
              <w:rPr>
                <w:iCs/>
                <w:sz w:val="22"/>
                <w:szCs w:val="22"/>
              </w:rPr>
            </w:pPr>
            <w:r w:rsidRPr="0017608F">
              <w:rPr>
                <w:iCs/>
                <w:sz w:val="22"/>
                <w:szCs w:val="22"/>
              </w:rPr>
              <w:t>0</w:t>
            </w:r>
          </w:p>
        </w:tc>
        <w:tc>
          <w:tcPr>
            <w:tcW w:w="4111" w:type="dxa"/>
            <w:shd w:val="clear" w:color="auto" w:fill="FFFFFF" w:themeFill="background1"/>
            <w:vAlign w:val="center"/>
          </w:tcPr>
          <w:p w14:paraId="4D89B53A" w14:textId="77777777" w:rsidR="00C156F4" w:rsidRPr="0017608F" w:rsidRDefault="00C156F4" w:rsidP="00565AC1">
            <w:pPr>
              <w:spacing w:before="80" w:after="80" w:line="276" w:lineRule="auto"/>
              <w:jc w:val="center"/>
              <w:rPr>
                <w:sz w:val="22"/>
                <w:szCs w:val="22"/>
              </w:rPr>
            </w:pPr>
            <w:r w:rsidRPr="0017608F">
              <w:rPr>
                <w:rFonts w:cs="Arial"/>
                <w:bCs/>
                <w:sz w:val="22"/>
                <w:szCs w:val="22"/>
              </w:rPr>
              <w:t>0.</w:t>
            </w:r>
            <w:r>
              <w:rPr>
                <w:rFonts w:cs="Arial"/>
                <w:bCs/>
                <w:sz w:val="22"/>
                <w:szCs w:val="22"/>
              </w:rPr>
              <w:t>95</w:t>
            </w:r>
          </w:p>
        </w:tc>
      </w:tr>
      <w:tr w:rsidR="00C156F4" w:rsidRPr="00352002" w14:paraId="7C63E6E9" w14:textId="77777777" w:rsidTr="00565AC1">
        <w:tc>
          <w:tcPr>
            <w:tcW w:w="3114" w:type="dxa"/>
            <w:shd w:val="clear" w:color="auto" w:fill="FFFFFF" w:themeFill="background1"/>
            <w:vAlign w:val="center"/>
          </w:tcPr>
          <w:p w14:paraId="3E5577C1" w14:textId="77777777" w:rsidR="00C156F4" w:rsidRPr="0017608F" w:rsidRDefault="00C156F4" w:rsidP="00565AC1">
            <w:pPr>
              <w:spacing w:before="80" w:after="80" w:line="276" w:lineRule="auto"/>
              <w:jc w:val="center"/>
              <w:rPr>
                <w:iCs/>
                <w:sz w:val="22"/>
                <w:szCs w:val="22"/>
              </w:rPr>
            </w:pPr>
            <w:r w:rsidRPr="0017608F">
              <w:rPr>
                <w:iCs/>
                <w:sz w:val="22"/>
                <w:szCs w:val="22"/>
              </w:rPr>
              <w:t>1+</w:t>
            </w:r>
          </w:p>
        </w:tc>
        <w:tc>
          <w:tcPr>
            <w:tcW w:w="4111" w:type="dxa"/>
            <w:shd w:val="clear" w:color="auto" w:fill="FFFFFF" w:themeFill="background1"/>
            <w:vAlign w:val="center"/>
          </w:tcPr>
          <w:p w14:paraId="6FDFEBBF" w14:textId="77777777" w:rsidR="00C156F4" w:rsidRPr="0017608F" w:rsidRDefault="00C156F4" w:rsidP="00565AC1">
            <w:pPr>
              <w:spacing w:before="80" w:after="80" w:line="276" w:lineRule="auto"/>
              <w:jc w:val="center"/>
              <w:rPr>
                <w:sz w:val="22"/>
                <w:szCs w:val="22"/>
                <w:lang w:val="en-US"/>
              </w:rPr>
            </w:pPr>
            <w:r>
              <w:rPr>
                <w:sz w:val="22"/>
                <w:szCs w:val="22"/>
                <w:lang w:val="en-US"/>
              </w:rPr>
              <w:t>1.00</w:t>
            </w:r>
          </w:p>
        </w:tc>
      </w:tr>
    </w:tbl>
    <w:p w14:paraId="296EFB20" w14:textId="00A0F830" w:rsidR="002D7176" w:rsidRPr="00B81B0F" w:rsidRDefault="00BA1D65" w:rsidP="00B9632C">
      <w:pPr>
        <w:spacing w:after="0" w:line="276" w:lineRule="auto"/>
        <w:jc w:val="both"/>
        <w:rPr>
          <w:sz w:val="16"/>
          <w:szCs w:val="16"/>
        </w:rPr>
      </w:pPr>
      <w:r>
        <w:br w:type="textWrapping" w:clear="all"/>
      </w:r>
    </w:p>
    <w:p w14:paraId="7FA858EE" w14:textId="68BED656" w:rsidR="00BA1D65" w:rsidRPr="0017608F" w:rsidRDefault="00BA1D65" w:rsidP="00E2117D">
      <w:pPr>
        <w:spacing w:after="0" w:line="276" w:lineRule="auto"/>
        <w:jc w:val="both"/>
        <w:rPr>
          <w:sz w:val="22"/>
          <w:szCs w:val="22"/>
        </w:rPr>
      </w:pPr>
      <w:r w:rsidRPr="0017608F">
        <w:rPr>
          <w:sz w:val="22"/>
          <w:szCs w:val="22"/>
        </w:rPr>
        <w:t xml:space="preserve">See </w:t>
      </w:r>
      <w:r w:rsidRPr="0017608F">
        <w:rPr>
          <w:b/>
          <w:sz w:val="22"/>
          <w:szCs w:val="22"/>
          <w:u w:val="single"/>
        </w:rPr>
        <w:t>Attachment A</w:t>
      </w:r>
      <w:r w:rsidRPr="0017608F">
        <w:rPr>
          <w:sz w:val="22"/>
          <w:szCs w:val="22"/>
        </w:rPr>
        <w:t xml:space="preserve"> for an example of how to apply the LSL probability factor (LSLPF) step in the calculation of the long-term LSL liability.</w:t>
      </w:r>
    </w:p>
    <w:p w14:paraId="73788062" w14:textId="19E7CABA" w:rsidR="00BA1D65" w:rsidRPr="00CB1038" w:rsidRDefault="00BA1D65" w:rsidP="00171423">
      <w:pPr>
        <w:pStyle w:val="Heading3"/>
        <w:spacing w:before="360" w:line="276" w:lineRule="auto"/>
      </w:pPr>
      <w:bookmarkStart w:id="45" w:name="_Toc79159878"/>
      <w:bookmarkStart w:id="46" w:name="_Toc137036625"/>
      <w:bookmarkStart w:id="47" w:name="_Hlk14173266"/>
      <w:r>
        <w:lastRenderedPageBreak/>
        <w:t xml:space="preserve">3.2.2 AL/LSL </w:t>
      </w:r>
      <w:r w:rsidRPr="00CB1038">
        <w:t xml:space="preserve">On-Cost </w:t>
      </w:r>
      <w:r>
        <w:t>Step</w:t>
      </w:r>
      <w:bookmarkEnd w:id="45"/>
      <w:bookmarkEnd w:id="46"/>
    </w:p>
    <w:bookmarkEnd w:id="47"/>
    <w:p w14:paraId="70E22CF4" w14:textId="5C7E1F9E" w:rsidR="00BA1D65" w:rsidRPr="00171423" w:rsidRDefault="00BA1D65" w:rsidP="00F80FED">
      <w:pPr>
        <w:spacing w:after="60" w:line="276" w:lineRule="auto"/>
        <w:jc w:val="both"/>
        <w:rPr>
          <w:bCs/>
          <w:iCs/>
          <w:sz w:val="22"/>
          <w:szCs w:val="22"/>
          <w:lang w:val="en-US"/>
        </w:rPr>
      </w:pPr>
      <w:r w:rsidRPr="00B81B0F">
        <w:rPr>
          <w:b/>
          <w:iCs/>
          <w:sz w:val="22"/>
          <w:szCs w:val="22"/>
          <w:lang w:val="en-US"/>
        </w:rPr>
        <w:t xml:space="preserve">ACT Government agencies are required to take up </w:t>
      </w:r>
      <w:r w:rsidR="00B81B0F">
        <w:rPr>
          <w:b/>
          <w:iCs/>
          <w:sz w:val="22"/>
          <w:szCs w:val="22"/>
          <w:lang w:val="en-US"/>
        </w:rPr>
        <w:t>S</w:t>
      </w:r>
      <w:r w:rsidRPr="00B81B0F">
        <w:rPr>
          <w:b/>
          <w:iCs/>
          <w:sz w:val="22"/>
          <w:szCs w:val="22"/>
          <w:lang w:val="en-US"/>
        </w:rPr>
        <w:t xml:space="preserve">uperannuation, </w:t>
      </w:r>
      <w:r w:rsidR="00AF51CA" w:rsidRPr="00565AC1">
        <w:rPr>
          <w:b/>
          <w:bCs/>
          <w:sz w:val="22"/>
          <w:szCs w:val="22"/>
          <w:lang w:val="en-US"/>
        </w:rPr>
        <w:t>Long Service Leave</w:t>
      </w:r>
      <w:r w:rsidR="00AF51CA" w:rsidRPr="00AF51CA">
        <w:rPr>
          <w:b/>
          <w:iCs/>
          <w:sz w:val="22"/>
          <w:szCs w:val="22"/>
          <w:lang w:val="en-US"/>
        </w:rPr>
        <w:t xml:space="preserve"> </w:t>
      </w:r>
      <w:r w:rsidR="00AF51CA">
        <w:rPr>
          <w:b/>
          <w:iCs/>
          <w:sz w:val="22"/>
          <w:szCs w:val="22"/>
          <w:lang w:val="en-US"/>
        </w:rPr>
        <w:t>(</w:t>
      </w:r>
      <w:r w:rsidRPr="00B81B0F">
        <w:rPr>
          <w:b/>
          <w:iCs/>
          <w:sz w:val="22"/>
          <w:szCs w:val="22"/>
          <w:lang w:val="en-US"/>
        </w:rPr>
        <w:t>LSL</w:t>
      </w:r>
      <w:r w:rsidR="00AF51CA">
        <w:rPr>
          <w:b/>
          <w:iCs/>
          <w:sz w:val="22"/>
          <w:szCs w:val="22"/>
          <w:lang w:val="en-US"/>
        </w:rPr>
        <w:t>)</w:t>
      </w:r>
      <w:r w:rsidRPr="00B81B0F">
        <w:rPr>
          <w:b/>
          <w:iCs/>
          <w:sz w:val="22"/>
          <w:szCs w:val="22"/>
          <w:lang w:val="en-US"/>
        </w:rPr>
        <w:t xml:space="preserve"> and </w:t>
      </w:r>
      <w:r w:rsidR="00AF51CA">
        <w:rPr>
          <w:b/>
          <w:iCs/>
          <w:sz w:val="22"/>
          <w:szCs w:val="22"/>
          <w:lang w:val="en-US"/>
        </w:rPr>
        <w:t>Annual Leave (</w:t>
      </w:r>
      <w:r w:rsidRPr="00B81B0F">
        <w:rPr>
          <w:b/>
          <w:iCs/>
          <w:sz w:val="22"/>
          <w:szCs w:val="22"/>
          <w:lang w:val="en-US"/>
        </w:rPr>
        <w:t>AL</w:t>
      </w:r>
      <w:r w:rsidR="00AF51CA">
        <w:rPr>
          <w:b/>
          <w:iCs/>
          <w:sz w:val="22"/>
          <w:szCs w:val="22"/>
          <w:lang w:val="en-US"/>
        </w:rPr>
        <w:t>)</w:t>
      </w:r>
      <w:r w:rsidRPr="00B81B0F">
        <w:rPr>
          <w:b/>
          <w:iCs/>
          <w:sz w:val="22"/>
          <w:szCs w:val="22"/>
          <w:lang w:val="en-US"/>
        </w:rPr>
        <w:t xml:space="preserve"> on-costs </w:t>
      </w:r>
      <w:r w:rsidR="00374886" w:rsidRPr="00535A28">
        <w:rPr>
          <w:b/>
          <w:iCs/>
          <w:sz w:val="22"/>
          <w:szCs w:val="22"/>
          <w:lang w:val="en-US"/>
        </w:rPr>
        <w:t>that relate to AL and LSL ‘taken in-service’</w:t>
      </w:r>
      <w:r w:rsidR="00374886">
        <w:rPr>
          <w:b/>
          <w:iCs/>
          <w:sz w:val="22"/>
          <w:szCs w:val="22"/>
          <w:lang w:val="en-US"/>
        </w:rPr>
        <w:t xml:space="preserve"> </w:t>
      </w:r>
      <w:r w:rsidRPr="00B81B0F">
        <w:rPr>
          <w:b/>
          <w:iCs/>
          <w:sz w:val="22"/>
          <w:szCs w:val="22"/>
          <w:lang w:val="en-US"/>
        </w:rPr>
        <w:t>as a liability and an expense.</w:t>
      </w:r>
      <w:r w:rsidRPr="00171423">
        <w:rPr>
          <w:bCs/>
          <w:iCs/>
          <w:sz w:val="22"/>
          <w:szCs w:val="22"/>
          <w:lang w:val="en-US"/>
        </w:rPr>
        <w:t xml:space="preserve">  The on-cost percentages to be applied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552"/>
      </w:tblGrid>
      <w:tr w:rsidR="00FD0875" w:rsidRPr="003A247F" w14:paraId="1DE3EA3D" w14:textId="77777777" w:rsidTr="00B81B0F">
        <w:trPr>
          <w:jc w:val="center"/>
        </w:trPr>
        <w:tc>
          <w:tcPr>
            <w:tcW w:w="3539" w:type="dxa"/>
            <w:shd w:val="clear" w:color="auto" w:fill="AF9CDF" w:themeFill="background2" w:themeFillTint="66"/>
          </w:tcPr>
          <w:p w14:paraId="668E49FF" w14:textId="0BE12E21" w:rsidR="00FD0875" w:rsidRPr="00171423" w:rsidRDefault="00FD0875" w:rsidP="00B81B0F">
            <w:pPr>
              <w:spacing w:before="100" w:after="100"/>
              <w:rPr>
                <w:b/>
                <w:bCs/>
                <w:iCs/>
                <w:sz w:val="22"/>
                <w:szCs w:val="22"/>
                <w:lang w:val="en-US"/>
              </w:rPr>
            </w:pPr>
            <w:r>
              <w:rPr>
                <w:b/>
                <w:bCs/>
                <w:iCs/>
                <w:sz w:val="22"/>
                <w:szCs w:val="22"/>
                <w:lang w:val="en-US"/>
              </w:rPr>
              <w:t>On-Cost</w:t>
            </w:r>
          </w:p>
        </w:tc>
        <w:tc>
          <w:tcPr>
            <w:tcW w:w="2552" w:type="dxa"/>
            <w:shd w:val="clear" w:color="auto" w:fill="AF9CDF" w:themeFill="background2" w:themeFillTint="66"/>
          </w:tcPr>
          <w:p w14:paraId="7BB9B1B8" w14:textId="49A32ACF" w:rsidR="00FD0875" w:rsidRPr="00171423" w:rsidRDefault="00FD0875" w:rsidP="00B81B0F">
            <w:pPr>
              <w:spacing w:before="100" w:after="100"/>
              <w:jc w:val="center"/>
              <w:rPr>
                <w:b/>
                <w:bCs/>
                <w:iCs/>
                <w:sz w:val="22"/>
                <w:szCs w:val="22"/>
                <w:lang w:val="en-US"/>
              </w:rPr>
            </w:pPr>
            <w:r>
              <w:rPr>
                <w:b/>
                <w:bCs/>
                <w:iCs/>
                <w:sz w:val="22"/>
                <w:szCs w:val="22"/>
                <w:lang w:val="en-US"/>
              </w:rPr>
              <w:t>Rate</w:t>
            </w:r>
          </w:p>
        </w:tc>
      </w:tr>
      <w:tr w:rsidR="00920912" w:rsidRPr="003A247F" w14:paraId="73D24CA3" w14:textId="77777777" w:rsidTr="00B81B0F">
        <w:trPr>
          <w:jc w:val="center"/>
        </w:trPr>
        <w:tc>
          <w:tcPr>
            <w:tcW w:w="3539" w:type="dxa"/>
            <w:shd w:val="clear" w:color="auto" w:fill="auto"/>
          </w:tcPr>
          <w:p w14:paraId="10A0B7D9" w14:textId="77777777" w:rsidR="00920912" w:rsidRPr="00171423" w:rsidRDefault="00920912" w:rsidP="00B81B0F">
            <w:pPr>
              <w:spacing w:before="100" w:after="100"/>
              <w:rPr>
                <w:b/>
                <w:bCs/>
                <w:iCs/>
                <w:sz w:val="22"/>
                <w:szCs w:val="22"/>
                <w:lang w:val="en-US"/>
              </w:rPr>
            </w:pPr>
            <w:bookmarkStart w:id="48" w:name="_Hlk81297482"/>
            <w:r w:rsidRPr="00171423">
              <w:rPr>
                <w:b/>
                <w:bCs/>
                <w:iCs/>
                <w:sz w:val="22"/>
                <w:szCs w:val="22"/>
                <w:lang w:val="en-US"/>
              </w:rPr>
              <w:t>Superannuation On-Cost</w:t>
            </w:r>
          </w:p>
          <w:p w14:paraId="00B9A7EC" w14:textId="77777777" w:rsidR="00920912" w:rsidRPr="00171423" w:rsidRDefault="00920912" w:rsidP="00B81B0F">
            <w:pPr>
              <w:spacing w:before="100" w:after="100"/>
              <w:rPr>
                <w:bCs/>
                <w:iCs/>
                <w:sz w:val="22"/>
                <w:szCs w:val="22"/>
                <w:lang w:val="en-US"/>
              </w:rPr>
            </w:pPr>
            <w:r w:rsidRPr="00171423">
              <w:rPr>
                <w:b/>
                <w:bCs/>
                <w:iCs/>
                <w:sz w:val="22"/>
                <w:szCs w:val="22"/>
                <w:lang w:val="en-US"/>
              </w:rPr>
              <w:t xml:space="preserve"> - </w:t>
            </w:r>
            <w:r w:rsidRPr="00171423">
              <w:rPr>
                <w:bCs/>
                <w:iCs/>
                <w:sz w:val="22"/>
                <w:szCs w:val="22"/>
                <w:lang w:val="en-US"/>
              </w:rPr>
              <w:t>Employees in CSS</w:t>
            </w:r>
            <w:r w:rsidRPr="00171423">
              <w:rPr>
                <w:bCs/>
                <w:iCs/>
                <w:sz w:val="22"/>
                <w:szCs w:val="22"/>
                <w:vertAlign w:val="superscript"/>
                <w:lang w:val="en-US"/>
              </w:rPr>
              <w:t>1&amp;2</w:t>
            </w:r>
          </w:p>
          <w:p w14:paraId="6D6BC307" w14:textId="77777777" w:rsidR="00920912" w:rsidRPr="00171423" w:rsidRDefault="00920912" w:rsidP="00B81B0F">
            <w:pPr>
              <w:spacing w:before="100" w:after="100"/>
              <w:rPr>
                <w:bCs/>
                <w:iCs/>
                <w:sz w:val="22"/>
                <w:szCs w:val="22"/>
                <w:lang w:val="en-US"/>
              </w:rPr>
            </w:pPr>
            <w:r w:rsidRPr="00171423">
              <w:rPr>
                <w:bCs/>
                <w:iCs/>
                <w:sz w:val="22"/>
                <w:szCs w:val="22"/>
                <w:lang w:val="en-US"/>
              </w:rPr>
              <w:t xml:space="preserve"> - Employees in PSS</w:t>
            </w:r>
            <w:r w:rsidRPr="00171423">
              <w:rPr>
                <w:bCs/>
                <w:iCs/>
                <w:sz w:val="22"/>
                <w:szCs w:val="22"/>
                <w:vertAlign w:val="superscript"/>
                <w:lang w:val="en-US"/>
              </w:rPr>
              <w:t>1&amp;2</w:t>
            </w:r>
          </w:p>
          <w:p w14:paraId="5A25C985" w14:textId="77777777" w:rsidR="00920912" w:rsidRPr="00171423" w:rsidRDefault="00920912" w:rsidP="00B81B0F">
            <w:pPr>
              <w:spacing w:before="100" w:after="100"/>
              <w:rPr>
                <w:bCs/>
                <w:iCs/>
                <w:sz w:val="22"/>
                <w:szCs w:val="22"/>
                <w:lang w:val="en-US"/>
              </w:rPr>
            </w:pPr>
            <w:r w:rsidRPr="00171423">
              <w:rPr>
                <w:bCs/>
                <w:iCs/>
                <w:sz w:val="22"/>
                <w:szCs w:val="22"/>
                <w:lang w:val="en-US"/>
              </w:rPr>
              <w:t xml:space="preserve"> - Employees in PSSAP</w:t>
            </w:r>
          </w:p>
          <w:p w14:paraId="76B0E0EF" w14:textId="77777777" w:rsidR="00920912" w:rsidRPr="00171423" w:rsidRDefault="00920912" w:rsidP="00B81B0F">
            <w:pPr>
              <w:spacing w:before="100" w:after="100"/>
              <w:rPr>
                <w:b/>
                <w:bCs/>
                <w:iCs/>
                <w:sz w:val="22"/>
                <w:szCs w:val="22"/>
                <w:lang w:val="en-US"/>
              </w:rPr>
            </w:pPr>
            <w:r w:rsidRPr="00171423">
              <w:rPr>
                <w:bCs/>
                <w:iCs/>
                <w:sz w:val="22"/>
                <w:szCs w:val="22"/>
                <w:lang w:val="en-US"/>
              </w:rPr>
              <w:t xml:space="preserve"> - Employees in Fund of Choice</w:t>
            </w:r>
            <w:r w:rsidRPr="00171423">
              <w:rPr>
                <w:bCs/>
                <w:iCs/>
                <w:sz w:val="22"/>
                <w:szCs w:val="22"/>
                <w:vertAlign w:val="superscript"/>
                <w:lang w:val="en-US"/>
              </w:rPr>
              <w:t>3</w:t>
            </w:r>
          </w:p>
        </w:tc>
        <w:tc>
          <w:tcPr>
            <w:tcW w:w="2552" w:type="dxa"/>
            <w:shd w:val="clear" w:color="auto" w:fill="auto"/>
          </w:tcPr>
          <w:p w14:paraId="5D83B8DE" w14:textId="77777777" w:rsidR="00920912" w:rsidRPr="00171423" w:rsidRDefault="00920912" w:rsidP="00B81B0F">
            <w:pPr>
              <w:spacing w:before="100" w:after="100"/>
              <w:jc w:val="center"/>
              <w:rPr>
                <w:b/>
                <w:bCs/>
                <w:iCs/>
                <w:sz w:val="22"/>
                <w:szCs w:val="22"/>
                <w:lang w:val="en-US"/>
              </w:rPr>
            </w:pPr>
          </w:p>
          <w:p w14:paraId="21580A92" w14:textId="14BA820A" w:rsidR="00920912" w:rsidRPr="00171423" w:rsidRDefault="00C156F4" w:rsidP="00B81B0F">
            <w:pPr>
              <w:spacing w:before="100" w:after="100"/>
              <w:jc w:val="center"/>
              <w:rPr>
                <w:bCs/>
                <w:iCs/>
                <w:lang w:val="en-US"/>
              </w:rPr>
            </w:pPr>
            <w:r>
              <w:rPr>
                <w:bCs/>
                <w:iCs/>
                <w:lang w:val="en-US"/>
              </w:rPr>
              <w:t>18.00%</w:t>
            </w:r>
          </w:p>
          <w:p w14:paraId="499A486C" w14:textId="4577E788" w:rsidR="00920912" w:rsidRPr="00171423" w:rsidRDefault="00C156F4" w:rsidP="00B81B0F">
            <w:pPr>
              <w:spacing w:before="100" w:after="100"/>
              <w:jc w:val="center"/>
              <w:rPr>
                <w:bCs/>
                <w:iCs/>
                <w:sz w:val="22"/>
                <w:szCs w:val="22"/>
                <w:lang w:val="en-US"/>
              </w:rPr>
            </w:pPr>
            <w:r>
              <w:rPr>
                <w:bCs/>
                <w:iCs/>
                <w:sz w:val="22"/>
                <w:szCs w:val="22"/>
                <w:lang w:val="en-US"/>
              </w:rPr>
              <w:t>31.50%</w:t>
            </w:r>
          </w:p>
          <w:p w14:paraId="3ED938B7" w14:textId="77777777" w:rsidR="00920912" w:rsidRPr="00171423" w:rsidRDefault="00920912" w:rsidP="00B81B0F">
            <w:pPr>
              <w:spacing w:before="100" w:after="100"/>
              <w:jc w:val="center"/>
              <w:rPr>
                <w:bCs/>
                <w:iCs/>
                <w:sz w:val="22"/>
                <w:szCs w:val="22"/>
                <w:lang w:val="en-US"/>
              </w:rPr>
            </w:pPr>
            <w:r w:rsidRPr="00171423">
              <w:rPr>
                <w:bCs/>
                <w:iCs/>
                <w:sz w:val="22"/>
                <w:szCs w:val="22"/>
                <w:lang w:val="en-US"/>
              </w:rPr>
              <w:t>15.40%</w:t>
            </w:r>
          </w:p>
          <w:p w14:paraId="2E61AA62" w14:textId="77777777" w:rsidR="00920912" w:rsidRPr="00171423" w:rsidRDefault="00920912" w:rsidP="00B81B0F">
            <w:pPr>
              <w:spacing w:before="100" w:after="100"/>
              <w:jc w:val="center"/>
              <w:rPr>
                <w:b/>
                <w:bCs/>
                <w:iCs/>
                <w:sz w:val="22"/>
                <w:szCs w:val="22"/>
                <w:lang w:val="en-US"/>
              </w:rPr>
            </w:pPr>
            <w:r w:rsidRPr="00171423">
              <w:rPr>
                <w:bCs/>
                <w:iCs/>
                <w:sz w:val="22"/>
                <w:szCs w:val="22"/>
                <w:lang w:val="en-US"/>
              </w:rPr>
              <w:t>11.50%</w:t>
            </w:r>
          </w:p>
        </w:tc>
      </w:tr>
      <w:tr w:rsidR="00920912" w:rsidRPr="003A247F" w14:paraId="5098A6A3" w14:textId="77777777" w:rsidTr="00B81B0F">
        <w:trPr>
          <w:jc w:val="center"/>
        </w:trPr>
        <w:tc>
          <w:tcPr>
            <w:tcW w:w="3539" w:type="dxa"/>
            <w:shd w:val="clear" w:color="auto" w:fill="auto"/>
          </w:tcPr>
          <w:p w14:paraId="65D2FDA7" w14:textId="77777777" w:rsidR="00920912" w:rsidRPr="00171423" w:rsidRDefault="00920912" w:rsidP="00B81B0F">
            <w:pPr>
              <w:spacing w:before="100" w:after="100"/>
              <w:rPr>
                <w:b/>
                <w:bCs/>
                <w:iCs/>
                <w:sz w:val="22"/>
                <w:szCs w:val="22"/>
                <w:lang w:val="en-US"/>
              </w:rPr>
            </w:pPr>
            <w:r w:rsidRPr="00171423">
              <w:rPr>
                <w:b/>
                <w:bCs/>
                <w:iCs/>
                <w:sz w:val="22"/>
                <w:szCs w:val="22"/>
                <w:lang w:val="en-US"/>
              </w:rPr>
              <w:t>LSL On-Cost</w:t>
            </w:r>
            <w:r w:rsidRPr="00171423">
              <w:rPr>
                <w:b/>
                <w:bCs/>
                <w:iCs/>
                <w:sz w:val="22"/>
                <w:szCs w:val="22"/>
                <w:vertAlign w:val="superscript"/>
                <w:lang w:val="en-US"/>
              </w:rPr>
              <w:t>4</w:t>
            </w:r>
          </w:p>
        </w:tc>
        <w:tc>
          <w:tcPr>
            <w:tcW w:w="2552" w:type="dxa"/>
            <w:shd w:val="clear" w:color="auto" w:fill="auto"/>
          </w:tcPr>
          <w:p w14:paraId="1326BFCC" w14:textId="77777777" w:rsidR="00920912" w:rsidRPr="00171423" w:rsidRDefault="00920912" w:rsidP="00B81B0F">
            <w:pPr>
              <w:spacing w:before="100" w:after="100"/>
              <w:jc w:val="center"/>
              <w:rPr>
                <w:bCs/>
                <w:iCs/>
                <w:sz w:val="22"/>
                <w:szCs w:val="22"/>
                <w:lang w:val="en-US"/>
              </w:rPr>
            </w:pPr>
            <w:r w:rsidRPr="00171423">
              <w:rPr>
                <w:bCs/>
                <w:iCs/>
                <w:sz w:val="22"/>
                <w:szCs w:val="22"/>
                <w:lang w:val="en-US"/>
              </w:rPr>
              <w:t>2.464%</w:t>
            </w:r>
          </w:p>
        </w:tc>
      </w:tr>
      <w:tr w:rsidR="00920912" w:rsidRPr="003A247F" w14:paraId="1A346B91" w14:textId="77777777" w:rsidTr="00B81B0F">
        <w:trPr>
          <w:jc w:val="center"/>
        </w:trPr>
        <w:tc>
          <w:tcPr>
            <w:tcW w:w="3539" w:type="dxa"/>
            <w:shd w:val="clear" w:color="auto" w:fill="auto"/>
          </w:tcPr>
          <w:p w14:paraId="0B3D9788" w14:textId="77777777" w:rsidR="00920912" w:rsidRPr="00171423" w:rsidRDefault="00920912" w:rsidP="00B81B0F">
            <w:pPr>
              <w:spacing w:before="100" w:after="100"/>
              <w:rPr>
                <w:b/>
                <w:bCs/>
                <w:iCs/>
                <w:sz w:val="22"/>
                <w:szCs w:val="22"/>
                <w:lang w:val="en-US"/>
              </w:rPr>
            </w:pPr>
            <w:r w:rsidRPr="00171423">
              <w:rPr>
                <w:b/>
                <w:bCs/>
                <w:iCs/>
                <w:sz w:val="22"/>
                <w:szCs w:val="22"/>
                <w:lang w:val="en-US"/>
              </w:rPr>
              <w:t>AL On-Cost</w:t>
            </w:r>
            <w:r w:rsidRPr="00171423">
              <w:rPr>
                <w:b/>
                <w:bCs/>
                <w:iCs/>
                <w:sz w:val="22"/>
                <w:szCs w:val="22"/>
                <w:vertAlign w:val="superscript"/>
                <w:lang w:val="en-US"/>
              </w:rPr>
              <w:t>5</w:t>
            </w:r>
          </w:p>
        </w:tc>
        <w:tc>
          <w:tcPr>
            <w:tcW w:w="2552" w:type="dxa"/>
            <w:shd w:val="clear" w:color="auto" w:fill="auto"/>
          </w:tcPr>
          <w:p w14:paraId="52BF9142" w14:textId="77777777" w:rsidR="00920912" w:rsidRPr="00171423" w:rsidRDefault="00920912" w:rsidP="00B81B0F">
            <w:pPr>
              <w:spacing w:before="100" w:after="100"/>
              <w:jc w:val="center"/>
              <w:rPr>
                <w:bCs/>
                <w:iCs/>
                <w:sz w:val="22"/>
                <w:szCs w:val="22"/>
                <w:lang w:val="en-US"/>
              </w:rPr>
            </w:pPr>
            <w:r w:rsidRPr="00171423">
              <w:rPr>
                <w:bCs/>
                <w:iCs/>
                <w:sz w:val="22"/>
                <w:szCs w:val="22"/>
                <w:lang w:val="en-US"/>
              </w:rPr>
              <w:t>7.668%</w:t>
            </w:r>
          </w:p>
        </w:tc>
      </w:tr>
    </w:tbl>
    <w:bookmarkEnd w:id="48"/>
    <w:p w14:paraId="680F644D" w14:textId="0419D92D" w:rsidR="00BA1D65" w:rsidRPr="003A247F" w:rsidRDefault="00BA1D65" w:rsidP="00350E97">
      <w:pPr>
        <w:spacing w:before="120" w:after="60" w:line="240" w:lineRule="auto"/>
        <w:ind w:left="992" w:hanging="992"/>
        <w:jc w:val="both"/>
        <w:rPr>
          <w:sz w:val="18"/>
          <w:szCs w:val="18"/>
        </w:rPr>
      </w:pPr>
      <w:r w:rsidRPr="003A247F">
        <w:rPr>
          <w:sz w:val="18"/>
          <w:szCs w:val="18"/>
        </w:rPr>
        <w:t xml:space="preserve">References: Conditions of service for ACT government employees; Report on the Notional Agency Contribution Assessments </w:t>
      </w:r>
    </w:p>
    <w:p w14:paraId="3187DAE1" w14:textId="4C5A00E3" w:rsidR="00BA1D65" w:rsidRPr="004436A6" w:rsidRDefault="004436A6" w:rsidP="00171423">
      <w:pPr>
        <w:numPr>
          <w:ilvl w:val="0"/>
          <w:numId w:val="16"/>
        </w:numPr>
        <w:tabs>
          <w:tab w:val="num" w:pos="426"/>
        </w:tabs>
        <w:spacing w:after="60" w:line="240" w:lineRule="auto"/>
        <w:ind w:left="284" w:hanging="284"/>
        <w:jc w:val="both"/>
        <w:rPr>
          <w:sz w:val="18"/>
          <w:szCs w:val="18"/>
        </w:rPr>
      </w:pPr>
      <w:r w:rsidRPr="00171423">
        <w:rPr>
          <w:sz w:val="18"/>
          <w:szCs w:val="18"/>
        </w:rPr>
        <w:t xml:space="preserve">Amounts </w:t>
      </w:r>
      <w:r w:rsidRPr="00B81B0F">
        <w:rPr>
          <w:sz w:val="18"/>
          <w:szCs w:val="18"/>
          <w:u w:val="single"/>
        </w:rPr>
        <w:t>include</w:t>
      </w:r>
      <w:r w:rsidRPr="00171423">
        <w:rPr>
          <w:sz w:val="18"/>
          <w:szCs w:val="18"/>
        </w:rPr>
        <w:t xml:space="preserve"> the productivity component.</w:t>
      </w:r>
      <w:r w:rsidR="00BA1D65" w:rsidRPr="004436A6">
        <w:rPr>
          <w:sz w:val="18"/>
          <w:szCs w:val="18"/>
        </w:rPr>
        <w:t xml:space="preserve"> </w:t>
      </w:r>
    </w:p>
    <w:p w14:paraId="43E4BBB6" w14:textId="5B2357E0" w:rsidR="00BA1D65" w:rsidRPr="00171423" w:rsidRDefault="00BA1D65" w:rsidP="00171423">
      <w:pPr>
        <w:numPr>
          <w:ilvl w:val="0"/>
          <w:numId w:val="16"/>
        </w:numPr>
        <w:spacing w:after="60" w:line="240" w:lineRule="auto"/>
        <w:ind w:left="284" w:hanging="284"/>
        <w:jc w:val="both"/>
        <w:rPr>
          <w:sz w:val="18"/>
          <w:szCs w:val="18"/>
        </w:rPr>
      </w:pPr>
      <w:r w:rsidRPr="00171423">
        <w:rPr>
          <w:sz w:val="18"/>
          <w:szCs w:val="18"/>
        </w:rPr>
        <w:t>The percentages provided may vary each financial year, so agencies must ensure they use the latest percentages provided</w:t>
      </w:r>
      <w:r w:rsidR="00B81B0F">
        <w:rPr>
          <w:sz w:val="18"/>
          <w:szCs w:val="18"/>
        </w:rPr>
        <w:t>.</w:t>
      </w:r>
    </w:p>
    <w:p w14:paraId="39020404" w14:textId="77777777" w:rsidR="00BA1D65" w:rsidRPr="00171423" w:rsidRDefault="00BA1D65" w:rsidP="00171423">
      <w:pPr>
        <w:numPr>
          <w:ilvl w:val="0"/>
          <w:numId w:val="16"/>
        </w:numPr>
        <w:spacing w:after="60" w:line="240" w:lineRule="auto"/>
        <w:ind w:left="284" w:hanging="284"/>
        <w:jc w:val="both"/>
        <w:rPr>
          <w:sz w:val="18"/>
          <w:szCs w:val="18"/>
        </w:rPr>
      </w:pPr>
      <w:r w:rsidRPr="00171423">
        <w:rPr>
          <w:sz w:val="18"/>
          <w:szCs w:val="18"/>
        </w:rPr>
        <w:t>This percentage will change over the coming years with Commonwealth legislation to increase the superannuation percentage (does not include the extra 1% for employee’s salary sacrificing).</w:t>
      </w:r>
    </w:p>
    <w:p w14:paraId="1D60F18F" w14:textId="77777777" w:rsidR="00BA1D65" w:rsidRPr="00171423" w:rsidRDefault="00BA1D65" w:rsidP="00171423">
      <w:pPr>
        <w:numPr>
          <w:ilvl w:val="0"/>
          <w:numId w:val="16"/>
        </w:numPr>
        <w:spacing w:after="60" w:line="240" w:lineRule="auto"/>
        <w:ind w:left="284" w:hanging="284"/>
        <w:jc w:val="both"/>
        <w:rPr>
          <w:sz w:val="18"/>
          <w:szCs w:val="18"/>
        </w:rPr>
      </w:pPr>
      <w:r w:rsidRPr="00171423">
        <w:rPr>
          <w:sz w:val="18"/>
          <w:szCs w:val="18"/>
        </w:rPr>
        <w:t>This rate only applies to employees that accrue 9 days of LSL per year.  Therefore, if an employee accrues a different number of days the rate will be different.</w:t>
      </w:r>
    </w:p>
    <w:p w14:paraId="2B1FC834" w14:textId="77777777" w:rsidR="00BA1D65" w:rsidRPr="00171423" w:rsidRDefault="00BA1D65" w:rsidP="00171423">
      <w:pPr>
        <w:numPr>
          <w:ilvl w:val="0"/>
          <w:numId w:val="16"/>
        </w:numPr>
        <w:spacing w:after="60" w:line="240" w:lineRule="auto"/>
        <w:ind w:left="284" w:hanging="284"/>
        <w:jc w:val="both"/>
        <w:rPr>
          <w:sz w:val="18"/>
          <w:szCs w:val="18"/>
        </w:rPr>
      </w:pPr>
      <w:r w:rsidRPr="00171423">
        <w:rPr>
          <w:sz w:val="18"/>
          <w:szCs w:val="18"/>
        </w:rPr>
        <w:t xml:space="preserve">This rate only applies to employees that accrue 20 days of Annual Leave per year.  Therefore, if an employee accrues a different number of days the rate will be different.  Where this is the </w:t>
      </w:r>
      <w:proofErr w:type="gramStart"/>
      <w:r w:rsidRPr="00171423">
        <w:rPr>
          <w:sz w:val="18"/>
          <w:szCs w:val="18"/>
        </w:rPr>
        <w:t>case</w:t>
      </w:r>
      <w:proofErr w:type="gramEnd"/>
      <w:r w:rsidRPr="00171423">
        <w:rPr>
          <w:sz w:val="18"/>
          <w:szCs w:val="18"/>
        </w:rPr>
        <w:t xml:space="preserve"> an agency can apply a daily rate of 0.003834 (e.g. for an employee that accrues 25 days the calculation would be 25 x 0.003834 = 9.585%). </w:t>
      </w:r>
    </w:p>
    <w:p w14:paraId="086C43D9" w14:textId="40983682" w:rsidR="00BA1D65" w:rsidRPr="00B81B0F" w:rsidRDefault="00AF51CA" w:rsidP="00B81B0F">
      <w:pPr>
        <w:pStyle w:val="Heading3"/>
        <w:spacing w:line="240" w:lineRule="auto"/>
        <w:ind w:left="1077" w:hanging="1077"/>
        <w:rPr>
          <w:b w:val="0"/>
          <w:bCs/>
          <w:color w:val="595959" w:themeColor="text1" w:themeTint="A6"/>
          <w:sz w:val="28"/>
        </w:rPr>
      </w:pPr>
      <w:bookmarkStart w:id="49" w:name="_Toc137036626"/>
      <w:r>
        <w:rPr>
          <w:bCs/>
          <w:color w:val="595959" w:themeColor="text1" w:themeTint="A6"/>
          <w:sz w:val="28"/>
        </w:rPr>
        <w:t xml:space="preserve">3.2.2.1 </w:t>
      </w:r>
      <w:r w:rsidR="00BA1D65" w:rsidRPr="00B81B0F">
        <w:rPr>
          <w:bCs/>
          <w:color w:val="595959" w:themeColor="text1" w:themeTint="A6"/>
          <w:sz w:val="28"/>
        </w:rPr>
        <w:t>Superannuation On-Costs</w:t>
      </w:r>
      <w:bookmarkEnd w:id="49"/>
    </w:p>
    <w:p w14:paraId="47D530E9" w14:textId="0007B5B8" w:rsidR="00413B71" w:rsidRDefault="00413B71" w:rsidP="00171423">
      <w:pPr>
        <w:spacing w:after="120" w:line="276" w:lineRule="auto"/>
        <w:jc w:val="both"/>
        <w:rPr>
          <w:b/>
          <w:bCs/>
          <w:sz w:val="22"/>
          <w:szCs w:val="22"/>
          <w:lang w:val="en-US"/>
        </w:rPr>
      </w:pPr>
      <w:r>
        <w:rPr>
          <w:b/>
          <w:bCs/>
          <w:sz w:val="22"/>
          <w:szCs w:val="22"/>
          <w:lang w:val="en-US"/>
        </w:rPr>
        <w:t xml:space="preserve">Superannuation </w:t>
      </w:r>
      <w:r w:rsidRPr="00565AC1">
        <w:rPr>
          <w:b/>
          <w:bCs/>
          <w:sz w:val="22"/>
          <w:szCs w:val="22"/>
          <w:lang w:val="en-US"/>
        </w:rPr>
        <w:t xml:space="preserve">on-costs must be recognised as </w:t>
      </w:r>
      <w:r>
        <w:rPr>
          <w:b/>
          <w:bCs/>
          <w:sz w:val="22"/>
          <w:szCs w:val="22"/>
          <w:lang w:val="en-US"/>
        </w:rPr>
        <w:t>part of the</w:t>
      </w:r>
      <w:r w:rsidRPr="00565AC1">
        <w:rPr>
          <w:b/>
          <w:bCs/>
          <w:sz w:val="22"/>
          <w:szCs w:val="22"/>
          <w:lang w:val="en-US"/>
        </w:rPr>
        <w:t xml:space="preserve"> employee benefit liability because it will be a cost that the agency incurs when the employee takes leave in the future while employed.</w:t>
      </w:r>
    </w:p>
    <w:p w14:paraId="3C73918E" w14:textId="3ACF9007" w:rsidR="00BA1D65" w:rsidRPr="00171423" w:rsidRDefault="00BA1D65" w:rsidP="00171423">
      <w:pPr>
        <w:spacing w:after="120" w:line="276" w:lineRule="auto"/>
        <w:jc w:val="both"/>
        <w:rPr>
          <w:sz w:val="22"/>
          <w:szCs w:val="22"/>
        </w:rPr>
      </w:pPr>
      <w:r w:rsidRPr="00171423">
        <w:rPr>
          <w:sz w:val="22"/>
          <w:szCs w:val="22"/>
        </w:rPr>
        <w:t>Superannuation on-costs are the amounts that agencies pay to the Territory Banking Account, Commonwealth Superannuation Corporation (CSC) and to employees’ superannuation funds of choice to cover an agency’s superannuation liability.</w:t>
      </w:r>
    </w:p>
    <w:p w14:paraId="008ECDA0" w14:textId="604D638C" w:rsidR="00BA1D65" w:rsidRPr="00B81B0F" w:rsidRDefault="00AF51CA" w:rsidP="00B81B0F">
      <w:pPr>
        <w:pStyle w:val="Heading3"/>
        <w:spacing w:line="240" w:lineRule="auto"/>
        <w:ind w:left="1077" w:hanging="1077"/>
        <w:rPr>
          <w:b w:val="0"/>
          <w:bCs/>
          <w:color w:val="595959" w:themeColor="text1" w:themeTint="A6"/>
          <w:sz w:val="28"/>
        </w:rPr>
      </w:pPr>
      <w:bookmarkStart w:id="50" w:name="_Toc137036627"/>
      <w:r>
        <w:rPr>
          <w:bCs/>
          <w:color w:val="595959" w:themeColor="text1" w:themeTint="A6"/>
          <w:sz w:val="28"/>
        </w:rPr>
        <w:t xml:space="preserve">3.2.2.2 </w:t>
      </w:r>
      <w:r w:rsidR="00BA1D65" w:rsidRPr="00B81B0F">
        <w:rPr>
          <w:bCs/>
          <w:color w:val="595959" w:themeColor="text1" w:themeTint="A6"/>
          <w:sz w:val="28"/>
        </w:rPr>
        <w:t>LSL and AL On-Costs</w:t>
      </w:r>
      <w:bookmarkEnd w:id="50"/>
    </w:p>
    <w:p w14:paraId="1AE25E34" w14:textId="0540D8BB" w:rsidR="0019600C" w:rsidRDefault="00BA1D65" w:rsidP="00171423">
      <w:pPr>
        <w:spacing w:after="120" w:line="276" w:lineRule="auto"/>
        <w:jc w:val="both"/>
        <w:rPr>
          <w:sz w:val="22"/>
          <w:szCs w:val="22"/>
          <w:lang w:val="en-US"/>
        </w:rPr>
      </w:pPr>
      <w:r w:rsidRPr="00B81B0F">
        <w:rPr>
          <w:b/>
          <w:bCs/>
          <w:sz w:val="22"/>
          <w:szCs w:val="22"/>
          <w:lang w:val="en-US"/>
        </w:rPr>
        <w:t xml:space="preserve">LSL and AL on-costs must be recognised as </w:t>
      </w:r>
      <w:r w:rsidR="00413B71">
        <w:rPr>
          <w:b/>
          <w:bCs/>
          <w:sz w:val="22"/>
          <w:szCs w:val="22"/>
          <w:lang w:val="en-US"/>
        </w:rPr>
        <w:t xml:space="preserve">part of the </w:t>
      </w:r>
      <w:r w:rsidRPr="00B81B0F">
        <w:rPr>
          <w:b/>
          <w:bCs/>
          <w:sz w:val="22"/>
          <w:szCs w:val="22"/>
          <w:lang w:val="en-US"/>
        </w:rPr>
        <w:t>employee benefit liability because it will be a cost that the agency incurs when the employee takes leave in the future while employed.</w:t>
      </w:r>
      <w:r w:rsidRPr="00171423">
        <w:rPr>
          <w:sz w:val="22"/>
          <w:szCs w:val="22"/>
          <w:lang w:val="en-US"/>
        </w:rPr>
        <w:t xml:space="preserve"> </w:t>
      </w:r>
    </w:p>
    <w:p w14:paraId="0173263B" w14:textId="09E114A9" w:rsidR="00BA1D65" w:rsidRPr="00171423" w:rsidRDefault="00BA1D65" w:rsidP="00171423">
      <w:pPr>
        <w:spacing w:after="120" w:line="276" w:lineRule="auto"/>
        <w:jc w:val="both"/>
        <w:rPr>
          <w:sz w:val="22"/>
          <w:szCs w:val="22"/>
          <w:lang w:val="en-US"/>
        </w:rPr>
      </w:pPr>
      <w:r w:rsidRPr="00171423">
        <w:rPr>
          <w:sz w:val="22"/>
          <w:szCs w:val="22"/>
          <w:lang w:val="en-US"/>
        </w:rPr>
        <w:t xml:space="preserve">This is because employees accrue both LSL and AL when they are on LSL. They also accrue both LSL and AL when they are </w:t>
      </w:r>
      <w:r w:rsidRPr="00171423">
        <w:rPr>
          <w:sz w:val="22"/>
          <w:szCs w:val="22"/>
        </w:rPr>
        <w:t>on A</w:t>
      </w:r>
      <w:r w:rsidRPr="00171423">
        <w:rPr>
          <w:sz w:val="22"/>
          <w:szCs w:val="22"/>
          <w:lang w:val="en-US"/>
        </w:rPr>
        <w:t xml:space="preserve">L. </w:t>
      </w:r>
    </w:p>
    <w:p w14:paraId="42298D05" w14:textId="7EF463AA" w:rsidR="0019600C" w:rsidRDefault="00BA1D65" w:rsidP="00171423">
      <w:pPr>
        <w:spacing w:after="120" w:line="276" w:lineRule="auto"/>
        <w:jc w:val="both"/>
        <w:rPr>
          <w:sz w:val="22"/>
          <w:szCs w:val="22"/>
          <w:lang w:val="en-US"/>
        </w:rPr>
      </w:pPr>
      <w:r w:rsidRPr="00B81B0F">
        <w:rPr>
          <w:b/>
          <w:iCs/>
          <w:sz w:val="22"/>
          <w:szCs w:val="22"/>
          <w:lang w:val="en-US"/>
        </w:rPr>
        <w:t xml:space="preserve">ACT Government agencies are required to take up any other material on-costs </w:t>
      </w:r>
      <w:r w:rsidR="00550501" w:rsidRPr="00AE0A83">
        <w:rPr>
          <w:b/>
          <w:iCs/>
          <w:sz w:val="22"/>
          <w:szCs w:val="22"/>
          <w:lang w:val="en-US"/>
        </w:rPr>
        <w:t>that relate to AL and LSL</w:t>
      </w:r>
      <w:r w:rsidR="00550501" w:rsidRPr="00550501">
        <w:rPr>
          <w:b/>
          <w:iCs/>
          <w:sz w:val="22"/>
          <w:szCs w:val="22"/>
          <w:lang w:val="en-US"/>
        </w:rPr>
        <w:t xml:space="preserve"> </w:t>
      </w:r>
      <w:r w:rsidRPr="00B81B0F">
        <w:rPr>
          <w:b/>
          <w:iCs/>
          <w:sz w:val="22"/>
          <w:szCs w:val="22"/>
          <w:lang w:val="en-US"/>
        </w:rPr>
        <w:t xml:space="preserve">as </w:t>
      </w:r>
      <w:r w:rsidR="00550501">
        <w:rPr>
          <w:b/>
          <w:iCs/>
          <w:sz w:val="22"/>
          <w:szCs w:val="22"/>
          <w:lang w:val="en-US"/>
        </w:rPr>
        <w:t xml:space="preserve">part of </w:t>
      </w:r>
      <w:r w:rsidR="00BF7F6E">
        <w:rPr>
          <w:b/>
          <w:bCs/>
          <w:sz w:val="22"/>
          <w:szCs w:val="22"/>
          <w:lang w:val="en-US"/>
        </w:rPr>
        <w:t xml:space="preserve">the </w:t>
      </w:r>
      <w:r w:rsidR="00BF7F6E" w:rsidRPr="00565AC1">
        <w:rPr>
          <w:b/>
          <w:bCs/>
          <w:sz w:val="22"/>
          <w:szCs w:val="22"/>
          <w:lang w:val="en-US"/>
        </w:rPr>
        <w:t xml:space="preserve">employee benefit liability </w:t>
      </w:r>
      <w:r w:rsidRPr="00B81B0F">
        <w:rPr>
          <w:b/>
          <w:iCs/>
          <w:sz w:val="22"/>
          <w:szCs w:val="22"/>
          <w:lang w:val="en-US"/>
        </w:rPr>
        <w:t>(for instance, annual leave loading).</w:t>
      </w:r>
      <w:r w:rsidRPr="00171423">
        <w:rPr>
          <w:sz w:val="22"/>
          <w:szCs w:val="22"/>
          <w:lang w:val="en-US"/>
        </w:rPr>
        <w:t xml:space="preserve"> </w:t>
      </w:r>
    </w:p>
    <w:p w14:paraId="398E5444" w14:textId="7B7B3EEA" w:rsidR="00BA1D65" w:rsidRPr="00171423" w:rsidRDefault="00BA1D65" w:rsidP="00171423">
      <w:pPr>
        <w:spacing w:after="120" w:line="276" w:lineRule="auto"/>
        <w:jc w:val="both"/>
        <w:rPr>
          <w:sz w:val="22"/>
          <w:szCs w:val="22"/>
          <w:lang w:val="en-US"/>
        </w:rPr>
      </w:pPr>
      <w:r w:rsidRPr="00171423">
        <w:rPr>
          <w:sz w:val="22"/>
          <w:szCs w:val="22"/>
          <w:lang w:val="en-US"/>
        </w:rPr>
        <w:t xml:space="preserve">Each agency will need to assess whether the inclusion of relevant on-costs in the calculation of the provision for employee benefits would be material. </w:t>
      </w:r>
    </w:p>
    <w:p w14:paraId="049C4982" w14:textId="57D45EA0" w:rsidR="00BA1D65" w:rsidRPr="00350E97" w:rsidRDefault="00550501" w:rsidP="00F80FED">
      <w:pPr>
        <w:spacing w:after="120" w:line="276" w:lineRule="auto"/>
        <w:jc w:val="both"/>
        <w:rPr>
          <w:b/>
          <w:bCs/>
          <w:sz w:val="22"/>
          <w:szCs w:val="22"/>
          <w:lang w:val="en-US"/>
        </w:rPr>
      </w:pPr>
      <w:r w:rsidRPr="008A29BA">
        <w:rPr>
          <w:b/>
          <w:bCs/>
          <w:sz w:val="22"/>
          <w:szCs w:val="22"/>
          <w:lang w:val="en-US"/>
        </w:rPr>
        <w:t>On-costs should not be recognised for AL or LSL that are paid out on resignation or retirement</w:t>
      </w:r>
      <w:r>
        <w:rPr>
          <w:b/>
          <w:bCs/>
          <w:sz w:val="22"/>
          <w:szCs w:val="22"/>
          <w:lang w:val="en-US"/>
        </w:rPr>
        <w:t xml:space="preserve">, and as such </w:t>
      </w:r>
      <w:r w:rsidR="00BA1D65" w:rsidRPr="00350E97">
        <w:rPr>
          <w:b/>
          <w:bCs/>
          <w:sz w:val="22"/>
          <w:szCs w:val="22"/>
          <w:lang w:val="en-US"/>
        </w:rPr>
        <w:t xml:space="preserve">ACT Government agencies should use the following percentages </w:t>
      </w:r>
      <w:r>
        <w:rPr>
          <w:b/>
          <w:bCs/>
          <w:sz w:val="22"/>
          <w:szCs w:val="22"/>
          <w:lang w:val="en-US"/>
        </w:rPr>
        <w:t xml:space="preserve">to calculate the </w:t>
      </w:r>
      <w:r w:rsidR="00BA1D65" w:rsidRPr="00350E97">
        <w:rPr>
          <w:b/>
          <w:bCs/>
          <w:sz w:val="22"/>
          <w:szCs w:val="22"/>
          <w:lang w:val="en-US"/>
        </w:rPr>
        <w:t>LSL &amp; AL taken in-service:</w:t>
      </w:r>
    </w:p>
    <w:p w14:paraId="7ABCC0F6" w14:textId="747E6B9B" w:rsidR="00BA1D65" w:rsidRPr="00350E97" w:rsidRDefault="008B42F8" w:rsidP="00F80FED">
      <w:pPr>
        <w:pStyle w:val="ListParagraph"/>
        <w:numPr>
          <w:ilvl w:val="0"/>
          <w:numId w:val="26"/>
        </w:numPr>
        <w:spacing w:after="120" w:line="276" w:lineRule="auto"/>
        <w:ind w:left="850" w:hanging="357"/>
        <w:contextualSpacing w:val="0"/>
        <w:jc w:val="both"/>
        <w:rPr>
          <w:b/>
          <w:bCs/>
          <w:sz w:val="22"/>
          <w:szCs w:val="22"/>
        </w:rPr>
      </w:pPr>
      <w:r w:rsidRPr="00350E97">
        <w:rPr>
          <w:b/>
          <w:bCs/>
          <w:sz w:val="22"/>
          <w:szCs w:val="22"/>
          <w:lang w:val="en-US"/>
        </w:rPr>
        <w:t>45</w:t>
      </w:r>
      <w:r w:rsidR="00BA1D65" w:rsidRPr="00350E97">
        <w:rPr>
          <w:b/>
          <w:bCs/>
          <w:sz w:val="22"/>
          <w:szCs w:val="22"/>
          <w:lang w:val="en-US"/>
        </w:rPr>
        <w:t>% for LSL; and</w:t>
      </w:r>
    </w:p>
    <w:p w14:paraId="36439B2C" w14:textId="1060228A" w:rsidR="00BA1D65" w:rsidRPr="00171423" w:rsidRDefault="006A6B73" w:rsidP="00171423">
      <w:pPr>
        <w:pStyle w:val="ListParagraph"/>
        <w:numPr>
          <w:ilvl w:val="0"/>
          <w:numId w:val="26"/>
        </w:numPr>
        <w:spacing w:after="120" w:line="276" w:lineRule="auto"/>
        <w:ind w:left="851" w:hanging="357"/>
        <w:contextualSpacing w:val="0"/>
        <w:jc w:val="both"/>
        <w:rPr>
          <w:sz w:val="22"/>
          <w:szCs w:val="22"/>
        </w:rPr>
      </w:pPr>
      <w:r w:rsidRPr="00350E97">
        <w:rPr>
          <w:b/>
          <w:bCs/>
          <w:sz w:val="22"/>
          <w:szCs w:val="22"/>
          <w:lang w:val="en-US"/>
        </w:rPr>
        <w:lastRenderedPageBreak/>
        <w:t>90</w:t>
      </w:r>
      <w:r w:rsidR="00BA1D65" w:rsidRPr="00350E97">
        <w:rPr>
          <w:b/>
          <w:bCs/>
          <w:sz w:val="22"/>
          <w:szCs w:val="22"/>
          <w:lang w:val="en-US"/>
        </w:rPr>
        <w:t>% for AL.</w:t>
      </w:r>
      <w:r w:rsidR="00BA1D65" w:rsidRPr="00171423">
        <w:rPr>
          <w:sz w:val="22"/>
          <w:szCs w:val="22"/>
          <w:lang w:val="en-US"/>
        </w:rPr>
        <w:t xml:space="preserve"> </w:t>
      </w:r>
    </w:p>
    <w:p w14:paraId="5AA4BFEC" w14:textId="47674963" w:rsidR="00BA1D65" w:rsidRPr="00171423" w:rsidRDefault="00BA1D65" w:rsidP="00171423">
      <w:pPr>
        <w:spacing w:after="120" w:line="276" w:lineRule="auto"/>
        <w:rPr>
          <w:sz w:val="22"/>
          <w:szCs w:val="22"/>
          <w:lang w:val="en-US"/>
        </w:rPr>
      </w:pPr>
      <w:r w:rsidRPr="00171423">
        <w:rPr>
          <w:sz w:val="22"/>
          <w:szCs w:val="22"/>
          <w:lang w:val="en-US"/>
        </w:rPr>
        <w:t xml:space="preserve">(Reference: AGA Report </w:t>
      </w:r>
      <w:r w:rsidR="008B42F8" w:rsidRPr="00171423">
        <w:rPr>
          <w:sz w:val="22"/>
          <w:szCs w:val="22"/>
          <w:lang w:val="en-US"/>
        </w:rPr>
        <w:t>June</w:t>
      </w:r>
      <w:r w:rsidR="006A6B73" w:rsidRPr="00171423">
        <w:rPr>
          <w:sz w:val="22"/>
          <w:szCs w:val="22"/>
          <w:lang w:val="en-US"/>
        </w:rPr>
        <w:t xml:space="preserve"> 2022</w:t>
      </w:r>
      <w:r w:rsidRPr="00171423">
        <w:rPr>
          <w:sz w:val="22"/>
          <w:szCs w:val="22"/>
          <w:lang w:val="en-US"/>
        </w:rPr>
        <w:t>)</w:t>
      </w:r>
    </w:p>
    <w:p w14:paraId="1144C8F3" w14:textId="77777777" w:rsidR="00BF7F6E" w:rsidRDefault="00BF7F6E" w:rsidP="00171423">
      <w:pPr>
        <w:spacing w:after="120" w:line="276" w:lineRule="auto"/>
        <w:jc w:val="both"/>
        <w:rPr>
          <w:sz w:val="22"/>
          <w:szCs w:val="22"/>
          <w:lang w:val="en-US"/>
        </w:rPr>
      </w:pPr>
      <w:r w:rsidRPr="00171423">
        <w:rPr>
          <w:sz w:val="22"/>
          <w:szCs w:val="22"/>
          <w:lang w:val="en-US"/>
        </w:rPr>
        <w:t xml:space="preserve">Resignation in this respect means resignation from the ACT Government rather than leaving one ACT Government agency and moving to another ACT Government agency. </w:t>
      </w:r>
    </w:p>
    <w:p w14:paraId="66C3677A" w14:textId="3E12C2C2" w:rsidR="00BA1D65" w:rsidRPr="00171423" w:rsidRDefault="00BA1D65" w:rsidP="00171423">
      <w:pPr>
        <w:spacing w:after="120" w:line="276" w:lineRule="auto"/>
        <w:jc w:val="both"/>
        <w:rPr>
          <w:sz w:val="22"/>
          <w:szCs w:val="22"/>
          <w:lang w:val="en-US"/>
        </w:rPr>
      </w:pPr>
      <w:r w:rsidRPr="00171423">
        <w:rPr>
          <w:sz w:val="22"/>
          <w:szCs w:val="22"/>
          <w:lang w:val="en-US"/>
        </w:rPr>
        <w:t xml:space="preserve">These percentages represent the probability that an employee will take AL or </w:t>
      </w:r>
      <w:r w:rsidRPr="00171423">
        <w:rPr>
          <w:sz w:val="22"/>
          <w:szCs w:val="22"/>
        </w:rPr>
        <w:t>LSL while in-service</w:t>
      </w:r>
      <w:r w:rsidRPr="00171423">
        <w:rPr>
          <w:sz w:val="22"/>
          <w:szCs w:val="22"/>
          <w:lang w:val="en-US"/>
        </w:rPr>
        <w:t>. In assessing the amount of on-costs to include as a liability, it is only the on-costs that relate to AL and LSL taken while the employee is working for the ACT Government.</w:t>
      </w:r>
    </w:p>
    <w:p w14:paraId="60D0E4F6" w14:textId="77777777" w:rsidR="00BA1D65" w:rsidRPr="00CB1038" w:rsidRDefault="00BA1D65" w:rsidP="006C7B31">
      <w:pPr>
        <w:pStyle w:val="Heading3"/>
        <w:spacing w:before="360" w:line="276" w:lineRule="auto"/>
      </w:pPr>
      <w:bookmarkStart w:id="51" w:name="OLE_LINK1"/>
      <w:bookmarkStart w:id="52" w:name="_Toc149104782"/>
      <w:bookmarkStart w:id="53" w:name="_Toc149104849"/>
      <w:bookmarkStart w:id="54" w:name="_Toc79159879"/>
      <w:bookmarkStart w:id="55" w:name="_Toc137036628"/>
      <w:r>
        <w:t xml:space="preserve">3.2.3 </w:t>
      </w:r>
      <w:r w:rsidRPr="00CB1038">
        <w:t xml:space="preserve">LSL Present Value </w:t>
      </w:r>
      <w:r>
        <w:t xml:space="preserve">Factor </w:t>
      </w:r>
      <w:bookmarkEnd w:id="51"/>
      <w:bookmarkEnd w:id="52"/>
      <w:bookmarkEnd w:id="53"/>
      <w:r>
        <w:t>Step</w:t>
      </w:r>
      <w:bookmarkEnd w:id="54"/>
      <w:bookmarkEnd w:id="55"/>
    </w:p>
    <w:p w14:paraId="48EC9219" w14:textId="121DC69A" w:rsidR="00BA1D65" w:rsidRPr="00350E97" w:rsidRDefault="00BA1D65" w:rsidP="006C7B31">
      <w:pPr>
        <w:spacing w:after="120" w:line="276" w:lineRule="auto"/>
        <w:jc w:val="both"/>
        <w:rPr>
          <w:b/>
          <w:bCs/>
          <w:sz w:val="22"/>
          <w:szCs w:val="22"/>
          <w:lang w:val="en-US"/>
        </w:rPr>
      </w:pPr>
      <w:r w:rsidRPr="00350E97">
        <w:rPr>
          <w:b/>
          <w:bCs/>
          <w:sz w:val="22"/>
          <w:szCs w:val="22"/>
          <w:lang w:val="en-US"/>
        </w:rPr>
        <w:t xml:space="preserve">To simplify the present value calculation, </w:t>
      </w:r>
      <w:r w:rsidRPr="00350E97">
        <w:rPr>
          <w:b/>
          <w:bCs/>
          <w:iCs/>
          <w:sz w:val="22"/>
          <w:szCs w:val="22"/>
          <w:lang w:val="en-US"/>
        </w:rPr>
        <w:t xml:space="preserve">agencies </w:t>
      </w:r>
      <w:r w:rsidR="0019600C">
        <w:rPr>
          <w:b/>
          <w:bCs/>
          <w:iCs/>
          <w:sz w:val="22"/>
          <w:szCs w:val="22"/>
          <w:lang w:val="en-US"/>
        </w:rPr>
        <w:t>should</w:t>
      </w:r>
      <w:r w:rsidRPr="00350E97">
        <w:rPr>
          <w:b/>
          <w:bCs/>
          <w:iCs/>
          <w:sz w:val="22"/>
          <w:szCs w:val="22"/>
          <w:lang w:val="en-US"/>
        </w:rPr>
        <w:t xml:space="preserve"> apply a ‘present value factor’ (PVF) to their LSL liability amounts, </w:t>
      </w:r>
      <w:proofErr w:type="gramStart"/>
      <w:r w:rsidRPr="00350E97">
        <w:rPr>
          <w:b/>
          <w:bCs/>
          <w:iCs/>
          <w:sz w:val="22"/>
          <w:szCs w:val="22"/>
          <w:lang w:val="en-US"/>
        </w:rPr>
        <w:t>in order to</w:t>
      </w:r>
      <w:proofErr w:type="gramEnd"/>
      <w:r w:rsidRPr="00350E97">
        <w:rPr>
          <w:b/>
          <w:bCs/>
          <w:iCs/>
          <w:sz w:val="22"/>
          <w:szCs w:val="22"/>
          <w:lang w:val="en-US"/>
        </w:rPr>
        <w:t xml:space="preserve"> calculate the present value</w:t>
      </w:r>
      <w:r w:rsidRPr="00350E97">
        <w:rPr>
          <w:b/>
          <w:bCs/>
          <w:sz w:val="22"/>
          <w:szCs w:val="22"/>
          <w:lang w:val="en-US"/>
        </w:rPr>
        <w:t xml:space="preserve">. </w:t>
      </w:r>
    </w:p>
    <w:p w14:paraId="412D086E" w14:textId="0FC56B49" w:rsidR="00BA1D65" w:rsidRPr="006C7B31" w:rsidRDefault="00BA1D65" w:rsidP="006C7B31">
      <w:pPr>
        <w:spacing w:after="120" w:line="276" w:lineRule="auto"/>
        <w:jc w:val="both"/>
        <w:rPr>
          <w:sz w:val="22"/>
          <w:szCs w:val="22"/>
          <w:lang w:val="en-US"/>
        </w:rPr>
      </w:pPr>
      <w:r w:rsidRPr="006C7B31">
        <w:rPr>
          <w:sz w:val="22"/>
          <w:szCs w:val="22"/>
          <w:lang w:val="en-US"/>
        </w:rPr>
        <w:t>The ‘LSL – PVF’ will be provided to agencies six monthly</w:t>
      </w:r>
      <w:r w:rsidR="009978CE" w:rsidRPr="006C7B31">
        <w:rPr>
          <w:sz w:val="22"/>
          <w:szCs w:val="22"/>
          <w:lang w:val="en-US"/>
        </w:rPr>
        <w:t>,</w:t>
      </w:r>
      <w:r w:rsidRPr="006C7B31">
        <w:rPr>
          <w:sz w:val="22"/>
          <w:szCs w:val="22"/>
          <w:lang w:val="en-US"/>
        </w:rPr>
        <w:t xml:space="preserve"> that is at the end of December and June. In almost all cases this factor will change each time. This means that the total of the LSL provision amount from an agency’s HR system needs to be adjusted by the ‘</w:t>
      </w:r>
      <w:r w:rsidR="00BF7F6E">
        <w:rPr>
          <w:sz w:val="22"/>
          <w:szCs w:val="22"/>
          <w:lang w:val="en-US"/>
        </w:rPr>
        <w:t xml:space="preserve">LSL </w:t>
      </w:r>
      <w:r w:rsidR="00BF7F6E" w:rsidRPr="006C7B31">
        <w:rPr>
          <w:sz w:val="22"/>
          <w:szCs w:val="22"/>
          <w:lang w:val="en-US"/>
        </w:rPr>
        <w:t>–</w:t>
      </w:r>
      <w:r w:rsidR="00BF7F6E">
        <w:rPr>
          <w:sz w:val="22"/>
          <w:szCs w:val="22"/>
          <w:lang w:val="en-US"/>
        </w:rPr>
        <w:t xml:space="preserve"> </w:t>
      </w:r>
      <w:r w:rsidRPr="006C7B31">
        <w:rPr>
          <w:sz w:val="22"/>
          <w:szCs w:val="22"/>
          <w:lang w:val="en-US"/>
        </w:rPr>
        <w:t>PVF’ (amongst other things) before inclusion in an agency’s financial report.</w:t>
      </w:r>
    </w:p>
    <w:p w14:paraId="3061ADEB" w14:textId="28B1A28D" w:rsidR="00BA1D65" w:rsidRPr="006C7B31" w:rsidRDefault="00B97F50" w:rsidP="006C7B31">
      <w:pPr>
        <w:spacing w:after="120" w:line="276" w:lineRule="auto"/>
        <w:jc w:val="both"/>
        <w:rPr>
          <w:sz w:val="22"/>
          <w:szCs w:val="22"/>
          <w:lang w:val="en-US"/>
        </w:rPr>
      </w:pPr>
      <w:r>
        <w:rPr>
          <w:sz w:val="22"/>
          <w:szCs w:val="22"/>
          <w:lang w:val="en-US"/>
        </w:rPr>
        <w:t xml:space="preserve">The </w:t>
      </w:r>
      <w:r w:rsidR="00BA1D65" w:rsidRPr="006C7B31">
        <w:rPr>
          <w:sz w:val="22"/>
          <w:szCs w:val="22"/>
          <w:lang w:val="en-US"/>
        </w:rPr>
        <w:t>Financial Reporting and Framework (FRF)</w:t>
      </w:r>
      <w:r>
        <w:rPr>
          <w:sz w:val="22"/>
          <w:szCs w:val="22"/>
          <w:lang w:val="en-US"/>
        </w:rPr>
        <w:t xml:space="preserve"> branch</w:t>
      </w:r>
      <w:r w:rsidR="00BA1D65" w:rsidRPr="006C7B31">
        <w:rPr>
          <w:sz w:val="22"/>
          <w:szCs w:val="22"/>
          <w:lang w:val="en-US"/>
        </w:rPr>
        <w:t xml:space="preserve"> will advise the actual LSL-PVF on the Accounting in the ACT Website: https://</w:t>
      </w:r>
      <w:r w:rsidR="00BF7F6E">
        <w:rPr>
          <w:sz w:val="22"/>
          <w:szCs w:val="22"/>
          <w:lang w:val="en-US"/>
        </w:rPr>
        <w:t>www</w:t>
      </w:r>
      <w:r w:rsidR="00BA1D65" w:rsidRPr="006C7B31">
        <w:rPr>
          <w:sz w:val="22"/>
          <w:szCs w:val="22"/>
          <w:lang w:val="en-US"/>
        </w:rPr>
        <w:t>.treasury.act.gov.au/accounting</w:t>
      </w:r>
      <w:r w:rsidR="00BF7F6E">
        <w:rPr>
          <w:sz w:val="22"/>
          <w:szCs w:val="22"/>
          <w:lang w:val="en-US"/>
        </w:rPr>
        <w:t>.</w:t>
      </w:r>
    </w:p>
    <w:p w14:paraId="46089E81" w14:textId="54FD6907" w:rsidR="00BA1D65" w:rsidRPr="006C7B31" w:rsidRDefault="00BA1D65" w:rsidP="006C7B31">
      <w:pPr>
        <w:spacing w:after="120" w:line="276" w:lineRule="auto"/>
        <w:jc w:val="both"/>
        <w:rPr>
          <w:sz w:val="22"/>
          <w:szCs w:val="22"/>
          <w:lang w:val="en-US"/>
        </w:rPr>
      </w:pPr>
      <w:r w:rsidRPr="006C7B31">
        <w:rPr>
          <w:sz w:val="22"/>
          <w:szCs w:val="22"/>
          <w:lang w:val="en-US"/>
        </w:rPr>
        <w:t>The ‘</w:t>
      </w:r>
      <w:r w:rsidR="00BF7F6E">
        <w:rPr>
          <w:sz w:val="22"/>
          <w:szCs w:val="22"/>
          <w:lang w:val="en-US"/>
        </w:rPr>
        <w:t xml:space="preserve">LSL </w:t>
      </w:r>
      <w:r w:rsidR="00BF7F6E" w:rsidRPr="006C7B31">
        <w:rPr>
          <w:sz w:val="22"/>
          <w:szCs w:val="22"/>
          <w:lang w:val="en-US"/>
        </w:rPr>
        <w:t>–</w:t>
      </w:r>
      <w:r w:rsidR="00BF7F6E">
        <w:rPr>
          <w:sz w:val="22"/>
          <w:szCs w:val="22"/>
          <w:lang w:val="en-US"/>
        </w:rPr>
        <w:t xml:space="preserve"> </w:t>
      </w:r>
      <w:r w:rsidRPr="006C7B31">
        <w:rPr>
          <w:sz w:val="22"/>
          <w:szCs w:val="22"/>
          <w:lang w:val="en-US"/>
        </w:rPr>
        <w:t xml:space="preserve">PVF’ has been actuarially determined by projecting the employee benefit liability forward using the likely future wage increases and then discounting it back to present value, based on the Commonwealth Government bond rate (not-for-profit agencies) and corporate bond rate (for-profit agencies) applicable to the estimated period to which the employee benefit is likely to be settled.  </w:t>
      </w:r>
    </w:p>
    <w:p w14:paraId="755EEE5B" w14:textId="1229281A" w:rsidR="00BA1D65" w:rsidRPr="006C7B31" w:rsidRDefault="00BA1D65" w:rsidP="006C7B31">
      <w:pPr>
        <w:spacing w:after="120" w:line="276" w:lineRule="auto"/>
        <w:jc w:val="both"/>
        <w:rPr>
          <w:sz w:val="22"/>
          <w:szCs w:val="22"/>
        </w:rPr>
      </w:pPr>
      <w:r w:rsidRPr="006C7B31">
        <w:rPr>
          <w:sz w:val="22"/>
          <w:szCs w:val="22"/>
        </w:rPr>
        <w:t>See</w:t>
      </w:r>
      <w:r w:rsidRPr="006C7B31">
        <w:rPr>
          <w:b/>
          <w:sz w:val="22"/>
          <w:szCs w:val="22"/>
        </w:rPr>
        <w:t xml:space="preserve"> </w:t>
      </w:r>
      <w:r w:rsidRPr="00350E97">
        <w:rPr>
          <w:bCs/>
          <w:i/>
          <w:iCs/>
          <w:sz w:val="22"/>
          <w:szCs w:val="22"/>
        </w:rPr>
        <w:t>Attachment A – Calculation of Long Service Leave Liability and Expenses</w:t>
      </w:r>
      <w:r w:rsidRPr="006C7B31">
        <w:rPr>
          <w:sz w:val="22"/>
          <w:szCs w:val="22"/>
        </w:rPr>
        <w:t xml:space="preserve"> for an example of how to apply the present value short-hand step in the calculation of </w:t>
      </w:r>
      <w:r w:rsidR="006E063A">
        <w:rPr>
          <w:sz w:val="22"/>
          <w:szCs w:val="22"/>
        </w:rPr>
        <w:t>th</w:t>
      </w:r>
      <w:r w:rsidR="00E35EDC">
        <w:rPr>
          <w:sz w:val="22"/>
          <w:szCs w:val="22"/>
        </w:rPr>
        <w:t>e</w:t>
      </w:r>
      <w:r w:rsidR="006E063A">
        <w:rPr>
          <w:sz w:val="22"/>
          <w:szCs w:val="22"/>
        </w:rPr>
        <w:t xml:space="preserve"> </w:t>
      </w:r>
      <w:r w:rsidRPr="006C7B31">
        <w:rPr>
          <w:sz w:val="22"/>
          <w:szCs w:val="22"/>
        </w:rPr>
        <w:t xml:space="preserve">long-term LSL liability. </w:t>
      </w:r>
    </w:p>
    <w:p w14:paraId="371DF21F" w14:textId="77777777" w:rsidR="00BA1D65" w:rsidRPr="00CB1038" w:rsidRDefault="00BA1D65" w:rsidP="00B9632C">
      <w:pPr>
        <w:pStyle w:val="Heading3"/>
        <w:spacing w:before="360" w:line="276" w:lineRule="auto"/>
      </w:pPr>
      <w:bookmarkStart w:id="56" w:name="_Toc79159880"/>
      <w:bookmarkStart w:id="57" w:name="_Toc137036629"/>
      <w:bookmarkStart w:id="58" w:name="_Hlk11338013"/>
      <w:r>
        <w:t xml:space="preserve">3.2.4 </w:t>
      </w:r>
      <w:r w:rsidRPr="00CB1038">
        <w:t xml:space="preserve">AL Present Value </w:t>
      </w:r>
      <w:r>
        <w:t>Step</w:t>
      </w:r>
      <w:bookmarkEnd w:id="56"/>
      <w:bookmarkEnd w:id="57"/>
    </w:p>
    <w:bookmarkEnd w:id="58"/>
    <w:p w14:paraId="12DE6A3A" w14:textId="77777777" w:rsidR="00BA1D65" w:rsidRPr="006C7B31" w:rsidRDefault="00BA1D65" w:rsidP="006C7B31">
      <w:pPr>
        <w:spacing w:after="120" w:line="276" w:lineRule="auto"/>
        <w:jc w:val="both"/>
        <w:rPr>
          <w:sz w:val="22"/>
          <w:szCs w:val="22"/>
        </w:rPr>
      </w:pPr>
      <w:r w:rsidRPr="006C7B31">
        <w:rPr>
          <w:sz w:val="22"/>
          <w:szCs w:val="22"/>
        </w:rPr>
        <w:t>There are three elements to the AL present value step which are described below, followed by an example.</w:t>
      </w:r>
    </w:p>
    <w:p w14:paraId="3C9378A6" w14:textId="77777777" w:rsidR="00BA1D65" w:rsidRPr="00350E97" w:rsidRDefault="00BA1D65" w:rsidP="006C7B31">
      <w:pPr>
        <w:spacing w:after="120" w:line="276" w:lineRule="auto"/>
        <w:jc w:val="both"/>
        <w:rPr>
          <w:bCs/>
          <w:sz w:val="22"/>
          <w:szCs w:val="22"/>
          <w:u w:val="single"/>
        </w:rPr>
      </w:pPr>
      <w:r w:rsidRPr="00350E97">
        <w:rPr>
          <w:bCs/>
          <w:sz w:val="22"/>
          <w:szCs w:val="22"/>
          <w:u w:val="single"/>
        </w:rPr>
        <w:t xml:space="preserve">1. Annual Leave Taken </w:t>
      </w:r>
    </w:p>
    <w:p w14:paraId="00884C27" w14:textId="77777777" w:rsidR="00BA1D65" w:rsidRPr="006C7B31" w:rsidRDefault="00BA1D65" w:rsidP="006C7B31">
      <w:pPr>
        <w:spacing w:after="120" w:line="276" w:lineRule="auto"/>
        <w:jc w:val="both"/>
        <w:rPr>
          <w:sz w:val="22"/>
          <w:szCs w:val="22"/>
        </w:rPr>
      </w:pPr>
      <w:r w:rsidRPr="006C7B31">
        <w:rPr>
          <w:sz w:val="22"/>
          <w:szCs w:val="22"/>
        </w:rPr>
        <w:t xml:space="preserve">Based on the analysis of ACT Government employee records by the AGA it is reasonable to assume (for financial reporting purposes) that: </w:t>
      </w:r>
    </w:p>
    <w:p w14:paraId="07DE3177" w14:textId="6A09D768" w:rsidR="00BA1D65" w:rsidRPr="006C7B31" w:rsidRDefault="006A6B73" w:rsidP="006C7B31">
      <w:pPr>
        <w:pStyle w:val="ListParagraph"/>
        <w:numPr>
          <w:ilvl w:val="0"/>
          <w:numId w:val="33"/>
        </w:numPr>
        <w:spacing w:after="120" w:line="276" w:lineRule="auto"/>
        <w:ind w:left="851"/>
        <w:contextualSpacing w:val="0"/>
        <w:jc w:val="both"/>
        <w:rPr>
          <w:sz w:val="22"/>
          <w:szCs w:val="22"/>
        </w:rPr>
      </w:pPr>
      <w:r w:rsidRPr="006C7B31">
        <w:rPr>
          <w:sz w:val="22"/>
          <w:szCs w:val="22"/>
        </w:rPr>
        <w:t>55</w:t>
      </w:r>
      <w:r w:rsidR="00BA1D65" w:rsidRPr="006C7B31">
        <w:rPr>
          <w:sz w:val="22"/>
          <w:szCs w:val="22"/>
        </w:rPr>
        <w:t>% of accrued AL will be ‘used up’ (either as leave or cashed out) within 12 months; and</w:t>
      </w:r>
    </w:p>
    <w:p w14:paraId="721C45AC" w14:textId="0EEF928B" w:rsidR="00BA1D65" w:rsidRPr="006C7B31" w:rsidRDefault="006A6B73" w:rsidP="006C7B31">
      <w:pPr>
        <w:pStyle w:val="ListParagraph"/>
        <w:numPr>
          <w:ilvl w:val="0"/>
          <w:numId w:val="33"/>
        </w:numPr>
        <w:spacing w:after="120" w:line="276" w:lineRule="auto"/>
        <w:ind w:left="851"/>
        <w:contextualSpacing w:val="0"/>
        <w:jc w:val="both"/>
        <w:rPr>
          <w:sz w:val="22"/>
          <w:szCs w:val="22"/>
        </w:rPr>
      </w:pPr>
      <w:r w:rsidRPr="006C7B31">
        <w:rPr>
          <w:sz w:val="22"/>
          <w:szCs w:val="22"/>
        </w:rPr>
        <w:t>45</w:t>
      </w:r>
      <w:r w:rsidR="00BA1D65" w:rsidRPr="006C7B31">
        <w:rPr>
          <w:sz w:val="22"/>
          <w:szCs w:val="22"/>
        </w:rPr>
        <w:t xml:space="preserve">% will be used up within the following 24 months. </w:t>
      </w:r>
    </w:p>
    <w:p w14:paraId="41A9B99A" w14:textId="7C2F77E1" w:rsidR="00BA1D65" w:rsidRPr="006C7B31" w:rsidRDefault="00BA1D65" w:rsidP="00F80FED">
      <w:pPr>
        <w:spacing w:after="120" w:line="276" w:lineRule="auto"/>
        <w:jc w:val="both"/>
        <w:rPr>
          <w:sz w:val="22"/>
          <w:szCs w:val="22"/>
        </w:rPr>
      </w:pPr>
      <w:r w:rsidRPr="006C7B31">
        <w:rPr>
          <w:sz w:val="22"/>
          <w:szCs w:val="22"/>
        </w:rPr>
        <w:t xml:space="preserve">(Reference: AGA Report </w:t>
      </w:r>
      <w:r w:rsidR="00920912" w:rsidRPr="006C7B31">
        <w:rPr>
          <w:sz w:val="22"/>
          <w:szCs w:val="22"/>
        </w:rPr>
        <w:t>June</w:t>
      </w:r>
      <w:r w:rsidR="006A6B73" w:rsidRPr="006C7B31">
        <w:rPr>
          <w:sz w:val="22"/>
          <w:szCs w:val="22"/>
        </w:rPr>
        <w:t xml:space="preserve"> 2022</w:t>
      </w:r>
      <w:r w:rsidRPr="006C7B31">
        <w:rPr>
          <w:sz w:val="22"/>
          <w:szCs w:val="22"/>
        </w:rPr>
        <w:t>)</w:t>
      </w:r>
    </w:p>
    <w:p w14:paraId="3C2996D6" w14:textId="77777777" w:rsidR="00BA1D65" w:rsidRPr="00350E97" w:rsidRDefault="00BA1D65" w:rsidP="00F80FED">
      <w:pPr>
        <w:spacing w:before="120" w:after="0" w:line="276" w:lineRule="auto"/>
        <w:rPr>
          <w:bCs/>
          <w:u w:val="single"/>
        </w:rPr>
      </w:pPr>
      <w:r w:rsidRPr="00350E97">
        <w:rPr>
          <w:bCs/>
          <w:u w:val="single"/>
        </w:rPr>
        <w:t>2. Mean Term of AL Liability - approximately 1 year</w:t>
      </w:r>
    </w:p>
    <w:p w14:paraId="228C5FB1" w14:textId="3660A410" w:rsidR="00BA1D65" w:rsidRPr="006C7B31" w:rsidRDefault="00BA1D65" w:rsidP="00F80FED">
      <w:pPr>
        <w:spacing w:after="120"/>
        <w:jc w:val="both"/>
        <w:rPr>
          <w:sz w:val="22"/>
          <w:szCs w:val="22"/>
        </w:rPr>
      </w:pPr>
      <w:r w:rsidRPr="006C7B31">
        <w:rPr>
          <w:sz w:val="22"/>
          <w:szCs w:val="22"/>
        </w:rPr>
        <w:t xml:space="preserve">As a result, the mean (average) term of the AL liability </w:t>
      </w:r>
      <w:r w:rsidR="005C2807">
        <w:rPr>
          <w:sz w:val="22"/>
          <w:szCs w:val="22"/>
        </w:rPr>
        <w:t>is</w:t>
      </w:r>
      <w:r w:rsidRPr="006C7B31">
        <w:rPr>
          <w:sz w:val="22"/>
          <w:szCs w:val="22"/>
        </w:rPr>
        <w:t xml:space="preserve"> approximately 1 year as follows: </w:t>
      </w:r>
    </w:p>
    <w:tbl>
      <w:tblPr>
        <w:tblStyle w:val="TableGrid"/>
        <w:tblW w:w="0" w:type="auto"/>
        <w:jc w:val="center"/>
        <w:tblLook w:val="04A0" w:firstRow="1" w:lastRow="0" w:firstColumn="1" w:lastColumn="0" w:noHBand="0" w:noVBand="1"/>
      </w:tblPr>
      <w:tblGrid>
        <w:gridCol w:w="4678"/>
        <w:gridCol w:w="2552"/>
        <w:gridCol w:w="1984"/>
      </w:tblGrid>
      <w:tr w:rsidR="00BA1D65" w:rsidRPr="001B3206" w14:paraId="5DA54794" w14:textId="77777777" w:rsidTr="00350E97">
        <w:trPr>
          <w:jc w:val="center"/>
        </w:trPr>
        <w:tc>
          <w:tcPr>
            <w:tcW w:w="4678" w:type="dxa"/>
            <w:shd w:val="clear" w:color="auto" w:fill="AF9CDF" w:themeFill="background2" w:themeFillTint="66"/>
          </w:tcPr>
          <w:p w14:paraId="7E3FDBDE" w14:textId="77777777" w:rsidR="00BA1D65" w:rsidRPr="006C7B31" w:rsidRDefault="00BA1D65" w:rsidP="006C7B31">
            <w:pPr>
              <w:spacing w:after="60" w:line="276" w:lineRule="auto"/>
              <w:rPr>
                <w:b/>
                <w:sz w:val="22"/>
                <w:szCs w:val="22"/>
              </w:rPr>
            </w:pPr>
            <w:bookmarkStart w:id="59" w:name="_Hlk107907474"/>
            <w:r w:rsidRPr="006C7B31">
              <w:rPr>
                <w:b/>
                <w:sz w:val="22"/>
                <w:szCs w:val="22"/>
              </w:rPr>
              <w:t>Calculation to use</w:t>
            </w:r>
          </w:p>
        </w:tc>
        <w:tc>
          <w:tcPr>
            <w:tcW w:w="2552" w:type="dxa"/>
            <w:shd w:val="clear" w:color="auto" w:fill="AF9CDF" w:themeFill="background2" w:themeFillTint="66"/>
          </w:tcPr>
          <w:p w14:paraId="72E2DA4B" w14:textId="77777777" w:rsidR="00BA1D65" w:rsidRPr="006C7B31" w:rsidRDefault="00BA1D65" w:rsidP="006C7B31">
            <w:pPr>
              <w:spacing w:after="60" w:line="276" w:lineRule="auto"/>
              <w:rPr>
                <w:b/>
                <w:sz w:val="22"/>
                <w:szCs w:val="22"/>
              </w:rPr>
            </w:pPr>
            <w:r w:rsidRPr="006C7B31">
              <w:rPr>
                <w:b/>
                <w:sz w:val="22"/>
                <w:szCs w:val="22"/>
              </w:rPr>
              <w:t>Example AL Taken</w:t>
            </w:r>
          </w:p>
        </w:tc>
        <w:tc>
          <w:tcPr>
            <w:tcW w:w="1984" w:type="dxa"/>
            <w:shd w:val="clear" w:color="auto" w:fill="AF9CDF" w:themeFill="background2" w:themeFillTint="66"/>
          </w:tcPr>
          <w:p w14:paraId="03DD58D3" w14:textId="56EDCECF" w:rsidR="00BA1D65" w:rsidRPr="006C7B31" w:rsidRDefault="00BA1D65" w:rsidP="00776788">
            <w:pPr>
              <w:spacing w:after="60" w:line="276" w:lineRule="auto"/>
              <w:jc w:val="center"/>
              <w:rPr>
                <w:b/>
                <w:sz w:val="22"/>
                <w:szCs w:val="22"/>
              </w:rPr>
            </w:pPr>
            <w:r w:rsidRPr="006C7B31">
              <w:rPr>
                <w:b/>
                <w:sz w:val="22"/>
                <w:szCs w:val="22"/>
              </w:rPr>
              <w:t>Mean Term (Years)</w:t>
            </w:r>
          </w:p>
        </w:tc>
      </w:tr>
      <w:tr w:rsidR="00BA1D65" w:rsidRPr="001B3206" w14:paraId="205C8018" w14:textId="77777777" w:rsidTr="00350E97">
        <w:trPr>
          <w:jc w:val="center"/>
        </w:trPr>
        <w:tc>
          <w:tcPr>
            <w:tcW w:w="4678" w:type="dxa"/>
          </w:tcPr>
          <w:p w14:paraId="28B7EA0F" w14:textId="6243F629" w:rsidR="00BA1D65" w:rsidRPr="006C7B31" w:rsidRDefault="006A6B73" w:rsidP="006C7B31">
            <w:pPr>
              <w:spacing w:after="60" w:line="276" w:lineRule="auto"/>
              <w:rPr>
                <w:sz w:val="22"/>
                <w:szCs w:val="22"/>
              </w:rPr>
            </w:pPr>
            <w:r w:rsidRPr="006C7B31">
              <w:rPr>
                <w:sz w:val="22"/>
                <w:szCs w:val="22"/>
              </w:rPr>
              <w:t>55</w:t>
            </w:r>
            <w:r w:rsidR="00BA1D65" w:rsidRPr="006C7B31">
              <w:rPr>
                <w:sz w:val="22"/>
                <w:szCs w:val="22"/>
              </w:rPr>
              <w:t xml:space="preserve">% </w:t>
            </w:r>
            <w:r w:rsidR="00776788">
              <w:rPr>
                <w:sz w:val="22"/>
                <w:szCs w:val="22"/>
              </w:rPr>
              <w:t xml:space="preserve">of accrued Annual Leave will be used up </w:t>
            </w:r>
            <w:r w:rsidR="00BA1D65" w:rsidRPr="006C7B31">
              <w:rPr>
                <w:sz w:val="22"/>
                <w:szCs w:val="22"/>
              </w:rPr>
              <w:t>within 12 months</w:t>
            </w:r>
          </w:p>
        </w:tc>
        <w:tc>
          <w:tcPr>
            <w:tcW w:w="2552" w:type="dxa"/>
          </w:tcPr>
          <w:p w14:paraId="329B0D81" w14:textId="59AE2697" w:rsidR="00BA1D65" w:rsidRPr="006C7B31" w:rsidRDefault="001B3206" w:rsidP="006C7B31">
            <w:pPr>
              <w:spacing w:after="60" w:line="276" w:lineRule="auto"/>
              <w:rPr>
                <w:sz w:val="22"/>
                <w:szCs w:val="22"/>
              </w:rPr>
            </w:pPr>
            <w:r w:rsidRPr="006C7B31">
              <w:rPr>
                <w:sz w:val="22"/>
                <w:szCs w:val="22"/>
              </w:rPr>
              <w:t>55</w:t>
            </w:r>
            <w:r w:rsidR="00BA1D65" w:rsidRPr="006C7B31">
              <w:rPr>
                <w:sz w:val="22"/>
                <w:szCs w:val="22"/>
              </w:rPr>
              <w:t xml:space="preserve">% x </w:t>
            </w:r>
            <w:r w:rsidRPr="006C7B31">
              <w:rPr>
                <w:sz w:val="22"/>
                <w:szCs w:val="22"/>
              </w:rPr>
              <w:t>0</w:t>
            </w:r>
            <w:r w:rsidR="00BA1D65" w:rsidRPr="006C7B31">
              <w:rPr>
                <w:sz w:val="22"/>
                <w:szCs w:val="22"/>
              </w:rPr>
              <w:t>.5yr (6 months) =</w:t>
            </w:r>
          </w:p>
        </w:tc>
        <w:tc>
          <w:tcPr>
            <w:tcW w:w="1984" w:type="dxa"/>
          </w:tcPr>
          <w:p w14:paraId="0161CF5B" w14:textId="3B4B4504" w:rsidR="00BA1D65" w:rsidRPr="006C7B31" w:rsidRDefault="00E8563A" w:rsidP="00776788">
            <w:pPr>
              <w:spacing w:after="60" w:line="276" w:lineRule="auto"/>
              <w:jc w:val="center"/>
              <w:rPr>
                <w:sz w:val="22"/>
                <w:szCs w:val="22"/>
              </w:rPr>
            </w:pPr>
            <w:r w:rsidRPr="006C7B31">
              <w:rPr>
                <w:sz w:val="22"/>
                <w:szCs w:val="22"/>
              </w:rPr>
              <w:t>0</w:t>
            </w:r>
            <w:r w:rsidR="00BA1D65" w:rsidRPr="006C7B31">
              <w:rPr>
                <w:sz w:val="22"/>
                <w:szCs w:val="22"/>
              </w:rPr>
              <w:t>.</w:t>
            </w:r>
            <w:r w:rsidRPr="006C7B31">
              <w:rPr>
                <w:sz w:val="22"/>
                <w:szCs w:val="22"/>
              </w:rPr>
              <w:t>275</w:t>
            </w:r>
            <w:r w:rsidR="00B97F50">
              <w:rPr>
                <w:sz w:val="22"/>
                <w:szCs w:val="22"/>
              </w:rPr>
              <w:t>0</w:t>
            </w:r>
          </w:p>
        </w:tc>
      </w:tr>
      <w:tr w:rsidR="00BA1D65" w:rsidRPr="001B3206" w14:paraId="70E53444" w14:textId="77777777" w:rsidTr="00350E97">
        <w:trPr>
          <w:jc w:val="center"/>
        </w:trPr>
        <w:tc>
          <w:tcPr>
            <w:tcW w:w="4678" w:type="dxa"/>
            <w:vMerge w:val="restart"/>
          </w:tcPr>
          <w:p w14:paraId="17AAEEBE" w14:textId="3E9E0E7F" w:rsidR="00BA1D65" w:rsidRPr="006C7B31" w:rsidRDefault="006A6B73" w:rsidP="006C7B31">
            <w:pPr>
              <w:spacing w:after="60" w:line="276" w:lineRule="auto"/>
              <w:rPr>
                <w:sz w:val="22"/>
                <w:szCs w:val="22"/>
              </w:rPr>
            </w:pPr>
            <w:r w:rsidRPr="006C7B31">
              <w:rPr>
                <w:sz w:val="22"/>
                <w:szCs w:val="22"/>
              </w:rPr>
              <w:t>45</w:t>
            </w:r>
            <w:r w:rsidR="00BA1D65" w:rsidRPr="006C7B31">
              <w:rPr>
                <w:sz w:val="22"/>
                <w:szCs w:val="22"/>
              </w:rPr>
              <w:t xml:space="preserve">% </w:t>
            </w:r>
            <w:r w:rsidR="00776788" w:rsidRPr="00776788">
              <w:rPr>
                <w:sz w:val="22"/>
                <w:szCs w:val="22"/>
              </w:rPr>
              <w:t>will be used up within the following 24 months</w:t>
            </w:r>
          </w:p>
        </w:tc>
        <w:tc>
          <w:tcPr>
            <w:tcW w:w="2552" w:type="dxa"/>
          </w:tcPr>
          <w:p w14:paraId="13959BB9" w14:textId="3E2BEE2B" w:rsidR="00BA1D65" w:rsidRPr="006C7B31" w:rsidRDefault="00E8563A" w:rsidP="006C7B31">
            <w:pPr>
              <w:spacing w:after="60" w:line="276" w:lineRule="auto"/>
              <w:rPr>
                <w:sz w:val="22"/>
                <w:szCs w:val="22"/>
              </w:rPr>
            </w:pPr>
            <w:r w:rsidRPr="006C7B31">
              <w:rPr>
                <w:sz w:val="22"/>
                <w:szCs w:val="22"/>
              </w:rPr>
              <w:t>22.5</w:t>
            </w:r>
            <w:r w:rsidR="00BA1D65" w:rsidRPr="006C7B31">
              <w:rPr>
                <w:sz w:val="22"/>
                <w:szCs w:val="22"/>
              </w:rPr>
              <w:t>% x 1.5yrs =</w:t>
            </w:r>
          </w:p>
        </w:tc>
        <w:tc>
          <w:tcPr>
            <w:tcW w:w="1984" w:type="dxa"/>
          </w:tcPr>
          <w:p w14:paraId="6D83B5E0" w14:textId="2FE112F9" w:rsidR="00BA1D65" w:rsidRPr="006C7B31" w:rsidRDefault="00E8563A" w:rsidP="00776788">
            <w:pPr>
              <w:spacing w:after="60" w:line="276" w:lineRule="auto"/>
              <w:jc w:val="center"/>
              <w:rPr>
                <w:sz w:val="22"/>
                <w:szCs w:val="22"/>
              </w:rPr>
            </w:pPr>
            <w:r w:rsidRPr="006C7B31">
              <w:rPr>
                <w:sz w:val="22"/>
                <w:szCs w:val="22"/>
              </w:rPr>
              <w:t>0.33</w:t>
            </w:r>
            <w:r w:rsidR="00B97F50">
              <w:rPr>
                <w:sz w:val="22"/>
                <w:szCs w:val="22"/>
              </w:rPr>
              <w:t>75</w:t>
            </w:r>
          </w:p>
        </w:tc>
      </w:tr>
      <w:tr w:rsidR="00BA1D65" w:rsidRPr="001B3206" w14:paraId="465ADAF6" w14:textId="77777777" w:rsidTr="00350E97">
        <w:trPr>
          <w:jc w:val="center"/>
        </w:trPr>
        <w:tc>
          <w:tcPr>
            <w:tcW w:w="4678" w:type="dxa"/>
            <w:vMerge/>
          </w:tcPr>
          <w:p w14:paraId="24130DDD" w14:textId="77777777" w:rsidR="00BA1D65" w:rsidRPr="007505A0" w:rsidRDefault="00BA1D65" w:rsidP="00372AB3">
            <w:pPr>
              <w:spacing w:after="60" w:line="276" w:lineRule="auto"/>
              <w:rPr>
                <w:sz w:val="22"/>
                <w:szCs w:val="22"/>
              </w:rPr>
            </w:pPr>
          </w:p>
        </w:tc>
        <w:tc>
          <w:tcPr>
            <w:tcW w:w="2552" w:type="dxa"/>
          </w:tcPr>
          <w:p w14:paraId="0A07A630" w14:textId="36E89064" w:rsidR="00BA1D65" w:rsidRPr="00776788" w:rsidRDefault="00E8563A" w:rsidP="00776788">
            <w:pPr>
              <w:spacing w:after="60" w:line="276" w:lineRule="auto"/>
              <w:rPr>
                <w:sz w:val="22"/>
                <w:szCs w:val="22"/>
              </w:rPr>
            </w:pPr>
            <w:r w:rsidRPr="00776788">
              <w:rPr>
                <w:sz w:val="22"/>
                <w:szCs w:val="22"/>
              </w:rPr>
              <w:t>22.5</w:t>
            </w:r>
            <w:r w:rsidR="00BA1D65" w:rsidRPr="00776788">
              <w:rPr>
                <w:sz w:val="22"/>
                <w:szCs w:val="22"/>
              </w:rPr>
              <w:t>% x 2.5yrs =</w:t>
            </w:r>
          </w:p>
        </w:tc>
        <w:tc>
          <w:tcPr>
            <w:tcW w:w="1984" w:type="dxa"/>
          </w:tcPr>
          <w:p w14:paraId="627F3D2D" w14:textId="05CF1495" w:rsidR="00BA1D65" w:rsidRPr="00776788" w:rsidRDefault="00E8563A" w:rsidP="00776788">
            <w:pPr>
              <w:spacing w:after="60" w:line="276" w:lineRule="auto"/>
              <w:jc w:val="center"/>
              <w:rPr>
                <w:sz w:val="22"/>
                <w:szCs w:val="22"/>
              </w:rPr>
            </w:pPr>
            <w:r w:rsidRPr="00776788">
              <w:rPr>
                <w:sz w:val="22"/>
                <w:szCs w:val="22"/>
              </w:rPr>
              <w:t>0.56</w:t>
            </w:r>
            <w:r w:rsidR="00B97F50">
              <w:rPr>
                <w:sz w:val="22"/>
                <w:szCs w:val="22"/>
              </w:rPr>
              <w:t>25</w:t>
            </w:r>
          </w:p>
        </w:tc>
      </w:tr>
      <w:tr w:rsidR="00BA1D65" w:rsidRPr="001B3206" w14:paraId="05FC474B" w14:textId="77777777" w:rsidTr="00350E97">
        <w:trPr>
          <w:jc w:val="center"/>
        </w:trPr>
        <w:tc>
          <w:tcPr>
            <w:tcW w:w="7230" w:type="dxa"/>
            <w:gridSpan w:val="2"/>
          </w:tcPr>
          <w:p w14:paraId="268EF3A0" w14:textId="2353B37A" w:rsidR="00BA1D65" w:rsidRPr="00776788" w:rsidRDefault="00776788" w:rsidP="006C7B31">
            <w:pPr>
              <w:spacing w:after="60" w:line="276" w:lineRule="auto"/>
              <w:rPr>
                <w:b/>
                <w:bCs/>
                <w:sz w:val="22"/>
                <w:szCs w:val="22"/>
              </w:rPr>
            </w:pPr>
            <w:r w:rsidRPr="00776788">
              <w:rPr>
                <w:b/>
                <w:bCs/>
                <w:sz w:val="22"/>
                <w:szCs w:val="22"/>
              </w:rPr>
              <w:t>Total</w:t>
            </w:r>
          </w:p>
        </w:tc>
        <w:tc>
          <w:tcPr>
            <w:tcW w:w="1984" w:type="dxa"/>
          </w:tcPr>
          <w:p w14:paraId="5524F5F3" w14:textId="74553BB8" w:rsidR="00BA1D65" w:rsidRPr="00776788" w:rsidRDefault="00E8563A" w:rsidP="00776788">
            <w:pPr>
              <w:spacing w:after="60" w:line="276" w:lineRule="auto"/>
              <w:jc w:val="center"/>
              <w:rPr>
                <w:b/>
                <w:bCs/>
                <w:sz w:val="22"/>
                <w:szCs w:val="22"/>
              </w:rPr>
            </w:pPr>
            <w:r w:rsidRPr="00776788">
              <w:rPr>
                <w:b/>
                <w:bCs/>
                <w:sz w:val="22"/>
                <w:szCs w:val="22"/>
              </w:rPr>
              <w:t>1.175</w:t>
            </w:r>
            <w:r w:rsidR="00B97F50">
              <w:rPr>
                <w:b/>
                <w:bCs/>
                <w:sz w:val="22"/>
                <w:szCs w:val="22"/>
              </w:rPr>
              <w:t>0</w:t>
            </w:r>
          </w:p>
        </w:tc>
      </w:tr>
    </w:tbl>
    <w:bookmarkEnd w:id="59"/>
    <w:p w14:paraId="6D49F641" w14:textId="77777777" w:rsidR="00BA1D65" w:rsidRPr="00F80FED" w:rsidRDefault="00BA1D65" w:rsidP="006C7B31">
      <w:pPr>
        <w:jc w:val="both"/>
        <w:rPr>
          <w:bCs/>
          <w:sz w:val="22"/>
          <w:szCs w:val="22"/>
          <w:u w:val="single"/>
        </w:rPr>
      </w:pPr>
      <w:r w:rsidRPr="00F80FED">
        <w:rPr>
          <w:bCs/>
          <w:sz w:val="22"/>
          <w:szCs w:val="22"/>
          <w:u w:val="single"/>
        </w:rPr>
        <w:lastRenderedPageBreak/>
        <w:t>3. AL Present Value Factor (PVF)</w:t>
      </w:r>
    </w:p>
    <w:p w14:paraId="49791B11" w14:textId="77777777" w:rsidR="00BA1D65" w:rsidRPr="006C7B31" w:rsidRDefault="00BA1D65" w:rsidP="006C7B31">
      <w:pPr>
        <w:jc w:val="both"/>
        <w:rPr>
          <w:sz w:val="22"/>
          <w:szCs w:val="22"/>
        </w:rPr>
      </w:pPr>
      <w:r w:rsidRPr="006C7B31">
        <w:rPr>
          <w:sz w:val="22"/>
          <w:szCs w:val="22"/>
        </w:rPr>
        <w:t>The annual leave present value factor (or discount factor) is calculated as follows:</w:t>
      </w:r>
    </w:p>
    <w:p w14:paraId="461033F7" w14:textId="3E4B5724" w:rsidR="00BA1D65" w:rsidRPr="006C7B31" w:rsidRDefault="00BA1D65" w:rsidP="006C7B31">
      <w:pPr>
        <w:jc w:val="both"/>
        <w:rPr>
          <w:sz w:val="22"/>
          <w:szCs w:val="22"/>
        </w:rPr>
      </w:pPr>
      <w:r w:rsidRPr="006C7B31">
        <w:rPr>
          <w:sz w:val="22"/>
          <w:szCs w:val="22"/>
        </w:rPr>
        <w:t xml:space="preserve">Present Value Factor = </w:t>
      </w:r>
      <w:r w:rsidRPr="006C7B31">
        <w:rPr>
          <w:sz w:val="22"/>
          <w:szCs w:val="22"/>
          <w:u w:val="single"/>
        </w:rPr>
        <w:t xml:space="preserve">(1 + Salary Growth Rate*) </w:t>
      </w:r>
      <w:r w:rsidRPr="006C7B31">
        <w:rPr>
          <w:sz w:val="22"/>
          <w:szCs w:val="22"/>
          <w:u w:val="single"/>
          <w:vertAlign w:val="superscript"/>
        </w:rPr>
        <w:t>(</w:t>
      </w:r>
      <w:r w:rsidR="005F6796" w:rsidRPr="006C7B31">
        <w:rPr>
          <w:sz w:val="22"/>
          <w:szCs w:val="22"/>
          <w:u w:val="single"/>
          <w:vertAlign w:val="superscript"/>
        </w:rPr>
        <w:t>1.5 years</w:t>
      </w:r>
      <w:r w:rsidRPr="006C7B31">
        <w:rPr>
          <w:sz w:val="22"/>
          <w:szCs w:val="22"/>
          <w:u w:val="single"/>
          <w:vertAlign w:val="superscript"/>
        </w:rPr>
        <w:t xml:space="preserve"> – Delay**)</w:t>
      </w:r>
      <w:r w:rsidRPr="006C7B31">
        <w:rPr>
          <w:sz w:val="22"/>
          <w:szCs w:val="22"/>
        </w:rPr>
        <w:t xml:space="preserve"> </w:t>
      </w:r>
    </w:p>
    <w:p w14:paraId="76A66DEF" w14:textId="77777777" w:rsidR="00BA1D65" w:rsidRPr="006C7B31" w:rsidRDefault="00BA1D65" w:rsidP="006C7B31">
      <w:pPr>
        <w:ind w:left="2694"/>
        <w:jc w:val="both"/>
      </w:pPr>
      <w:r w:rsidRPr="006C7B31">
        <w:rPr>
          <w:sz w:val="22"/>
          <w:szCs w:val="22"/>
        </w:rPr>
        <w:t>(1 + One Year Bond Yield)</w:t>
      </w:r>
    </w:p>
    <w:p w14:paraId="69D4568B" w14:textId="5481F00E" w:rsidR="00BA1D65" w:rsidRPr="006C7B31" w:rsidRDefault="00BA1D65" w:rsidP="006C7B31">
      <w:pPr>
        <w:spacing w:after="120" w:line="276" w:lineRule="auto"/>
        <w:ind w:left="142" w:hanging="142"/>
        <w:jc w:val="both"/>
        <w:rPr>
          <w:sz w:val="22"/>
          <w:szCs w:val="22"/>
        </w:rPr>
      </w:pPr>
      <w:r w:rsidRPr="006C7B31">
        <w:rPr>
          <w:sz w:val="22"/>
          <w:szCs w:val="22"/>
        </w:rPr>
        <w:t xml:space="preserve">*Salary Growth Rate - is the </w:t>
      </w:r>
      <w:r w:rsidR="005F6796" w:rsidRPr="006C7B31">
        <w:rPr>
          <w:sz w:val="22"/>
          <w:szCs w:val="22"/>
        </w:rPr>
        <w:t xml:space="preserve">weighted </w:t>
      </w:r>
      <w:r w:rsidRPr="006C7B31">
        <w:rPr>
          <w:sz w:val="22"/>
          <w:szCs w:val="22"/>
        </w:rPr>
        <w:t>average annual salary increase expected over the next two to three years.</w:t>
      </w:r>
    </w:p>
    <w:p w14:paraId="120901EB" w14:textId="36FBA813" w:rsidR="00BA1D65" w:rsidRDefault="00BA1D65" w:rsidP="006C7B31">
      <w:pPr>
        <w:spacing w:after="120" w:line="276" w:lineRule="auto"/>
        <w:jc w:val="both"/>
        <w:rPr>
          <w:sz w:val="22"/>
          <w:szCs w:val="22"/>
        </w:rPr>
      </w:pPr>
      <w:r w:rsidRPr="006C7B31">
        <w:rPr>
          <w:sz w:val="22"/>
          <w:szCs w:val="22"/>
        </w:rPr>
        <w:t>**Delay - is the average delay, in years, before the first year’s general salary increase(s).</w:t>
      </w:r>
    </w:p>
    <w:p w14:paraId="26B2BAE9" w14:textId="77777777" w:rsidR="00BA1D65" w:rsidRPr="00F80FED" w:rsidRDefault="00BA1D65" w:rsidP="00F80FED">
      <w:pPr>
        <w:spacing w:before="240" w:after="60"/>
        <w:jc w:val="both"/>
        <w:rPr>
          <w:bCs/>
          <w:i/>
          <w:iCs/>
          <w:sz w:val="22"/>
          <w:szCs w:val="22"/>
        </w:rPr>
      </w:pPr>
      <w:r w:rsidRPr="00F80FED">
        <w:rPr>
          <w:bCs/>
          <w:i/>
          <w:iCs/>
          <w:sz w:val="22"/>
          <w:szCs w:val="22"/>
        </w:rPr>
        <w:t>Example</w:t>
      </w:r>
    </w:p>
    <w:p w14:paraId="31B943C1" w14:textId="5D155E51" w:rsidR="00BA1D65" w:rsidRPr="006C7B31" w:rsidRDefault="00A81E5B" w:rsidP="006C7B31">
      <w:pPr>
        <w:spacing w:after="120" w:line="276" w:lineRule="auto"/>
        <w:jc w:val="both"/>
        <w:rPr>
          <w:sz w:val="22"/>
          <w:szCs w:val="22"/>
        </w:rPr>
      </w:pPr>
      <w:r w:rsidRPr="006C7B31">
        <w:rPr>
          <w:sz w:val="22"/>
          <w:szCs w:val="22"/>
        </w:rPr>
        <w:t xml:space="preserve">Assume a </w:t>
      </w:r>
      <w:proofErr w:type="gramStart"/>
      <w:r w:rsidRPr="006C7B31">
        <w:rPr>
          <w:sz w:val="22"/>
          <w:szCs w:val="22"/>
        </w:rPr>
        <w:t>one year</w:t>
      </w:r>
      <w:proofErr w:type="gramEnd"/>
      <w:r w:rsidRPr="006C7B31">
        <w:rPr>
          <w:sz w:val="22"/>
          <w:szCs w:val="22"/>
        </w:rPr>
        <w:t xml:space="preserve"> bond rate of 2.</w:t>
      </w:r>
      <w:r w:rsidR="004F6876">
        <w:rPr>
          <w:sz w:val="22"/>
          <w:szCs w:val="22"/>
        </w:rPr>
        <w:t>75</w:t>
      </w:r>
      <w:r w:rsidRPr="006C7B31">
        <w:rPr>
          <w:sz w:val="22"/>
          <w:szCs w:val="22"/>
        </w:rPr>
        <w:t xml:space="preserve"> per cent and an </w:t>
      </w:r>
      <w:r w:rsidR="00BA1D65" w:rsidRPr="006C7B31">
        <w:rPr>
          <w:sz w:val="22"/>
          <w:szCs w:val="22"/>
        </w:rPr>
        <w:t>expected average salary growth over the next three years is 3 per cent per annum with the scheduled salary increases to be in increments of 1.5 per cent:</w:t>
      </w:r>
    </w:p>
    <w:p w14:paraId="2B69050D" w14:textId="77777777" w:rsidR="00BA1D65" w:rsidRPr="006C7B31" w:rsidRDefault="00BA1D65" w:rsidP="006C7B31">
      <w:pPr>
        <w:numPr>
          <w:ilvl w:val="0"/>
          <w:numId w:val="22"/>
        </w:numPr>
        <w:spacing w:after="120" w:line="276" w:lineRule="auto"/>
        <w:ind w:left="850" w:hanging="357"/>
        <w:jc w:val="both"/>
        <w:rPr>
          <w:sz w:val="22"/>
          <w:szCs w:val="22"/>
        </w:rPr>
      </w:pPr>
      <w:r w:rsidRPr="006C7B31">
        <w:rPr>
          <w:sz w:val="22"/>
          <w:szCs w:val="22"/>
        </w:rPr>
        <w:t xml:space="preserve">First scheduled increase, immediately after the balance </w:t>
      </w:r>
      <w:proofErr w:type="gramStart"/>
      <w:r w:rsidRPr="006C7B31">
        <w:rPr>
          <w:sz w:val="22"/>
          <w:szCs w:val="22"/>
        </w:rPr>
        <w:t>date;</w:t>
      </w:r>
      <w:proofErr w:type="gramEnd"/>
      <w:r w:rsidRPr="006C7B31">
        <w:rPr>
          <w:sz w:val="22"/>
          <w:szCs w:val="22"/>
        </w:rPr>
        <w:t xml:space="preserve"> </w:t>
      </w:r>
    </w:p>
    <w:p w14:paraId="76F39790" w14:textId="77777777" w:rsidR="00BA1D65" w:rsidRPr="006C7B31" w:rsidRDefault="00BA1D65" w:rsidP="006C7B31">
      <w:pPr>
        <w:numPr>
          <w:ilvl w:val="0"/>
          <w:numId w:val="22"/>
        </w:numPr>
        <w:spacing w:after="120" w:line="276" w:lineRule="auto"/>
        <w:ind w:left="850" w:hanging="357"/>
        <w:jc w:val="both"/>
        <w:rPr>
          <w:sz w:val="22"/>
          <w:szCs w:val="22"/>
        </w:rPr>
      </w:pPr>
      <w:r w:rsidRPr="006C7B31">
        <w:rPr>
          <w:sz w:val="22"/>
          <w:szCs w:val="22"/>
        </w:rPr>
        <w:t xml:space="preserve">Second scheduled increase, nine months after the balance date; and </w:t>
      </w:r>
    </w:p>
    <w:p w14:paraId="7A0A7954" w14:textId="77777777" w:rsidR="00BA1D65" w:rsidRPr="006C7B31" w:rsidRDefault="00BA1D65" w:rsidP="006C7B31">
      <w:pPr>
        <w:numPr>
          <w:ilvl w:val="0"/>
          <w:numId w:val="22"/>
        </w:numPr>
        <w:spacing w:after="120" w:line="276" w:lineRule="auto"/>
        <w:ind w:left="851" w:hanging="357"/>
        <w:jc w:val="both"/>
        <w:rPr>
          <w:sz w:val="22"/>
          <w:szCs w:val="22"/>
        </w:rPr>
      </w:pPr>
      <w:r w:rsidRPr="006C7B31">
        <w:rPr>
          <w:sz w:val="22"/>
          <w:szCs w:val="22"/>
        </w:rPr>
        <w:t>Thereafter scheduled increases each six months.</w:t>
      </w:r>
    </w:p>
    <w:p w14:paraId="11E47F03" w14:textId="772B606B" w:rsidR="00BA1D65" w:rsidRPr="006C7B31" w:rsidRDefault="00BA1D65" w:rsidP="006C7B31">
      <w:pPr>
        <w:spacing w:after="120" w:line="276" w:lineRule="auto"/>
        <w:jc w:val="both"/>
        <w:rPr>
          <w:sz w:val="22"/>
          <w:szCs w:val="22"/>
        </w:rPr>
      </w:pPr>
      <w:r w:rsidRPr="006C7B31">
        <w:rPr>
          <w:sz w:val="22"/>
          <w:szCs w:val="22"/>
        </w:rPr>
        <w:t xml:space="preserve">As a result, the: </w:t>
      </w:r>
    </w:p>
    <w:p w14:paraId="05E94779" w14:textId="3F45D3E9" w:rsidR="00BA1D65" w:rsidRPr="006C7B31" w:rsidRDefault="00BA1D65" w:rsidP="006C7B31">
      <w:pPr>
        <w:pStyle w:val="ListParagraph"/>
        <w:numPr>
          <w:ilvl w:val="0"/>
          <w:numId w:val="37"/>
        </w:numPr>
        <w:spacing w:after="120" w:line="276" w:lineRule="auto"/>
        <w:ind w:left="714" w:hanging="357"/>
        <w:contextualSpacing w:val="0"/>
        <w:jc w:val="both"/>
        <w:rPr>
          <w:sz w:val="22"/>
          <w:szCs w:val="22"/>
        </w:rPr>
      </w:pPr>
      <w:r w:rsidRPr="006C7B31">
        <w:rPr>
          <w:sz w:val="22"/>
          <w:szCs w:val="22"/>
        </w:rPr>
        <w:t>Salary Growth Rate = 3 per cent</w:t>
      </w:r>
    </w:p>
    <w:p w14:paraId="7D206FBA" w14:textId="77777777" w:rsidR="006A7E44" w:rsidRPr="006C7B31" w:rsidRDefault="00BA1D65" w:rsidP="006C7B31">
      <w:pPr>
        <w:pStyle w:val="ListParagraph"/>
        <w:numPr>
          <w:ilvl w:val="0"/>
          <w:numId w:val="37"/>
        </w:numPr>
        <w:spacing w:after="120" w:line="276" w:lineRule="auto"/>
        <w:contextualSpacing w:val="0"/>
        <w:jc w:val="both"/>
        <w:rPr>
          <w:b/>
          <w:sz w:val="22"/>
          <w:szCs w:val="22"/>
        </w:rPr>
      </w:pPr>
      <w:r w:rsidRPr="006C7B31">
        <w:rPr>
          <w:sz w:val="22"/>
          <w:szCs w:val="22"/>
        </w:rPr>
        <w:t>Delay = 0.375 (average of 0 and nine months, expressed in years i.e. (0+0.75)/2 = 0.375</w:t>
      </w:r>
    </w:p>
    <w:p w14:paraId="2E35D61A" w14:textId="77777777" w:rsidR="006A7E44" w:rsidRDefault="006A7E44" w:rsidP="00F80FED">
      <w:pPr>
        <w:spacing w:after="0"/>
        <w:jc w:val="both"/>
        <w:rPr>
          <w:b/>
          <w:sz w:val="22"/>
          <w:szCs w:val="22"/>
        </w:rPr>
      </w:pPr>
    </w:p>
    <w:p w14:paraId="475F2DC1" w14:textId="537442DC" w:rsidR="00BA1D65" w:rsidRPr="00F80FED" w:rsidRDefault="00BA1D65" w:rsidP="006C7B31">
      <w:pPr>
        <w:jc w:val="both"/>
        <w:rPr>
          <w:bCs/>
          <w:i/>
          <w:iCs/>
          <w:sz w:val="22"/>
          <w:szCs w:val="22"/>
        </w:rPr>
      </w:pPr>
      <w:r w:rsidRPr="00F80FED">
        <w:rPr>
          <w:bCs/>
          <w:i/>
          <w:iCs/>
          <w:sz w:val="22"/>
          <w:szCs w:val="22"/>
        </w:rPr>
        <w:t xml:space="preserve">Calculation of </w:t>
      </w:r>
      <w:r w:rsidR="006A7E44" w:rsidRPr="00F80FED">
        <w:rPr>
          <w:bCs/>
          <w:i/>
          <w:iCs/>
          <w:sz w:val="22"/>
          <w:szCs w:val="22"/>
        </w:rPr>
        <w:t xml:space="preserve">AL </w:t>
      </w:r>
      <w:r w:rsidRPr="00F80FED">
        <w:rPr>
          <w:bCs/>
          <w:i/>
          <w:iCs/>
          <w:sz w:val="22"/>
          <w:szCs w:val="22"/>
        </w:rPr>
        <w:t>PVF</w:t>
      </w:r>
    </w:p>
    <w:p w14:paraId="296B26BF" w14:textId="77777777" w:rsidR="00BA1D65" w:rsidRPr="006C7B31" w:rsidRDefault="00BA1D65" w:rsidP="006C7B31">
      <w:pPr>
        <w:jc w:val="both"/>
        <w:rPr>
          <w:sz w:val="22"/>
          <w:szCs w:val="22"/>
        </w:rPr>
      </w:pPr>
      <w:r w:rsidRPr="006C7B31">
        <w:rPr>
          <w:sz w:val="22"/>
          <w:szCs w:val="22"/>
        </w:rPr>
        <w:t>This gives a present value factor of:</w:t>
      </w:r>
    </w:p>
    <w:p w14:paraId="0EBA3ADE" w14:textId="453C77B2" w:rsidR="00BA1D65" w:rsidRPr="006C7B31" w:rsidRDefault="00BA1D65" w:rsidP="006C7B31">
      <w:pPr>
        <w:jc w:val="both"/>
        <w:rPr>
          <w:sz w:val="22"/>
          <w:szCs w:val="22"/>
        </w:rPr>
      </w:pPr>
      <w:r w:rsidRPr="006C7B31">
        <w:rPr>
          <w:sz w:val="22"/>
          <w:szCs w:val="22"/>
        </w:rPr>
        <w:t xml:space="preserve">PVF = </w:t>
      </w:r>
      <w:r w:rsidRPr="006C7B31">
        <w:rPr>
          <w:sz w:val="22"/>
          <w:szCs w:val="22"/>
          <w:u w:val="single"/>
        </w:rPr>
        <w:t>(1+</w:t>
      </w:r>
      <w:r w:rsidR="005F6796" w:rsidRPr="006C7B31">
        <w:rPr>
          <w:sz w:val="22"/>
          <w:szCs w:val="22"/>
          <w:u w:val="single"/>
        </w:rPr>
        <w:t>0</w:t>
      </w:r>
      <w:r w:rsidRPr="006C7B31">
        <w:rPr>
          <w:sz w:val="22"/>
          <w:szCs w:val="22"/>
          <w:u w:val="single"/>
        </w:rPr>
        <w:t xml:space="preserve">.03) </w:t>
      </w:r>
      <w:r w:rsidRPr="006C7B31">
        <w:rPr>
          <w:sz w:val="22"/>
          <w:szCs w:val="22"/>
          <w:u w:val="single"/>
          <w:vertAlign w:val="superscript"/>
        </w:rPr>
        <w:t>(1.5 - 0.375)</w:t>
      </w:r>
    </w:p>
    <w:p w14:paraId="19710315" w14:textId="5AC5EA6D" w:rsidR="00BA1D65" w:rsidRPr="006C7B31" w:rsidRDefault="005F6796" w:rsidP="006C7B31">
      <w:pPr>
        <w:jc w:val="both"/>
        <w:rPr>
          <w:sz w:val="22"/>
          <w:szCs w:val="22"/>
        </w:rPr>
      </w:pPr>
      <w:r w:rsidRPr="006C7B31">
        <w:rPr>
          <w:sz w:val="22"/>
          <w:szCs w:val="22"/>
        </w:rPr>
        <w:t xml:space="preserve">              </w:t>
      </w:r>
      <w:r w:rsidR="00BA1D65" w:rsidRPr="006C7B31">
        <w:rPr>
          <w:sz w:val="22"/>
          <w:szCs w:val="22"/>
        </w:rPr>
        <w:t xml:space="preserve">(1+ </w:t>
      </w:r>
      <w:r w:rsidR="006A7E44" w:rsidRPr="006C7B31">
        <w:rPr>
          <w:sz w:val="22"/>
          <w:szCs w:val="22"/>
        </w:rPr>
        <w:t>0</w:t>
      </w:r>
      <w:r w:rsidR="00BA1D65" w:rsidRPr="006C7B31">
        <w:rPr>
          <w:sz w:val="22"/>
          <w:szCs w:val="22"/>
        </w:rPr>
        <w:t>.0</w:t>
      </w:r>
      <w:r w:rsidR="006A7E44" w:rsidRPr="006C7B31">
        <w:rPr>
          <w:sz w:val="22"/>
          <w:szCs w:val="22"/>
        </w:rPr>
        <w:t>275</w:t>
      </w:r>
      <w:r w:rsidR="00BA1D65" w:rsidRPr="006C7B31">
        <w:rPr>
          <w:sz w:val="22"/>
          <w:szCs w:val="22"/>
        </w:rPr>
        <w:t xml:space="preserve">) </w:t>
      </w:r>
    </w:p>
    <w:p w14:paraId="1F900B75" w14:textId="77777777" w:rsidR="00BA1D65" w:rsidRPr="00F80FED" w:rsidRDefault="00BA1D65" w:rsidP="00F80FED">
      <w:pPr>
        <w:spacing w:after="120"/>
        <w:jc w:val="both"/>
        <w:rPr>
          <w:sz w:val="16"/>
          <w:szCs w:val="16"/>
        </w:rPr>
      </w:pPr>
    </w:p>
    <w:p w14:paraId="74143E46" w14:textId="77777777" w:rsidR="00BA1D65" w:rsidRPr="006C7B31" w:rsidRDefault="00BA1D65" w:rsidP="006C7B31">
      <w:pPr>
        <w:jc w:val="both"/>
        <w:rPr>
          <w:sz w:val="22"/>
          <w:szCs w:val="22"/>
        </w:rPr>
      </w:pPr>
      <w:r w:rsidRPr="006C7B31">
        <w:rPr>
          <w:sz w:val="22"/>
          <w:szCs w:val="22"/>
        </w:rPr>
        <w:t xml:space="preserve">PVF = </w:t>
      </w:r>
      <w:r w:rsidRPr="006C7B31">
        <w:rPr>
          <w:sz w:val="22"/>
          <w:szCs w:val="22"/>
          <w:u w:val="single"/>
        </w:rPr>
        <w:t xml:space="preserve">(1.03) </w:t>
      </w:r>
      <w:r w:rsidRPr="006C7B31">
        <w:rPr>
          <w:sz w:val="22"/>
          <w:szCs w:val="22"/>
          <w:u w:val="single"/>
          <w:vertAlign w:val="superscript"/>
        </w:rPr>
        <w:t>(1.125)</w:t>
      </w:r>
    </w:p>
    <w:p w14:paraId="47A5FB2A" w14:textId="5E816548" w:rsidR="00BA1D65" w:rsidRPr="006C7B31" w:rsidRDefault="006A7E44" w:rsidP="006C7B31">
      <w:pPr>
        <w:jc w:val="both"/>
        <w:rPr>
          <w:sz w:val="22"/>
          <w:szCs w:val="22"/>
        </w:rPr>
      </w:pPr>
      <w:r w:rsidRPr="006C7B31">
        <w:rPr>
          <w:sz w:val="22"/>
          <w:szCs w:val="22"/>
        </w:rPr>
        <w:t xml:space="preserve">              </w:t>
      </w:r>
      <w:r w:rsidR="00BA1D65" w:rsidRPr="006C7B31">
        <w:rPr>
          <w:sz w:val="22"/>
          <w:szCs w:val="22"/>
        </w:rPr>
        <w:t>1.0</w:t>
      </w:r>
      <w:r w:rsidR="001F2949" w:rsidRPr="006C7B31">
        <w:rPr>
          <w:sz w:val="22"/>
          <w:szCs w:val="22"/>
        </w:rPr>
        <w:t>2</w:t>
      </w:r>
      <w:r w:rsidRPr="006C7B31">
        <w:rPr>
          <w:sz w:val="22"/>
          <w:szCs w:val="22"/>
        </w:rPr>
        <w:t>75</w:t>
      </w:r>
    </w:p>
    <w:p w14:paraId="45A15E49" w14:textId="77777777" w:rsidR="00BA1D65" w:rsidRPr="00F80FED" w:rsidRDefault="00BA1D65" w:rsidP="00F80FED">
      <w:pPr>
        <w:spacing w:after="120"/>
        <w:jc w:val="both"/>
        <w:rPr>
          <w:sz w:val="16"/>
          <w:szCs w:val="16"/>
        </w:rPr>
      </w:pPr>
    </w:p>
    <w:p w14:paraId="5AAB032A" w14:textId="77777777" w:rsidR="00BA1D65" w:rsidRPr="006C7B31" w:rsidRDefault="00BA1D65" w:rsidP="006C7B31">
      <w:pPr>
        <w:jc w:val="both"/>
        <w:rPr>
          <w:sz w:val="22"/>
          <w:szCs w:val="22"/>
          <w:u w:val="single"/>
        </w:rPr>
      </w:pPr>
      <w:r w:rsidRPr="006C7B31">
        <w:rPr>
          <w:sz w:val="22"/>
          <w:szCs w:val="22"/>
        </w:rPr>
        <w:t xml:space="preserve">PVF = </w:t>
      </w:r>
      <w:r w:rsidRPr="006C7B31">
        <w:rPr>
          <w:sz w:val="22"/>
          <w:szCs w:val="22"/>
          <w:u w:val="single"/>
        </w:rPr>
        <w:t>1.034</w:t>
      </w:r>
    </w:p>
    <w:p w14:paraId="6DA54AA1" w14:textId="66BBD644" w:rsidR="00BA1D65" w:rsidRPr="006C7B31" w:rsidRDefault="00BA1D65" w:rsidP="006C7B31">
      <w:pPr>
        <w:ind w:left="567"/>
        <w:jc w:val="both"/>
        <w:rPr>
          <w:sz w:val="22"/>
          <w:szCs w:val="22"/>
        </w:rPr>
      </w:pPr>
      <w:r w:rsidRPr="006C7B31">
        <w:rPr>
          <w:sz w:val="22"/>
          <w:szCs w:val="22"/>
        </w:rPr>
        <w:t>1.0</w:t>
      </w:r>
      <w:r w:rsidR="001F2949" w:rsidRPr="006C7B31">
        <w:rPr>
          <w:sz w:val="22"/>
          <w:szCs w:val="22"/>
        </w:rPr>
        <w:t>2</w:t>
      </w:r>
      <w:r w:rsidR="006A7E44" w:rsidRPr="006C7B31">
        <w:rPr>
          <w:sz w:val="22"/>
          <w:szCs w:val="22"/>
        </w:rPr>
        <w:t>75</w:t>
      </w:r>
    </w:p>
    <w:p w14:paraId="792D03A9" w14:textId="77777777" w:rsidR="00BA1D65" w:rsidRPr="001E5871" w:rsidRDefault="00BA1D65" w:rsidP="001E5871">
      <w:pPr>
        <w:spacing w:after="120"/>
        <w:jc w:val="both"/>
        <w:rPr>
          <w:sz w:val="16"/>
          <w:szCs w:val="16"/>
        </w:rPr>
      </w:pPr>
    </w:p>
    <w:p w14:paraId="4EF2704A" w14:textId="1CBA0517" w:rsidR="00BA1D65" w:rsidRPr="006C7B31" w:rsidRDefault="00BA1D65" w:rsidP="006C7B31">
      <w:pPr>
        <w:jc w:val="both"/>
        <w:rPr>
          <w:sz w:val="22"/>
          <w:szCs w:val="22"/>
        </w:rPr>
      </w:pPr>
      <w:r w:rsidRPr="006C7B31">
        <w:rPr>
          <w:sz w:val="22"/>
          <w:szCs w:val="22"/>
        </w:rPr>
        <w:t xml:space="preserve">PVF = </w:t>
      </w:r>
      <w:r w:rsidR="006A7E44" w:rsidRPr="006C7B31">
        <w:rPr>
          <w:sz w:val="22"/>
          <w:szCs w:val="22"/>
        </w:rPr>
        <w:t>1.006</w:t>
      </w:r>
      <w:r w:rsidRPr="006C7B31">
        <w:rPr>
          <w:sz w:val="22"/>
          <w:szCs w:val="22"/>
        </w:rPr>
        <w:t xml:space="preserve"> or </w:t>
      </w:r>
      <w:r w:rsidR="006A7E44" w:rsidRPr="006C7B31">
        <w:rPr>
          <w:sz w:val="22"/>
          <w:szCs w:val="22"/>
        </w:rPr>
        <w:t>100.6</w:t>
      </w:r>
      <w:r w:rsidRPr="006C7B31">
        <w:rPr>
          <w:sz w:val="22"/>
          <w:szCs w:val="22"/>
        </w:rPr>
        <w:t>%</w:t>
      </w:r>
    </w:p>
    <w:p w14:paraId="45CAB780" w14:textId="77777777" w:rsidR="00BA1D65" w:rsidRPr="006C7B31" w:rsidRDefault="00BA1D65" w:rsidP="00EF7F0F">
      <w:pPr>
        <w:spacing w:after="0"/>
        <w:jc w:val="both"/>
        <w:rPr>
          <w:sz w:val="22"/>
          <w:szCs w:val="22"/>
          <w:highlight w:val="yellow"/>
        </w:rPr>
      </w:pPr>
    </w:p>
    <w:p w14:paraId="0CEE8391" w14:textId="626377AA" w:rsidR="00BA1D65" w:rsidRPr="006C7B31" w:rsidRDefault="00BA1D65" w:rsidP="006C7B31">
      <w:pPr>
        <w:spacing w:after="120" w:line="276" w:lineRule="auto"/>
        <w:jc w:val="both"/>
        <w:rPr>
          <w:sz w:val="22"/>
          <w:szCs w:val="22"/>
          <w:lang w:val="en-US"/>
        </w:rPr>
      </w:pPr>
      <w:r w:rsidRPr="006C7B31">
        <w:rPr>
          <w:sz w:val="22"/>
          <w:szCs w:val="22"/>
          <w:lang w:val="en-US"/>
        </w:rPr>
        <w:t>The AL present value factor will be provided to agencies six monthly, that is</w:t>
      </w:r>
      <w:r w:rsidR="006A7E44">
        <w:rPr>
          <w:sz w:val="22"/>
          <w:szCs w:val="22"/>
          <w:lang w:val="en-US"/>
        </w:rPr>
        <w:t>,</w:t>
      </w:r>
      <w:r w:rsidRPr="006C7B31">
        <w:rPr>
          <w:sz w:val="22"/>
          <w:szCs w:val="22"/>
          <w:lang w:val="en-US"/>
        </w:rPr>
        <w:t xml:space="preserve"> at the end of December and June. Agencies may have to vary this factor depending upon the size and timing of their </w:t>
      </w:r>
      <w:proofErr w:type="gramStart"/>
      <w:r w:rsidRPr="006C7B31">
        <w:rPr>
          <w:sz w:val="22"/>
          <w:szCs w:val="22"/>
          <w:lang w:val="en-US"/>
        </w:rPr>
        <w:t>particular wage</w:t>
      </w:r>
      <w:proofErr w:type="gramEnd"/>
      <w:r w:rsidRPr="006C7B31">
        <w:rPr>
          <w:sz w:val="22"/>
          <w:szCs w:val="22"/>
          <w:lang w:val="en-US"/>
        </w:rPr>
        <w:t xml:space="preserve"> increases. Present value factors will be provided for both Not-For-Profit and For-Profit agencies.</w:t>
      </w:r>
    </w:p>
    <w:p w14:paraId="0FCD24DC" w14:textId="0149C223" w:rsidR="00BA1D65" w:rsidRPr="006C7B31" w:rsidRDefault="00B92DD7" w:rsidP="006C7B31">
      <w:pPr>
        <w:tabs>
          <w:tab w:val="left" w:pos="284"/>
        </w:tabs>
        <w:spacing w:after="120" w:line="276" w:lineRule="auto"/>
        <w:jc w:val="both"/>
        <w:rPr>
          <w:sz w:val="22"/>
          <w:szCs w:val="22"/>
        </w:rPr>
      </w:pPr>
      <w:r>
        <w:rPr>
          <w:sz w:val="22"/>
          <w:szCs w:val="22"/>
        </w:rPr>
        <w:t xml:space="preserve">The </w:t>
      </w:r>
      <w:r w:rsidR="00BA1D65" w:rsidRPr="006C7B31">
        <w:rPr>
          <w:sz w:val="22"/>
          <w:szCs w:val="22"/>
        </w:rPr>
        <w:t xml:space="preserve">Financial Reporting and Framework (FRF) </w:t>
      </w:r>
      <w:r>
        <w:rPr>
          <w:sz w:val="22"/>
          <w:szCs w:val="22"/>
        </w:rPr>
        <w:t xml:space="preserve">Branch </w:t>
      </w:r>
      <w:r w:rsidR="00BA1D65" w:rsidRPr="006C7B31">
        <w:rPr>
          <w:sz w:val="22"/>
          <w:szCs w:val="22"/>
        </w:rPr>
        <w:t xml:space="preserve">will advise the actual </w:t>
      </w:r>
      <w:r w:rsidR="006E063A">
        <w:rPr>
          <w:sz w:val="22"/>
          <w:szCs w:val="22"/>
        </w:rPr>
        <w:t>‘</w:t>
      </w:r>
      <w:r w:rsidR="00BA1D65" w:rsidRPr="006C7B31">
        <w:rPr>
          <w:sz w:val="22"/>
          <w:szCs w:val="22"/>
        </w:rPr>
        <w:t>AL -</w:t>
      </w:r>
      <w:r w:rsidR="006E063A">
        <w:rPr>
          <w:sz w:val="22"/>
          <w:szCs w:val="22"/>
        </w:rPr>
        <w:t xml:space="preserve"> </w:t>
      </w:r>
      <w:r w:rsidR="00BA1D65" w:rsidRPr="006C7B31">
        <w:rPr>
          <w:sz w:val="22"/>
          <w:szCs w:val="22"/>
        </w:rPr>
        <w:t>PVF</w:t>
      </w:r>
      <w:r w:rsidR="006E063A">
        <w:rPr>
          <w:sz w:val="22"/>
          <w:szCs w:val="22"/>
        </w:rPr>
        <w:t>’</w:t>
      </w:r>
      <w:r w:rsidR="00BA1D65" w:rsidRPr="006C7B31">
        <w:rPr>
          <w:sz w:val="22"/>
          <w:szCs w:val="22"/>
        </w:rPr>
        <w:t xml:space="preserve"> on the Accounting in the ACT Website: https://</w:t>
      </w:r>
      <w:r w:rsidR="006E063A">
        <w:rPr>
          <w:sz w:val="22"/>
          <w:szCs w:val="22"/>
        </w:rPr>
        <w:t>www</w:t>
      </w:r>
      <w:r w:rsidR="00BA1D65" w:rsidRPr="006C7B31">
        <w:rPr>
          <w:sz w:val="22"/>
          <w:szCs w:val="22"/>
        </w:rPr>
        <w:t>.treasury.act.gov.au/accounting</w:t>
      </w:r>
      <w:r w:rsidR="001E5871">
        <w:rPr>
          <w:sz w:val="22"/>
          <w:szCs w:val="22"/>
        </w:rPr>
        <w:t>.</w:t>
      </w:r>
    </w:p>
    <w:p w14:paraId="78280FD4" w14:textId="133C0A12" w:rsidR="00BA1D65" w:rsidRPr="006C7B31" w:rsidRDefault="00BA1D65" w:rsidP="006C7B31">
      <w:pPr>
        <w:spacing w:after="120" w:line="276" w:lineRule="auto"/>
        <w:jc w:val="both"/>
        <w:rPr>
          <w:sz w:val="22"/>
          <w:szCs w:val="22"/>
        </w:rPr>
      </w:pPr>
      <w:r w:rsidRPr="006C7B31">
        <w:rPr>
          <w:sz w:val="22"/>
          <w:szCs w:val="22"/>
        </w:rPr>
        <w:t>See</w:t>
      </w:r>
      <w:r w:rsidRPr="006C7B31">
        <w:rPr>
          <w:b/>
          <w:sz w:val="22"/>
          <w:szCs w:val="22"/>
        </w:rPr>
        <w:t xml:space="preserve"> </w:t>
      </w:r>
      <w:r w:rsidRPr="001E5871">
        <w:rPr>
          <w:bCs/>
          <w:i/>
          <w:iCs/>
          <w:sz w:val="22"/>
          <w:szCs w:val="22"/>
        </w:rPr>
        <w:t>Attachment B – Calculation of Annual Leave Liability and Expenses</w:t>
      </w:r>
      <w:r w:rsidRPr="006C7B31">
        <w:rPr>
          <w:b/>
          <w:sz w:val="22"/>
          <w:szCs w:val="22"/>
        </w:rPr>
        <w:t xml:space="preserve"> </w:t>
      </w:r>
      <w:r w:rsidRPr="006C7B31">
        <w:rPr>
          <w:sz w:val="22"/>
          <w:szCs w:val="22"/>
        </w:rPr>
        <w:t>for an example of how to apply the present value short-hand step in the calculation of long-term annual leave liability.</w:t>
      </w:r>
    </w:p>
    <w:p w14:paraId="3B45CC48" w14:textId="77777777" w:rsidR="00BA1D65" w:rsidRPr="00CB1038" w:rsidRDefault="00BA1D65" w:rsidP="00372AB3">
      <w:pPr>
        <w:pStyle w:val="Heading2"/>
        <w:spacing w:before="360" w:line="276" w:lineRule="auto"/>
      </w:pPr>
      <w:bookmarkStart w:id="60" w:name="_Toc79159881"/>
      <w:bookmarkStart w:id="61" w:name="_Toc137036630"/>
      <w:r>
        <w:lastRenderedPageBreak/>
        <w:t xml:space="preserve">3.3 </w:t>
      </w:r>
      <w:r w:rsidRPr="00CB1038">
        <w:t>Shared Services Agencies</w:t>
      </w:r>
      <w:bookmarkEnd w:id="60"/>
      <w:bookmarkEnd w:id="61"/>
    </w:p>
    <w:p w14:paraId="7FBAB32E" w14:textId="77777777" w:rsidR="00BA1D65" w:rsidRPr="006C7B31" w:rsidRDefault="00BA1D65" w:rsidP="006C7B31">
      <w:pPr>
        <w:spacing w:after="120" w:line="276" w:lineRule="auto"/>
        <w:jc w:val="both"/>
        <w:rPr>
          <w:sz w:val="22"/>
          <w:szCs w:val="22"/>
        </w:rPr>
      </w:pPr>
      <w:r w:rsidRPr="006C7B31">
        <w:rPr>
          <w:sz w:val="22"/>
          <w:szCs w:val="22"/>
        </w:rPr>
        <w:t xml:space="preserve">Shared Services (SS) manages the payroll and financial reporting functions for </w:t>
      </w:r>
      <w:proofErr w:type="gramStart"/>
      <w:r w:rsidRPr="006C7B31">
        <w:rPr>
          <w:sz w:val="22"/>
          <w:szCs w:val="22"/>
        </w:rPr>
        <w:t>a number of</w:t>
      </w:r>
      <w:proofErr w:type="gramEnd"/>
      <w:r w:rsidRPr="006C7B31">
        <w:rPr>
          <w:sz w:val="22"/>
          <w:szCs w:val="22"/>
        </w:rPr>
        <w:t xml:space="preserve"> agencies.</w:t>
      </w:r>
    </w:p>
    <w:p w14:paraId="3878E16D" w14:textId="2356C353" w:rsidR="00BA1D65" w:rsidRPr="001E5871" w:rsidRDefault="00BA1D65" w:rsidP="001E5871">
      <w:pPr>
        <w:spacing w:after="120" w:line="276" w:lineRule="auto"/>
        <w:jc w:val="both"/>
        <w:rPr>
          <w:sz w:val="22"/>
          <w:szCs w:val="22"/>
        </w:rPr>
      </w:pPr>
      <w:r w:rsidRPr="001E5871">
        <w:rPr>
          <w:sz w:val="22"/>
          <w:szCs w:val="22"/>
        </w:rPr>
        <w:t>Where agencies use the SS human resources (HR) area, SS HR will apply:</w:t>
      </w:r>
    </w:p>
    <w:p w14:paraId="106CD3DD" w14:textId="0D88BDCE" w:rsidR="00BA1D65" w:rsidRPr="006C7B31" w:rsidRDefault="00BA1D65" w:rsidP="001E5871">
      <w:pPr>
        <w:pStyle w:val="ListParagraph"/>
        <w:numPr>
          <w:ilvl w:val="0"/>
          <w:numId w:val="28"/>
        </w:numPr>
        <w:spacing w:after="120" w:line="276" w:lineRule="auto"/>
        <w:ind w:left="851"/>
        <w:contextualSpacing w:val="0"/>
        <w:jc w:val="both"/>
        <w:rPr>
          <w:sz w:val="22"/>
          <w:szCs w:val="22"/>
        </w:rPr>
      </w:pPr>
      <w:r w:rsidRPr="006C7B31">
        <w:rPr>
          <w:sz w:val="22"/>
          <w:szCs w:val="22"/>
        </w:rPr>
        <w:t xml:space="preserve">LSL - the probability and on-cost steps to the agency’s </w:t>
      </w:r>
      <w:r w:rsidR="00A676B4" w:rsidRPr="006C7B31">
        <w:rPr>
          <w:sz w:val="22"/>
          <w:szCs w:val="22"/>
        </w:rPr>
        <w:t>un</w:t>
      </w:r>
      <w:r w:rsidRPr="006C7B31">
        <w:rPr>
          <w:sz w:val="22"/>
          <w:szCs w:val="22"/>
        </w:rPr>
        <w:t>adjusted LSL liability</w:t>
      </w:r>
      <w:r w:rsidR="009978CE" w:rsidRPr="006C7B31">
        <w:rPr>
          <w:sz w:val="22"/>
          <w:szCs w:val="22"/>
        </w:rPr>
        <w:t>; and</w:t>
      </w:r>
    </w:p>
    <w:p w14:paraId="3A0880C7" w14:textId="23CF327B" w:rsidR="00BA1D65" w:rsidRPr="006C7B31" w:rsidRDefault="00BA1D65" w:rsidP="001E5871">
      <w:pPr>
        <w:pStyle w:val="ListParagraph"/>
        <w:numPr>
          <w:ilvl w:val="0"/>
          <w:numId w:val="28"/>
        </w:numPr>
        <w:spacing w:after="120" w:line="276" w:lineRule="auto"/>
        <w:ind w:left="851"/>
        <w:contextualSpacing w:val="0"/>
        <w:jc w:val="both"/>
        <w:rPr>
          <w:sz w:val="22"/>
          <w:szCs w:val="22"/>
        </w:rPr>
      </w:pPr>
      <w:r w:rsidRPr="006C7B31">
        <w:rPr>
          <w:sz w:val="22"/>
          <w:szCs w:val="22"/>
        </w:rPr>
        <w:t xml:space="preserve">AL - the on-cost step to the agency’s unadjusted </w:t>
      </w:r>
      <w:r w:rsidR="006E063A">
        <w:rPr>
          <w:sz w:val="22"/>
          <w:szCs w:val="22"/>
        </w:rPr>
        <w:t>AL</w:t>
      </w:r>
      <w:r w:rsidRPr="006C7B31">
        <w:rPr>
          <w:sz w:val="22"/>
          <w:szCs w:val="22"/>
        </w:rPr>
        <w:t xml:space="preserve"> liability</w:t>
      </w:r>
      <w:r w:rsidR="009978CE" w:rsidRPr="006C7B31">
        <w:rPr>
          <w:sz w:val="22"/>
          <w:szCs w:val="22"/>
        </w:rPr>
        <w:t>.</w:t>
      </w:r>
    </w:p>
    <w:p w14:paraId="278E9748" w14:textId="7BD89052" w:rsidR="00BA1D65" w:rsidRPr="001E5871" w:rsidRDefault="00BA1D65" w:rsidP="001E5871">
      <w:pPr>
        <w:spacing w:after="120" w:line="276" w:lineRule="auto"/>
        <w:jc w:val="both"/>
        <w:rPr>
          <w:sz w:val="22"/>
          <w:szCs w:val="22"/>
        </w:rPr>
      </w:pPr>
      <w:r w:rsidRPr="001E5871">
        <w:rPr>
          <w:sz w:val="22"/>
          <w:szCs w:val="22"/>
        </w:rPr>
        <w:t xml:space="preserve">Where agencies also use the SS finance </w:t>
      </w:r>
      <w:r w:rsidR="006E063A" w:rsidRPr="001E5871">
        <w:rPr>
          <w:sz w:val="22"/>
          <w:szCs w:val="22"/>
        </w:rPr>
        <w:t xml:space="preserve">(SSF) </w:t>
      </w:r>
      <w:r w:rsidRPr="001E5871">
        <w:rPr>
          <w:sz w:val="22"/>
          <w:szCs w:val="22"/>
        </w:rPr>
        <w:t>area, SS</w:t>
      </w:r>
      <w:r w:rsidR="006E063A" w:rsidRPr="001E5871">
        <w:rPr>
          <w:sz w:val="22"/>
          <w:szCs w:val="22"/>
        </w:rPr>
        <w:t>F</w:t>
      </w:r>
      <w:r w:rsidRPr="001E5871">
        <w:rPr>
          <w:sz w:val="22"/>
          <w:szCs w:val="22"/>
        </w:rPr>
        <w:t xml:space="preserve"> will apply the:</w:t>
      </w:r>
    </w:p>
    <w:p w14:paraId="244E751B" w14:textId="45AB8240" w:rsidR="00BA1D65" w:rsidRPr="006C7B31" w:rsidRDefault="00BA1D65" w:rsidP="001E5871">
      <w:pPr>
        <w:pStyle w:val="ListParagraph"/>
        <w:numPr>
          <w:ilvl w:val="1"/>
          <w:numId w:val="27"/>
        </w:numPr>
        <w:spacing w:after="120" w:line="276" w:lineRule="auto"/>
        <w:ind w:left="851"/>
        <w:contextualSpacing w:val="0"/>
        <w:jc w:val="both"/>
        <w:rPr>
          <w:sz w:val="22"/>
          <w:szCs w:val="22"/>
        </w:rPr>
      </w:pPr>
      <w:r w:rsidRPr="006C7B31">
        <w:rPr>
          <w:sz w:val="22"/>
          <w:szCs w:val="22"/>
        </w:rPr>
        <w:t xml:space="preserve">present value step to agencies’ LSL and </w:t>
      </w:r>
      <w:r w:rsidR="003E1676">
        <w:rPr>
          <w:sz w:val="22"/>
          <w:szCs w:val="22"/>
        </w:rPr>
        <w:t>AL</w:t>
      </w:r>
      <w:r w:rsidRPr="006C7B31">
        <w:rPr>
          <w:sz w:val="22"/>
          <w:szCs w:val="22"/>
        </w:rPr>
        <w:t xml:space="preserve"> liabilities.</w:t>
      </w:r>
    </w:p>
    <w:p w14:paraId="2A2AEC86" w14:textId="3A7FF440" w:rsidR="00BA1D65" w:rsidRPr="006C7B31" w:rsidRDefault="00BA1D65" w:rsidP="00B46C1D">
      <w:pPr>
        <w:spacing w:after="120" w:line="276" w:lineRule="auto"/>
        <w:jc w:val="both"/>
        <w:rPr>
          <w:sz w:val="22"/>
          <w:szCs w:val="22"/>
        </w:rPr>
      </w:pPr>
      <w:r w:rsidRPr="006C7B31">
        <w:rPr>
          <w:sz w:val="22"/>
          <w:szCs w:val="22"/>
        </w:rPr>
        <w:t xml:space="preserve">As such, where an agency has their payroll and finance function through </w:t>
      </w:r>
      <w:proofErr w:type="gramStart"/>
      <w:r w:rsidRPr="006C7B31">
        <w:rPr>
          <w:sz w:val="22"/>
          <w:szCs w:val="22"/>
        </w:rPr>
        <w:t>SS</w:t>
      </w:r>
      <w:proofErr w:type="gramEnd"/>
      <w:r w:rsidRPr="006C7B31">
        <w:rPr>
          <w:sz w:val="22"/>
          <w:szCs w:val="22"/>
        </w:rPr>
        <w:t xml:space="preserve"> they will not have to apply the three calculation steps to their employee benefits data.  </w:t>
      </w:r>
    </w:p>
    <w:p w14:paraId="35F6690C" w14:textId="77777777" w:rsidR="00BA1D65" w:rsidRPr="00CB1038" w:rsidRDefault="00BA1D65" w:rsidP="00EF073A">
      <w:pPr>
        <w:pStyle w:val="Heading2"/>
        <w:spacing w:before="360" w:line="276" w:lineRule="auto"/>
      </w:pPr>
      <w:bookmarkStart w:id="62" w:name="_Toc149104784"/>
      <w:bookmarkStart w:id="63" w:name="_Toc149104851"/>
      <w:bookmarkStart w:id="64" w:name="_Toc79159882"/>
      <w:bookmarkStart w:id="65" w:name="_Toc137036631"/>
      <w:r>
        <w:t xml:space="preserve">3.4 </w:t>
      </w:r>
      <w:r w:rsidRPr="00CB1038">
        <w:t>Unwinding of Employee Provisions</w:t>
      </w:r>
      <w:bookmarkEnd w:id="62"/>
      <w:bookmarkEnd w:id="63"/>
      <w:bookmarkEnd w:id="64"/>
      <w:bookmarkEnd w:id="65"/>
    </w:p>
    <w:p w14:paraId="1E9B8768" w14:textId="77777777" w:rsidR="004640E3" w:rsidRPr="00EF073A" w:rsidRDefault="004640E3" w:rsidP="004640E3">
      <w:pPr>
        <w:spacing w:after="120" w:line="276" w:lineRule="auto"/>
        <w:jc w:val="both"/>
        <w:rPr>
          <w:sz w:val="22"/>
          <w:szCs w:val="22"/>
          <w:lang w:val="en-US"/>
        </w:rPr>
      </w:pPr>
      <w:r w:rsidRPr="0063539C">
        <w:rPr>
          <w:b/>
          <w:iCs/>
          <w:sz w:val="22"/>
          <w:szCs w:val="22"/>
          <w:lang w:val="en-US"/>
        </w:rPr>
        <w:t>ACT Government agencies are not required to separately disclose the movement of a long-term employee benefit into an employee expense and interest cost.</w:t>
      </w:r>
      <w:r w:rsidRPr="00EF073A">
        <w:rPr>
          <w:bCs/>
          <w:iCs/>
          <w:sz w:val="22"/>
          <w:szCs w:val="22"/>
          <w:lang w:val="en-US"/>
        </w:rPr>
        <w:t xml:space="preserve"> </w:t>
      </w:r>
      <w:r w:rsidRPr="001E5871">
        <w:rPr>
          <w:b/>
          <w:iCs/>
          <w:sz w:val="22"/>
          <w:szCs w:val="22"/>
          <w:lang w:val="en-US"/>
        </w:rPr>
        <w:t>The whole movement should be recorded as an employee expense</w:t>
      </w:r>
      <w:r w:rsidRPr="002104FF">
        <w:rPr>
          <w:b/>
          <w:i/>
          <w:iCs/>
          <w:sz w:val="22"/>
          <w:szCs w:val="22"/>
          <w:lang w:val="en-US"/>
        </w:rPr>
        <w:t>.</w:t>
      </w:r>
      <w:r w:rsidRPr="00EF073A">
        <w:rPr>
          <w:sz w:val="22"/>
          <w:szCs w:val="22"/>
          <w:lang w:val="en-US"/>
        </w:rPr>
        <w:t xml:space="preserve"> This is because, in most cases, the amount of interest costs is likely to be immaterial. </w:t>
      </w:r>
    </w:p>
    <w:p w14:paraId="4928B552" w14:textId="2817DC80" w:rsidR="00BA1D65" w:rsidRPr="00EF073A" w:rsidRDefault="003E1676" w:rsidP="00EF073A">
      <w:pPr>
        <w:spacing w:after="120" w:line="276" w:lineRule="auto"/>
        <w:jc w:val="both"/>
        <w:rPr>
          <w:sz w:val="22"/>
          <w:szCs w:val="22"/>
          <w:lang w:val="en-US"/>
        </w:rPr>
      </w:pPr>
      <w:r w:rsidRPr="004640E3">
        <w:rPr>
          <w:sz w:val="22"/>
          <w:szCs w:val="22"/>
        </w:rPr>
        <w:t>N</w:t>
      </w:r>
      <w:r w:rsidR="00BA1D65" w:rsidRPr="004640E3">
        <w:rPr>
          <w:sz w:val="22"/>
          <w:szCs w:val="22"/>
        </w:rPr>
        <w:t xml:space="preserve">et </w:t>
      </w:r>
      <w:r w:rsidR="00BA1D65" w:rsidRPr="004640E3">
        <w:rPr>
          <w:sz w:val="22"/>
          <w:szCs w:val="22"/>
          <w:lang w:val="en-US"/>
        </w:rPr>
        <w:t xml:space="preserve">interest </w:t>
      </w:r>
      <w:r w:rsidR="00BA1D65" w:rsidRPr="004640E3">
        <w:rPr>
          <w:sz w:val="22"/>
          <w:szCs w:val="22"/>
        </w:rPr>
        <w:t xml:space="preserve">on the net defined benefit liability </w:t>
      </w:r>
      <w:r w:rsidRPr="004640E3">
        <w:rPr>
          <w:sz w:val="22"/>
          <w:szCs w:val="22"/>
          <w:lang w:val="en-US"/>
        </w:rPr>
        <w:t xml:space="preserve">is </w:t>
      </w:r>
      <w:r w:rsidR="00BA1D65" w:rsidRPr="004640E3">
        <w:rPr>
          <w:sz w:val="22"/>
          <w:szCs w:val="22"/>
          <w:lang w:val="en-US"/>
        </w:rPr>
        <w:t>the change during the period in the net defined benefit liability that arises from the passage of time</w:t>
      </w:r>
      <w:r w:rsidR="00BA1D65" w:rsidRPr="00EF073A">
        <w:rPr>
          <w:sz w:val="22"/>
          <w:szCs w:val="22"/>
          <w:lang w:val="en-US"/>
        </w:rPr>
        <w:t xml:space="preserve"> </w:t>
      </w:r>
      <w:r>
        <w:rPr>
          <w:sz w:val="22"/>
          <w:szCs w:val="22"/>
          <w:lang w:val="en-US"/>
        </w:rPr>
        <w:t>(</w:t>
      </w:r>
      <w:r w:rsidRPr="00EF073A">
        <w:rPr>
          <w:sz w:val="22"/>
          <w:szCs w:val="22"/>
        </w:rPr>
        <w:t>AASB 119 para 8</w:t>
      </w:r>
      <w:r>
        <w:rPr>
          <w:sz w:val="22"/>
          <w:szCs w:val="22"/>
        </w:rPr>
        <w:t>).</w:t>
      </w:r>
      <w:r w:rsidRPr="00EF073A">
        <w:rPr>
          <w:sz w:val="22"/>
          <w:szCs w:val="22"/>
        </w:rPr>
        <w:t xml:space="preserve"> </w:t>
      </w:r>
      <w:r w:rsidR="00BA1D65" w:rsidRPr="00EF073A">
        <w:rPr>
          <w:sz w:val="22"/>
          <w:szCs w:val="22"/>
          <w:lang w:val="en-US"/>
        </w:rPr>
        <w:t xml:space="preserve">That is, the unwinding of a provision due to the passage of time is recorded as an interest cost. </w:t>
      </w:r>
    </w:p>
    <w:p w14:paraId="369CF6D8" w14:textId="0FD49F21" w:rsidR="00BA1D65" w:rsidRPr="00EF073A" w:rsidRDefault="002104FF" w:rsidP="002104FF">
      <w:pPr>
        <w:spacing w:after="120" w:line="276" w:lineRule="auto"/>
        <w:jc w:val="both"/>
        <w:rPr>
          <w:sz w:val="22"/>
          <w:szCs w:val="22"/>
          <w:lang w:val="en-US"/>
        </w:rPr>
      </w:pPr>
      <w:r>
        <w:rPr>
          <w:sz w:val="22"/>
          <w:szCs w:val="22"/>
          <w:lang w:val="en-US"/>
        </w:rPr>
        <w:t>Although</w:t>
      </w:r>
      <w:r w:rsidR="00BA1D65" w:rsidRPr="00EF073A">
        <w:rPr>
          <w:sz w:val="22"/>
          <w:szCs w:val="22"/>
          <w:lang w:val="en-US"/>
        </w:rPr>
        <w:t xml:space="preserve"> AASB 119</w:t>
      </w:r>
      <w:r w:rsidR="00A676B4" w:rsidRPr="00EF073A">
        <w:rPr>
          <w:sz w:val="22"/>
          <w:szCs w:val="22"/>
          <w:lang w:val="en-US"/>
        </w:rPr>
        <w:t xml:space="preserve"> para </w:t>
      </w:r>
      <w:r w:rsidR="00BA1D65" w:rsidRPr="00EF073A">
        <w:rPr>
          <w:sz w:val="22"/>
          <w:szCs w:val="22"/>
          <w:lang w:val="en-US"/>
        </w:rPr>
        <w:t>156(b) requires net interest on the net defined liability relating to long-term employee benefits to be recognised in the financial statements</w:t>
      </w:r>
      <w:r>
        <w:rPr>
          <w:sz w:val="22"/>
          <w:szCs w:val="22"/>
          <w:lang w:val="en-US"/>
        </w:rPr>
        <w:t xml:space="preserve">, </w:t>
      </w:r>
      <w:r w:rsidR="00DF1D9A">
        <w:rPr>
          <w:sz w:val="22"/>
          <w:szCs w:val="22"/>
          <w:lang w:val="en-US"/>
        </w:rPr>
        <w:t>as stated above</w:t>
      </w:r>
      <w:r w:rsidR="00425332">
        <w:rPr>
          <w:sz w:val="22"/>
          <w:szCs w:val="22"/>
          <w:lang w:val="en-US"/>
        </w:rPr>
        <w:t xml:space="preserve"> ACT Accounting policy allows interest cost</w:t>
      </w:r>
      <w:r w:rsidR="00823687">
        <w:rPr>
          <w:sz w:val="22"/>
          <w:szCs w:val="22"/>
          <w:lang w:val="en-US"/>
        </w:rPr>
        <w:t>s</w:t>
      </w:r>
      <w:r w:rsidR="00425332">
        <w:rPr>
          <w:sz w:val="22"/>
          <w:szCs w:val="22"/>
          <w:lang w:val="en-US"/>
        </w:rPr>
        <w:t xml:space="preserve"> to be recorded as employee expenses</w:t>
      </w:r>
      <w:r w:rsidR="00BA1D65" w:rsidRPr="00EF073A">
        <w:rPr>
          <w:sz w:val="22"/>
          <w:szCs w:val="22"/>
          <w:lang w:val="en-US"/>
        </w:rPr>
        <w:t xml:space="preserve">. Therefore, the movement in a long-term employee benefit </w:t>
      </w:r>
      <w:r w:rsidR="00B50557" w:rsidRPr="00EF073A">
        <w:rPr>
          <w:sz w:val="22"/>
          <w:szCs w:val="22"/>
          <w:lang w:val="en-US"/>
        </w:rPr>
        <w:t xml:space="preserve">liability </w:t>
      </w:r>
      <w:r w:rsidR="00BA1D65" w:rsidRPr="00EF073A">
        <w:rPr>
          <w:sz w:val="22"/>
          <w:szCs w:val="22"/>
          <w:lang w:val="en-US"/>
        </w:rPr>
        <w:t>such as LSL</w:t>
      </w:r>
      <w:r w:rsidR="00425332">
        <w:rPr>
          <w:sz w:val="22"/>
          <w:szCs w:val="22"/>
          <w:lang w:val="en-US"/>
        </w:rPr>
        <w:t xml:space="preserve"> can be recorded as an</w:t>
      </w:r>
      <w:r w:rsidR="00BA1D65" w:rsidRPr="00EF073A">
        <w:rPr>
          <w:sz w:val="22"/>
          <w:szCs w:val="22"/>
          <w:lang w:val="en-US"/>
        </w:rPr>
        <w:t>:</w:t>
      </w:r>
    </w:p>
    <w:p w14:paraId="3EB69064" w14:textId="2159238F" w:rsidR="00BA1D65" w:rsidRPr="00EF073A" w:rsidRDefault="00BA1D65" w:rsidP="002104FF">
      <w:pPr>
        <w:numPr>
          <w:ilvl w:val="0"/>
          <w:numId w:val="25"/>
        </w:numPr>
        <w:spacing w:after="120" w:line="276" w:lineRule="auto"/>
        <w:ind w:left="851"/>
        <w:jc w:val="both"/>
        <w:rPr>
          <w:sz w:val="22"/>
          <w:szCs w:val="22"/>
          <w:lang w:val="en-US"/>
        </w:rPr>
      </w:pPr>
      <w:r w:rsidRPr="00EF073A">
        <w:rPr>
          <w:sz w:val="22"/>
          <w:szCs w:val="22"/>
          <w:lang w:val="en-US"/>
        </w:rPr>
        <w:t xml:space="preserve">increase in the </w:t>
      </w:r>
      <w:r w:rsidR="002104FF">
        <w:rPr>
          <w:sz w:val="22"/>
          <w:szCs w:val="22"/>
          <w:lang w:val="en-US"/>
        </w:rPr>
        <w:t xml:space="preserve">employee </w:t>
      </w:r>
      <w:r w:rsidRPr="00EF073A">
        <w:rPr>
          <w:sz w:val="22"/>
          <w:szCs w:val="22"/>
          <w:lang w:val="en-US"/>
        </w:rPr>
        <w:t>provision; and</w:t>
      </w:r>
    </w:p>
    <w:p w14:paraId="7CCE1096" w14:textId="6EE641D9" w:rsidR="00BA1D65" w:rsidRPr="00EF073A" w:rsidRDefault="002104FF" w:rsidP="002104FF">
      <w:pPr>
        <w:numPr>
          <w:ilvl w:val="0"/>
          <w:numId w:val="25"/>
        </w:numPr>
        <w:spacing w:after="120" w:line="276" w:lineRule="auto"/>
        <w:ind w:left="851"/>
        <w:jc w:val="both"/>
        <w:rPr>
          <w:sz w:val="22"/>
          <w:szCs w:val="22"/>
          <w:lang w:val="en-US"/>
        </w:rPr>
      </w:pPr>
      <w:r>
        <w:rPr>
          <w:sz w:val="22"/>
          <w:szCs w:val="22"/>
          <w:lang w:val="en-US"/>
        </w:rPr>
        <w:t>increase in employee expense</w:t>
      </w:r>
      <w:r w:rsidR="00BA1D65" w:rsidRPr="00EF073A">
        <w:rPr>
          <w:sz w:val="22"/>
          <w:szCs w:val="22"/>
          <w:lang w:val="en-US"/>
        </w:rPr>
        <w:t>.</w:t>
      </w:r>
    </w:p>
    <w:p w14:paraId="40774E50" w14:textId="6DEEE186" w:rsidR="00BA1D65" w:rsidRPr="00CB1038" w:rsidRDefault="00BA1D65" w:rsidP="00EF073A">
      <w:pPr>
        <w:pStyle w:val="Heading1"/>
        <w:numPr>
          <w:ilvl w:val="0"/>
          <w:numId w:val="0"/>
        </w:numPr>
        <w:spacing w:after="120" w:line="240" w:lineRule="auto"/>
        <w:ind w:left="425" w:hanging="357"/>
        <w:rPr>
          <w:lang w:val="en-US"/>
        </w:rPr>
      </w:pPr>
      <w:bookmarkStart w:id="66" w:name="_Toc137036632"/>
      <w:bookmarkStart w:id="67" w:name="_Toc149104786"/>
      <w:bookmarkStart w:id="68" w:name="_Toc149104853"/>
      <w:bookmarkStart w:id="69" w:name="_Toc79159883"/>
      <w:r>
        <w:rPr>
          <w:lang w:val="en-US"/>
        </w:rPr>
        <w:t xml:space="preserve">4. </w:t>
      </w:r>
      <w:r w:rsidR="00425332" w:rsidRPr="00CB1038">
        <w:rPr>
          <w:lang w:val="en-US"/>
        </w:rPr>
        <w:t xml:space="preserve">Short-Term/Long-Term </w:t>
      </w:r>
      <w:r w:rsidR="00425332">
        <w:rPr>
          <w:lang w:val="en-US"/>
        </w:rPr>
        <w:t xml:space="preserve">VS. </w:t>
      </w:r>
      <w:r w:rsidRPr="00CB1038">
        <w:rPr>
          <w:lang w:val="en-US"/>
        </w:rPr>
        <w:t>Current/Non-Current</w:t>
      </w:r>
      <w:bookmarkEnd w:id="66"/>
      <w:r w:rsidRPr="00CB1038">
        <w:rPr>
          <w:lang w:val="en-US"/>
        </w:rPr>
        <w:t xml:space="preserve"> </w:t>
      </w:r>
      <w:bookmarkEnd w:id="67"/>
      <w:bookmarkEnd w:id="68"/>
      <w:bookmarkEnd w:id="69"/>
    </w:p>
    <w:p w14:paraId="40A2D378" w14:textId="77777777" w:rsidR="00E2117D" w:rsidRPr="00C17C37" w:rsidRDefault="00E2117D" w:rsidP="00E2117D">
      <w:pPr>
        <w:spacing w:after="120" w:line="276" w:lineRule="auto"/>
        <w:jc w:val="both"/>
        <w:rPr>
          <w:b/>
          <w:bCs/>
          <w:sz w:val="22"/>
          <w:szCs w:val="22"/>
          <w:lang w:val="en-US"/>
        </w:rPr>
      </w:pPr>
      <w:r w:rsidRPr="00C17C37">
        <w:rPr>
          <w:b/>
          <w:bCs/>
          <w:sz w:val="22"/>
          <w:szCs w:val="22"/>
          <w:lang w:val="en-US"/>
        </w:rPr>
        <w:t>Agencies must first measure employee benefits according to whether they are classified as short-term (nominal value) or long-term (present value). Once the total employee benefit has been calculated it is then classified as either current or non-current.</w:t>
      </w:r>
    </w:p>
    <w:p w14:paraId="37AC23D7" w14:textId="7A18D26A" w:rsidR="005B33EF" w:rsidRDefault="005B33EF" w:rsidP="00E2117D">
      <w:pPr>
        <w:spacing w:after="120" w:line="276" w:lineRule="auto"/>
        <w:jc w:val="both"/>
        <w:rPr>
          <w:sz w:val="22"/>
          <w:szCs w:val="22"/>
          <w:lang w:val="en-US"/>
        </w:rPr>
      </w:pPr>
      <w:r w:rsidRPr="00EF073A">
        <w:rPr>
          <w:sz w:val="22"/>
          <w:szCs w:val="22"/>
          <w:lang w:val="en-US"/>
        </w:rPr>
        <w:t>AASB 119 para 8 defines ‘short-term’ and ‘long-term’ differently to the definition of ‘current’ and ‘non</w:t>
      </w:r>
      <w:r w:rsidRPr="00EF073A">
        <w:rPr>
          <w:sz w:val="22"/>
          <w:szCs w:val="22"/>
          <w:lang w:val="en-US"/>
        </w:rPr>
        <w:noBreakHyphen/>
        <w:t>current’ in AASB 101 para</w:t>
      </w:r>
      <w:r w:rsidR="00425332">
        <w:rPr>
          <w:sz w:val="22"/>
          <w:szCs w:val="22"/>
          <w:lang w:val="en-US"/>
        </w:rPr>
        <w:t>s</w:t>
      </w:r>
      <w:r w:rsidRPr="00EF073A">
        <w:rPr>
          <w:sz w:val="22"/>
          <w:szCs w:val="22"/>
          <w:lang w:val="en-US"/>
        </w:rPr>
        <w:t xml:space="preserve"> 60-76, and as such the terms are not the same. The distinction between short-term and long-term is determined by when the leave of all employees is expected to be ‘settled wholly’.</w:t>
      </w:r>
    </w:p>
    <w:p w14:paraId="1BA322D6" w14:textId="473AE518" w:rsidR="00E2117D" w:rsidRDefault="005B33EF" w:rsidP="00E2117D">
      <w:pPr>
        <w:spacing w:after="120" w:line="276" w:lineRule="auto"/>
        <w:jc w:val="both"/>
        <w:rPr>
          <w:sz w:val="22"/>
          <w:szCs w:val="22"/>
          <w:lang w:val="en-US"/>
        </w:rPr>
      </w:pPr>
      <w:r w:rsidRPr="00EF073A">
        <w:rPr>
          <w:sz w:val="22"/>
          <w:szCs w:val="22"/>
          <w:lang w:val="en-US"/>
        </w:rPr>
        <w:t>AASB</w:t>
      </w:r>
      <w:r>
        <w:rPr>
          <w:sz w:val="22"/>
          <w:szCs w:val="22"/>
          <w:lang w:val="en-US"/>
        </w:rPr>
        <w:t xml:space="preserve"> </w:t>
      </w:r>
      <w:r w:rsidRPr="00EF073A">
        <w:rPr>
          <w:sz w:val="22"/>
          <w:szCs w:val="22"/>
          <w:lang w:val="en-US"/>
        </w:rPr>
        <w:t xml:space="preserve">119 requires that </w:t>
      </w:r>
      <w:r>
        <w:rPr>
          <w:sz w:val="22"/>
          <w:szCs w:val="22"/>
          <w:lang w:val="en-US"/>
        </w:rPr>
        <w:t xml:space="preserve">long-term </w:t>
      </w:r>
      <w:r w:rsidRPr="00EF073A">
        <w:rPr>
          <w:sz w:val="22"/>
          <w:szCs w:val="22"/>
          <w:lang w:val="en-US"/>
        </w:rPr>
        <w:t>LSL liabilities be measured as the present value of the estimated future cash flows to be made by the employer.</w:t>
      </w:r>
      <w:r>
        <w:rPr>
          <w:sz w:val="22"/>
          <w:szCs w:val="22"/>
          <w:lang w:val="en-US"/>
        </w:rPr>
        <w:t xml:space="preserve"> </w:t>
      </w:r>
      <w:r w:rsidR="00E2117D" w:rsidRPr="00EF073A">
        <w:rPr>
          <w:sz w:val="22"/>
          <w:szCs w:val="22"/>
          <w:lang w:val="en-US"/>
        </w:rPr>
        <w:t xml:space="preserve">Consistent with the </w:t>
      </w:r>
      <w:r w:rsidR="00425332">
        <w:rPr>
          <w:sz w:val="22"/>
          <w:szCs w:val="22"/>
          <w:lang w:val="en-US"/>
        </w:rPr>
        <w:t>a</w:t>
      </w:r>
      <w:r w:rsidR="00E2117D" w:rsidRPr="00EF073A">
        <w:rPr>
          <w:sz w:val="22"/>
          <w:szCs w:val="22"/>
          <w:lang w:val="en-US"/>
        </w:rPr>
        <w:t xml:space="preserve">ctuarial advice received from the Australian Government Actuary, the ACT generally uses a shorthand valuation step for the measurement of the LSL liabilities. The steps for the calculation of LSL liability are in </w:t>
      </w:r>
      <w:r w:rsidR="00E2117D">
        <w:rPr>
          <w:sz w:val="22"/>
          <w:szCs w:val="22"/>
          <w:lang w:val="en-US"/>
        </w:rPr>
        <w:t>S</w:t>
      </w:r>
      <w:r w:rsidR="00E2117D" w:rsidRPr="00EF073A">
        <w:rPr>
          <w:sz w:val="22"/>
          <w:szCs w:val="22"/>
          <w:lang w:val="en-US"/>
        </w:rPr>
        <w:t xml:space="preserve">ection 3.2 above. </w:t>
      </w:r>
    </w:p>
    <w:p w14:paraId="3E8EEE60" w14:textId="6AC890E4" w:rsidR="005B33EF" w:rsidRDefault="004640E3" w:rsidP="005B33EF">
      <w:pPr>
        <w:spacing w:after="120" w:line="276" w:lineRule="auto"/>
        <w:jc w:val="both"/>
        <w:rPr>
          <w:sz w:val="22"/>
          <w:szCs w:val="22"/>
          <w:lang w:val="en-US"/>
        </w:rPr>
      </w:pPr>
      <w:r w:rsidRPr="00C17C37">
        <w:rPr>
          <w:b/>
          <w:bCs/>
          <w:sz w:val="22"/>
          <w:szCs w:val="22"/>
          <w:lang w:val="en-US"/>
        </w:rPr>
        <w:lastRenderedPageBreak/>
        <w:t>A liability is to be disclosed as current where an agency does not have an unconditional right to defer settlement of that liability for at least 12 months after the reporting date.</w:t>
      </w:r>
      <w:r w:rsidRPr="00EF073A">
        <w:rPr>
          <w:sz w:val="22"/>
          <w:szCs w:val="22"/>
          <w:lang w:val="en-US"/>
        </w:rPr>
        <w:t xml:space="preserve"> </w:t>
      </w:r>
      <w:r>
        <w:rPr>
          <w:sz w:val="22"/>
          <w:szCs w:val="22"/>
          <w:lang w:val="en-US"/>
        </w:rPr>
        <w:t>This is one of the</w:t>
      </w:r>
      <w:r w:rsidRPr="004640E3">
        <w:rPr>
          <w:sz w:val="22"/>
          <w:szCs w:val="22"/>
          <w:lang w:val="en-US"/>
        </w:rPr>
        <w:t xml:space="preserve"> </w:t>
      </w:r>
      <w:r w:rsidRPr="00EF073A">
        <w:rPr>
          <w:sz w:val="22"/>
          <w:szCs w:val="22"/>
          <w:lang w:val="en-US"/>
        </w:rPr>
        <w:t>criteria for disclosing a liability as current</w:t>
      </w:r>
      <w:r>
        <w:rPr>
          <w:sz w:val="22"/>
          <w:szCs w:val="22"/>
          <w:lang w:val="en-US"/>
        </w:rPr>
        <w:t>, as outlined in</w:t>
      </w:r>
      <w:r w:rsidRPr="004640E3">
        <w:rPr>
          <w:sz w:val="22"/>
          <w:szCs w:val="22"/>
          <w:lang w:val="en-US"/>
        </w:rPr>
        <w:t xml:space="preserve"> </w:t>
      </w:r>
      <w:r w:rsidRPr="00EF073A">
        <w:rPr>
          <w:sz w:val="22"/>
          <w:szCs w:val="22"/>
          <w:lang w:val="en-US"/>
        </w:rPr>
        <w:t xml:space="preserve">AASB 101 </w:t>
      </w:r>
      <w:r w:rsidRPr="00EF073A">
        <w:rPr>
          <w:i/>
          <w:sz w:val="22"/>
          <w:szCs w:val="22"/>
          <w:lang w:val="en-US"/>
        </w:rPr>
        <w:t>Presentation of Financial Statements</w:t>
      </w:r>
      <w:r w:rsidRPr="00EF073A">
        <w:rPr>
          <w:sz w:val="22"/>
          <w:szCs w:val="22"/>
          <w:lang w:val="en-US"/>
        </w:rPr>
        <w:t xml:space="preserve"> para 60-76</w:t>
      </w:r>
      <w:r>
        <w:rPr>
          <w:sz w:val="22"/>
          <w:szCs w:val="22"/>
          <w:lang w:val="en-US"/>
        </w:rPr>
        <w:t xml:space="preserve">. </w:t>
      </w:r>
      <w:r w:rsidRPr="00EF073A">
        <w:rPr>
          <w:sz w:val="22"/>
          <w:szCs w:val="22"/>
          <w:lang w:val="en-US"/>
        </w:rPr>
        <w:t>As such, where an agency has a conditional right to defer settlement, the liability is classified as current and where an agency has an unconditional right to defer settlement, the liability is classified as non-current</w:t>
      </w:r>
      <w:r w:rsidR="00F0193C">
        <w:rPr>
          <w:sz w:val="22"/>
          <w:szCs w:val="22"/>
          <w:lang w:val="en-US"/>
        </w:rPr>
        <w:t xml:space="preserve"> (see Section</w:t>
      </w:r>
      <w:r w:rsidR="00425332">
        <w:rPr>
          <w:sz w:val="22"/>
          <w:szCs w:val="22"/>
          <w:lang w:val="en-US"/>
        </w:rPr>
        <w:t>s</w:t>
      </w:r>
      <w:r w:rsidR="00F0193C">
        <w:rPr>
          <w:sz w:val="22"/>
          <w:szCs w:val="22"/>
          <w:lang w:val="en-US"/>
        </w:rPr>
        <w:t xml:space="preserve"> 4.1 and 4.2 below)</w:t>
      </w:r>
      <w:r w:rsidRPr="00EF073A">
        <w:rPr>
          <w:sz w:val="22"/>
          <w:szCs w:val="22"/>
          <w:lang w:val="en-US"/>
        </w:rPr>
        <w:t>.</w:t>
      </w:r>
      <w:bookmarkStart w:id="70" w:name="_Toc79159884"/>
    </w:p>
    <w:p w14:paraId="2017CBFF" w14:textId="1041921C" w:rsidR="00BA1D65" w:rsidRPr="005B33EF" w:rsidRDefault="00BA1D65" w:rsidP="005B33EF">
      <w:pPr>
        <w:pStyle w:val="Heading2"/>
        <w:spacing w:line="240" w:lineRule="auto"/>
      </w:pPr>
      <w:bookmarkStart w:id="71" w:name="_Toc137036633"/>
      <w:r w:rsidRPr="005B33EF">
        <w:t>4.1 Classification of Annual Leave as Current/Non-Current</w:t>
      </w:r>
      <w:bookmarkEnd w:id="70"/>
      <w:bookmarkEnd w:id="71"/>
    </w:p>
    <w:p w14:paraId="43E7EE8F" w14:textId="4F70ADBF" w:rsidR="00BA1D65" w:rsidRPr="00C17C37" w:rsidRDefault="00BA1D65" w:rsidP="00EF073A">
      <w:pPr>
        <w:spacing w:after="120" w:line="276" w:lineRule="auto"/>
        <w:jc w:val="both"/>
        <w:rPr>
          <w:b/>
          <w:bCs/>
          <w:sz w:val="22"/>
          <w:szCs w:val="22"/>
          <w:lang w:val="en-US"/>
        </w:rPr>
      </w:pPr>
      <w:r w:rsidRPr="00C17C37">
        <w:rPr>
          <w:b/>
          <w:bCs/>
          <w:sz w:val="22"/>
          <w:szCs w:val="22"/>
          <w:lang w:val="en-US"/>
        </w:rPr>
        <w:t xml:space="preserve">As ACT Government agencies do not have an unconditional right to defer settlement of annual leave liabilities, </w:t>
      </w:r>
      <w:r w:rsidRPr="00C17C37">
        <w:rPr>
          <w:b/>
          <w:bCs/>
          <w:iCs/>
          <w:sz w:val="22"/>
          <w:szCs w:val="22"/>
          <w:lang w:val="en-US"/>
        </w:rPr>
        <w:t>all annual leave must be classified as current</w:t>
      </w:r>
      <w:r w:rsidRPr="00C17C37">
        <w:rPr>
          <w:b/>
          <w:bCs/>
          <w:sz w:val="22"/>
          <w:szCs w:val="22"/>
          <w:lang w:val="en-US"/>
        </w:rPr>
        <w:t xml:space="preserve">.  </w:t>
      </w:r>
    </w:p>
    <w:p w14:paraId="33B7CF19" w14:textId="22B86593" w:rsidR="00BA1D65" w:rsidRPr="00CB1038" w:rsidRDefault="00BA1D65" w:rsidP="005B33EF">
      <w:pPr>
        <w:pStyle w:val="Heading2"/>
        <w:spacing w:before="360" w:line="240" w:lineRule="auto"/>
      </w:pPr>
      <w:bookmarkStart w:id="72" w:name="_Toc79159885"/>
      <w:bookmarkStart w:id="73" w:name="_Toc137036634"/>
      <w:r>
        <w:t xml:space="preserve">4.2 </w:t>
      </w:r>
      <w:r w:rsidRPr="00CB1038">
        <w:t>Classification of Long Service Leave as Current</w:t>
      </w:r>
      <w:r w:rsidR="002D7176">
        <w:t xml:space="preserve"> </w:t>
      </w:r>
      <w:r w:rsidRPr="00CB1038">
        <w:t>/Non-Current</w:t>
      </w:r>
      <w:bookmarkEnd w:id="72"/>
      <w:bookmarkEnd w:id="73"/>
    </w:p>
    <w:p w14:paraId="2D90C22F" w14:textId="345EE883" w:rsidR="00BA1D65" w:rsidRPr="00C17C37" w:rsidRDefault="00BA1D65" w:rsidP="00C17C37">
      <w:pPr>
        <w:spacing w:after="0" w:line="276" w:lineRule="auto"/>
        <w:jc w:val="both"/>
        <w:rPr>
          <w:b/>
          <w:bCs/>
          <w:sz w:val="22"/>
          <w:szCs w:val="22"/>
          <w:lang w:val="en-US"/>
        </w:rPr>
      </w:pPr>
      <w:r w:rsidRPr="00C17C37">
        <w:rPr>
          <w:b/>
          <w:bCs/>
          <w:sz w:val="22"/>
          <w:szCs w:val="22"/>
          <w:lang w:val="en-US"/>
        </w:rPr>
        <w:t>A</w:t>
      </w:r>
      <w:r w:rsidRPr="00C17C37">
        <w:rPr>
          <w:b/>
          <w:bCs/>
          <w:iCs/>
          <w:sz w:val="22"/>
          <w:szCs w:val="22"/>
          <w:lang w:val="en-US"/>
        </w:rPr>
        <w:t xml:space="preserve">ll </w:t>
      </w:r>
      <w:r w:rsidRPr="00C17C37">
        <w:rPr>
          <w:b/>
          <w:bCs/>
          <w:sz w:val="22"/>
          <w:szCs w:val="22"/>
          <w:u w:val="single"/>
          <w:lang w:val="en-US"/>
        </w:rPr>
        <w:t>unconditional</w:t>
      </w:r>
      <w:r w:rsidRPr="00C17C37">
        <w:rPr>
          <w:b/>
          <w:bCs/>
          <w:iCs/>
          <w:sz w:val="22"/>
          <w:szCs w:val="22"/>
          <w:lang w:val="en-US"/>
        </w:rPr>
        <w:t xml:space="preserve"> LSL must be classified as </w:t>
      </w:r>
      <w:r w:rsidR="00F74DB8" w:rsidRPr="00C17C37">
        <w:rPr>
          <w:b/>
          <w:bCs/>
          <w:iCs/>
          <w:sz w:val="22"/>
          <w:szCs w:val="22"/>
          <w:lang w:val="en-US"/>
        </w:rPr>
        <w:t>‘</w:t>
      </w:r>
      <w:r w:rsidRPr="00C17C37">
        <w:rPr>
          <w:b/>
          <w:bCs/>
          <w:iCs/>
          <w:sz w:val="22"/>
          <w:szCs w:val="22"/>
          <w:lang w:val="en-US"/>
        </w:rPr>
        <w:t>Current</w:t>
      </w:r>
      <w:r w:rsidR="00F74DB8" w:rsidRPr="00C17C37">
        <w:rPr>
          <w:b/>
          <w:bCs/>
          <w:iCs/>
          <w:sz w:val="22"/>
          <w:szCs w:val="22"/>
          <w:lang w:val="en-US"/>
        </w:rPr>
        <w:t>’</w:t>
      </w:r>
      <w:r w:rsidRPr="00C17C37">
        <w:rPr>
          <w:b/>
          <w:bCs/>
          <w:sz w:val="22"/>
          <w:szCs w:val="22"/>
          <w:lang w:val="en-US"/>
        </w:rPr>
        <w:t xml:space="preserve">. </w:t>
      </w:r>
    </w:p>
    <w:p w14:paraId="0B60FA2D" w14:textId="1F19D228" w:rsidR="00EB3B4B" w:rsidRPr="00EF073A" w:rsidRDefault="00BA1D65" w:rsidP="00C17C37">
      <w:pPr>
        <w:spacing w:after="120" w:line="276" w:lineRule="auto"/>
        <w:jc w:val="both"/>
        <w:rPr>
          <w:sz w:val="22"/>
          <w:szCs w:val="22"/>
        </w:rPr>
      </w:pPr>
      <w:r w:rsidRPr="00EF073A">
        <w:rPr>
          <w:sz w:val="22"/>
          <w:szCs w:val="22"/>
        </w:rPr>
        <w:t xml:space="preserve">Unconditional LSL occurs where the employee has </w:t>
      </w:r>
      <w:r w:rsidR="00B556AB">
        <w:rPr>
          <w:sz w:val="22"/>
          <w:szCs w:val="22"/>
        </w:rPr>
        <w:t>six</w:t>
      </w:r>
      <w:r w:rsidRPr="00EF073A">
        <w:rPr>
          <w:sz w:val="22"/>
          <w:szCs w:val="22"/>
        </w:rPr>
        <w:t xml:space="preserve"> completed years of service or more.</w:t>
      </w:r>
    </w:p>
    <w:p w14:paraId="5014DCD9" w14:textId="0F3F0208" w:rsidR="00BA1D65" w:rsidRPr="00C17C37" w:rsidRDefault="00BA1D65" w:rsidP="00C17C37">
      <w:pPr>
        <w:spacing w:after="0" w:line="276" w:lineRule="auto"/>
        <w:jc w:val="both"/>
        <w:rPr>
          <w:b/>
          <w:sz w:val="22"/>
          <w:szCs w:val="22"/>
          <w:lang w:val="en-US"/>
        </w:rPr>
      </w:pPr>
      <w:r w:rsidRPr="00C17C37">
        <w:rPr>
          <w:b/>
          <w:iCs/>
          <w:sz w:val="22"/>
          <w:szCs w:val="22"/>
          <w:lang w:val="en-US"/>
        </w:rPr>
        <w:t xml:space="preserve">All </w:t>
      </w:r>
      <w:r w:rsidRPr="00C17C37">
        <w:rPr>
          <w:b/>
          <w:sz w:val="22"/>
          <w:szCs w:val="22"/>
          <w:u w:val="single"/>
          <w:lang w:val="en-US"/>
        </w:rPr>
        <w:t>conditional</w:t>
      </w:r>
      <w:r w:rsidRPr="00C17C37">
        <w:rPr>
          <w:b/>
          <w:iCs/>
          <w:sz w:val="22"/>
          <w:szCs w:val="22"/>
          <w:lang w:val="en-US"/>
        </w:rPr>
        <w:t xml:space="preserve"> LSL must be classified as </w:t>
      </w:r>
      <w:r w:rsidR="00F74DB8" w:rsidRPr="00C17C37">
        <w:rPr>
          <w:b/>
          <w:iCs/>
          <w:sz w:val="22"/>
          <w:szCs w:val="22"/>
          <w:lang w:val="en-US"/>
        </w:rPr>
        <w:t>‘</w:t>
      </w:r>
      <w:proofErr w:type="gramStart"/>
      <w:r w:rsidRPr="00C17C37">
        <w:rPr>
          <w:b/>
          <w:iCs/>
          <w:sz w:val="22"/>
          <w:szCs w:val="22"/>
          <w:lang w:val="en-US"/>
        </w:rPr>
        <w:t>Non-Current</w:t>
      </w:r>
      <w:proofErr w:type="gramEnd"/>
      <w:r w:rsidR="00F74DB8" w:rsidRPr="00C17C37">
        <w:rPr>
          <w:b/>
          <w:iCs/>
          <w:sz w:val="22"/>
          <w:szCs w:val="22"/>
          <w:lang w:val="en-US"/>
        </w:rPr>
        <w:t>’</w:t>
      </w:r>
      <w:r w:rsidRPr="00C17C37">
        <w:rPr>
          <w:b/>
          <w:sz w:val="22"/>
          <w:szCs w:val="22"/>
          <w:lang w:val="en-US"/>
        </w:rPr>
        <w:t xml:space="preserve">. </w:t>
      </w:r>
    </w:p>
    <w:p w14:paraId="4B696066" w14:textId="59CE6673" w:rsidR="00BA1D65" w:rsidRPr="00EF073A" w:rsidRDefault="00BA1D65" w:rsidP="00C17C37">
      <w:pPr>
        <w:spacing w:after="120" w:line="276" w:lineRule="auto"/>
        <w:jc w:val="both"/>
        <w:rPr>
          <w:sz w:val="22"/>
          <w:szCs w:val="22"/>
          <w:lang w:val="en-US"/>
        </w:rPr>
      </w:pPr>
      <w:r w:rsidRPr="00EF073A">
        <w:rPr>
          <w:sz w:val="22"/>
          <w:szCs w:val="22"/>
          <w:lang w:val="en-US"/>
        </w:rPr>
        <w:t xml:space="preserve">Conditional LSL is leave of employees that have less than </w:t>
      </w:r>
      <w:r w:rsidR="00B556AB">
        <w:rPr>
          <w:sz w:val="22"/>
          <w:szCs w:val="22"/>
          <w:lang w:val="en-US"/>
        </w:rPr>
        <w:t>six</w:t>
      </w:r>
      <w:r w:rsidRPr="00EF073A">
        <w:rPr>
          <w:sz w:val="22"/>
          <w:szCs w:val="22"/>
          <w:lang w:val="en-US"/>
        </w:rPr>
        <w:t xml:space="preserve"> completed years of service.  </w:t>
      </w:r>
    </w:p>
    <w:p w14:paraId="45B91E37" w14:textId="77777777" w:rsidR="00BA1D65" w:rsidRPr="00CB1038" w:rsidRDefault="00BA1D65" w:rsidP="00924E6D">
      <w:pPr>
        <w:pStyle w:val="Heading1"/>
        <w:numPr>
          <w:ilvl w:val="0"/>
          <w:numId w:val="0"/>
        </w:numPr>
        <w:spacing w:after="120" w:line="240" w:lineRule="auto"/>
        <w:ind w:left="425" w:hanging="357"/>
        <w:rPr>
          <w:lang w:val="en-US"/>
        </w:rPr>
      </w:pPr>
      <w:bookmarkStart w:id="74" w:name="_Toc149104788"/>
      <w:bookmarkStart w:id="75" w:name="_Toc149104855"/>
      <w:bookmarkStart w:id="76" w:name="_Toc79159886"/>
      <w:bookmarkStart w:id="77" w:name="_Toc137036635"/>
      <w:r>
        <w:rPr>
          <w:lang w:val="en-US"/>
        </w:rPr>
        <w:t xml:space="preserve">5. </w:t>
      </w:r>
      <w:r w:rsidRPr="00CB1038">
        <w:rPr>
          <w:lang w:val="en-US"/>
        </w:rPr>
        <w:t>Transfer of Employee Benefit Liabilities between Agencies</w:t>
      </w:r>
      <w:bookmarkEnd w:id="74"/>
      <w:bookmarkEnd w:id="75"/>
      <w:bookmarkEnd w:id="76"/>
      <w:bookmarkEnd w:id="77"/>
    </w:p>
    <w:p w14:paraId="69C8EBC2" w14:textId="77777777" w:rsidR="00BA1D65" w:rsidRPr="00924E6D" w:rsidRDefault="00BA1D65" w:rsidP="00EB3B4B">
      <w:pPr>
        <w:spacing w:after="120" w:line="276" w:lineRule="auto"/>
        <w:jc w:val="both"/>
        <w:rPr>
          <w:sz w:val="22"/>
          <w:szCs w:val="22"/>
          <w:lang w:val="en-US"/>
        </w:rPr>
      </w:pPr>
      <w:r w:rsidRPr="00924E6D">
        <w:rPr>
          <w:sz w:val="22"/>
          <w:szCs w:val="22"/>
          <w:lang w:val="en-US"/>
        </w:rPr>
        <w:t xml:space="preserve">Given the portability of staff in the ACT public sector and the restructuring that can occur within Directorates, staff often transfer between ACT Government agencies. Where an employee transfers from one Government agency to another, liabilities accrued in respect of employee benefits for that employee up until the date of transfer will, in most instances, be transferred with the employee.  </w:t>
      </w:r>
    </w:p>
    <w:p w14:paraId="40905907" w14:textId="28B9679A" w:rsidR="00BA1D65" w:rsidRDefault="00BA1D65" w:rsidP="00EB3B4B">
      <w:pPr>
        <w:spacing w:after="120" w:line="276" w:lineRule="auto"/>
        <w:jc w:val="both"/>
        <w:rPr>
          <w:sz w:val="22"/>
          <w:szCs w:val="22"/>
          <w:lang w:val="en-US"/>
        </w:rPr>
      </w:pPr>
      <w:r w:rsidRPr="00924E6D">
        <w:rPr>
          <w:sz w:val="22"/>
          <w:szCs w:val="22"/>
          <w:lang w:val="en-US"/>
        </w:rPr>
        <w:t>Employee benefit liability transfers between a Directorate</w:t>
      </w:r>
      <w:r w:rsidR="00333A49">
        <w:rPr>
          <w:sz w:val="22"/>
          <w:szCs w:val="22"/>
          <w:lang w:val="en-US"/>
        </w:rPr>
        <w:t xml:space="preserve"> and </w:t>
      </w:r>
      <w:r w:rsidRPr="00924E6D">
        <w:rPr>
          <w:sz w:val="22"/>
          <w:szCs w:val="22"/>
          <w:lang w:val="en-US"/>
        </w:rPr>
        <w:t xml:space="preserve">a </w:t>
      </w:r>
      <w:r w:rsidR="00333A49">
        <w:rPr>
          <w:sz w:val="22"/>
          <w:szCs w:val="22"/>
          <w:lang w:val="en-US"/>
        </w:rPr>
        <w:t>Smaller Agency</w:t>
      </w:r>
      <w:r w:rsidRPr="00924E6D">
        <w:rPr>
          <w:sz w:val="22"/>
          <w:szCs w:val="22"/>
          <w:lang w:val="en-US"/>
        </w:rPr>
        <w:br/>
        <w:t xml:space="preserve">are discussed in </w:t>
      </w:r>
      <w:r w:rsidRPr="00C17C37">
        <w:rPr>
          <w:bCs/>
          <w:i/>
          <w:iCs/>
          <w:sz w:val="22"/>
          <w:szCs w:val="22"/>
          <w:lang w:val="en-US"/>
        </w:rPr>
        <w:t xml:space="preserve">Attachment C – Transfer of Employee Benefit Liabilities to/from ACT </w:t>
      </w:r>
      <w:r w:rsidR="00333A49">
        <w:rPr>
          <w:bCs/>
          <w:i/>
          <w:iCs/>
          <w:sz w:val="22"/>
          <w:szCs w:val="22"/>
          <w:lang w:val="en-US"/>
        </w:rPr>
        <w:t>Agencies</w:t>
      </w:r>
      <w:r w:rsidRPr="00924E6D">
        <w:rPr>
          <w:sz w:val="22"/>
          <w:szCs w:val="22"/>
          <w:lang w:val="en-US"/>
        </w:rPr>
        <w:t>.</w:t>
      </w:r>
    </w:p>
    <w:p w14:paraId="2A11C7DE" w14:textId="77777777" w:rsidR="00BA1D65" w:rsidRPr="00CB1038" w:rsidRDefault="00BA1D65" w:rsidP="00924E6D">
      <w:pPr>
        <w:pStyle w:val="Heading2"/>
        <w:spacing w:before="360" w:line="276" w:lineRule="auto"/>
        <w:jc w:val="both"/>
      </w:pPr>
      <w:bookmarkStart w:id="78" w:name="_Toc149104789"/>
      <w:bookmarkStart w:id="79" w:name="_Toc149104856"/>
      <w:bookmarkStart w:id="80" w:name="_Toc79159887"/>
      <w:bookmarkStart w:id="81" w:name="_Toc137036636"/>
      <w:r>
        <w:t xml:space="preserve">5.1 </w:t>
      </w:r>
      <w:r w:rsidRPr="00CB1038">
        <w:t>Accounting Treatment of Transfers</w:t>
      </w:r>
      <w:bookmarkEnd w:id="78"/>
      <w:bookmarkEnd w:id="79"/>
      <w:bookmarkEnd w:id="80"/>
      <w:bookmarkEnd w:id="81"/>
    </w:p>
    <w:p w14:paraId="2A8004D9" w14:textId="5DBF9A22" w:rsidR="00272CBD" w:rsidRPr="00AE5BF7" w:rsidRDefault="00272CBD" w:rsidP="00272CBD">
      <w:pPr>
        <w:spacing w:after="120" w:line="276" w:lineRule="auto"/>
        <w:jc w:val="both"/>
        <w:rPr>
          <w:sz w:val="22"/>
          <w:szCs w:val="22"/>
        </w:rPr>
      </w:pPr>
      <w:bookmarkStart w:id="82" w:name="_Toc79159888"/>
      <w:r w:rsidRPr="00AE5BF7">
        <w:rPr>
          <w:sz w:val="22"/>
          <w:szCs w:val="22"/>
        </w:rPr>
        <w:t>There are three broad cat</w:t>
      </w:r>
      <w:r>
        <w:rPr>
          <w:sz w:val="22"/>
          <w:szCs w:val="22"/>
        </w:rPr>
        <w:t>eg</w:t>
      </w:r>
      <w:r w:rsidRPr="00AE5BF7">
        <w:rPr>
          <w:sz w:val="22"/>
          <w:szCs w:val="22"/>
        </w:rPr>
        <w:t xml:space="preserve">ories of </w:t>
      </w:r>
      <w:r>
        <w:rPr>
          <w:sz w:val="22"/>
          <w:szCs w:val="22"/>
        </w:rPr>
        <w:t xml:space="preserve">employee benefit liability </w:t>
      </w:r>
      <w:r w:rsidRPr="00AE5BF7">
        <w:rPr>
          <w:sz w:val="22"/>
          <w:szCs w:val="22"/>
        </w:rPr>
        <w:t>transfers between ACT Government agencies, namely:</w:t>
      </w:r>
    </w:p>
    <w:p w14:paraId="0C46CCFB" w14:textId="7602F9F7" w:rsidR="00272CBD" w:rsidRDefault="00272CBD" w:rsidP="00272CBD">
      <w:pPr>
        <w:numPr>
          <w:ilvl w:val="0"/>
          <w:numId w:val="40"/>
        </w:numPr>
        <w:spacing w:after="120" w:line="276" w:lineRule="auto"/>
        <w:jc w:val="both"/>
        <w:rPr>
          <w:sz w:val="22"/>
          <w:szCs w:val="22"/>
        </w:rPr>
      </w:pPr>
      <w:r>
        <w:rPr>
          <w:sz w:val="22"/>
          <w:szCs w:val="22"/>
        </w:rPr>
        <w:t xml:space="preserve">employee benefit liability </w:t>
      </w:r>
      <w:r w:rsidRPr="00AE5BF7">
        <w:rPr>
          <w:sz w:val="22"/>
          <w:szCs w:val="22"/>
        </w:rPr>
        <w:t xml:space="preserve">transfers </w:t>
      </w:r>
      <w:r w:rsidR="005365ED">
        <w:rPr>
          <w:sz w:val="22"/>
          <w:szCs w:val="22"/>
        </w:rPr>
        <w:t>as part of an</w:t>
      </w:r>
      <w:r w:rsidRPr="00AE5BF7">
        <w:rPr>
          <w:sz w:val="22"/>
          <w:szCs w:val="22"/>
        </w:rPr>
        <w:t xml:space="preserve"> </w:t>
      </w:r>
      <w:r>
        <w:rPr>
          <w:sz w:val="22"/>
          <w:szCs w:val="22"/>
        </w:rPr>
        <w:t>A</w:t>
      </w:r>
      <w:r w:rsidRPr="00AE5BF7">
        <w:rPr>
          <w:sz w:val="22"/>
          <w:szCs w:val="22"/>
        </w:rPr>
        <w:t xml:space="preserve">dministrative </w:t>
      </w:r>
      <w:r>
        <w:rPr>
          <w:sz w:val="22"/>
          <w:szCs w:val="22"/>
        </w:rPr>
        <w:t>A</w:t>
      </w:r>
      <w:r w:rsidRPr="00AE5BF7">
        <w:rPr>
          <w:sz w:val="22"/>
          <w:szCs w:val="22"/>
        </w:rPr>
        <w:t>rrangement (AAs</w:t>
      </w:r>
      <w:proofErr w:type="gramStart"/>
      <w:r w:rsidRPr="00AE5BF7">
        <w:rPr>
          <w:sz w:val="22"/>
          <w:szCs w:val="22"/>
        </w:rPr>
        <w:t>);</w:t>
      </w:r>
      <w:proofErr w:type="gramEnd"/>
      <w:r w:rsidRPr="00AE5BF7">
        <w:rPr>
          <w:sz w:val="22"/>
          <w:szCs w:val="22"/>
        </w:rPr>
        <w:t xml:space="preserve"> </w:t>
      </w:r>
    </w:p>
    <w:p w14:paraId="13326BFD" w14:textId="62BC903C" w:rsidR="00272CBD" w:rsidRPr="00685701" w:rsidRDefault="00272CBD" w:rsidP="00272CBD">
      <w:pPr>
        <w:spacing w:after="120" w:line="276" w:lineRule="auto"/>
        <w:ind w:left="720"/>
        <w:jc w:val="both"/>
        <w:rPr>
          <w:sz w:val="22"/>
          <w:szCs w:val="22"/>
        </w:rPr>
      </w:pPr>
      <w:r w:rsidRPr="00685701">
        <w:rPr>
          <w:sz w:val="22"/>
          <w:szCs w:val="22"/>
        </w:rPr>
        <w:t xml:space="preserve">This is accounted for as contributions by owner / distributions to owner and as such the transferee </w:t>
      </w:r>
      <w:r>
        <w:rPr>
          <w:sz w:val="22"/>
          <w:szCs w:val="22"/>
        </w:rPr>
        <w:t xml:space="preserve">and </w:t>
      </w:r>
      <w:r w:rsidRPr="00685701">
        <w:rPr>
          <w:sz w:val="22"/>
          <w:szCs w:val="22"/>
        </w:rPr>
        <w:t xml:space="preserve">(transferor) accounts for the </w:t>
      </w:r>
      <w:r>
        <w:rPr>
          <w:sz w:val="22"/>
          <w:szCs w:val="22"/>
        </w:rPr>
        <w:t>liability</w:t>
      </w:r>
      <w:r w:rsidRPr="00685701">
        <w:rPr>
          <w:sz w:val="22"/>
          <w:szCs w:val="22"/>
        </w:rPr>
        <w:t xml:space="preserve">(s) transferred as a </w:t>
      </w:r>
      <w:r w:rsidR="005365ED">
        <w:rPr>
          <w:sz w:val="22"/>
          <w:szCs w:val="22"/>
        </w:rPr>
        <w:t>de</w:t>
      </w:r>
      <w:r w:rsidRPr="00685701">
        <w:rPr>
          <w:sz w:val="22"/>
          <w:szCs w:val="22"/>
        </w:rPr>
        <w:t>crease</w:t>
      </w:r>
      <w:r>
        <w:rPr>
          <w:sz w:val="22"/>
          <w:szCs w:val="22"/>
        </w:rPr>
        <w:t xml:space="preserve"> or</w:t>
      </w:r>
      <w:r w:rsidRPr="00685701">
        <w:rPr>
          <w:sz w:val="22"/>
          <w:szCs w:val="22"/>
        </w:rPr>
        <w:t xml:space="preserve"> (</w:t>
      </w:r>
      <w:r w:rsidR="005365ED">
        <w:rPr>
          <w:sz w:val="22"/>
          <w:szCs w:val="22"/>
        </w:rPr>
        <w:t>in</w:t>
      </w:r>
      <w:r w:rsidRPr="00685701">
        <w:rPr>
          <w:sz w:val="22"/>
          <w:szCs w:val="22"/>
        </w:rPr>
        <w:t>crease) in equity.</w:t>
      </w:r>
      <w:r>
        <w:rPr>
          <w:sz w:val="22"/>
          <w:szCs w:val="22"/>
        </w:rPr>
        <w:t xml:space="preserve"> The transferred employee benefit liability is recognised </w:t>
      </w:r>
      <w:r w:rsidRPr="00362AC8">
        <w:rPr>
          <w:sz w:val="22"/>
          <w:szCs w:val="22"/>
        </w:rPr>
        <w:t>at the transferor’s carrying amount (book value)</w:t>
      </w:r>
      <w:r>
        <w:rPr>
          <w:sz w:val="22"/>
          <w:szCs w:val="22"/>
        </w:rPr>
        <w:t>.</w:t>
      </w:r>
    </w:p>
    <w:p w14:paraId="1065823C" w14:textId="79922C9F" w:rsidR="00272CBD" w:rsidRDefault="00272CBD" w:rsidP="00272CBD">
      <w:pPr>
        <w:numPr>
          <w:ilvl w:val="0"/>
          <w:numId w:val="40"/>
        </w:numPr>
        <w:spacing w:after="120" w:line="276" w:lineRule="auto"/>
        <w:jc w:val="both"/>
        <w:rPr>
          <w:sz w:val="22"/>
          <w:szCs w:val="22"/>
        </w:rPr>
      </w:pPr>
      <w:r>
        <w:rPr>
          <w:sz w:val="22"/>
          <w:szCs w:val="22"/>
        </w:rPr>
        <w:t>employee benefit liability</w:t>
      </w:r>
      <w:r w:rsidRPr="00AE5BF7">
        <w:rPr>
          <w:sz w:val="22"/>
          <w:szCs w:val="22"/>
        </w:rPr>
        <w:t xml:space="preserve"> transfers </w:t>
      </w:r>
      <w:r w:rsidR="005365ED">
        <w:rPr>
          <w:sz w:val="22"/>
          <w:szCs w:val="22"/>
        </w:rPr>
        <w:t xml:space="preserve">as part of a </w:t>
      </w:r>
      <w:r w:rsidRPr="00AE5BF7">
        <w:rPr>
          <w:sz w:val="22"/>
          <w:szCs w:val="22"/>
        </w:rPr>
        <w:t xml:space="preserve">government decision to transfer </w:t>
      </w:r>
      <w:r>
        <w:rPr>
          <w:sz w:val="22"/>
          <w:szCs w:val="22"/>
        </w:rPr>
        <w:t>these liabilities</w:t>
      </w:r>
      <w:r w:rsidRPr="00AE5BF7">
        <w:rPr>
          <w:sz w:val="22"/>
          <w:szCs w:val="22"/>
        </w:rPr>
        <w:t xml:space="preserve"> between wholly owned ACT Government </w:t>
      </w:r>
      <w:proofErr w:type="gramStart"/>
      <w:r w:rsidRPr="00AE5BF7">
        <w:rPr>
          <w:sz w:val="22"/>
          <w:szCs w:val="22"/>
        </w:rPr>
        <w:t>agencies;</w:t>
      </w:r>
      <w:proofErr w:type="gramEnd"/>
      <w:r w:rsidRPr="00AE5BF7">
        <w:rPr>
          <w:sz w:val="22"/>
          <w:szCs w:val="22"/>
        </w:rPr>
        <w:t xml:space="preserve"> </w:t>
      </w:r>
    </w:p>
    <w:p w14:paraId="2141E98D" w14:textId="76EC9789" w:rsidR="00272CBD" w:rsidRPr="00AE5BF7" w:rsidRDefault="00B556AB" w:rsidP="00272CBD">
      <w:pPr>
        <w:spacing w:after="120" w:line="276" w:lineRule="auto"/>
        <w:ind w:left="720"/>
        <w:jc w:val="both"/>
        <w:rPr>
          <w:sz w:val="22"/>
          <w:szCs w:val="22"/>
        </w:rPr>
      </w:pPr>
      <w:r>
        <w:rPr>
          <w:sz w:val="22"/>
          <w:szCs w:val="22"/>
        </w:rPr>
        <w:t>W</w:t>
      </w:r>
      <w:r w:rsidR="00272CBD">
        <w:rPr>
          <w:sz w:val="22"/>
          <w:szCs w:val="22"/>
        </w:rPr>
        <w:t>he</w:t>
      </w:r>
      <w:r>
        <w:rPr>
          <w:sz w:val="22"/>
          <w:szCs w:val="22"/>
        </w:rPr>
        <w:t>r</w:t>
      </w:r>
      <w:r w:rsidR="00272CBD">
        <w:rPr>
          <w:sz w:val="22"/>
          <w:szCs w:val="22"/>
        </w:rPr>
        <w:t xml:space="preserve">e transfers are formally designated as an equity transfer, the </w:t>
      </w:r>
      <w:r w:rsidR="00272CBD" w:rsidRPr="00685701">
        <w:rPr>
          <w:sz w:val="22"/>
          <w:szCs w:val="22"/>
        </w:rPr>
        <w:t>transferred</w:t>
      </w:r>
      <w:r w:rsidR="00272CBD">
        <w:rPr>
          <w:sz w:val="22"/>
          <w:szCs w:val="22"/>
        </w:rPr>
        <w:t xml:space="preserve"> </w:t>
      </w:r>
      <w:r w:rsidR="005365ED">
        <w:rPr>
          <w:sz w:val="22"/>
          <w:szCs w:val="22"/>
        </w:rPr>
        <w:t>liabilities</w:t>
      </w:r>
      <w:r w:rsidR="00272CBD">
        <w:rPr>
          <w:sz w:val="22"/>
          <w:szCs w:val="22"/>
        </w:rPr>
        <w:t xml:space="preserve"> are treated as</w:t>
      </w:r>
      <w:r w:rsidR="00272CBD" w:rsidRPr="00685701">
        <w:rPr>
          <w:sz w:val="22"/>
          <w:szCs w:val="22"/>
        </w:rPr>
        <w:t xml:space="preserve"> contributions by owner / distributions to owner</w:t>
      </w:r>
      <w:r w:rsidR="00272CBD">
        <w:rPr>
          <w:sz w:val="22"/>
          <w:szCs w:val="22"/>
        </w:rPr>
        <w:t>. Therefore</w:t>
      </w:r>
      <w:r>
        <w:rPr>
          <w:sz w:val="22"/>
          <w:szCs w:val="22"/>
        </w:rPr>
        <w:t>,</w:t>
      </w:r>
      <w:r w:rsidR="00272CBD">
        <w:rPr>
          <w:sz w:val="22"/>
          <w:szCs w:val="22"/>
        </w:rPr>
        <w:t xml:space="preserve"> the </w:t>
      </w:r>
      <w:r w:rsidR="00272CBD" w:rsidRPr="00685701">
        <w:rPr>
          <w:sz w:val="22"/>
          <w:szCs w:val="22"/>
        </w:rPr>
        <w:t>transferee</w:t>
      </w:r>
      <w:r w:rsidR="00272CBD">
        <w:rPr>
          <w:sz w:val="22"/>
          <w:szCs w:val="22"/>
        </w:rPr>
        <w:t xml:space="preserve"> and</w:t>
      </w:r>
      <w:r w:rsidR="00272CBD" w:rsidRPr="00685701">
        <w:rPr>
          <w:sz w:val="22"/>
          <w:szCs w:val="22"/>
        </w:rPr>
        <w:t xml:space="preserve"> </w:t>
      </w:r>
      <w:r w:rsidR="00272CBD" w:rsidRPr="00685701">
        <w:rPr>
          <w:sz w:val="22"/>
          <w:szCs w:val="22"/>
        </w:rPr>
        <w:lastRenderedPageBreak/>
        <w:t xml:space="preserve">(transferor) accounts for the </w:t>
      </w:r>
      <w:r w:rsidR="005365ED">
        <w:rPr>
          <w:sz w:val="22"/>
          <w:szCs w:val="22"/>
        </w:rPr>
        <w:t>liability</w:t>
      </w:r>
      <w:r w:rsidR="00272CBD" w:rsidRPr="00685701">
        <w:rPr>
          <w:sz w:val="22"/>
          <w:szCs w:val="22"/>
        </w:rPr>
        <w:t xml:space="preserve">(s) transferred as a </w:t>
      </w:r>
      <w:r w:rsidR="005365ED">
        <w:rPr>
          <w:sz w:val="22"/>
          <w:szCs w:val="22"/>
        </w:rPr>
        <w:t>de</w:t>
      </w:r>
      <w:r w:rsidR="00272CBD" w:rsidRPr="00685701">
        <w:rPr>
          <w:sz w:val="22"/>
          <w:szCs w:val="22"/>
        </w:rPr>
        <w:t>crease</w:t>
      </w:r>
      <w:r w:rsidR="00272CBD">
        <w:rPr>
          <w:sz w:val="22"/>
          <w:szCs w:val="22"/>
        </w:rPr>
        <w:t xml:space="preserve"> or</w:t>
      </w:r>
      <w:r w:rsidR="00272CBD" w:rsidRPr="00685701">
        <w:rPr>
          <w:sz w:val="22"/>
          <w:szCs w:val="22"/>
        </w:rPr>
        <w:t xml:space="preserve"> (</w:t>
      </w:r>
      <w:r w:rsidR="005365ED">
        <w:rPr>
          <w:sz w:val="22"/>
          <w:szCs w:val="22"/>
        </w:rPr>
        <w:t>in</w:t>
      </w:r>
      <w:r w:rsidR="00272CBD" w:rsidRPr="00685701">
        <w:rPr>
          <w:sz w:val="22"/>
          <w:szCs w:val="22"/>
        </w:rPr>
        <w:t>crease) in equity.</w:t>
      </w:r>
      <w:r w:rsidR="00272CBD">
        <w:rPr>
          <w:sz w:val="22"/>
          <w:szCs w:val="22"/>
        </w:rPr>
        <w:t xml:space="preserve"> Note, however, that there are </w:t>
      </w:r>
      <w:proofErr w:type="gramStart"/>
      <w:r w:rsidR="00272CBD">
        <w:rPr>
          <w:sz w:val="22"/>
          <w:szCs w:val="22"/>
        </w:rPr>
        <w:t>a number of</w:t>
      </w:r>
      <w:proofErr w:type="gramEnd"/>
      <w:r w:rsidR="00272CBD">
        <w:rPr>
          <w:sz w:val="22"/>
          <w:szCs w:val="22"/>
        </w:rPr>
        <w:t xml:space="preserve"> requirements that need to be met in order to treat this as equity. Refer to ‘AAPP 116 ACT Accounting Policy Paper on Contributions by Owners (AASB 1004 and Interpretation 1038)’ for the requirements. The transferred </w:t>
      </w:r>
      <w:r w:rsidR="005365ED">
        <w:rPr>
          <w:sz w:val="22"/>
          <w:szCs w:val="22"/>
        </w:rPr>
        <w:t>employee benefit liability</w:t>
      </w:r>
      <w:r w:rsidR="00272CBD">
        <w:rPr>
          <w:sz w:val="22"/>
          <w:szCs w:val="22"/>
        </w:rPr>
        <w:t xml:space="preserve"> is recognised </w:t>
      </w:r>
      <w:r w:rsidR="00272CBD" w:rsidRPr="00362AC8">
        <w:rPr>
          <w:sz w:val="22"/>
          <w:szCs w:val="22"/>
        </w:rPr>
        <w:t xml:space="preserve">at </w:t>
      </w:r>
      <w:r w:rsidR="00272CBD">
        <w:rPr>
          <w:sz w:val="22"/>
          <w:szCs w:val="22"/>
        </w:rPr>
        <w:t>fair value.</w:t>
      </w:r>
    </w:p>
    <w:p w14:paraId="78A99113" w14:textId="7A6E8B75" w:rsidR="00272CBD" w:rsidRDefault="005365ED" w:rsidP="00272CBD">
      <w:pPr>
        <w:numPr>
          <w:ilvl w:val="0"/>
          <w:numId w:val="40"/>
        </w:numPr>
        <w:spacing w:after="120" w:line="276" w:lineRule="auto"/>
        <w:jc w:val="both"/>
        <w:rPr>
          <w:sz w:val="22"/>
          <w:szCs w:val="22"/>
        </w:rPr>
      </w:pPr>
      <w:r>
        <w:rPr>
          <w:sz w:val="22"/>
          <w:szCs w:val="22"/>
        </w:rPr>
        <w:t>employee benefit liability</w:t>
      </w:r>
      <w:r w:rsidR="00272CBD" w:rsidRPr="00AE5BF7">
        <w:rPr>
          <w:sz w:val="22"/>
          <w:szCs w:val="22"/>
        </w:rPr>
        <w:t xml:space="preserve"> transfers between agencies in the ordinary course of business.</w:t>
      </w:r>
    </w:p>
    <w:p w14:paraId="1C2F715A" w14:textId="64573CAE" w:rsidR="00272CBD" w:rsidRPr="00AE5BF7" w:rsidRDefault="00272CBD" w:rsidP="00272CBD">
      <w:pPr>
        <w:spacing w:after="120" w:line="276" w:lineRule="auto"/>
        <w:ind w:left="720"/>
        <w:jc w:val="both"/>
        <w:rPr>
          <w:sz w:val="22"/>
          <w:szCs w:val="22"/>
        </w:rPr>
      </w:pPr>
      <w:r>
        <w:rPr>
          <w:sz w:val="22"/>
          <w:szCs w:val="22"/>
        </w:rPr>
        <w:t xml:space="preserve">These transfers are not formally designated as an equity transfer, and as such, the </w:t>
      </w:r>
      <w:r w:rsidRPr="00685701">
        <w:rPr>
          <w:sz w:val="22"/>
          <w:szCs w:val="22"/>
        </w:rPr>
        <w:t>transferred</w:t>
      </w:r>
      <w:r>
        <w:rPr>
          <w:sz w:val="22"/>
          <w:szCs w:val="22"/>
        </w:rPr>
        <w:t xml:space="preserve"> </w:t>
      </w:r>
      <w:r w:rsidR="005365ED">
        <w:rPr>
          <w:sz w:val="22"/>
          <w:szCs w:val="22"/>
        </w:rPr>
        <w:t>liabilities</w:t>
      </w:r>
      <w:r>
        <w:rPr>
          <w:sz w:val="22"/>
          <w:szCs w:val="22"/>
        </w:rPr>
        <w:t xml:space="preserve"> are not treat</w:t>
      </w:r>
      <w:r w:rsidRPr="00685701">
        <w:rPr>
          <w:sz w:val="22"/>
          <w:szCs w:val="22"/>
        </w:rPr>
        <w:t>ed as contributions by owner / distributions to owner</w:t>
      </w:r>
      <w:r>
        <w:rPr>
          <w:sz w:val="22"/>
          <w:szCs w:val="22"/>
        </w:rPr>
        <w:t xml:space="preserve">. </w:t>
      </w:r>
      <w:proofErr w:type="gramStart"/>
      <w:r>
        <w:rPr>
          <w:sz w:val="22"/>
          <w:szCs w:val="22"/>
        </w:rPr>
        <w:t>Therefore</w:t>
      </w:r>
      <w:proofErr w:type="gramEnd"/>
      <w:r>
        <w:rPr>
          <w:sz w:val="22"/>
          <w:szCs w:val="22"/>
        </w:rPr>
        <w:t xml:space="preserve"> these transfers are accounted for a</w:t>
      </w:r>
      <w:r w:rsidRPr="00157F07">
        <w:rPr>
          <w:sz w:val="22"/>
          <w:szCs w:val="22"/>
        </w:rPr>
        <w:t>s a</w:t>
      </w:r>
      <w:r w:rsidR="00341DE1">
        <w:rPr>
          <w:sz w:val="22"/>
          <w:szCs w:val="22"/>
        </w:rPr>
        <w:t>n</w:t>
      </w:r>
      <w:r w:rsidRPr="00157F07">
        <w:rPr>
          <w:sz w:val="22"/>
          <w:szCs w:val="22"/>
        </w:rPr>
        <w:t xml:space="preserve"> </w:t>
      </w:r>
      <w:r w:rsidR="005365ED">
        <w:rPr>
          <w:sz w:val="22"/>
          <w:szCs w:val="22"/>
        </w:rPr>
        <w:t>expense</w:t>
      </w:r>
      <w:r w:rsidRPr="00157F07">
        <w:rPr>
          <w:sz w:val="22"/>
          <w:szCs w:val="22"/>
        </w:rPr>
        <w:t xml:space="preserve"> </w:t>
      </w:r>
      <w:r>
        <w:rPr>
          <w:sz w:val="22"/>
          <w:szCs w:val="22"/>
        </w:rPr>
        <w:t xml:space="preserve">and </w:t>
      </w:r>
      <w:r w:rsidRPr="00157F07">
        <w:rPr>
          <w:sz w:val="22"/>
          <w:szCs w:val="22"/>
        </w:rPr>
        <w:t>(</w:t>
      </w:r>
      <w:r w:rsidR="005365ED">
        <w:rPr>
          <w:sz w:val="22"/>
          <w:szCs w:val="22"/>
        </w:rPr>
        <w:t>revenue</w:t>
      </w:r>
      <w:r w:rsidRPr="00157F07">
        <w:rPr>
          <w:sz w:val="22"/>
          <w:szCs w:val="22"/>
        </w:rPr>
        <w:t>) to the transferee</w:t>
      </w:r>
      <w:r>
        <w:rPr>
          <w:sz w:val="22"/>
          <w:szCs w:val="22"/>
        </w:rPr>
        <w:t xml:space="preserve"> and</w:t>
      </w:r>
      <w:r w:rsidRPr="00157F07">
        <w:rPr>
          <w:sz w:val="22"/>
          <w:szCs w:val="22"/>
        </w:rPr>
        <w:t xml:space="preserve"> (transferor)</w:t>
      </w:r>
      <w:r w:rsidRPr="00685701">
        <w:rPr>
          <w:sz w:val="22"/>
          <w:szCs w:val="22"/>
        </w:rPr>
        <w:t>.</w:t>
      </w:r>
      <w:r>
        <w:rPr>
          <w:sz w:val="22"/>
          <w:szCs w:val="22"/>
        </w:rPr>
        <w:t xml:space="preserve"> The transferred </w:t>
      </w:r>
      <w:r w:rsidR="005365ED">
        <w:rPr>
          <w:sz w:val="22"/>
          <w:szCs w:val="22"/>
        </w:rPr>
        <w:t>employee benefit liability</w:t>
      </w:r>
      <w:r>
        <w:rPr>
          <w:sz w:val="22"/>
          <w:szCs w:val="22"/>
        </w:rPr>
        <w:t xml:space="preserve"> is recognised </w:t>
      </w:r>
      <w:r w:rsidRPr="00362AC8">
        <w:rPr>
          <w:sz w:val="22"/>
          <w:szCs w:val="22"/>
        </w:rPr>
        <w:t xml:space="preserve">at </w:t>
      </w:r>
      <w:r>
        <w:rPr>
          <w:sz w:val="22"/>
          <w:szCs w:val="22"/>
        </w:rPr>
        <w:t>fair value.</w:t>
      </w:r>
    </w:p>
    <w:p w14:paraId="6A9709B9" w14:textId="33FE35A5" w:rsidR="00BA1D65" w:rsidRPr="00924E6D" w:rsidRDefault="00272CBD" w:rsidP="00924E6D">
      <w:pPr>
        <w:spacing w:after="120" w:line="276" w:lineRule="auto"/>
        <w:jc w:val="both"/>
        <w:rPr>
          <w:sz w:val="22"/>
          <w:szCs w:val="22"/>
          <w:lang w:val="en-US"/>
        </w:rPr>
      </w:pPr>
      <w:r>
        <w:rPr>
          <w:sz w:val="22"/>
          <w:szCs w:val="22"/>
        </w:rPr>
        <w:t xml:space="preserve">For further information in relation to accounting for </w:t>
      </w:r>
      <w:r w:rsidR="005365ED">
        <w:rPr>
          <w:sz w:val="22"/>
          <w:szCs w:val="22"/>
        </w:rPr>
        <w:t xml:space="preserve">employee benefit liabilities </w:t>
      </w:r>
      <w:r>
        <w:rPr>
          <w:sz w:val="22"/>
          <w:szCs w:val="22"/>
        </w:rPr>
        <w:t>transferred between agencies refer to ‘AAPP 116 ACT Accounting Policy Paper on Contributions by Owners (AASB 1004 and Interpretation 1038)’.</w:t>
      </w:r>
      <w:bookmarkEnd w:id="82"/>
      <w:r w:rsidR="00BA1D65" w:rsidRPr="00924E6D">
        <w:rPr>
          <w:sz w:val="22"/>
          <w:szCs w:val="22"/>
          <w:lang w:val="en-US"/>
        </w:rPr>
        <w:t xml:space="preserve">  </w:t>
      </w:r>
    </w:p>
    <w:p w14:paraId="6A00FD33" w14:textId="77777777" w:rsidR="00BA1D65" w:rsidRPr="00CB1038" w:rsidRDefault="00BA1D65" w:rsidP="00924E6D">
      <w:pPr>
        <w:pStyle w:val="Heading1"/>
        <w:numPr>
          <w:ilvl w:val="0"/>
          <w:numId w:val="0"/>
        </w:numPr>
        <w:spacing w:after="120" w:line="276" w:lineRule="auto"/>
        <w:ind w:left="425" w:hanging="357"/>
        <w:rPr>
          <w:lang w:val="en-US"/>
        </w:rPr>
      </w:pPr>
      <w:bookmarkStart w:id="83" w:name="_Toc79159891"/>
      <w:bookmarkStart w:id="84" w:name="_Toc137036637"/>
      <w:r>
        <w:rPr>
          <w:lang w:val="en-US"/>
        </w:rPr>
        <w:t xml:space="preserve">6 </w:t>
      </w:r>
      <w:r w:rsidRPr="00CB1038">
        <w:rPr>
          <w:lang w:val="en-US"/>
        </w:rPr>
        <w:t>Paid Parental Leave</w:t>
      </w:r>
      <w:bookmarkEnd w:id="83"/>
      <w:bookmarkEnd w:id="84"/>
      <w:r w:rsidRPr="00CB1038">
        <w:rPr>
          <w:lang w:val="en-US"/>
        </w:rPr>
        <w:t xml:space="preserve"> </w:t>
      </w:r>
    </w:p>
    <w:p w14:paraId="42FE754E" w14:textId="5716AFA9" w:rsidR="00BA1D65" w:rsidRPr="00924E6D" w:rsidRDefault="00BA1D65" w:rsidP="00924E6D">
      <w:pPr>
        <w:spacing w:after="120" w:line="276" w:lineRule="auto"/>
        <w:jc w:val="both"/>
        <w:rPr>
          <w:sz w:val="22"/>
          <w:szCs w:val="22"/>
          <w:lang w:val="en-US"/>
        </w:rPr>
      </w:pPr>
      <w:r w:rsidRPr="00924E6D">
        <w:rPr>
          <w:sz w:val="22"/>
          <w:szCs w:val="22"/>
          <w:lang w:val="en-US"/>
        </w:rPr>
        <w:t>The Paid Parental Leave (PPL) scheme came into effect on 1 January 2011. The scheme is funded by the Commonwealth Government and provides Parental Leave Pay to mothers and other primary carers who have been in the paid workforce and have a baby or adopt a child on or after 1 January 2011.</w:t>
      </w:r>
    </w:p>
    <w:p w14:paraId="562F0B57" w14:textId="77777777" w:rsidR="00BA1D65" w:rsidRPr="00924E6D" w:rsidRDefault="00BA1D65" w:rsidP="00924E6D">
      <w:pPr>
        <w:spacing w:after="120" w:line="276" w:lineRule="auto"/>
        <w:jc w:val="both"/>
        <w:rPr>
          <w:sz w:val="22"/>
          <w:szCs w:val="22"/>
          <w:lang w:val="en-US"/>
        </w:rPr>
      </w:pPr>
      <w:r w:rsidRPr="00924E6D">
        <w:rPr>
          <w:sz w:val="22"/>
          <w:szCs w:val="22"/>
          <w:lang w:val="en-US"/>
        </w:rPr>
        <w:t>Payments will be taxable and subject to income and residency tests. Payments are not salary for workers compensation purposes and this leave is not counted as paid leave.</w:t>
      </w:r>
    </w:p>
    <w:p w14:paraId="6939FF12" w14:textId="77777777" w:rsidR="00BA1D65" w:rsidRPr="00924E6D" w:rsidRDefault="00BA1D65" w:rsidP="00924E6D">
      <w:pPr>
        <w:spacing w:after="120" w:line="276" w:lineRule="auto"/>
        <w:jc w:val="both"/>
        <w:rPr>
          <w:sz w:val="22"/>
          <w:szCs w:val="22"/>
          <w:lang w:val="en-US"/>
        </w:rPr>
      </w:pPr>
      <w:r w:rsidRPr="00924E6D">
        <w:rPr>
          <w:sz w:val="22"/>
          <w:szCs w:val="22"/>
          <w:lang w:val="en-US"/>
        </w:rPr>
        <w:t>Employers (ACT Government agencies) are not obliged to make payments unless they have received funding from the Commonwealth Government prior to payroll cut off.</w:t>
      </w:r>
    </w:p>
    <w:p w14:paraId="73911D27" w14:textId="77777777" w:rsidR="00BA1D65" w:rsidRPr="00CB1038" w:rsidRDefault="00BA1D65" w:rsidP="00924E6D">
      <w:pPr>
        <w:pStyle w:val="Heading2"/>
        <w:spacing w:before="360" w:line="276" w:lineRule="auto"/>
      </w:pPr>
      <w:bookmarkStart w:id="85" w:name="_Toc79159892"/>
      <w:bookmarkStart w:id="86" w:name="_Toc137036638"/>
      <w:r>
        <w:t xml:space="preserve">6.1 </w:t>
      </w:r>
      <w:r w:rsidRPr="00CB1038">
        <w:t>Administration Process</w:t>
      </w:r>
      <w:bookmarkEnd w:id="85"/>
      <w:bookmarkEnd w:id="86"/>
    </w:p>
    <w:p w14:paraId="21184DE4" w14:textId="77777777" w:rsidR="00BA1D65" w:rsidRPr="00924E6D" w:rsidRDefault="00BA1D65" w:rsidP="00924E6D">
      <w:pPr>
        <w:spacing w:after="120" w:line="276" w:lineRule="auto"/>
        <w:jc w:val="both"/>
        <w:rPr>
          <w:sz w:val="22"/>
          <w:szCs w:val="22"/>
        </w:rPr>
      </w:pPr>
      <w:r w:rsidRPr="00924E6D">
        <w:rPr>
          <w:sz w:val="22"/>
          <w:szCs w:val="22"/>
        </w:rPr>
        <w:t>Shared Services administers the PPL for agencies that utilise the ACT Government’s human resource management system.</w:t>
      </w:r>
    </w:p>
    <w:p w14:paraId="533C77C3" w14:textId="181EF76C" w:rsidR="00BA1D65" w:rsidRPr="00924E6D" w:rsidRDefault="00BA1D65" w:rsidP="00924E6D">
      <w:pPr>
        <w:spacing w:after="120" w:line="276" w:lineRule="auto"/>
        <w:jc w:val="both"/>
        <w:rPr>
          <w:sz w:val="22"/>
          <w:szCs w:val="22"/>
        </w:rPr>
      </w:pPr>
      <w:r w:rsidRPr="00924E6D">
        <w:rPr>
          <w:sz w:val="22"/>
          <w:szCs w:val="22"/>
        </w:rPr>
        <w:t xml:space="preserve">The steps for employees receiving PPL payments </w:t>
      </w:r>
      <w:r w:rsidR="000F29B9" w:rsidRPr="00924E6D">
        <w:rPr>
          <w:sz w:val="22"/>
          <w:szCs w:val="22"/>
        </w:rPr>
        <w:t>are</w:t>
      </w:r>
      <w:r w:rsidRPr="00924E6D">
        <w:rPr>
          <w:sz w:val="22"/>
          <w:szCs w:val="22"/>
        </w:rPr>
        <w:t xml:space="preserve"> set out below:</w:t>
      </w:r>
    </w:p>
    <w:p w14:paraId="51CB4FA0" w14:textId="77777777" w:rsidR="00BA1D65" w:rsidRPr="00924E6D" w:rsidRDefault="00BA1D65" w:rsidP="00924E6D">
      <w:pPr>
        <w:numPr>
          <w:ilvl w:val="0"/>
          <w:numId w:val="17"/>
        </w:numPr>
        <w:spacing w:after="120" w:line="276" w:lineRule="auto"/>
        <w:jc w:val="both"/>
        <w:rPr>
          <w:sz w:val="22"/>
          <w:szCs w:val="22"/>
        </w:rPr>
      </w:pPr>
      <w:r w:rsidRPr="00924E6D">
        <w:rPr>
          <w:sz w:val="22"/>
          <w:szCs w:val="22"/>
        </w:rPr>
        <w:t>Eligible ACT Government employees apply for PPL with Centrelink.</w:t>
      </w:r>
    </w:p>
    <w:p w14:paraId="7FBA9A84" w14:textId="77777777" w:rsidR="00BA1D65" w:rsidRPr="00924E6D" w:rsidRDefault="00BA1D65" w:rsidP="00924E6D">
      <w:pPr>
        <w:numPr>
          <w:ilvl w:val="0"/>
          <w:numId w:val="17"/>
        </w:numPr>
        <w:spacing w:after="120" w:line="276" w:lineRule="auto"/>
        <w:jc w:val="both"/>
        <w:rPr>
          <w:sz w:val="22"/>
          <w:szCs w:val="22"/>
        </w:rPr>
      </w:pPr>
      <w:r w:rsidRPr="00924E6D">
        <w:rPr>
          <w:sz w:val="22"/>
          <w:szCs w:val="22"/>
        </w:rPr>
        <w:t>Centrelink advises Shared Services (registered ACT Government employer) if the application is successful.</w:t>
      </w:r>
    </w:p>
    <w:p w14:paraId="34C6C1A6" w14:textId="17EFBAAB" w:rsidR="00BA1D65" w:rsidRPr="00924E6D" w:rsidRDefault="00BA1D65" w:rsidP="00924E6D">
      <w:pPr>
        <w:numPr>
          <w:ilvl w:val="0"/>
          <w:numId w:val="17"/>
        </w:numPr>
        <w:spacing w:after="120" w:line="276" w:lineRule="auto"/>
        <w:jc w:val="both"/>
        <w:rPr>
          <w:sz w:val="22"/>
          <w:szCs w:val="22"/>
        </w:rPr>
      </w:pPr>
      <w:r w:rsidRPr="00924E6D">
        <w:rPr>
          <w:sz w:val="22"/>
          <w:szCs w:val="22"/>
        </w:rPr>
        <w:t xml:space="preserve">Once a fortnight, a week in advance of pay cut-off, PPL funds will be sent to </w:t>
      </w:r>
      <w:r w:rsidR="004750ED">
        <w:rPr>
          <w:sz w:val="22"/>
          <w:szCs w:val="22"/>
        </w:rPr>
        <w:t xml:space="preserve">the </w:t>
      </w:r>
      <w:r w:rsidRPr="00924E6D">
        <w:rPr>
          <w:sz w:val="22"/>
          <w:szCs w:val="22"/>
        </w:rPr>
        <w:t>Shared Services Salaries Account. Centrelink will provide a report detailing to whom the funds relate.</w:t>
      </w:r>
    </w:p>
    <w:p w14:paraId="47FFD558" w14:textId="77777777" w:rsidR="00BA1D65" w:rsidRPr="00924E6D" w:rsidRDefault="00BA1D65" w:rsidP="00924E6D">
      <w:pPr>
        <w:numPr>
          <w:ilvl w:val="0"/>
          <w:numId w:val="17"/>
        </w:numPr>
        <w:spacing w:after="120" w:line="276" w:lineRule="auto"/>
        <w:jc w:val="both"/>
        <w:rPr>
          <w:sz w:val="22"/>
          <w:szCs w:val="22"/>
        </w:rPr>
      </w:pPr>
      <w:r w:rsidRPr="00924E6D">
        <w:rPr>
          <w:sz w:val="22"/>
          <w:szCs w:val="22"/>
        </w:rPr>
        <w:t>Funds relating to employees will be transferred to the relevant employee’s agency bank account.</w:t>
      </w:r>
    </w:p>
    <w:p w14:paraId="3CA87B38" w14:textId="536071AC" w:rsidR="00BA1D65" w:rsidRPr="00924E6D" w:rsidRDefault="00BA1D65" w:rsidP="00924E6D">
      <w:pPr>
        <w:numPr>
          <w:ilvl w:val="0"/>
          <w:numId w:val="17"/>
        </w:numPr>
        <w:spacing w:after="120" w:line="276" w:lineRule="auto"/>
        <w:ind w:left="357" w:hanging="357"/>
        <w:jc w:val="both"/>
        <w:rPr>
          <w:sz w:val="22"/>
          <w:szCs w:val="22"/>
        </w:rPr>
      </w:pPr>
      <w:r w:rsidRPr="00924E6D">
        <w:rPr>
          <w:sz w:val="22"/>
          <w:szCs w:val="22"/>
        </w:rPr>
        <w:t xml:space="preserve">Shared Services (payroll) will then pay the funds via </w:t>
      </w:r>
      <w:r w:rsidR="00850634">
        <w:rPr>
          <w:sz w:val="22"/>
          <w:szCs w:val="22"/>
        </w:rPr>
        <w:t>HR21</w:t>
      </w:r>
      <w:r w:rsidR="004F2F42" w:rsidRPr="00924E6D">
        <w:rPr>
          <w:sz w:val="22"/>
          <w:szCs w:val="22"/>
        </w:rPr>
        <w:t xml:space="preserve"> </w:t>
      </w:r>
      <w:r w:rsidRPr="00924E6D">
        <w:rPr>
          <w:sz w:val="22"/>
          <w:szCs w:val="22"/>
        </w:rPr>
        <w:t>to the employee.</w:t>
      </w:r>
    </w:p>
    <w:p w14:paraId="5E98D274" w14:textId="7AA85CFE" w:rsidR="00BA1D65" w:rsidRPr="00924E6D" w:rsidRDefault="00BA1D65" w:rsidP="00924E6D">
      <w:pPr>
        <w:spacing w:after="120" w:line="276" w:lineRule="auto"/>
        <w:jc w:val="both"/>
        <w:rPr>
          <w:sz w:val="22"/>
          <w:szCs w:val="22"/>
        </w:rPr>
      </w:pPr>
      <w:r w:rsidRPr="00924E6D">
        <w:rPr>
          <w:sz w:val="22"/>
          <w:szCs w:val="22"/>
        </w:rPr>
        <w:t xml:space="preserve">For agencies that do not utilise the ACT Government HR system, the administration process is </w:t>
      </w:r>
      <w:proofErr w:type="gramStart"/>
      <w:r w:rsidRPr="00924E6D">
        <w:rPr>
          <w:sz w:val="22"/>
          <w:szCs w:val="22"/>
        </w:rPr>
        <w:t>similar to</w:t>
      </w:r>
      <w:proofErr w:type="gramEnd"/>
      <w:r w:rsidRPr="00924E6D">
        <w:rPr>
          <w:sz w:val="22"/>
          <w:szCs w:val="22"/>
        </w:rPr>
        <w:t xml:space="preserve"> the above. Steps 1 to 2 are the same. Funds relating to the employee(s) will be transferred from Centrelink to the agency’s bank account. The agency will then transfer the relevant PPL funds to the employee’s bank account.</w:t>
      </w:r>
    </w:p>
    <w:p w14:paraId="3DC50881" w14:textId="1C3B745F" w:rsidR="00BA1D65" w:rsidRPr="00CB1038" w:rsidRDefault="00BA1D65" w:rsidP="00924E6D">
      <w:pPr>
        <w:spacing w:after="120" w:line="276" w:lineRule="auto"/>
        <w:jc w:val="both"/>
        <w:rPr>
          <w:lang w:val="en-US"/>
        </w:rPr>
      </w:pPr>
      <w:r w:rsidRPr="00924E6D">
        <w:rPr>
          <w:sz w:val="22"/>
          <w:szCs w:val="22"/>
          <w:lang w:val="en-US"/>
        </w:rPr>
        <w:t xml:space="preserve">Information on the Paid Parental Leave scheme is available from the Commonwealth Government </w:t>
      </w:r>
      <w:r w:rsidR="001F2949" w:rsidRPr="00924E6D">
        <w:rPr>
          <w:sz w:val="22"/>
          <w:szCs w:val="22"/>
          <w:lang w:val="en-US"/>
        </w:rPr>
        <w:t>Raising Kids</w:t>
      </w:r>
      <w:r w:rsidRPr="00924E6D">
        <w:rPr>
          <w:sz w:val="22"/>
          <w:szCs w:val="22"/>
          <w:lang w:val="en-US"/>
        </w:rPr>
        <w:t xml:space="preserve"> Website - </w:t>
      </w:r>
      <w:hyperlink r:id="rId14" w:history="1">
        <w:r w:rsidR="001F2949" w:rsidRPr="00924E6D">
          <w:rPr>
            <w:rStyle w:val="Hyperlink"/>
            <w:sz w:val="22"/>
            <w:szCs w:val="22"/>
          </w:rPr>
          <w:t>Raising kids - Services Australia</w:t>
        </w:r>
      </w:hyperlink>
      <w:r w:rsidRPr="00924E6D">
        <w:rPr>
          <w:sz w:val="22"/>
          <w:szCs w:val="22"/>
        </w:rPr>
        <w:t xml:space="preserve"> </w:t>
      </w:r>
    </w:p>
    <w:p w14:paraId="2B59084A" w14:textId="77777777" w:rsidR="00BA1D65" w:rsidRPr="00CB1038" w:rsidRDefault="00BA1D65" w:rsidP="00924E6D">
      <w:pPr>
        <w:pStyle w:val="Heading2"/>
        <w:spacing w:before="360" w:line="276" w:lineRule="auto"/>
      </w:pPr>
      <w:bookmarkStart w:id="87" w:name="_Toc79159893"/>
      <w:bookmarkStart w:id="88" w:name="_Toc137036639"/>
      <w:r>
        <w:lastRenderedPageBreak/>
        <w:t xml:space="preserve">6.2 </w:t>
      </w:r>
      <w:r w:rsidRPr="00CB1038">
        <w:t>Accounting Treatment</w:t>
      </w:r>
      <w:bookmarkEnd w:id="87"/>
      <w:bookmarkEnd w:id="88"/>
    </w:p>
    <w:p w14:paraId="119FBF8D" w14:textId="77777777" w:rsidR="00BA1D65" w:rsidRPr="00924E6D" w:rsidRDefault="00BA1D65" w:rsidP="00924E6D">
      <w:pPr>
        <w:spacing w:after="120" w:line="276" w:lineRule="auto"/>
        <w:jc w:val="both"/>
        <w:rPr>
          <w:sz w:val="22"/>
          <w:szCs w:val="22"/>
          <w:lang w:val="en-US"/>
        </w:rPr>
      </w:pPr>
      <w:r w:rsidRPr="00924E6D">
        <w:rPr>
          <w:sz w:val="22"/>
          <w:szCs w:val="22"/>
          <w:lang w:val="en-US"/>
        </w:rPr>
        <w:t>Amounts received in relation to the PPL scheme are held by the agency in an agent capacity. As such, receipts of such funds are not considered revenue for the agency</w:t>
      </w:r>
      <w:r w:rsidRPr="00924E6D">
        <w:rPr>
          <w:sz w:val="22"/>
          <w:szCs w:val="22"/>
        </w:rPr>
        <w:t>,</w:t>
      </w:r>
      <w:r w:rsidRPr="00924E6D">
        <w:rPr>
          <w:sz w:val="22"/>
          <w:szCs w:val="22"/>
          <w:lang w:val="en-US"/>
        </w:rPr>
        <w:t xml:space="preserve"> nor are payments of these amounts considered to be expenses of the agency. </w:t>
      </w:r>
    </w:p>
    <w:p w14:paraId="41F24FDD" w14:textId="77777777" w:rsidR="00BA1D65" w:rsidRPr="00924E6D" w:rsidRDefault="00BA1D65" w:rsidP="00924E6D">
      <w:pPr>
        <w:spacing w:after="120" w:line="276" w:lineRule="auto"/>
        <w:jc w:val="both"/>
        <w:rPr>
          <w:sz w:val="22"/>
          <w:szCs w:val="22"/>
        </w:rPr>
      </w:pPr>
      <w:r w:rsidRPr="00924E6D">
        <w:rPr>
          <w:sz w:val="22"/>
          <w:szCs w:val="22"/>
        </w:rPr>
        <w:t>Where employers have received amounts at balance date that have not yet been paid to employees, they must be accounted for as cash and a liability (</w:t>
      </w:r>
      <w:proofErr w:type="gramStart"/>
      <w:r w:rsidRPr="00924E6D">
        <w:rPr>
          <w:sz w:val="22"/>
          <w:szCs w:val="22"/>
        </w:rPr>
        <w:t>i.e.</w:t>
      </w:r>
      <w:proofErr w:type="gramEnd"/>
      <w:r w:rsidRPr="00924E6D">
        <w:rPr>
          <w:sz w:val="22"/>
          <w:szCs w:val="22"/>
        </w:rPr>
        <w:t xml:space="preserve"> payable). </w:t>
      </w:r>
    </w:p>
    <w:p w14:paraId="5205A3B6" w14:textId="6122B1D8" w:rsidR="00BA1D65" w:rsidRDefault="00BA1D65" w:rsidP="00EF7F0F">
      <w:pPr>
        <w:spacing w:after="120" w:line="276" w:lineRule="auto"/>
        <w:jc w:val="both"/>
      </w:pPr>
      <w:r w:rsidRPr="00924E6D">
        <w:rPr>
          <w:sz w:val="22"/>
          <w:szCs w:val="22"/>
          <w:lang w:val="en-US"/>
        </w:rPr>
        <w:t xml:space="preserve">Cash flows relating to the scheme are to be recognised as part of ‘Cash flows from operating activities – Other’ on the Statement of Cash Flows. </w:t>
      </w:r>
      <w:r w:rsidRPr="00924E6D">
        <w:rPr>
          <w:sz w:val="22"/>
          <w:szCs w:val="22"/>
        </w:rPr>
        <w:t xml:space="preserve"> </w:t>
      </w:r>
      <w:r>
        <w:br w:type="page"/>
      </w:r>
    </w:p>
    <w:p w14:paraId="3D664E91" w14:textId="77777777" w:rsidR="00BA1D65" w:rsidRPr="00CB1038" w:rsidRDefault="00BA1D65" w:rsidP="00B46C1D">
      <w:pPr>
        <w:pStyle w:val="Heading1"/>
        <w:numPr>
          <w:ilvl w:val="0"/>
          <w:numId w:val="0"/>
        </w:numPr>
        <w:rPr>
          <w:lang w:val="en-US"/>
        </w:rPr>
      </w:pPr>
      <w:bookmarkStart w:id="89" w:name="_Toc79159894"/>
      <w:bookmarkStart w:id="90" w:name="_Toc137036640"/>
      <w:r w:rsidRPr="00CB1038">
        <w:rPr>
          <w:lang w:val="en-US"/>
        </w:rPr>
        <w:lastRenderedPageBreak/>
        <w:t xml:space="preserve">ATTACHMENT </w:t>
      </w:r>
      <w:r>
        <w:rPr>
          <w:lang w:val="en-US"/>
        </w:rPr>
        <w:t>A</w:t>
      </w:r>
      <w:r w:rsidRPr="00CB1038">
        <w:rPr>
          <w:lang w:val="en-US"/>
        </w:rPr>
        <w:t xml:space="preserve"> </w:t>
      </w:r>
      <w:r>
        <w:rPr>
          <w:lang w:val="en-US"/>
        </w:rPr>
        <w:t>–</w:t>
      </w:r>
      <w:r w:rsidRPr="00CB1038">
        <w:rPr>
          <w:lang w:val="en-US"/>
        </w:rPr>
        <w:t xml:space="preserve"> Calculation of </w:t>
      </w:r>
      <w:r>
        <w:rPr>
          <w:lang w:val="en-US"/>
        </w:rPr>
        <w:t xml:space="preserve">Long Service Leave </w:t>
      </w:r>
      <w:r w:rsidRPr="00CB1038">
        <w:rPr>
          <w:lang w:val="en-US"/>
        </w:rPr>
        <w:t>Liability and Expense</w:t>
      </w:r>
      <w:bookmarkEnd w:id="89"/>
      <w:bookmarkEnd w:id="90"/>
    </w:p>
    <w:p w14:paraId="18E0D52A" w14:textId="77777777" w:rsidR="00BA1D65" w:rsidRPr="00B46C1D" w:rsidRDefault="00BA1D65" w:rsidP="00B46C1D">
      <w:pPr>
        <w:spacing w:after="120" w:line="276" w:lineRule="auto"/>
        <w:jc w:val="both"/>
        <w:rPr>
          <w:sz w:val="22"/>
          <w:szCs w:val="22"/>
        </w:rPr>
      </w:pPr>
      <w:r w:rsidRPr="00B46C1D">
        <w:rPr>
          <w:sz w:val="22"/>
          <w:szCs w:val="22"/>
        </w:rPr>
        <w:t>The calculation is based on a two-part process:</w:t>
      </w:r>
    </w:p>
    <w:p w14:paraId="045E607D" w14:textId="77777777" w:rsidR="00BA1D65" w:rsidRPr="00B46C1D" w:rsidRDefault="00BA1D65" w:rsidP="00B46C1D">
      <w:pPr>
        <w:spacing w:after="120" w:line="276" w:lineRule="auto"/>
        <w:jc w:val="both"/>
        <w:rPr>
          <w:sz w:val="22"/>
          <w:szCs w:val="22"/>
        </w:rPr>
      </w:pPr>
      <w:r w:rsidRPr="00B46C1D">
        <w:rPr>
          <w:sz w:val="22"/>
          <w:szCs w:val="22"/>
        </w:rPr>
        <w:t xml:space="preserve">A1. Recognition and measurement of the Long Service Leave (LSL) liability; and </w:t>
      </w:r>
    </w:p>
    <w:p w14:paraId="33A83FAD" w14:textId="339B145A" w:rsidR="00BA1D65" w:rsidRPr="00B46C1D" w:rsidRDefault="00BA1D65" w:rsidP="00B46C1D">
      <w:pPr>
        <w:spacing w:after="120" w:line="276" w:lineRule="auto"/>
        <w:ind w:left="426" w:hanging="426"/>
        <w:jc w:val="both"/>
        <w:rPr>
          <w:sz w:val="22"/>
          <w:szCs w:val="22"/>
        </w:rPr>
      </w:pPr>
      <w:r w:rsidRPr="00B46C1D">
        <w:rPr>
          <w:sz w:val="22"/>
          <w:szCs w:val="22"/>
        </w:rPr>
        <w:t xml:space="preserve">A2. Disclosure and </w:t>
      </w:r>
      <w:r w:rsidR="00341DE1">
        <w:rPr>
          <w:sz w:val="22"/>
          <w:szCs w:val="22"/>
        </w:rPr>
        <w:t>c</w:t>
      </w:r>
      <w:r w:rsidRPr="00B46C1D">
        <w:rPr>
          <w:sz w:val="22"/>
          <w:szCs w:val="22"/>
        </w:rPr>
        <w:t>alculation of Journal Entr</w:t>
      </w:r>
      <w:r w:rsidR="002F6D0B" w:rsidRPr="00B46C1D">
        <w:rPr>
          <w:sz w:val="22"/>
          <w:szCs w:val="22"/>
        </w:rPr>
        <w:t>ies</w:t>
      </w:r>
      <w:r w:rsidRPr="00B46C1D">
        <w:rPr>
          <w:sz w:val="22"/>
          <w:szCs w:val="22"/>
        </w:rPr>
        <w:t xml:space="preserve"> </w:t>
      </w:r>
      <w:r w:rsidR="002F6D0B" w:rsidRPr="00B46C1D">
        <w:rPr>
          <w:sz w:val="22"/>
          <w:szCs w:val="22"/>
        </w:rPr>
        <w:t xml:space="preserve">required </w:t>
      </w:r>
      <w:proofErr w:type="gramStart"/>
      <w:r w:rsidR="002F6D0B" w:rsidRPr="00B46C1D">
        <w:rPr>
          <w:sz w:val="22"/>
          <w:szCs w:val="22"/>
        </w:rPr>
        <w:t>at</w:t>
      </w:r>
      <w:proofErr w:type="gramEnd"/>
      <w:r w:rsidR="002F6D0B" w:rsidRPr="00B46C1D">
        <w:rPr>
          <w:sz w:val="22"/>
          <w:szCs w:val="22"/>
        </w:rPr>
        <w:t xml:space="preserve"> </w:t>
      </w:r>
      <w:r w:rsidRPr="00B46C1D">
        <w:rPr>
          <w:sz w:val="22"/>
          <w:szCs w:val="22"/>
        </w:rPr>
        <w:t xml:space="preserve">30 June 20X2 for the current and non-current LSL liability. </w:t>
      </w:r>
    </w:p>
    <w:p w14:paraId="7FBF1C4C" w14:textId="24222781" w:rsidR="00BA1D65" w:rsidRPr="00B46C1D" w:rsidRDefault="00BA1D65" w:rsidP="00B46C1D">
      <w:pPr>
        <w:spacing w:after="120" w:line="276" w:lineRule="auto"/>
        <w:jc w:val="both"/>
        <w:rPr>
          <w:sz w:val="22"/>
          <w:szCs w:val="22"/>
        </w:rPr>
      </w:pPr>
      <w:r w:rsidRPr="00B46C1D">
        <w:rPr>
          <w:sz w:val="22"/>
          <w:szCs w:val="22"/>
        </w:rPr>
        <w:t xml:space="preserve">The example below is based on the following data: </w:t>
      </w:r>
    </w:p>
    <w:p w14:paraId="61AD84DF" w14:textId="37AF3A9D" w:rsidR="00BA1D65" w:rsidRPr="00B46C1D" w:rsidRDefault="00BA1D65" w:rsidP="00B46C1D">
      <w:pPr>
        <w:spacing w:after="120" w:line="276" w:lineRule="auto"/>
        <w:jc w:val="both"/>
        <w:rPr>
          <w:sz w:val="22"/>
          <w:szCs w:val="22"/>
        </w:rPr>
      </w:pPr>
      <w:proofErr w:type="gramStart"/>
      <w:r w:rsidRPr="00B46C1D">
        <w:rPr>
          <w:sz w:val="22"/>
          <w:szCs w:val="22"/>
        </w:rPr>
        <w:t>At</w:t>
      </w:r>
      <w:proofErr w:type="gramEnd"/>
      <w:r w:rsidRPr="00B46C1D">
        <w:rPr>
          <w:sz w:val="22"/>
          <w:szCs w:val="22"/>
        </w:rPr>
        <w:t xml:space="preserve"> 30 June 20X1 </w:t>
      </w:r>
      <w:r w:rsidR="002F6D0B">
        <w:rPr>
          <w:sz w:val="22"/>
          <w:szCs w:val="22"/>
        </w:rPr>
        <w:t>there was a t</w:t>
      </w:r>
      <w:r w:rsidRPr="00B46C1D">
        <w:rPr>
          <w:sz w:val="22"/>
          <w:szCs w:val="22"/>
        </w:rPr>
        <w:t xml:space="preserve">otal LSL </w:t>
      </w:r>
      <w:r w:rsidR="002F6D0B">
        <w:rPr>
          <w:sz w:val="22"/>
          <w:szCs w:val="22"/>
        </w:rPr>
        <w:t>l</w:t>
      </w:r>
      <w:r w:rsidRPr="00B46C1D">
        <w:rPr>
          <w:sz w:val="22"/>
          <w:szCs w:val="22"/>
        </w:rPr>
        <w:t>iability</w:t>
      </w:r>
      <w:r w:rsidR="002F6D0B">
        <w:rPr>
          <w:sz w:val="22"/>
          <w:szCs w:val="22"/>
        </w:rPr>
        <w:t xml:space="preserve"> balance of</w:t>
      </w:r>
      <w:r w:rsidRPr="00B46C1D">
        <w:rPr>
          <w:sz w:val="22"/>
          <w:szCs w:val="22"/>
        </w:rPr>
        <w:t xml:space="preserve"> $70,000 (from </w:t>
      </w:r>
      <w:r w:rsidR="002F6D0B">
        <w:rPr>
          <w:sz w:val="22"/>
          <w:szCs w:val="22"/>
        </w:rPr>
        <w:t xml:space="preserve">the </w:t>
      </w:r>
      <w:r w:rsidRPr="00B46C1D">
        <w:rPr>
          <w:sz w:val="22"/>
          <w:szCs w:val="22"/>
        </w:rPr>
        <w:t xml:space="preserve">20X0-X1 Financial Statements) made up of </w:t>
      </w:r>
      <w:r w:rsidR="002F6D0B">
        <w:rPr>
          <w:sz w:val="22"/>
          <w:szCs w:val="22"/>
        </w:rPr>
        <w:t>a c</w:t>
      </w:r>
      <w:r w:rsidRPr="00B46C1D">
        <w:rPr>
          <w:sz w:val="22"/>
          <w:szCs w:val="22"/>
        </w:rPr>
        <w:t xml:space="preserve">urrent LSL liability </w:t>
      </w:r>
      <w:r w:rsidR="002F6D0B">
        <w:rPr>
          <w:sz w:val="22"/>
          <w:szCs w:val="22"/>
        </w:rPr>
        <w:t xml:space="preserve">of </w:t>
      </w:r>
      <w:r w:rsidRPr="00B46C1D">
        <w:rPr>
          <w:sz w:val="22"/>
          <w:szCs w:val="22"/>
        </w:rPr>
        <w:t xml:space="preserve">$62,000 and Non-Current LSL Liability </w:t>
      </w:r>
      <w:r w:rsidR="002F6D0B">
        <w:rPr>
          <w:sz w:val="22"/>
          <w:szCs w:val="22"/>
        </w:rPr>
        <w:t xml:space="preserve">of </w:t>
      </w:r>
      <w:r w:rsidRPr="00B46C1D">
        <w:rPr>
          <w:sz w:val="22"/>
          <w:szCs w:val="22"/>
        </w:rPr>
        <w:t xml:space="preserve">$8,000. The example includes superannuation, </w:t>
      </w:r>
      <w:proofErr w:type="gramStart"/>
      <w:r w:rsidRPr="00B46C1D">
        <w:rPr>
          <w:sz w:val="22"/>
          <w:szCs w:val="22"/>
        </w:rPr>
        <w:t>LSL</w:t>
      </w:r>
      <w:proofErr w:type="gramEnd"/>
      <w:r w:rsidRPr="00B46C1D">
        <w:rPr>
          <w:sz w:val="22"/>
          <w:szCs w:val="22"/>
        </w:rPr>
        <w:t xml:space="preserve"> and AL on-costs.</w:t>
      </w:r>
    </w:p>
    <w:p w14:paraId="58CF4331" w14:textId="77777777" w:rsidR="00BA1D65" w:rsidRDefault="00BA1D65" w:rsidP="00BA1D65"/>
    <w:p w14:paraId="22518306" w14:textId="77777777" w:rsidR="00BA1D65" w:rsidRPr="00CB1038" w:rsidRDefault="00BA1D65" w:rsidP="00BA1D65">
      <w:pPr>
        <w:pStyle w:val="Heading2"/>
      </w:pPr>
      <w:bookmarkStart w:id="91" w:name="_Toc79159895"/>
      <w:bookmarkStart w:id="92" w:name="_Toc137036641"/>
      <w:r>
        <w:t>A</w:t>
      </w:r>
      <w:r w:rsidRPr="00CB1038">
        <w:t>1. Recognition and Measurement</w:t>
      </w:r>
      <w:bookmarkEnd w:id="91"/>
      <w:bookmarkEnd w:id="92"/>
    </w:p>
    <w:p w14:paraId="2C1C36F3" w14:textId="77777777" w:rsidR="00BA1D65" w:rsidRPr="00B46C1D" w:rsidRDefault="00BA1D65" w:rsidP="00B46C1D">
      <w:pPr>
        <w:spacing w:after="120" w:line="276" w:lineRule="auto"/>
        <w:jc w:val="both"/>
        <w:rPr>
          <w:sz w:val="22"/>
          <w:szCs w:val="22"/>
          <w:lang w:val="en-US"/>
        </w:rPr>
      </w:pPr>
      <w:r w:rsidRPr="00B46C1D">
        <w:rPr>
          <w:sz w:val="22"/>
          <w:szCs w:val="22"/>
          <w:lang w:val="en-US"/>
        </w:rPr>
        <w:t xml:space="preserve">Recognise and measure the present value LSL liability and expense </w:t>
      </w:r>
      <w:proofErr w:type="gramStart"/>
      <w:r w:rsidRPr="00B46C1D">
        <w:rPr>
          <w:sz w:val="22"/>
          <w:szCs w:val="22"/>
          <w:lang w:val="en-US"/>
        </w:rPr>
        <w:t>at</w:t>
      </w:r>
      <w:proofErr w:type="gramEnd"/>
      <w:r w:rsidRPr="00B46C1D">
        <w:rPr>
          <w:sz w:val="22"/>
          <w:szCs w:val="22"/>
          <w:lang w:val="en-US"/>
        </w:rPr>
        <w:t xml:space="preserve"> 30 June 20X2:</w:t>
      </w:r>
    </w:p>
    <w:p w14:paraId="5174E3D7" w14:textId="77777777" w:rsidR="00BA1D65" w:rsidRPr="00B46C1D" w:rsidRDefault="00BA1D65" w:rsidP="00B46C1D">
      <w:pPr>
        <w:pStyle w:val="ListParagraph"/>
        <w:numPr>
          <w:ilvl w:val="0"/>
          <w:numId w:val="29"/>
        </w:numPr>
        <w:spacing w:after="120" w:line="276" w:lineRule="auto"/>
        <w:ind w:left="709" w:hanging="284"/>
        <w:contextualSpacing w:val="0"/>
        <w:jc w:val="both"/>
        <w:rPr>
          <w:sz w:val="22"/>
          <w:szCs w:val="22"/>
          <w:lang w:val="en-US"/>
        </w:rPr>
      </w:pPr>
      <w:r w:rsidRPr="00B46C1D">
        <w:rPr>
          <w:sz w:val="22"/>
          <w:szCs w:val="22"/>
          <w:lang w:val="en-US"/>
        </w:rPr>
        <w:t xml:space="preserve">Obtain the LSL liability for each employee, based on remuneration rates applicable </w:t>
      </w:r>
      <w:proofErr w:type="gramStart"/>
      <w:r w:rsidRPr="00B46C1D">
        <w:rPr>
          <w:sz w:val="22"/>
          <w:szCs w:val="22"/>
          <w:lang w:val="en-US"/>
        </w:rPr>
        <w:t>at</w:t>
      </w:r>
      <w:proofErr w:type="gramEnd"/>
      <w:r w:rsidRPr="00B46C1D">
        <w:rPr>
          <w:sz w:val="22"/>
          <w:szCs w:val="22"/>
          <w:lang w:val="en-US"/>
        </w:rPr>
        <w:t xml:space="preserve"> 30 June 20X2 (e.g. from an agency’s HR records). </w:t>
      </w:r>
    </w:p>
    <w:p w14:paraId="0C558799" w14:textId="646C92F1" w:rsidR="00BA1D65" w:rsidRPr="00B46C1D" w:rsidRDefault="00ED71BF" w:rsidP="00B46C1D">
      <w:pPr>
        <w:pStyle w:val="ListParagraph"/>
        <w:numPr>
          <w:ilvl w:val="0"/>
          <w:numId w:val="29"/>
        </w:numPr>
        <w:spacing w:after="120" w:line="276" w:lineRule="auto"/>
        <w:ind w:left="709"/>
        <w:contextualSpacing w:val="0"/>
        <w:jc w:val="both"/>
        <w:rPr>
          <w:sz w:val="22"/>
          <w:szCs w:val="22"/>
          <w:lang w:val="en-US"/>
        </w:rPr>
      </w:pPr>
      <w:r>
        <w:rPr>
          <w:sz w:val="22"/>
          <w:szCs w:val="22"/>
          <w:lang w:val="en-US"/>
        </w:rPr>
        <w:t xml:space="preserve">Follow the </w:t>
      </w:r>
      <w:r w:rsidR="00BA1D65" w:rsidRPr="00B46C1D">
        <w:rPr>
          <w:sz w:val="22"/>
          <w:szCs w:val="22"/>
          <w:lang w:val="en-US"/>
        </w:rPr>
        <w:t>3 steps</w:t>
      </w:r>
      <w:r>
        <w:rPr>
          <w:sz w:val="22"/>
          <w:szCs w:val="22"/>
          <w:lang w:val="en-US"/>
        </w:rPr>
        <w:t xml:space="preserve"> for calculating the LSL liability as outlined in Section 3.2 above.  The 3 steps involve applying the </w:t>
      </w:r>
      <w:r w:rsidR="00BA1D65" w:rsidRPr="00A53FB4">
        <w:rPr>
          <w:sz w:val="22"/>
          <w:szCs w:val="22"/>
          <w:lang w:val="en-US"/>
        </w:rPr>
        <w:t>Probability Factor</w:t>
      </w:r>
      <w:r>
        <w:rPr>
          <w:sz w:val="22"/>
          <w:szCs w:val="22"/>
          <w:lang w:val="en-US"/>
        </w:rPr>
        <w:t>,</w:t>
      </w:r>
      <w:r w:rsidR="00BA1D65" w:rsidRPr="00A53FB4">
        <w:rPr>
          <w:sz w:val="22"/>
          <w:szCs w:val="22"/>
          <w:lang w:val="en-US"/>
        </w:rPr>
        <w:t xml:space="preserve"> On-</w:t>
      </w:r>
      <w:proofErr w:type="gramStart"/>
      <w:r w:rsidR="00BA1D65" w:rsidRPr="00A53FB4">
        <w:rPr>
          <w:sz w:val="22"/>
          <w:szCs w:val="22"/>
          <w:lang w:val="en-US"/>
        </w:rPr>
        <w:t>Costs</w:t>
      </w:r>
      <w:proofErr w:type="gramEnd"/>
      <w:r w:rsidR="00A53FB4">
        <w:rPr>
          <w:sz w:val="22"/>
          <w:szCs w:val="22"/>
          <w:lang w:val="en-US"/>
        </w:rPr>
        <w:t xml:space="preserve"> </w:t>
      </w:r>
      <w:r>
        <w:rPr>
          <w:sz w:val="22"/>
          <w:szCs w:val="22"/>
          <w:lang w:val="en-US"/>
        </w:rPr>
        <w:t>and</w:t>
      </w:r>
      <w:r w:rsidR="00BA1D65" w:rsidRPr="00A53FB4">
        <w:rPr>
          <w:sz w:val="22"/>
          <w:szCs w:val="22"/>
          <w:lang w:val="en-US"/>
        </w:rPr>
        <w:t xml:space="preserve"> </w:t>
      </w:r>
      <w:r>
        <w:rPr>
          <w:sz w:val="22"/>
          <w:szCs w:val="22"/>
          <w:lang w:val="en-US"/>
        </w:rPr>
        <w:t>the Present Value Factor (</w:t>
      </w:r>
      <w:r w:rsidR="00BA1D65" w:rsidRPr="00B46C1D">
        <w:rPr>
          <w:sz w:val="22"/>
          <w:szCs w:val="22"/>
          <w:lang w:val="en-US"/>
        </w:rPr>
        <w:t>PVF</w:t>
      </w:r>
      <w:r>
        <w:rPr>
          <w:sz w:val="22"/>
          <w:szCs w:val="22"/>
          <w:lang w:val="en-US"/>
        </w:rPr>
        <w:t>).</w:t>
      </w:r>
      <w:r w:rsidR="00BA1D65" w:rsidRPr="00B46C1D">
        <w:rPr>
          <w:sz w:val="22"/>
          <w:szCs w:val="22"/>
          <w:lang w:val="en-US"/>
        </w:rPr>
        <w:t xml:space="preserve"> </w:t>
      </w:r>
      <w:r>
        <w:rPr>
          <w:sz w:val="22"/>
          <w:szCs w:val="22"/>
          <w:lang w:val="en-US"/>
        </w:rPr>
        <w:t>In accordance with Section 3.2 these steps are applied in the following order</w:t>
      </w:r>
      <w:r w:rsidR="00BA1D65" w:rsidRPr="00A53FB4">
        <w:rPr>
          <w:sz w:val="22"/>
          <w:szCs w:val="22"/>
          <w:lang w:val="en-US"/>
        </w:rPr>
        <w:t xml:space="preserve"> to adjust </w:t>
      </w:r>
      <w:r>
        <w:rPr>
          <w:sz w:val="22"/>
          <w:szCs w:val="22"/>
          <w:lang w:val="en-US"/>
        </w:rPr>
        <w:t xml:space="preserve">the </w:t>
      </w:r>
      <w:r w:rsidR="00BA1D65" w:rsidRPr="00B46C1D">
        <w:rPr>
          <w:sz w:val="22"/>
          <w:szCs w:val="22"/>
          <w:lang w:val="en-US"/>
        </w:rPr>
        <w:t>LSL liability for employees</w:t>
      </w:r>
      <w:r w:rsidR="00BA1D65" w:rsidRPr="00B46C1D">
        <w:rPr>
          <w:sz w:val="22"/>
          <w:szCs w:val="22"/>
        </w:rPr>
        <w:t xml:space="preserve"> (Table 1 column B unadjusted LSL Liability)</w:t>
      </w:r>
      <w:r w:rsidR="00BA1D65" w:rsidRPr="00B46C1D">
        <w:rPr>
          <w:sz w:val="22"/>
          <w:szCs w:val="22"/>
          <w:lang w:val="en-US"/>
        </w:rPr>
        <w:t>:</w:t>
      </w:r>
    </w:p>
    <w:p w14:paraId="483FBFEA" w14:textId="142AC9A5" w:rsidR="00BA1D65" w:rsidRPr="00E86B40" w:rsidRDefault="00BA1D65" w:rsidP="00B46C1D">
      <w:pPr>
        <w:pStyle w:val="ListParagraph"/>
        <w:numPr>
          <w:ilvl w:val="1"/>
          <w:numId w:val="30"/>
        </w:numPr>
        <w:spacing w:after="120" w:line="276" w:lineRule="auto"/>
        <w:ind w:left="1134"/>
        <w:contextualSpacing w:val="0"/>
        <w:jc w:val="both"/>
        <w:rPr>
          <w:sz w:val="22"/>
          <w:szCs w:val="22"/>
          <w:lang w:val="en-US"/>
        </w:rPr>
      </w:pPr>
      <w:r w:rsidRPr="00273B09">
        <w:rPr>
          <w:i/>
          <w:iCs/>
          <w:sz w:val="22"/>
          <w:szCs w:val="22"/>
          <w:lang w:val="en-US"/>
        </w:rPr>
        <w:t>Step 1 - LSL probability factors</w:t>
      </w:r>
      <w:r w:rsidRPr="00B46C1D">
        <w:rPr>
          <w:b/>
          <w:bCs/>
          <w:sz w:val="22"/>
          <w:szCs w:val="22"/>
          <w:lang w:val="en-US"/>
        </w:rPr>
        <w:t xml:space="preserve"> </w:t>
      </w:r>
      <w:r w:rsidR="009362EF">
        <w:rPr>
          <w:b/>
          <w:bCs/>
          <w:sz w:val="22"/>
          <w:szCs w:val="22"/>
          <w:lang w:val="en-US"/>
        </w:rPr>
        <w:t xml:space="preserve">– </w:t>
      </w:r>
      <w:r w:rsidR="009362EF" w:rsidRPr="009362EF">
        <w:rPr>
          <w:sz w:val="22"/>
          <w:szCs w:val="22"/>
          <w:lang w:val="en-US"/>
        </w:rPr>
        <w:t>Step</w:t>
      </w:r>
      <w:r w:rsidR="009362EF">
        <w:rPr>
          <w:sz w:val="22"/>
          <w:szCs w:val="22"/>
          <w:lang w:val="en-US"/>
        </w:rPr>
        <w:t xml:space="preserve"> </w:t>
      </w:r>
      <w:r w:rsidR="009362EF" w:rsidRPr="009362EF">
        <w:rPr>
          <w:sz w:val="22"/>
          <w:szCs w:val="22"/>
          <w:lang w:val="en-US"/>
        </w:rPr>
        <w:t>1 is</w:t>
      </w:r>
      <w:r w:rsidR="00E86B40">
        <w:rPr>
          <w:sz w:val="22"/>
          <w:szCs w:val="22"/>
          <w:lang w:val="en-US"/>
        </w:rPr>
        <w:t xml:space="preserve"> outlined in </w:t>
      </w:r>
      <w:r w:rsidRPr="00A53FB4">
        <w:rPr>
          <w:sz w:val="22"/>
          <w:szCs w:val="22"/>
          <w:lang w:val="en-US"/>
        </w:rPr>
        <w:t>section 3.2.1</w:t>
      </w:r>
      <w:r w:rsidR="009362EF">
        <w:rPr>
          <w:sz w:val="22"/>
          <w:szCs w:val="22"/>
          <w:lang w:val="en-US"/>
        </w:rPr>
        <w:t xml:space="preserve"> </w:t>
      </w:r>
      <w:r w:rsidR="00E86B40">
        <w:rPr>
          <w:sz w:val="22"/>
          <w:szCs w:val="22"/>
          <w:lang w:val="en-US"/>
        </w:rPr>
        <w:t>above.</w:t>
      </w:r>
      <w:r w:rsidRPr="009362EF">
        <w:rPr>
          <w:sz w:val="22"/>
          <w:szCs w:val="22"/>
          <w:lang w:val="en-US"/>
        </w:rPr>
        <w:t xml:space="preserve"> </w:t>
      </w:r>
      <w:r w:rsidR="00E86B40">
        <w:rPr>
          <w:sz w:val="22"/>
          <w:szCs w:val="22"/>
          <w:lang w:val="en-US"/>
        </w:rPr>
        <w:t>A practical</w:t>
      </w:r>
      <w:r w:rsidRPr="00E86B40">
        <w:rPr>
          <w:sz w:val="22"/>
          <w:szCs w:val="22"/>
          <w:lang w:val="en-US"/>
        </w:rPr>
        <w:t xml:space="preserve"> calculation</w:t>
      </w:r>
      <w:r w:rsidR="00E86B40">
        <w:rPr>
          <w:sz w:val="22"/>
          <w:szCs w:val="22"/>
          <w:lang w:val="en-US"/>
        </w:rPr>
        <w:t xml:space="preserve"> of this step can be seen in </w:t>
      </w:r>
      <w:r w:rsidRPr="00E86B40">
        <w:rPr>
          <w:sz w:val="22"/>
          <w:szCs w:val="22"/>
          <w:lang w:val="en-US"/>
        </w:rPr>
        <w:t>Table 1 columns</w:t>
      </w:r>
      <w:r w:rsidRPr="00E86B40">
        <w:rPr>
          <w:sz w:val="22"/>
          <w:szCs w:val="22"/>
        </w:rPr>
        <w:t xml:space="preserve"> </w:t>
      </w:r>
      <w:r w:rsidRPr="00E86B40">
        <w:rPr>
          <w:sz w:val="22"/>
          <w:szCs w:val="22"/>
          <w:lang w:val="en-US"/>
        </w:rPr>
        <w:t>E</w:t>
      </w:r>
      <w:r w:rsidR="00E86B40">
        <w:rPr>
          <w:sz w:val="22"/>
          <w:szCs w:val="22"/>
          <w:lang w:val="en-US"/>
        </w:rPr>
        <w:t xml:space="preserve"> </w:t>
      </w:r>
      <w:proofErr w:type="gramStart"/>
      <w:r w:rsidR="00E86B40">
        <w:rPr>
          <w:sz w:val="22"/>
          <w:szCs w:val="22"/>
          <w:lang w:val="en-US"/>
        </w:rPr>
        <w:t>below</w:t>
      </w:r>
      <w:r w:rsidRPr="00E86B40">
        <w:rPr>
          <w:sz w:val="22"/>
          <w:szCs w:val="22"/>
          <w:lang w:val="en-US"/>
        </w:rPr>
        <w:t>;</w:t>
      </w:r>
      <w:proofErr w:type="gramEnd"/>
    </w:p>
    <w:p w14:paraId="50B24AD9" w14:textId="30D97997" w:rsidR="00BA1D65" w:rsidRDefault="00BA1D65" w:rsidP="00B46C1D">
      <w:pPr>
        <w:pStyle w:val="ListParagraph"/>
        <w:numPr>
          <w:ilvl w:val="1"/>
          <w:numId w:val="30"/>
        </w:numPr>
        <w:spacing w:after="120" w:line="276" w:lineRule="auto"/>
        <w:ind w:left="1134"/>
        <w:contextualSpacing w:val="0"/>
        <w:jc w:val="both"/>
        <w:rPr>
          <w:sz w:val="22"/>
          <w:szCs w:val="22"/>
          <w:lang w:val="en-US"/>
        </w:rPr>
      </w:pPr>
      <w:r w:rsidRPr="00273B09">
        <w:rPr>
          <w:i/>
          <w:iCs/>
          <w:sz w:val="22"/>
          <w:szCs w:val="22"/>
          <w:lang w:val="en-US"/>
        </w:rPr>
        <w:t>Step 2 - On-Costs</w:t>
      </w:r>
      <w:r w:rsidRPr="00E86B40">
        <w:rPr>
          <w:sz w:val="22"/>
          <w:szCs w:val="22"/>
          <w:lang w:val="en-US"/>
        </w:rPr>
        <w:t xml:space="preserve"> </w:t>
      </w:r>
      <w:r w:rsidR="009362EF">
        <w:rPr>
          <w:sz w:val="22"/>
          <w:szCs w:val="22"/>
          <w:lang w:val="en-US"/>
        </w:rPr>
        <w:t xml:space="preserve">– Step 2 </w:t>
      </w:r>
      <w:r w:rsidR="00E86B40">
        <w:rPr>
          <w:sz w:val="22"/>
          <w:szCs w:val="22"/>
          <w:lang w:val="en-US"/>
        </w:rPr>
        <w:t xml:space="preserve">is outlined in </w:t>
      </w:r>
      <w:r w:rsidRPr="00E86B40">
        <w:rPr>
          <w:sz w:val="22"/>
          <w:szCs w:val="22"/>
          <w:lang w:val="en-US"/>
        </w:rPr>
        <w:t>section 3.2.2</w:t>
      </w:r>
      <w:r w:rsidR="00E86B40">
        <w:rPr>
          <w:sz w:val="22"/>
          <w:szCs w:val="22"/>
          <w:lang w:val="en-US"/>
        </w:rPr>
        <w:t xml:space="preserve"> above.</w:t>
      </w:r>
      <w:r w:rsidRPr="00E86B40">
        <w:rPr>
          <w:sz w:val="22"/>
          <w:szCs w:val="22"/>
          <w:lang w:val="en-US"/>
        </w:rPr>
        <w:t xml:space="preserve"> </w:t>
      </w:r>
      <w:r w:rsidR="00E86B40">
        <w:rPr>
          <w:sz w:val="22"/>
          <w:szCs w:val="22"/>
          <w:lang w:val="en-US"/>
        </w:rPr>
        <w:t>A practical</w:t>
      </w:r>
      <w:r w:rsidRPr="00E86B40">
        <w:rPr>
          <w:sz w:val="22"/>
          <w:szCs w:val="22"/>
          <w:lang w:val="en-US"/>
        </w:rPr>
        <w:t xml:space="preserve"> calculation</w:t>
      </w:r>
      <w:r w:rsidR="00E86B40">
        <w:rPr>
          <w:sz w:val="22"/>
          <w:szCs w:val="22"/>
          <w:lang w:val="en-US"/>
        </w:rPr>
        <w:t xml:space="preserve"> of this step can be</w:t>
      </w:r>
      <w:r w:rsidRPr="00E86B40">
        <w:rPr>
          <w:sz w:val="22"/>
          <w:szCs w:val="22"/>
          <w:lang w:val="en-US"/>
        </w:rPr>
        <w:t xml:space="preserve"> </w:t>
      </w:r>
      <w:r w:rsidR="00E86B40">
        <w:rPr>
          <w:sz w:val="22"/>
          <w:szCs w:val="22"/>
          <w:lang w:val="en-US"/>
        </w:rPr>
        <w:t xml:space="preserve">seen in </w:t>
      </w:r>
      <w:r w:rsidRPr="00E86B40">
        <w:rPr>
          <w:sz w:val="22"/>
          <w:szCs w:val="22"/>
          <w:lang w:val="en-US"/>
        </w:rPr>
        <w:t>Table 1 across Columns G to L</w:t>
      </w:r>
      <w:r w:rsidR="00257FE8">
        <w:rPr>
          <w:sz w:val="22"/>
          <w:szCs w:val="22"/>
          <w:lang w:val="en-US"/>
        </w:rPr>
        <w:t>.  Th</w:t>
      </w:r>
      <w:r w:rsidR="009362EF">
        <w:rPr>
          <w:sz w:val="22"/>
          <w:szCs w:val="22"/>
          <w:lang w:val="en-US"/>
        </w:rPr>
        <w:t>is</w:t>
      </w:r>
      <w:r w:rsidR="00257FE8">
        <w:rPr>
          <w:sz w:val="22"/>
          <w:szCs w:val="22"/>
          <w:lang w:val="en-US"/>
        </w:rPr>
        <w:t xml:space="preserve"> calculation includes </w:t>
      </w:r>
      <w:r w:rsidRPr="00E86B40">
        <w:rPr>
          <w:sz w:val="22"/>
          <w:szCs w:val="22"/>
          <w:lang w:val="en-US"/>
        </w:rPr>
        <w:t xml:space="preserve">the </w:t>
      </w:r>
      <w:proofErr w:type="spellStart"/>
      <w:r w:rsidRPr="00E86B40">
        <w:rPr>
          <w:sz w:val="22"/>
          <w:szCs w:val="22"/>
          <w:lang w:val="en-US"/>
        </w:rPr>
        <w:t>ALSLTiS</w:t>
      </w:r>
      <w:proofErr w:type="spellEnd"/>
      <w:r w:rsidRPr="00E86B40">
        <w:rPr>
          <w:sz w:val="22"/>
          <w:szCs w:val="22"/>
          <w:lang w:val="en-US"/>
        </w:rPr>
        <w:t>*</w:t>
      </w:r>
      <w:r w:rsidR="009362EF">
        <w:rPr>
          <w:sz w:val="22"/>
          <w:szCs w:val="22"/>
          <w:lang w:val="en-US"/>
        </w:rPr>
        <w:t xml:space="preserve"> </w:t>
      </w:r>
      <w:r w:rsidRPr="00E86B40">
        <w:rPr>
          <w:sz w:val="22"/>
          <w:szCs w:val="22"/>
          <w:lang w:val="en-US"/>
        </w:rPr>
        <w:t xml:space="preserve">% </w:t>
      </w:r>
      <w:r w:rsidR="00257FE8">
        <w:rPr>
          <w:sz w:val="22"/>
          <w:szCs w:val="22"/>
          <w:lang w:val="en-US"/>
        </w:rPr>
        <w:t xml:space="preserve">of </w:t>
      </w:r>
      <w:proofErr w:type="gramStart"/>
      <w:r w:rsidR="00257FE8">
        <w:rPr>
          <w:sz w:val="22"/>
          <w:szCs w:val="22"/>
          <w:lang w:val="en-US"/>
        </w:rPr>
        <w:t>45</w:t>
      </w:r>
      <w:r w:rsidRPr="00E86B40">
        <w:rPr>
          <w:sz w:val="22"/>
          <w:szCs w:val="22"/>
          <w:lang w:val="en-US"/>
        </w:rPr>
        <w:t>%</w:t>
      </w:r>
      <w:r w:rsidR="009362EF">
        <w:rPr>
          <w:sz w:val="22"/>
          <w:szCs w:val="22"/>
          <w:lang w:val="en-US"/>
        </w:rPr>
        <w:t>;</w:t>
      </w:r>
      <w:proofErr w:type="gramEnd"/>
      <w:r w:rsidRPr="00E86B40">
        <w:rPr>
          <w:sz w:val="22"/>
          <w:szCs w:val="22"/>
          <w:lang w:val="en-US"/>
        </w:rPr>
        <w:t xml:space="preserve"> </w:t>
      </w:r>
    </w:p>
    <w:p w14:paraId="6338606B" w14:textId="689DD633" w:rsidR="009362EF" w:rsidRPr="009362EF" w:rsidRDefault="00ED71BF" w:rsidP="009362EF">
      <w:pPr>
        <w:pStyle w:val="ListParagraph"/>
        <w:spacing w:after="120" w:line="276" w:lineRule="auto"/>
        <w:ind w:left="1134"/>
        <w:contextualSpacing w:val="0"/>
        <w:jc w:val="both"/>
        <w:rPr>
          <w:sz w:val="22"/>
          <w:szCs w:val="22"/>
          <w:lang w:val="en-US"/>
        </w:rPr>
      </w:pPr>
      <w:r w:rsidRPr="00D74E8A">
        <w:rPr>
          <w:b/>
          <w:bCs/>
          <w:sz w:val="22"/>
          <w:szCs w:val="22"/>
          <w:lang w:val="en-US"/>
        </w:rPr>
        <w:t>*</w:t>
      </w:r>
      <w:proofErr w:type="spellStart"/>
      <w:r w:rsidRPr="00D74E8A">
        <w:rPr>
          <w:sz w:val="22"/>
          <w:szCs w:val="22"/>
          <w:lang w:val="en-US"/>
        </w:rPr>
        <w:t>ALS</w:t>
      </w:r>
      <w:r w:rsidR="00097E22">
        <w:rPr>
          <w:sz w:val="22"/>
          <w:szCs w:val="22"/>
          <w:lang w:val="en-US"/>
        </w:rPr>
        <w:t>L</w:t>
      </w:r>
      <w:r w:rsidRPr="00D74E8A">
        <w:rPr>
          <w:sz w:val="22"/>
          <w:szCs w:val="22"/>
          <w:lang w:val="en-US"/>
        </w:rPr>
        <w:t>TiS</w:t>
      </w:r>
      <w:proofErr w:type="spellEnd"/>
      <w:r w:rsidRPr="00D74E8A">
        <w:rPr>
          <w:sz w:val="22"/>
          <w:szCs w:val="22"/>
          <w:lang w:val="en-US"/>
        </w:rPr>
        <w:t xml:space="preserve"> </w:t>
      </w:r>
      <w:r w:rsidR="009362EF">
        <w:rPr>
          <w:sz w:val="22"/>
          <w:szCs w:val="22"/>
          <w:lang w:val="en-US"/>
        </w:rPr>
        <w:t xml:space="preserve">is the </w:t>
      </w:r>
      <w:r w:rsidRPr="00D74E8A">
        <w:rPr>
          <w:sz w:val="22"/>
          <w:szCs w:val="22"/>
          <w:lang w:val="en-US"/>
        </w:rPr>
        <w:t>Long Service Leave Taken-in-service (long service leave where an employee will be returning to work</w:t>
      </w:r>
      <w:r w:rsidRPr="00257FE8">
        <w:rPr>
          <w:sz w:val="22"/>
          <w:szCs w:val="22"/>
          <w:lang w:val="en-US"/>
        </w:rPr>
        <w:t>)</w:t>
      </w:r>
      <w:r w:rsidR="00257FE8" w:rsidRPr="00257FE8">
        <w:rPr>
          <w:sz w:val="22"/>
          <w:szCs w:val="22"/>
          <w:lang w:val="en-US"/>
        </w:rPr>
        <w:t xml:space="preserve">.  This is shown as a percentage and </w:t>
      </w:r>
      <w:r w:rsidR="009362EF">
        <w:rPr>
          <w:sz w:val="22"/>
          <w:szCs w:val="22"/>
          <w:lang w:val="en-US"/>
        </w:rPr>
        <w:t xml:space="preserve">has been obtained from the </w:t>
      </w:r>
      <w:r w:rsidR="00257FE8" w:rsidRPr="00257FE8">
        <w:rPr>
          <w:sz w:val="22"/>
          <w:szCs w:val="22"/>
          <w:lang w:val="en-US"/>
        </w:rPr>
        <w:t>AGA Report June 2022.</w:t>
      </w:r>
    </w:p>
    <w:p w14:paraId="6C3355A0" w14:textId="3AA3558D" w:rsidR="00BA1D65" w:rsidRPr="009362EF" w:rsidRDefault="00BA1D65" w:rsidP="009362EF">
      <w:pPr>
        <w:pStyle w:val="ListParagraph"/>
        <w:numPr>
          <w:ilvl w:val="1"/>
          <w:numId w:val="30"/>
        </w:numPr>
        <w:spacing w:after="120" w:line="276" w:lineRule="auto"/>
        <w:ind w:left="1134"/>
        <w:contextualSpacing w:val="0"/>
        <w:jc w:val="both"/>
        <w:rPr>
          <w:sz w:val="22"/>
          <w:szCs w:val="22"/>
          <w:lang w:val="en-US"/>
        </w:rPr>
      </w:pPr>
      <w:r w:rsidRPr="00273B09">
        <w:rPr>
          <w:i/>
          <w:iCs/>
          <w:sz w:val="22"/>
          <w:szCs w:val="22"/>
          <w:lang w:val="en-US"/>
        </w:rPr>
        <w:t>Step 3 - LSL PVF</w:t>
      </w:r>
      <w:r w:rsidRPr="00257FE8">
        <w:rPr>
          <w:sz w:val="22"/>
          <w:szCs w:val="22"/>
          <w:lang w:val="en-US"/>
        </w:rPr>
        <w:t xml:space="preserve"> </w:t>
      </w:r>
      <w:r w:rsidR="009362EF">
        <w:rPr>
          <w:sz w:val="22"/>
          <w:szCs w:val="22"/>
          <w:lang w:val="en-US"/>
        </w:rPr>
        <w:t xml:space="preserve">– Step 3 </w:t>
      </w:r>
      <w:r w:rsidR="00257FE8">
        <w:rPr>
          <w:sz w:val="22"/>
          <w:szCs w:val="22"/>
          <w:lang w:val="en-US"/>
        </w:rPr>
        <w:t xml:space="preserve">is outlined in </w:t>
      </w:r>
      <w:r w:rsidRPr="009362EF">
        <w:rPr>
          <w:sz w:val="22"/>
          <w:szCs w:val="22"/>
          <w:lang w:val="en-US"/>
        </w:rPr>
        <w:t>section 3.2.3</w:t>
      </w:r>
      <w:r w:rsidR="009362EF">
        <w:rPr>
          <w:sz w:val="22"/>
          <w:szCs w:val="22"/>
          <w:lang w:val="en-US"/>
        </w:rPr>
        <w:t xml:space="preserve"> </w:t>
      </w:r>
      <w:r w:rsidR="00257FE8">
        <w:rPr>
          <w:sz w:val="22"/>
          <w:szCs w:val="22"/>
          <w:lang w:val="en-US"/>
        </w:rPr>
        <w:t>above.</w:t>
      </w:r>
      <w:r w:rsidRPr="009362EF">
        <w:rPr>
          <w:sz w:val="22"/>
          <w:szCs w:val="22"/>
          <w:lang w:val="en-US"/>
        </w:rPr>
        <w:t xml:space="preserve"> </w:t>
      </w:r>
      <w:r w:rsidR="00257FE8">
        <w:rPr>
          <w:sz w:val="22"/>
          <w:szCs w:val="22"/>
          <w:lang w:val="en-US"/>
        </w:rPr>
        <w:t>A practical c</w:t>
      </w:r>
      <w:r w:rsidRPr="00B46C1D">
        <w:rPr>
          <w:sz w:val="22"/>
          <w:szCs w:val="22"/>
          <w:lang w:val="en-US"/>
        </w:rPr>
        <w:t xml:space="preserve">alculation </w:t>
      </w:r>
      <w:r w:rsidR="00257FE8">
        <w:rPr>
          <w:sz w:val="22"/>
          <w:szCs w:val="22"/>
          <w:lang w:val="en-US"/>
        </w:rPr>
        <w:t xml:space="preserve">of this step can be seen in </w:t>
      </w:r>
      <w:r w:rsidRPr="009362EF">
        <w:rPr>
          <w:sz w:val="22"/>
          <w:szCs w:val="22"/>
          <w:lang w:val="en-US"/>
        </w:rPr>
        <w:t>Table 1 column M</w:t>
      </w:r>
      <w:r w:rsidR="00257FE8">
        <w:rPr>
          <w:sz w:val="22"/>
          <w:szCs w:val="22"/>
          <w:lang w:val="en-US"/>
        </w:rPr>
        <w:t>.</w:t>
      </w:r>
      <w:r w:rsidRPr="00B46C1D">
        <w:rPr>
          <w:sz w:val="22"/>
          <w:szCs w:val="22"/>
          <w:lang w:val="en-US"/>
        </w:rPr>
        <w:t xml:space="preserve"> </w:t>
      </w:r>
      <w:r w:rsidR="00257FE8">
        <w:rPr>
          <w:sz w:val="22"/>
          <w:szCs w:val="22"/>
          <w:lang w:val="en-US"/>
        </w:rPr>
        <w:t xml:space="preserve">Note that a new </w:t>
      </w:r>
      <w:r w:rsidRPr="00B46C1D">
        <w:rPr>
          <w:sz w:val="22"/>
          <w:szCs w:val="22"/>
          <w:lang w:val="en-US"/>
        </w:rPr>
        <w:t xml:space="preserve">PVF % </w:t>
      </w:r>
      <w:r w:rsidR="00257FE8">
        <w:rPr>
          <w:sz w:val="22"/>
          <w:szCs w:val="22"/>
          <w:lang w:val="en-US"/>
        </w:rPr>
        <w:t xml:space="preserve">is </w:t>
      </w:r>
      <w:r w:rsidRPr="00B46C1D">
        <w:rPr>
          <w:sz w:val="22"/>
          <w:szCs w:val="22"/>
          <w:lang w:val="en-US"/>
        </w:rPr>
        <w:t xml:space="preserve">issued by </w:t>
      </w:r>
      <w:r w:rsidR="001C7FBC">
        <w:rPr>
          <w:sz w:val="22"/>
          <w:szCs w:val="22"/>
          <w:lang w:val="en-US"/>
        </w:rPr>
        <w:t xml:space="preserve">the </w:t>
      </w:r>
      <w:r w:rsidRPr="00B46C1D">
        <w:rPr>
          <w:sz w:val="22"/>
          <w:szCs w:val="22"/>
          <w:lang w:val="en-US"/>
        </w:rPr>
        <w:t>FRF</w:t>
      </w:r>
      <w:r w:rsidR="00257FE8">
        <w:rPr>
          <w:sz w:val="22"/>
          <w:szCs w:val="22"/>
          <w:lang w:val="en-US"/>
        </w:rPr>
        <w:t xml:space="preserve"> Branch </w:t>
      </w:r>
      <w:r w:rsidR="001C7FBC">
        <w:rPr>
          <w:sz w:val="22"/>
          <w:szCs w:val="22"/>
          <w:lang w:val="en-US"/>
        </w:rPr>
        <w:t>biannually</w:t>
      </w:r>
      <w:r w:rsidR="00257FE8">
        <w:rPr>
          <w:sz w:val="22"/>
          <w:szCs w:val="22"/>
          <w:lang w:val="en-US"/>
        </w:rPr>
        <w:t xml:space="preserve"> in</w:t>
      </w:r>
      <w:r w:rsidRPr="00B46C1D">
        <w:rPr>
          <w:sz w:val="22"/>
          <w:szCs w:val="22"/>
          <w:lang w:val="en-US"/>
        </w:rPr>
        <w:t xml:space="preserve"> December and June).</w:t>
      </w:r>
    </w:p>
    <w:p w14:paraId="0868C0BB" w14:textId="55B65ED0" w:rsidR="00BA1D65" w:rsidRPr="00B46C1D" w:rsidRDefault="00BA1D65" w:rsidP="00B46C1D">
      <w:pPr>
        <w:spacing w:after="120" w:line="276" w:lineRule="auto"/>
        <w:jc w:val="both"/>
        <w:rPr>
          <w:sz w:val="22"/>
          <w:szCs w:val="22"/>
          <w:lang w:val="en-US"/>
        </w:rPr>
      </w:pPr>
      <w:r w:rsidRPr="00B46C1D">
        <w:rPr>
          <w:sz w:val="22"/>
          <w:szCs w:val="22"/>
          <w:lang w:val="en-US"/>
        </w:rPr>
        <w:t xml:space="preserve">Table 1 </w:t>
      </w:r>
      <w:r w:rsidR="00ED71BF" w:rsidRPr="00B46C1D">
        <w:rPr>
          <w:i/>
          <w:iCs/>
          <w:sz w:val="22"/>
          <w:szCs w:val="22"/>
          <w:lang w:val="en-US"/>
        </w:rPr>
        <w:t>‘</w:t>
      </w:r>
      <w:r w:rsidRPr="00B46C1D">
        <w:rPr>
          <w:i/>
          <w:iCs/>
          <w:sz w:val="22"/>
          <w:szCs w:val="22"/>
          <w:lang w:val="en-US"/>
        </w:rPr>
        <w:t>L</w:t>
      </w:r>
      <w:r w:rsidR="00ED71BF">
        <w:rPr>
          <w:i/>
          <w:iCs/>
          <w:sz w:val="22"/>
          <w:szCs w:val="22"/>
          <w:lang w:val="en-US"/>
        </w:rPr>
        <w:t xml:space="preserve">ong </w:t>
      </w:r>
      <w:r w:rsidRPr="00B46C1D">
        <w:rPr>
          <w:i/>
          <w:iCs/>
          <w:sz w:val="22"/>
          <w:szCs w:val="22"/>
          <w:lang w:val="en-US"/>
        </w:rPr>
        <w:t>S</w:t>
      </w:r>
      <w:r w:rsidR="00ED71BF">
        <w:rPr>
          <w:i/>
          <w:iCs/>
          <w:sz w:val="22"/>
          <w:szCs w:val="22"/>
          <w:lang w:val="en-US"/>
        </w:rPr>
        <w:t xml:space="preserve">ervice </w:t>
      </w:r>
      <w:r w:rsidRPr="00B46C1D">
        <w:rPr>
          <w:i/>
          <w:iCs/>
          <w:sz w:val="22"/>
          <w:szCs w:val="22"/>
          <w:lang w:val="en-US"/>
        </w:rPr>
        <w:t>L</w:t>
      </w:r>
      <w:r w:rsidR="00ED71BF">
        <w:rPr>
          <w:i/>
          <w:iCs/>
          <w:sz w:val="22"/>
          <w:szCs w:val="22"/>
          <w:lang w:val="en-US"/>
        </w:rPr>
        <w:t>eave</w:t>
      </w:r>
      <w:r w:rsidRPr="00B46C1D">
        <w:rPr>
          <w:i/>
          <w:iCs/>
          <w:sz w:val="22"/>
          <w:szCs w:val="22"/>
          <w:lang w:val="en-US"/>
        </w:rPr>
        <w:t xml:space="preserve"> Calculations</w:t>
      </w:r>
      <w:r w:rsidR="00E86B40">
        <w:rPr>
          <w:i/>
          <w:iCs/>
          <w:sz w:val="22"/>
          <w:szCs w:val="22"/>
          <w:lang w:val="en-US"/>
        </w:rPr>
        <w:t xml:space="preserve"> 20X2</w:t>
      </w:r>
      <w:r w:rsidR="00ED71BF" w:rsidRPr="00B46C1D">
        <w:rPr>
          <w:i/>
          <w:iCs/>
          <w:sz w:val="22"/>
          <w:szCs w:val="22"/>
          <w:lang w:val="en-US"/>
        </w:rPr>
        <w:t>’</w:t>
      </w:r>
      <w:r w:rsidRPr="00B46C1D">
        <w:rPr>
          <w:sz w:val="22"/>
          <w:szCs w:val="22"/>
          <w:lang w:val="en-US"/>
        </w:rPr>
        <w:t xml:space="preserve"> below outlines the </w:t>
      </w:r>
      <w:r w:rsidR="005A47E8">
        <w:rPr>
          <w:sz w:val="22"/>
          <w:szCs w:val="22"/>
          <w:lang w:val="en-US"/>
        </w:rPr>
        <w:t>calculation</w:t>
      </w:r>
      <w:r w:rsidRPr="00F96BFB">
        <w:rPr>
          <w:sz w:val="22"/>
          <w:szCs w:val="22"/>
          <w:lang w:val="en-US"/>
        </w:rPr>
        <w:t xml:space="preserve"> of the 3 steps to adjust </w:t>
      </w:r>
      <w:r w:rsidR="00E86B40">
        <w:rPr>
          <w:sz w:val="22"/>
          <w:szCs w:val="22"/>
          <w:lang w:val="en-US"/>
        </w:rPr>
        <w:t xml:space="preserve">the </w:t>
      </w:r>
      <w:r w:rsidRPr="00B46C1D">
        <w:rPr>
          <w:sz w:val="22"/>
          <w:szCs w:val="22"/>
          <w:lang w:val="en-US"/>
        </w:rPr>
        <w:t>LSL liability for each employee.</w:t>
      </w:r>
    </w:p>
    <w:p w14:paraId="35B68519" w14:textId="77777777" w:rsidR="00BA1D65" w:rsidRDefault="00BA1D65" w:rsidP="00BA1D65">
      <w:pPr>
        <w:rPr>
          <w:lang w:val="en-US"/>
        </w:rPr>
      </w:pPr>
    </w:p>
    <w:p w14:paraId="361CEEA4" w14:textId="77777777" w:rsidR="00BA1D65" w:rsidRDefault="00BA1D65" w:rsidP="00BA1D65">
      <w:pPr>
        <w:rPr>
          <w:lang w:val="en-US"/>
        </w:rPr>
        <w:sectPr w:rsidR="00BA1D65" w:rsidSect="00B12C02">
          <w:headerReference w:type="default" r:id="rId15"/>
          <w:footerReference w:type="default" r:id="rId16"/>
          <w:headerReference w:type="first" r:id="rId17"/>
          <w:footerReference w:type="first" r:id="rId18"/>
          <w:pgSz w:w="11906" w:h="16838" w:code="9"/>
          <w:pgMar w:top="1264" w:right="991" w:bottom="709" w:left="1559" w:header="426" w:footer="411" w:gutter="0"/>
          <w:pgNumType w:start="1"/>
          <w:cols w:space="720"/>
          <w:docGrid w:linePitch="299"/>
        </w:sectPr>
      </w:pPr>
    </w:p>
    <w:p w14:paraId="0EFBEC43" w14:textId="271EBD03" w:rsidR="00BA1D65" w:rsidRDefault="00BA1D65" w:rsidP="00BB031A">
      <w:pPr>
        <w:spacing w:after="0"/>
        <w:rPr>
          <w:b/>
          <w:sz w:val="20"/>
        </w:rPr>
      </w:pPr>
      <w:r w:rsidRPr="00B46C1D">
        <w:rPr>
          <w:b/>
          <w:sz w:val="20"/>
        </w:rPr>
        <w:lastRenderedPageBreak/>
        <w:t>Table 1 Long Service Leave Calculations 20X2</w:t>
      </w:r>
    </w:p>
    <w:p w14:paraId="6145D542" w14:textId="47162AD3" w:rsidR="00B80154" w:rsidRDefault="00B80154" w:rsidP="00B46C1D">
      <w:pPr>
        <w:spacing w:after="0"/>
        <w:rPr>
          <w:rFonts w:eastAsia="Times New Roman" w:cs="Calibri"/>
          <w:b/>
          <w:bCs/>
          <w:color w:val="000000"/>
          <w:sz w:val="20"/>
          <w:szCs w:val="20"/>
        </w:rPr>
      </w:pPr>
      <w:proofErr w:type="spellStart"/>
      <w:r w:rsidRPr="00714FD8">
        <w:rPr>
          <w:rFonts w:eastAsia="Times New Roman" w:cs="Calibri"/>
          <w:b/>
          <w:bCs/>
          <w:color w:val="000000"/>
          <w:sz w:val="20"/>
          <w:szCs w:val="20"/>
        </w:rPr>
        <w:t>ALSLTiS</w:t>
      </w:r>
      <w:proofErr w:type="spellEnd"/>
      <w:r>
        <w:rPr>
          <w:rFonts w:eastAsia="Times New Roman" w:cs="Calibri"/>
          <w:b/>
          <w:bCs/>
          <w:color w:val="000000"/>
          <w:sz w:val="20"/>
          <w:szCs w:val="20"/>
        </w:rPr>
        <w:t xml:space="preserve"> = 45%</w:t>
      </w:r>
    </w:p>
    <w:p w14:paraId="3875B552" w14:textId="3C2EB83F" w:rsidR="00B80154" w:rsidRPr="00893481" w:rsidRDefault="00B80154" w:rsidP="00B46C1D">
      <w:pPr>
        <w:spacing w:after="0"/>
        <w:rPr>
          <w:b/>
          <w:sz w:val="20"/>
        </w:rPr>
      </w:pPr>
      <w:r>
        <w:rPr>
          <w:rFonts w:eastAsia="Times New Roman" w:cs="Calibri"/>
          <w:b/>
          <w:bCs/>
          <w:color w:val="000000"/>
          <w:sz w:val="20"/>
          <w:szCs w:val="20"/>
        </w:rPr>
        <w:t>LSL PVF = 9</w:t>
      </w:r>
      <w:r w:rsidR="007C1A9D">
        <w:rPr>
          <w:rFonts w:eastAsia="Times New Roman" w:cs="Calibri"/>
          <w:b/>
          <w:bCs/>
          <w:color w:val="000000"/>
          <w:sz w:val="20"/>
          <w:szCs w:val="20"/>
        </w:rPr>
        <w:t>2</w:t>
      </w:r>
      <w:r w:rsidR="00ED4E00">
        <w:rPr>
          <w:rFonts w:eastAsia="Times New Roman" w:cs="Calibri"/>
          <w:b/>
          <w:bCs/>
          <w:color w:val="000000"/>
          <w:sz w:val="20"/>
          <w:szCs w:val="20"/>
        </w:rPr>
        <w:t>.</w:t>
      </w:r>
      <w:r w:rsidR="007C1A9D">
        <w:rPr>
          <w:rFonts w:eastAsia="Times New Roman" w:cs="Calibri"/>
          <w:b/>
          <w:bCs/>
          <w:color w:val="000000"/>
          <w:sz w:val="20"/>
          <w:szCs w:val="20"/>
        </w:rPr>
        <w:t>8</w:t>
      </w:r>
      <w:r w:rsidR="00236FC0">
        <w:rPr>
          <w:rFonts w:eastAsia="Times New Roman" w:cs="Calibri"/>
          <w:b/>
          <w:bCs/>
          <w:color w:val="000000"/>
          <w:sz w:val="20"/>
          <w:szCs w:val="20"/>
        </w:rPr>
        <w:t>%</w:t>
      </w:r>
    </w:p>
    <w:tbl>
      <w:tblPr>
        <w:tblW w:w="15299" w:type="dxa"/>
        <w:tblLayout w:type="fixed"/>
        <w:tblLook w:val="04A0" w:firstRow="1" w:lastRow="0" w:firstColumn="1" w:lastColumn="0" w:noHBand="0" w:noVBand="1"/>
      </w:tblPr>
      <w:tblGrid>
        <w:gridCol w:w="1266"/>
        <w:gridCol w:w="1276"/>
        <w:gridCol w:w="1134"/>
        <w:gridCol w:w="992"/>
        <w:gridCol w:w="1276"/>
        <w:gridCol w:w="850"/>
        <w:gridCol w:w="993"/>
        <w:gridCol w:w="992"/>
        <w:gridCol w:w="1134"/>
        <w:gridCol w:w="1276"/>
        <w:gridCol w:w="1275"/>
        <w:gridCol w:w="1276"/>
        <w:gridCol w:w="1559"/>
      </w:tblGrid>
      <w:tr w:rsidR="006C0160" w:rsidRPr="00E94142" w14:paraId="2913CEB8" w14:textId="77777777" w:rsidTr="006C0160">
        <w:trPr>
          <w:trHeight w:val="288"/>
        </w:trPr>
        <w:tc>
          <w:tcPr>
            <w:tcW w:w="1266" w:type="dxa"/>
            <w:tcBorders>
              <w:top w:val="single" w:sz="4" w:space="0" w:color="auto"/>
              <w:left w:val="single" w:sz="8" w:space="0" w:color="auto"/>
              <w:bottom w:val="single" w:sz="4" w:space="0" w:color="auto"/>
              <w:right w:val="single" w:sz="4" w:space="0" w:color="auto"/>
            </w:tcBorders>
            <w:shd w:val="clear" w:color="auto" w:fill="AF9CDF" w:themeFill="background2" w:themeFillTint="66"/>
            <w:noWrap/>
            <w:vAlign w:val="bottom"/>
            <w:hideMark/>
          </w:tcPr>
          <w:p w14:paraId="71A38248" w14:textId="77777777" w:rsidR="00BA1D65" w:rsidRPr="00991C0E" w:rsidRDefault="00BA1D65" w:rsidP="0018041B">
            <w:pPr>
              <w:jc w:val="center"/>
              <w:rPr>
                <w:rFonts w:eastAsia="Times New Roman" w:cstheme="minorHAnsi"/>
                <w:b/>
                <w:bCs/>
                <w:color w:val="000000"/>
                <w:sz w:val="20"/>
                <w:szCs w:val="20"/>
              </w:rPr>
            </w:pPr>
            <w:r w:rsidRPr="00991C0E">
              <w:rPr>
                <w:rFonts w:eastAsia="Times New Roman" w:cstheme="minorHAnsi"/>
                <w:b/>
                <w:bCs/>
                <w:color w:val="000000"/>
                <w:sz w:val="20"/>
                <w:szCs w:val="20"/>
              </w:rPr>
              <w:t>A</w:t>
            </w:r>
          </w:p>
        </w:tc>
        <w:tc>
          <w:tcPr>
            <w:tcW w:w="1276" w:type="dxa"/>
            <w:tcBorders>
              <w:top w:val="single" w:sz="4" w:space="0" w:color="auto"/>
              <w:left w:val="nil"/>
              <w:bottom w:val="single" w:sz="4" w:space="0" w:color="auto"/>
              <w:right w:val="single" w:sz="4" w:space="0" w:color="auto"/>
            </w:tcBorders>
            <w:shd w:val="clear" w:color="auto" w:fill="AF9CDF" w:themeFill="background2" w:themeFillTint="66"/>
            <w:noWrap/>
            <w:vAlign w:val="bottom"/>
            <w:hideMark/>
          </w:tcPr>
          <w:p w14:paraId="28C9E9FC" w14:textId="77777777" w:rsidR="00BA1D65" w:rsidRPr="00991C0E" w:rsidRDefault="00BA1D65" w:rsidP="0018041B">
            <w:pPr>
              <w:jc w:val="center"/>
              <w:rPr>
                <w:rFonts w:eastAsia="Times New Roman" w:cstheme="minorHAnsi"/>
                <w:b/>
                <w:bCs/>
                <w:color w:val="000000"/>
                <w:sz w:val="20"/>
                <w:szCs w:val="20"/>
              </w:rPr>
            </w:pPr>
            <w:r w:rsidRPr="00991C0E">
              <w:rPr>
                <w:rFonts w:eastAsia="Times New Roman" w:cstheme="minorHAnsi"/>
                <w:b/>
                <w:bCs/>
                <w:color w:val="000000"/>
                <w:sz w:val="20"/>
                <w:szCs w:val="20"/>
              </w:rPr>
              <w:t>B</w:t>
            </w:r>
          </w:p>
        </w:tc>
        <w:tc>
          <w:tcPr>
            <w:tcW w:w="1134" w:type="dxa"/>
            <w:tcBorders>
              <w:top w:val="single" w:sz="4" w:space="0" w:color="auto"/>
              <w:left w:val="nil"/>
              <w:bottom w:val="single" w:sz="4" w:space="0" w:color="auto"/>
              <w:right w:val="single" w:sz="4" w:space="0" w:color="auto"/>
            </w:tcBorders>
            <w:shd w:val="clear" w:color="auto" w:fill="AF9CDF" w:themeFill="background2" w:themeFillTint="66"/>
            <w:noWrap/>
            <w:vAlign w:val="bottom"/>
            <w:hideMark/>
          </w:tcPr>
          <w:p w14:paraId="65223CB0" w14:textId="77777777" w:rsidR="00BA1D65" w:rsidRPr="00991C0E" w:rsidRDefault="00BA1D65" w:rsidP="0018041B">
            <w:pPr>
              <w:jc w:val="center"/>
              <w:rPr>
                <w:rFonts w:eastAsia="Times New Roman" w:cstheme="minorHAnsi"/>
                <w:b/>
                <w:bCs/>
                <w:color w:val="000000"/>
                <w:sz w:val="20"/>
                <w:szCs w:val="20"/>
              </w:rPr>
            </w:pPr>
            <w:r w:rsidRPr="00991C0E">
              <w:rPr>
                <w:rFonts w:eastAsia="Times New Roman" w:cstheme="minorHAnsi"/>
                <w:b/>
                <w:bCs/>
                <w:color w:val="000000"/>
                <w:sz w:val="20"/>
                <w:szCs w:val="20"/>
              </w:rPr>
              <w:t>C</w:t>
            </w:r>
          </w:p>
        </w:tc>
        <w:tc>
          <w:tcPr>
            <w:tcW w:w="992" w:type="dxa"/>
            <w:tcBorders>
              <w:top w:val="single" w:sz="4" w:space="0" w:color="auto"/>
              <w:left w:val="nil"/>
              <w:bottom w:val="single" w:sz="4" w:space="0" w:color="auto"/>
              <w:right w:val="nil"/>
            </w:tcBorders>
            <w:shd w:val="clear" w:color="auto" w:fill="AF9CDF" w:themeFill="background2" w:themeFillTint="66"/>
            <w:noWrap/>
            <w:vAlign w:val="bottom"/>
            <w:hideMark/>
          </w:tcPr>
          <w:p w14:paraId="6D7F2B77" w14:textId="77777777" w:rsidR="00BA1D65" w:rsidRPr="00991C0E" w:rsidRDefault="00BA1D65" w:rsidP="0018041B">
            <w:pPr>
              <w:jc w:val="center"/>
              <w:rPr>
                <w:rFonts w:eastAsia="Times New Roman" w:cstheme="minorHAnsi"/>
                <w:b/>
                <w:bCs/>
                <w:color w:val="000000"/>
                <w:sz w:val="20"/>
                <w:szCs w:val="20"/>
              </w:rPr>
            </w:pPr>
            <w:r w:rsidRPr="00991C0E">
              <w:rPr>
                <w:rFonts w:eastAsia="Times New Roman" w:cstheme="minorHAnsi"/>
                <w:b/>
                <w:bCs/>
                <w:color w:val="000000"/>
                <w:sz w:val="20"/>
                <w:szCs w:val="20"/>
              </w:rPr>
              <w:t>D</w:t>
            </w:r>
          </w:p>
        </w:tc>
        <w:tc>
          <w:tcPr>
            <w:tcW w:w="1276" w:type="dxa"/>
            <w:tcBorders>
              <w:top w:val="single" w:sz="8" w:space="0" w:color="auto"/>
              <w:left w:val="single" w:sz="8" w:space="0" w:color="auto"/>
              <w:bottom w:val="single" w:sz="4" w:space="0" w:color="auto"/>
              <w:right w:val="single" w:sz="8" w:space="0" w:color="auto"/>
            </w:tcBorders>
            <w:shd w:val="clear" w:color="auto" w:fill="AF9CDF" w:themeFill="background2" w:themeFillTint="66"/>
            <w:noWrap/>
            <w:vAlign w:val="bottom"/>
            <w:hideMark/>
          </w:tcPr>
          <w:p w14:paraId="42B353EA" w14:textId="77777777" w:rsidR="00BA1D65" w:rsidRPr="00991C0E" w:rsidRDefault="00BA1D65" w:rsidP="0018041B">
            <w:pPr>
              <w:jc w:val="center"/>
              <w:rPr>
                <w:rFonts w:eastAsia="Times New Roman" w:cstheme="minorHAnsi"/>
                <w:b/>
                <w:bCs/>
                <w:color w:val="000000"/>
                <w:sz w:val="20"/>
                <w:szCs w:val="20"/>
              </w:rPr>
            </w:pPr>
            <w:r w:rsidRPr="00991C0E">
              <w:rPr>
                <w:rFonts w:eastAsia="Times New Roman" w:cstheme="minorHAnsi"/>
                <w:b/>
                <w:bCs/>
                <w:color w:val="000000"/>
                <w:sz w:val="20"/>
                <w:szCs w:val="20"/>
              </w:rPr>
              <w:t>E</w:t>
            </w:r>
          </w:p>
        </w:tc>
        <w:tc>
          <w:tcPr>
            <w:tcW w:w="850" w:type="dxa"/>
            <w:tcBorders>
              <w:top w:val="single" w:sz="4" w:space="0" w:color="auto"/>
              <w:left w:val="nil"/>
              <w:bottom w:val="single" w:sz="4" w:space="0" w:color="auto"/>
              <w:right w:val="single" w:sz="4" w:space="0" w:color="auto"/>
            </w:tcBorders>
            <w:shd w:val="clear" w:color="auto" w:fill="AF9CDF" w:themeFill="background2" w:themeFillTint="66"/>
            <w:noWrap/>
            <w:vAlign w:val="bottom"/>
            <w:hideMark/>
          </w:tcPr>
          <w:p w14:paraId="74A71032" w14:textId="77777777" w:rsidR="00BA1D65" w:rsidRPr="00991C0E" w:rsidRDefault="00BA1D65" w:rsidP="0018041B">
            <w:pPr>
              <w:jc w:val="center"/>
              <w:rPr>
                <w:rFonts w:eastAsia="Times New Roman" w:cstheme="minorHAnsi"/>
                <w:b/>
                <w:bCs/>
                <w:color w:val="000000"/>
                <w:sz w:val="20"/>
                <w:szCs w:val="20"/>
              </w:rPr>
            </w:pPr>
            <w:r w:rsidRPr="00991C0E">
              <w:rPr>
                <w:rFonts w:eastAsia="Times New Roman" w:cstheme="minorHAnsi"/>
                <w:b/>
                <w:bCs/>
                <w:color w:val="000000"/>
                <w:sz w:val="20"/>
                <w:szCs w:val="20"/>
              </w:rPr>
              <w:t>F</w:t>
            </w:r>
          </w:p>
        </w:tc>
        <w:tc>
          <w:tcPr>
            <w:tcW w:w="993" w:type="dxa"/>
            <w:tcBorders>
              <w:top w:val="single" w:sz="4" w:space="0" w:color="auto"/>
              <w:left w:val="nil"/>
              <w:bottom w:val="single" w:sz="4" w:space="0" w:color="auto"/>
              <w:right w:val="single" w:sz="4" w:space="0" w:color="auto"/>
            </w:tcBorders>
            <w:shd w:val="clear" w:color="auto" w:fill="AF9CDF" w:themeFill="background2" w:themeFillTint="66"/>
            <w:noWrap/>
            <w:vAlign w:val="bottom"/>
            <w:hideMark/>
          </w:tcPr>
          <w:p w14:paraId="48254659" w14:textId="77777777" w:rsidR="00BA1D65" w:rsidRPr="00991C0E" w:rsidRDefault="00BA1D65" w:rsidP="0018041B">
            <w:pPr>
              <w:jc w:val="center"/>
              <w:rPr>
                <w:rFonts w:eastAsia="Times New Roman" w:cstheme="minorHAnsi"/>
                <w:b/>
                <w:bCs/>
                <w:color w:val="000000"/>
                <w:sz w:val="20"/>
                <w:szCs w:val="20"/>
              </w:rPr>
            </w:pPr>
            <w:r w:rsidRPr="00991C0E">
              <w:rPr>
                <w:rFonts w:eastAsia="Times New Roman" w:cstheme="minorHAnsi"/>
                <w:b/>
                <w:bCs/>
                <w:color w:val="000000"/>
                <w:sz w:val="20"/>
                <w:szCs w:val="20"/>
              </w:rPr>
              <w:t>G</w:t>
            </w:r>
          </w:p>
        </w:tc>
        <w:tc>
          <w:tcPr>
            <w:tcW w:w="992" w:type="dxa"/>
            <w:tcBorders>
              <w:top w:val="single" w:sz="4" w:space="0" w:color="auto"/>
              <w:left w:val="nil"/>
              <w:bottom w:val="single" w:sz="4" w:space="0" w:color="auto"/>
              <w:right w:val="single" w:sz="4" w:space="0" w:color="auto"/>
            </w:tcBorders>
            <w:shd w:val="clear" w:color="auto" w:fill="AF9CDF" w:themeFill="background2" w:themeFillTint="66"/>
            <w:noWrap/>
            <w:vAlign w:val="bottom"/>
            <w:hideMark/>
          </w:tcPr>
          <w:p w14:paraId="5908ABA8" w14:textId="77777777" w:rsidR="00BA1D65" w:rsidRPr="00991C0E" w:rsidRDefault="00BA1D65" w:rsidP="0018041B">
            <w:pPr>
              <w:jc w:val="center"/>
              <w:rPr>
                <w:rFonts w:eastAsia="Times New Roman" w:cstheme="minorHAnsi"/>
                <w:b/>
                <w:bCs/>
                <w:color w:val="000000"/>
                <w:sz w:val="20"/>
                <w:szCs w:val="20"/>
              </w:rPr>
            </w:pPr>
            <w:r w:rsidRPr="00991C0E">
              <w:rPr>
                <w:rFonts w:eastAsia="Times New Roman" w:cstheme="minorHAnsi"/>
                <w:b/>
                <w:bCs/>
                <w:color w:val="000000"/>
                <w:sz w:val="20"/>
                <w:szCs w:val="20"/>
              </w:rPr>
              <w:t>H</w:t>
            </w:r>
          </w:p>
        </w:tc>
        <w:tc>
          <w:tcPr>
            <w:tcW w:w="1134" w:type="dxa"/>
            <w:tcBorders>
              <w:top w:val="single" w:sz="4" w:space="0" w:color="auto"/>
              <w:left w:val="nil"/>
              <w:bottom w:val="single" w:sz="4" w:space="0" w:color="auto"/>
              <w:right w:val="single" w:sz="4" w:space="0" w:color="auto"/>
            </w:tcBorders>
            <w:shd w:val="clear" w:color="auto" w:fill="AF9CDF" w:themeFill="background2" w:themeFillTint="66"/>
            <w:noWrap/>
            <w:vAlign w:val="bottom"/>
            <w:hideMark/>
          </w:tcPr>
          <w:p w14:paraId="3CAE3861" w14:textId="77777777" w:rsidR="00BA1D65" w:rsidRPr="00991C0E" w:rsidRDefault="00BA1D65" w:rsidP="0018041B">
            <w:pPr>
              <w:jc w:val="center"/>
              <w:rPr>
                <w:rFonts w:eastAsia="Times New Roman" w:cstheme="minorHAnsi"/>
                <w:b/>
                <w:bCs/>
                <w:color w:val="000000"/>
                <w:sz w:val="20"/>
                <w:szCs w:val="20"/>
              </w:rPr>
            </w:pPr>
            <w:r w:rsidRPr="00991C0E">
              <w:rPr>
                <w:rFonts w:eastAsia="Times New Roman" w:cstheme="minorHAnsi"/>
                <w:b/>
                <w:bCs/>
                <w:color w:val="000000"/>
                <w:sz w:val="20"/>
                <w:szCs w:val="20"/>
              </w:rPr>
              <w:t>I</w:t>
            </w:r>
          </w:p>
        </w:tc>
        <w:tc>
          <w:tcPr>
            <w:tcW w:w="1276" w:type="dxa"/>
            <w:tcBorders>
              <w:top w:val="single" w:sz="4" w:space="0" w:color="auto"/>
              <w:left w:val="nil"/>
              <w:bottom w:val="single" w:sz="4" w:space="0" w:color="auto"/>
              <w:right w:val="single" w:sz="4" w:space="0" w:color="auto"/>
            </w:tcBorders>
            <w:shd w:val="clear" w:color="auto" w:fill="AF9CDF" w:themeFill="background2" w:themeFillTint="66"/>
            <w:noWrap/>
            <w:vAlign w:val="bottom"/>
            <w:hideMark/>
          </w:tcPr>
          <w:p w14:paraId="02B5ADBE" w14:textId="77777777" w:rsidR="00BA1D65" w:rsidRPr="00991C0E" w:rsidRDefault="00BA1D65" w:rsidP="0018041B">
            <w:pPr>
              <w:jc w:val="center"/>
              <w:rPr>
                <w:rFonts w:eastAsia="Times New Roman" w:cstheme="minorHAnsi"/>
                <w:b/>
                <w:bCs/>
                <w:color w:val="000000"/>
                <w:sz w:val="20"/>
                <w:szCs w:val="20"/>
              </w:rPr>
            </w:pPr>
            <w:r w:rsidRPr="00991C0E">
              <w:rPr>
                <w:rFonts w:eastAsia="Times New Roman" w:cstheme="minorHAnsi"/>
                <w:b/>
                <w:bCs/>
                <w:color w:val="000000"/>
                <w:sz w:val="20"/>
                <w:szCs w:val="20"/>
              </w:rPr>
              <w:t>J</w:t>
            </w:r>
          </w:p>
        </w:tc>
        <w:tc>
          <w:tcPr>
            <w:tcW w:w="1275" w:type="dxa"/>
            <w:tcBorders>
              <w:top w:val="single" w:sz="4" w:space="0" w:color="auto"/>
              <w:left w:val="nil"/>
              <w:bottom w:val="single" w:sz="4" w:space="0" w:color="auto"/>
              <w:right w:val="nil"/>
            </w:tcBorders>
            <w:shd w:val="clear" w:color="auto" w:fill="AF9CDF" w:themeFill="background2" w:themeFillTint="66"/>
            <w:noWrap/>
            <w:vAlign w:val="bottom"/>
            <w:hideMark/>
          </w:tcPr>
          <w:p w14:paraId="0ED716F6" w14:textId="77777777" w:rsidR="00BA1D65" w:rsidRPr="00991C0E" w:rsidRDefault="00BA1D65" w:rsidP="0018041B">
            <w:pPr>
              <w:jc w:val="center"/>
              <w:rPr>
                <w:rFonts w:eastAsia="Times New Roman" w:cstheme="minorHAnsi"/>
                <w:b/>
                <w:bCs/>
                <w:color w:val="000000"/>
                <w:sz w:val="20"/>
                <w:szCs w:val="20"/>
              </w:rPr>
            </w:pPr>
            <w:r w:rsidRPr="00991C0E">
              <w:rPr>
                <w:rFonts w:eastAsia="Times New Roman" w:cstheme="minorHAnsi"/>
                <w:b/>
                <w:bCs/>
                <w:color w:val="000000"/>
                <w:sz w:val="20"/>
                <w:szCs w:val="20"/>
              </w:rPr>
              <w:t>K</w:t>
            </w:r>
          </w:p>
        </w:tc>
        <w:tc>
          <w:tcPr>
            <w:tcW w:w="1276" w:type="dxa"/>
            <w:tcBorders>
              <w:top w:val="single" w:sz="8" w:space="0" w:color="auto"/>
              <w:left w:val="single" w:sz="8" w:space="0" w:color="auto"/>
              <w:bottom w:val="single" w:sz="4" w:space="0" w:color="auto"/>
              <w:right w:val="single" w:sz="8" w:space="0" w:color="auto"/>
            </w:tcBorders>
            <w:shd w:val="clear" w:color="auto" w:fill="AF9CDF" w:themeFill="background2" w:themeFillTint="66"/>
            <w:noWrap/>
            <w:vAlign w:val="bottom"/>
            <w:hideMark/>
          </w:tcPr>
          <w:p w14:paraId="6C98930A" w14:textId="77777777" w:rsidR="00BA1D65" w:rsidRPr="00991C0E" w:rsidRDefault="00BA1D65" w:rsidP="0018041B">
            <w:pPr>
              <w:jc w:val="center"/>
              <w:rPr>
                <w:rFonts w:eastAsia="Times New Roman" w:cstheme="minorHAnsi"/>
                <w:b/>
                <w:bCs/>
                <w:color w:val="000000"/>
                <w:sz w:val="20"/>
                <w:szCs w:val="20"/>
              </w:rPr>
            </w:pPr>
            <w:r w:rsidRPr="00991C0E">
              <w:rPr>
                <w:rFonts w:eastAsia="Times New Roman" w:cstheme="minorHAnsi"/>
                <w:b/>
                <w:bCs/>
                <w:color w:val="000000"/>
                <w:sz w:val="20"/>
                <w:szCs w:val="20"/>
              </w:rPr>
              <w:t>L</w:t>
            </w:r>
          </w:p>
        </w:tc>
        <w:tc>
          <w:tcPr>
            <w:tcW w:w="1559" w:type="dxa"/>
            <w:tcBorders>
              <w:top w:val="nil"/>
              <w:left w:val="nil"/>
              <w:bottom w:val="single" w:sz="4" w:space="0" w:color="auto"/>
              <w:right w:val="single" w:sz="8" w:space="0" w:color="auto"/>
            </w:tcBorders>
            <w:shd w:val="clear" w:color="auto" w:fill="AF9CDF" w:themeFill="background2" w:themeFillTint="66"/>
            <w:noWrap/>
            <w:vAlign w:val="center"/>
            <w:hideMark/>
          </w:tcPr>
          <w:p w14:paraId="344DD5E7" w14:textId="77777777" w:rsidR="00BA1D65" w:rsidRPr="00991C0E" w:rsidRDefault="00BA1D65" w:rsidP="0018041B">
            <w:pPr>
              <w:jc w:val="center"/>
              <w:rPr>
                <w:rFonts w:eastAsia="Times New Roman" w:cstheme="minorHAnsi"/>
                <w:color w:val="000000"/>
                <w:sz w:val="20"/>
                <w:szCs w:val="20"/>
              </w:rPr>
            </w:pPr>
            <w:r w:rsidRPr="00991C0E">
              <w:rPr>
                <w:rFonts w:eastAsia="Times New Roman" w:cstheme="minorHAnsi"/>
                <w:color w:val="000000"/>
                <w:sz w:val="20"/>
                <w:szCs w:val="20"/>
              </w:rPr>
              <w:t>M</w:t>
            </w:r>
          </w:p>
        </w:tc>
      </w:tr>
      <w:tr w:rsidR="006C0160" w:rsidRPr="00714FD8" w14:paraId="357D574E" w14:textId="77777777" w:rsidTr="006C0160">
        <w:trPr>
          <w:trHeight w:val="1178"/>
        </w:trPr>
        <w:tc>
          <w:tcPr>
            <w:tcW w:w="1266" w:type="dxa"/>
            <w:tcBorders>
              <w:top w:val="nil"/>
              <w:left w:val="single" w:sz="8" w:space="0" w:color="auto"/>
              <w:bottom w:val="single" w:sz="8" w:space="0" w:color="auto"/>
              <w:right w:val="single" w:sz="4" w:space="0" w:color="auto"/>
            </w:tcBorders>
            <w:shd w:val="clear" w:color="auto" w:fill="AF9CDF" w:themeFill="background2" w:themeFillTint="66"/>
            <w:vAlign w:val="center"/>
            <w:hideMark/>
          </w:tcPr>
          <w:p w14:paraId="77EE2D7A" w14:textId="77777777" w:rsidR="00BA1D65" w:rsidRPr="00991C0E" w:rsidRDefault="00BA1D65" w:rsidP="0018041B">
            <w:pPr>
              <w:jc w:val="center"/>
              <w:rPr>
                <w:rFonts w:cstheme="minorHAnsi"/>
                <w:b/>
                <w:color w:val="000000"/>
                <w:sz w:val="20"/>
                <w:szCs w:val="20"/>
              </w:rPr>
            </w:pPr>
            <w:r w:rsidRPr="00991C0E">
              <w:rPr>
                <w:rFonts w:eastAsia="Times New Roman" w:cstheme="minorHAnsi"/>
                <w:b/>
                <w:bCs/>
                <w:color w:val="000000"/>
                <w:sz w:val="20"/>
                <w:szCs w:val="20"/>
              </w:rPr>
              <w:t>Employees</w:t>
            </w:r>
          </w:p>
        </w:tc>
        <w:tc>
          <w:tcPr>
            <w:tcW w:w="1276" w:type="dxa"/>
            <w:tcBorders>
              <w:top w:val="nil"/>
              <w:left w:val="nil"/>
              <w:bottom w:val="single" w:sz="8" w:space="0" w:color="auto"/>
              <w:right w:val="single" w:sz="4" w:space="0" w:color="auto"/>
            </w:tcBorders>
            <w:shd w:val="clear" w:color="auto" w:fill="AF9CDF" w:themeFill="background2" w:themeFillTint="66"/>
            <w:vAlign w:val="center"/>
            <w:hideMark/>
          </w:tcPr>
          <w:p w14:paraId="075389D9" w14:textId="77777777" w:rsidR="00BA1D65" w:rsidRPr="00991C0E" w:rsidRDefault="00BA1D65" w:rsidP="0018041B">
            <w:pPr>
              <w:jc w:val="center"/>
              <w:rPr>
                <w:rFonts w:cstheme="minorHAnsi"/>
                <w:b/>
                <w:color w:val="000000"/>
                <w:sz w:val="20"/>
                <w:szCs w:val="20"/>
              </w:rPr>
            </w:pPr>
            <w:r w:rsidRPr="00991C0E">
              <w:rPr>
                <w:rFonts w:eastAsia="Times New Roman" w:cstheme="minorHAnsi"/>
                <w:b/>
                <w:bCs/>
                <w:color w:val="000000"/>
                <w:sz w:val="20"/>
                <w:szCs w:val="20"/>
              </w:rPr>
              <w:t>Unadjusted</w:t>
            </w:r>
            <w:r w:rsidRPr="00991C0E">
              <w:rPr>
                <w:rFonts w:cstheme="minorHAnsi"/>
                <w:b/>
                <w:color w:val="000000"/>
                <w:sz w:val="20"/>
                <w:szCs w:val="20"/>
              </w:rPr>
              <w:t xml:space="preserve"> LSL Liability</w:t>
            </w:r>
          </w:p>
        </w:tc>
        <w:tc>
          <w:tcPr>
            <w:tcW w:w="1134" w:type="dxa"/>
            <w:tcBorders>
              <w:top w:val="nil"/>
              <w:left w:val="nil"/>
              <w:bottom w:val="single" w:sz="8" w:space="0" w:color="auto"/>
              <w:right w:val="single" w:sz="4" w:space="0" w:color="auto"/>
            </w:tcBorders>
            <w:shd w:val="clear" w:color="auto" w:fill="AF9CDF" w:themeFill="background2" w:themeFillTint="66"/>
            <w:vAlign w:val="center"/>
            <w:hideMark/>
          </w:tcPr>
          <w:p w14:paraId="2ADC0C4C" w14:textId="77777777" w:rsidR="00BA1D65" w:rsidRPr="00991C0E" w:rsidRDefault="00BA1D65" w:rsidP="0018041B">
            <w:pPr>
              <w:jc w:val="center"/>
              <w:rPr>
                <w:rFonts w:cstheme="minorHAnsi"/>
                <w:b/>
                <w:color w:val="000000"/>
                <w:sz w:val="20"/>
                <w:szCs w:val="20"/>
              </w:rPr>
            </w:pPr>
            <w:r w:rsidRPr="00991C0E">
              <w:rPr>
                <w:rFonts w:cstheme="minorHAnsi"/>
                <w:b/>
                <w:color w:val="000000"/>
                <w:sz w:val="20"/>
                <w:szCs w:val="20"/>
              </w:rPr>
              <w:t xml:space="preserve">Years of </w:t>
            </w:r>
            <w:r w:rsidRPr="00991C0E">
              <w:rPr>
                <w:rFonts w:eastAsia="Times New Roman" w:cstheme="minorHAnsi"/>
                <w:b/>
                <w:bCs/>
                <w:color w:val="000000"/>
                <w:sz w:val="20"/>
                <w:szCs w:val="20"/>
              </w:rPr>
              <w:t>Completed</w:t>
            </w:r>
            <w:r w:rsidRPr="00991C0E">
              <w:rPr>
                <w:rFonts w:cstheme="minorHAnsi"/>
                <w:b/>
                <w:color w:val="000000"/>
                <w:sz w:val="20"/>
                <w:szCs w:val="20"/>
              </w:rPr>
              <w:t xml:space="preserve"> Service</w:t>
            </w:r>
          </w:p>
        </w:tc>
        <w:tc>
          <w:tcPr>
            <w:tcW w:w="992" w:type="dxa"/>
            <w:tcBorders>
              <w:top w:val="nil"/>
              <w:left w:val="nil"/>
              <w:bottom w:val="single" w:sz="8" w:space="0" w:color="auto"/>
              <w:right w:val="nil"/>
            </w:tcBorders>
            <w:shd w:val="clear" w:color="auto" w:fill="AF9CDF" w:themeFill="background2" w:themeFillTint="66"/>
            <w:vAlign w:val="center"/>
            <w:hideMark/>
          </w:tcPr>
          <w:p w14:paraId="56D07781" w14:textId="2C783569" w:rsidR="00BA1D65" w:rsidRPr="00991C0E" w:rsidRDefault="00BA1D65" w:rsidP="0018041B">
            <w:pPr>
              <w:jc w:val="center"/>
              <w:rPr>
                <w:rFonts w:cstheme="minorHAnsi"/>
                <w:b/>
                <w:color w:val="000000"/>
                <w:sz w:val="20"/>
                <w:szCs w:val="20"/>
              </w:rPr>
            </w:pPr>
            <w:r w:rsidRPr="00991C0E">
              <w:rPr>
                <w:rFonts w:cstheme="minorHAnsi"/>
                <w:b/>
                <w:color w:val="000000"/>
                <w:sz w:val="20"/>
                <w:szCs w:val="20"/>
              </w:rPr>
              <w:t xml:space="preserve">LSL Prob. Factor </w:t>
            </w:r>
            <w:r w:rsidRPr="00991C0E">
              <w:rPr>
                <w:rFonts w:eastAsia="Times New Roman" w:cstheme="minorHAnsi"/>
                <w:b/>
                <w:bCs/>
                <w:color w:val="000000"/>
                <w:sz w:val="20"/>
                <w:szCs w:val="20"/>
              </w:rPr>
              <w:t>(</w:t>
            </w:r>
            <w:r w:rsidRPr="00991C0E">
              <w:rPr>
                <w:rFonts w:cstheme="minorHAnsi"/>
                <w:b/>
                <w:color w:val="000000"/>
                <w:sz w:val="20"/>
                <w:szCs w:val="20"/>
              </w:rPr>
              <w:t>LSLPV</w:t>
            </w:r>
            <w:r w:rsidRPr="00991C0E">
              <w:rPr>
                <w:rFonts w:eastAsia="Times New Roman" w:cstheme="minorHAnsi"/>
                <w:b/>
                <w:bCs/>
                <w:color w:val="000000"/>
                <w:sz w:val="20"/>
                <w:szCs w:val="20"/>
              </w:rPr>
              <w:t>)</w:t>
            </w:r>
            <w:r w:rsidR="007A011D">
              <w:rPr>
                <w:rStyle w:val="FootnoteReference"/>
                <w:rFonts w:eastAsia="Times New Roman" w:cstheme="minorHAnsi"/>
                <w:b/>
                <w:bCs/>
                <w:color w:val="000000"/>
                <w:sz w:val="20"/>
                <w:szCs w:val="20"/>
              </w:rPr>
              <w:footnoteReference w:id="1"/>
            </w:r>
          </w:p>
        </w:tc>
        <w:tc>
          <w:tcPr>
            <w:tcW w:w="1276" w:type="dxa"/>
            <w:tcBorders>
              <w:top w:val="nil"/>
              <w:left w:val="single" w:sz="8" w:space="0" w:color="auto"/>
              <w:bottom w:val="single" w:sz="8" w:space="0" w:color="auto"/>
              <w:right w:val="single" w:sz="8" w:space="0" w:color="auto"/>
            </w:tcBorders>
            <w:shd w:val="clear" w:color="auto" w:fill="AF9CDF" w:themeFill="background2" w:themeFillTint="66"/>
            <w:vAlign w:val="center"/>
            <w:hideMark/>
          </w:tcPr>
          <w:p w14:paraId="16857D09" w14:textId="5C0443D4" w:rsidR="00BA1D65" w:rsidRPr="00991C0E" w:rsidRDefault="00BA1D65" w:rsidP="0018041B">
            <w:pPr>
              <w:jc w:val="center"/>
              <w:rPr>
                <w:rFonts w:cstheme="minorHAnsi"/>
                <w:b/>
                <w:color w:val="000000"/>
                <w:sz w:val="20"/>
                <w:szCs w:val="20"/>
              </w:rPr>
            </w:pPr>
            <w:r w:rsidRPr="00991C0E">
              <w:rPr>
                <w:rFonts w:cstheme="minorHAnsi"/>
                <w:b/>
                <w:color w:val="000000"/>
                <w:sz w:val="20"/>
                <w:szCs w:val="20"/>
              </w:rPr>
              <w:t xml:space="preserve">Prob. </w:t>
            </w:r>
            <w:r w:rsidRPr="00991C0E">
              <w:rPr>
                <w:rFonts w:eastAsia="Times New Roman" w:cstheme="minorHAnsi"/>
                <w:b/>
                <w:bCs/>
                <w:color w:val="000000"/>
                <w:sz w:val="20"/>
                <w:szCs w:val="20"/>
              </w:rPr>
              <w:t xml:space="preserve">Weighted </w:t>
            </w:r>
            <w:r w:rsidRPr="00991C0E">
              <w:rPr>
                <w:rFonts w:cstheme="minorHAnsi"/>
                <w:b/>
                <w:color w:val="000000"/>
                <w:sz w:val="20"/>
                <w:szCs w:val="20"/>
              </w:rPr>
              <w:t>Accrued LSL</w:t>
            </w:r>
            <w:r w:rsidRPr="00991C0E">
              <w:rPr>
                <w:rFonts w:eastAsia="Times New Roman" w:cstheme="minorHAnsi"/>
                <w:b/>
                <w:bCs/>
                <w:color w:val="000000"/>
                <w:sz w:val="20"/>
                <w:szCs w:val="20"/>
              </w:rPr>
              <w:t xml:space="preserve"> Unadjusted </w:t>
            </w:r>
          </w:p>
        </w:tc>
        <w:tc>
          <w:tcPr>
            <w:tcW w:w="850" w:type="dxa"/>
            <w:tcBorders>
              <w:top w:val="nil"/>
              <w:left w:val="nil"/>
              <w:bottom w:val="single" w:sz="8" w:space="0" w:color="auto"/>
              <w:right w:val="single" w:sz="4" w:space="0" w:color="auto"/>
            </w:tcBorders>
            <w:shd w:val="clear" w:color="auto" w:fill="AF9CDF" w:themeFill="background2" w:themeFillTint="66"/>
            <w:vAlign w:val="center"/>
            <w:hideMark/>
          </w:tcPr>
          <w:p w14:paraId="1A1A8EB3" w14:textId="77777777" w:rsidR="00BA1D65" w:rsidRPr="00991C0E" w:rsidRDefault="00BA1D65" w:rsidP="0018041B">
            <w:pPr>
              <w:jc w:val="center"/>
              <w:rPr>
                <w:rFonts w:cstheme="minorHAnsi"/>
                <w:b/>
                <w:color w:val="000000"/>
                <w:sz w:val="20"/>
                <w:szCs w:val="20"/>
              </w:rPr>
            </w:pPr>
            <w:r w:rsidRPr="00991C0E">
              <w:rPr>
                <w:rFonts w:cstheme="minorHAnsi"/>
                <w:b/>
                <w:color w:val="000000"/>
                <w:sz w:val="20"/>
                <w:szCs w:val="20"/>
              </w:rPr>
              <w:t>Super Fund</w:t>
            </w:r>
          </w:p>
        </w:tc>
        <w:tc>
          <w:tcPr>
            <w:tcW w:w="993" w:type="dxa"/>
            <w:tcBorders>
              <w:top w:val="nil"/>
              <w:left w:val="nil"/>
              <w:bottom w:val="single" w:sz="8" w:space="0" w:color="auto"/>
              <w:right w:val="single" w:sz="4" w:space="0" w:color="auto"/>
            </w:tcBorders>
            <w:shd w:val="clear" w:color="auto" w:fill="AF9CDF" w:themeFill="background2" w:themeFillTint="66"/>
            <w:vAlign w:val="center"/>
            <w:hideMark/>
          </w:tcPr>
          <w:p w14:paraId="07E126FF" w14:textId="77777777" w:rsidR="00BA1D65" w:rsidRPr="00991C0E" w:rsidRDefault="00BA1D65" w:rsidP="0018041B">
            <w:pPr>
              <w:jc w:val="center"/>
              <w:rPr>
                <w:rFonts w:cstheme="minorHAnsi"/>
                <w:b/>
                <w:color w:val="000000"/>
                <w:sz w:val="20"/>
                <w:szCs w:val="20"/>
              </w:rPr>
            </w:pPr>
            <w:r w:rsidRPr="00991C0E">
              <w:rPr>
                <w:rFonts w:cstheme="minorHAnsi"/>
                <w:b/>
                <w:color w:val="000000"/>
                <w:sz w:val="20"/>
                <w:szCs w:val="20"/>
              </w:rPr>
              <w:t>Super On-Cost Rate</w:t>
            </w:r>
          </w:p>
        </w:tc>
        <w:tc>
          <w:tcPr>
            <w:tcW w:w="992" w:type="dxa"/>
            <w:tcBorders>
              <w:top w:val="nil"/>
              <w:left w:val="nil"/>
              <w:bottom w:val="single" w:sz="8" w:space="0" w:color="auto"/>
              <w:right w:val="single" w:sz="4" w:space="0" w:color="auto"/>
            </w:tcBorders>
            <w:shd w:val="clear" w:color="auto" w:fill="AF9CDF" w:themeFill="background2" w:themeFillTint="66"/>
            <w:vAlign w:val="center"/>
            <w:hideMark/>
          </w:tcPr>
          <w:p w14:paraId="63A1C06D" w14:textId="77777777" w:rsidR="00BA1D65" w:rsidRPr="00991C0E" w:rsidRDefault="00BA1D65" w:rsidP="0018041B">
            <w:pPr>
              <w:jc w:val="center"/>
              <w:rPr>
                <w:rFonts w:eastAsia="Times New Roman" w:cstheme="minorHAnsi"/>
                <w:b/>
                <w:bCs/>
                <w:color w:val="000000"/>
                <w:sz w:val="20"/>
                <w:szCs w:val="20"/>
              </w:rPr>
            </w:pPr>
            <w:r w:rsidRPr="00991C0E">
              <w:rPr>
                <w:rFonts w:cstheme="minorHAnsi"/>
                <w:b/>
                <w:color w:val="000000"/>
                <w:sz w:val="20"/>
                <w:szCs w:val="20"/>
              </w:rPr>
              <w:t>LSL</w:t>
            </w:r>
          </w:p>
          <w:p w14:paraId="4F6013DA" w14:textId="77777777" w:rsidR="00BA1D65" w:rsidRPr="00991C0E" w:rsidRDefault="00BA1D65" w:rsidP="0018041B">
            <w:pPr>
              <w:jc w:val="center"/>
              <w:rPr>
                <w:rFonts w:cstheme="minorHAnsi"/>
                <w:b/>
                <w:color w:val="000000"/>
                <w:sz w:val="20"/>
                <w:szCs w:val="20"/>
              </w:rPr>
            </w:pPr>
            <w:r w:rsidRPr="00991C0E">
              <w:rPr>
                <w:rFonts w:cstheme="minorHAnsi"/>
                <w:b/>
                <w:color w:val="000000"/>
                <w:sz w:val="20"/>
                <w:szCs w:val="20"/>
              </w:rPr>
              <w:t>On-Cost Rate</w:t>
            </w:r>
          </w:p>
        </w:tc>
        <w:tc>
          <w:tcPr>
            <w:tcW w:w="1134" w:type="dxa"/>
            <w:tcBorders>
              <w:top w:val="nil"/>
              <w:left w:val="nil"/>
              <w:bottom w:val="single" w:sz="8" w:space="0" w:color="auto"/>
              <w:right w:val="single" w:sz="4" w:space="0" w:color="auto"/>
            </w:tcBorders>
            <w:shd w:val="clear" w:color="auto" w:fill="AF9CDF" w:themeFill="background2" w:themeFillTint="66"/>
            <w:vAlign w:val="center"/>
            <w:hideMark/>
          </w:tcPr>
          <w:p w14:paraId="33E66E82" w14:textId="77777777" w:rsidR="00BA1D65" w:rsidRPr="00991C0E" w:rsidRDefault="00BA1D65" w:rsidP="0018041B">
            <w:pPr>
              <w:jc w:val="center"/>
              <w:rPr>
                <w:rFonts w:eastAsia="Times New Roman" w:cstheme="minorHAnsi"/>
                <w:b/>
                <w:bCs/>
                <w:color w:val="000000"/>
                <w:sz w:val="20"/>
                <w:szCs w:val="20"/>
              </w:rPr>
            </w:pPr>
            <w:r w:rsidRPr="00991C0E">
              <w:rPr>
                <w:rFonts w:cstheme="minorHAnsi"/>
                <w:b/>
                <w:color w:val="000000"/>
                <w:sz w:val="20"/>
                <w:szCs w:val="20"/>
              </w:rPr>
              <w:t>AL</w:t>
            </w:r>
          </w:p>
          <w:p w14:paraId="2A2A42AD" w14:textId="77777777" w:rsidR="00BA1D65" w:rsidRPr="00991C0E" w:rsidRDefault="00BA1D65" w:rsidP="0018041B">
            <w:pPr>
              <w:jc w:val="center"/>
              <w:rPr>
                <w:rFonts w:cstheme="minorHAnsi"/>
                <w:b/>
                <w:color w:val="000000"/>
                <w:sz w:val="20"/>
                <w:szCs w:val="20"/>
              </w:rPr>
            </w:pPr>
            <w:r w:rsidRPr="00991C0E">
              <w:rPr>
                <w:rFonts w:cstheme="minorHAnsi"/>
                <w:b/>
                <w:color w:val="000000"/>
                <w:sz w:val="20"/>
                <w:szCs w:val="20"/>
              </w:rPr>
              <w:t>On-Cost Rate</w:t>
            </w:r>
          </w:p>
        </w:tc>
        <w:tc>
          <w:tcPr>
            <w:tcW w:w="1276" w:type="dxa"/>
            <w:tcBorders>
              <w:top w:val="nil"/>
              <w:left w:val="nil"/>
              <w:bottom w:val="single" w:sz="8" w:space="0" w:color="auto"/>
              <w:right w:val="single" w:sz="4" w:space="0" w:color="auto"/>
            </w:tcBorders>
            <w:shd w:val="clear" w:color="auto" w:fill="AF9CDF" w:themeFill="background2" w:themeFillTint="66"/>
            <w:vAlign w:val="center"/>
            <w:hideMark/>
          </w:tcPr>
          <w:p w14:paraId="324CAB55" w14:textId="77777777" w:rsidR="00BA1D65" w:rsidRPr="00991C0E" w:rsidRDefault="00BA1D65" w:rsidP="0018041B">
            <w:pPr>
              <w:jc w:val="center"/>
              <w:rPr>
                <w:rFonts w:eastAsia="Times New Roman" w:cstheme="minorHAnsi"/>
                <w:b/>
                <w:bCs/>
                <w:color w:val="000000"/>
                <w:sz w:val="20"/>
                <w:szCs w:val="20"/>
              </w:rPr>
            </w:pPr>
            <w:r w:rsidRPr="00991C0E">
              <w:rPr>
                <w:rFonts w:cstheme="minorHAnsi"/>
                <w:b/>
                <w:color w:val="000000"/>
                <w:sz w:val="20"/>
                <w:szCs w:val="20"/>
              </w:rPr>
              <w:t>Total In-Service On-Cost Rate</w:t>
            </w:r>
          </w:p>
          <w:p w14:paraId="4255B678" w14:textId="12BD6D8E" w:rsidR="00BA1D65" w:rsidRPr="00991C0E" w:rsidRDefault="00BA1D65" w:rsidP="0018041B">
            <w:pPr>
              <w:jc w:val="center"/>
              <w:rPr>
                <w:rFonts w:cstheme="minorHAnsi"/>
                <w:b/>
                <w:color w:val="000000"/>
                <w:sz w:val="20"/>
                <w:szCs w:val="20"/>
              </w:rPr>
            </w:pPr>
          </w:p>
        </w:tc>
        <w:tc>
          <w:tcPr>
            <w:tcW w:w="1275" w:type="dxa"/>
            <w:tcBorders>
              <w:top w:val="nil"/>
              <w:left w:val="nil"/>
              <w:bottom w:val="single" w:sz="8" w:space="0" w:color="auto"/>
              <w:right w:val="nil"/>
            </w:tcBorders>
            <w:shd w:val="clear" w:color="auto" w:fill="AF9CDF" w:themeFill="background2" w:themeFillTint="66"/>
            <w:vAlign w:val="center"/>
            <w:hideMark/>
          </w:tcPr>
          <w:p w14:paraId="6D45E438" w14:textId="22F8C4E6" w:rsidR="00BA1D65" w:rsidRPr="00991C0E" w:rsidRDefault="00BA1D65" w:rsidP="0018041B">
            <w:pPr>
              <w:jc w:val="center"/>
              <w:rPr>
                <w:rFonts w:cstheme="minorHAnsi"/>
                <w:b/>
                <w:color w:val="000000"/>
                <w:sz w:val="20"/>
                <w:szCs w:val="20"/>
              </w:rPr>
            </w:pPr>
            <w:r w:rsidRPr="00991C0E">
              <w:rPr>
                <w:rFonts w:eastAsia="Times New Roman" w:cstheme="minorHAnsi"/>
                <w:b/>
                <w:bCs/>
                <w:color w:val="000000"/>
                <w:sz w:val="20"/>
                <w:szCs w:val="20"/>
              </w:rPr>
              <w:t xml:space="preserve">Total </w:t>
            </w:r>
            <w:r w:rsidRPr="00991C0E">
              <w:rPr>
                <w:rFonts w:cstheme="minorHAnsi"/>
                <w:b/>
                <w:color w:val="000000"/>
                <w:sz w:val="20"/>
                <w:szCs w:val="20"/>
              </w:rPr>
              <w:t>LSL       On-Cost Amount</w:t>
            </w:r>
            <w:r w:rsidRPr="00991C0E">
              <w:rPr>
                <w:rFonts w:eastAsia="Times New Roman" w:cstheme="minorHAnsi"/>
                <w:b/>
                <w:bCs/>
                <w:color w:val="000000"/>
                <w:sz w:val="20"/>
                <w:szCs w:val="20"/>
              </w:rPr>
              <w:t xml:space="preserve"> </w:t>
            </w:r>
          </w:p>
        </w:tc>
        <w:tc>
          <w:tcPr>
            <w:tcW w:w="1276" w:type="dxa"/>
            <w:tcBorders>
              <w:top w:val="nil"/>
              <w:left w:val="single" w:sz="8" w:space="0" w:color="auto"/>
              <w:bottom w:val="single" w:sz="8" w:space="0" w:color="auto"/>
              <w:right w:val="single" w:sz="8" w:space="0" w:color="auto"/>
            </w:tcBorders>
            <w:shd w:val="clear" w:color="auto" w:fill="AF9CDF" w:themeFill="background2" w:themeFillTint="66"/>
            <w:vAlign w:val="center"/>
            <w:hideMark/>
          </w:tcPr>
          <w:p w14:paraId="2D513540" w14:textId="224324F3" w:rsidR="00BA1D65" w:rsidRPr="00991C0E" w:rsidRDefault="00BA1D65" w:rsidP="0018041B">
            <w:pPr>
              <w:jc w:val="center"/>
              <w:rPr>
                <w:rFonts w:cstheme="minorHAnsi"/>
                <w:b/>
                <w:color w:val="000000"/>
                <w:sz w:val="20"/>
                <w:szCs w:val="20"/>
              </w:rPr>
            </w:pPr>
            <w:r w:rsidRPr="00991C0E">
              <w:rPr>
                <w:rFonts w:cstheme="minorHAnsi"/>
                <w:b/>
                <w:color w:val="000000"/>
                <w:sz w:val="20"/>
                <w:szCs w:val="20"/>
              </w:rPr>
              <w:t>Total Nominal LSL Liability</w:t>
            </w:r>
            <w:r w:rsidR="00094B21">
              <w:rPr>
                <w:rFonts w:eastAsia="Times New Roman" w:cstheme="minorHAnsi"/>
                <w:b/>
                <w:bCs/>
                <w:color w:val="000000"/>
                <w:sz w:val="20"/>
                <w:szCs w:val="20"/>
              </w:rPr>
              <w:t xml:space="preserve">    </w:t>
            </w:r>
          </w:p>
        </w:tc>
        <w:tc>
          <w:tcPr>
            <w:tcW w:w="1559" w:type="dxa"/>
            <w:tcBorders>
              <w:top w:val="nil"/>
              <w:left w:val="nil"/>
              <w:bottom w:val="single" w:sz="4" w:space="0" w:color="auto"/>
              <w:right w:val="single" w:sz="8" w:space="0" w:color="auto"/>
            </w:tcBorders>
            <w:shd w:val="clear" w:color="auto" w:fill="AF9CDF" w:themeFill="background2" w:themeFillTint="66"/>
            <w:vAlign w:val="center"/>
            <w:hideMark/>
          </w:tcPr>
          <w:p w14:paraId="1F74AA4C" w14:textId="77777777" w:rsidR="00BA1D65" w:rsidRPr="00991C0E" w:rsidRDefault="00BA1D65" w:rsidP="0018041B">
            <w:pPr>
              <w:jc w:val="center"/>
              <w:rPr>
                <w:rFonts w:eastAsia="Times New Roman" w:cstheme="minorHAnsi"/>
                <w:b/>
                <w:bCs/>
                <w:color w:val="000000"/>
                <w:sz w:val="20"/>
                <w:szCs w:val="20"/>
              </w:rPr>
            </w:pPr>
            <w:r w:rsidRPr="00991C0E">
              <w:rPr>
                <w:rFonts w:eastAsia="Times New Roman" w:cstheme="minorHAnsi"/>
                <w:b/>
                <w:bCs/>
                <w:color w:val="000000"/>
                <w:sz w:val="20"/>
                <w:szCs w:val="20"/>
              </w:rPr>
              <w:t>Adjusted Total LSL Liability</w:t>
            </w:r>
          </w:p>
          <w:p w14:paraId="59B5FB7A" w14:textId="3D287074" w:rsidR="00BA1D65" w:rsidRPr="00991C0E" w:rsidRDefault="00BA1D65" w:rsidP="0018041B">
            <w:pPr>
              <w:jc w:val="center"/>
              <w:rPr>
                <w:rFonts w:eastAsia="Times New Roman" w:cstheme="minorHAnsi"/>
                <w:b/>
                <w:bCs/>
                <w:color w:val="000000"/>
                <w:sz w:val="20"/>
                <w:szCs w:val="20"/>
              </w:rPr>
            </w:pPr>
          </w:p>
        </w:tc>
      </w:tr>
      <w:tr w:rsidR="006C0160" w:rsidRPr="00714FD8" w14:paraId="0438ECC5" w14:textId="77777777" w:rsidTr="006C0160">
        <w:trPr>
          <w:trHeight w:val="497"/>
        </w:trPr>
        <w:tc>
          <w:tcPr>
            <w:tcW w:w="1266" w:type="dxa"/>
            <w:tcBorders>
              <w:top w:val="nil"/>
              <w:left w:val="single" w:sz="8" w:space="0" w:color="auto"/>
              <w:bottom w:val="single" w:sz="8" w:space="0" w:color="auto"/>
              <w:right w:val="single" w:sz="4" w:space="0" w:color="auto"/>
            </w:tcBorders>
            <w:shd w:val="clear" w:color="auto" w:fill="BFBFBF" w:themeFill="background1" w:themeFillShade="BF"/>
            <w:vAlign w:val="center"/>
          </w:tcPr>
          <w:p w14:paraId="1719917A" w14:textId="77777777" w:rsidR="00383957" w:rsidRPr="00991C0E" w:rsidRDefault="00383957" w:rsidP="0018041B">
            <w:pPr>
              <w:jc w:val="center"/>
              <w:rPr>
                <w:rFonts w:eastAsia="Times New Roman" w:cstheme="minorHAnsi"/>
                <w:b/>
                <w:bCs/>
                <w:color w:val="000000"/>
                <w:sz w:val="20"/>
                <w:szCs w:val="20"/>
              </w:rPr>
            </w:pPr>
          </w:p>
        </w:tc>
        <w:tc>
          <w:tcPr>
            <w:tcW w:w="1276" w:type="dxa"/>
            <w:tcBorders>
              <w:top w:val="nil"/>
              <w:left w:val="nil"/>
              <w:bottom w:val="single" w:sz="8" w:space="0" w:color="auto"/>
              <w:right w:val="single" w:sz="4" w:space="0" w:color="auto"/>
            </w:tcBorders>
            <w:shd w:val="clear" w:color="auto" w:fill="BFBFBF" w:themeFill="background1" w:themeFillShade="BF"/>
            <w:vAlign w:val="center"/>
          </w:tcPr>
          <w:p w14:paraId="4AEEC21F" w14:textId="77777777" w:rsidR="00383957" w:rsidRPr="00991C0E" w:rsidRDefault="00383957" w:rsidP="0018041B">
            <w:pPr>
              <w:jc w:val="center"/>
              <w:rPr>
                <w:rFonts w:eastAsia="Times New Roman" w:cstheme="minorHAnsi"/>
                <w:b/>
                <w:bCs/>
                <w:color w:val="000000"/>
                <w:sz w:val="20"/>
                <w:szCs w:val="20"/>
              </w:rPr>
            </w:pPr>
          </w:p>
        </w:tc>
        <w:tc>
          <w:tcPr>
            <w:tcW w:w="1134" w:type="dxa"/>
            <w:tcBorders>
              <w:top w:val="nil"/>
              <w:left w:val="nil"/>
              <w:bottom w:val="single" w:sz="8" w:space="0" w:color="auto"/>
              <w:right w:val="single" w:sz="4" w:space="0" w:color="auto"/>
            </w:tcBorders>
            <w:shd w:val="clear" w:color="auto" w:fill="BFBFBF" w:themeFill="background1" w:themeFillShade="BF"/>
            <w:vAlign w:val="center"/>
          </w:tcPr>
          <w:p w14:paraId="449A0012" w14:textId="77777777" w:rsidR="00383957" w:rsidRPr="00991C0E" w:rsidRDefault="00383957" w:rsidP="0018041B">
            <w:pPr>
              <w:jc w:val="center"/>
              <w:rPr>
                <w:rFonts w:cstheme="minorHAnsi"/>
                <w:b/>
                <w:color w:val="000000"/>
                <w:sz w:val="20"/>
                <w:szCs w:val="20"/>
              </w:rPr>
            </w:pPr>
          </w:p>
        </w:tc>
        <w:tc>
          <w:tcPr>
            <w:tcW w:w="992" w:type="dxa"/>
            <w:tcBorders>
              <w:top w:val="nil"/>
              <w:left w:val="nil"/>
              <w:bottom w:val="single" w:sz="8" w:space="0" w:color="auto"/>
              <w:right w:val="nil"/>
            </w:tcBorders>
            <w:shd w:val="clear" w:color="auto" w:fill="BFBFBF" w:themeFill="background1" w:themeFillShade="BF"/>
            <w:vAlign w:val="center"/>
          </w:tcPr>
          <w:p w14:paraId="63018017" w14:textId="77777777" w:rsidR="00383957" w:rsidRPr="00991C0E" w:rsidRDefault="00383957" w:rsidP="0018041B">
            <w:pPr>
              <w:jc w:val="center"/>
              <w:rPr>
                <w:rFonts w:cstheme="minorHAnsi"/>
                <w:b/>
                <w:color w:val="000000"/>
                <w:sz w:val="20"/>
                <w:szCs w:val="20"/>
              </w:rPr>
            </w:pPr>
          </w:p>
        </w:tc>
        <w:tc>
          <w:tcPr>
            <w:tcW w:w="1276" w:type="dxa"/>
            <w:tcBorders>
              <w:top w:val="nil"/>
              <w:left w:val="single" w:sz="8" w:space="0" w:color="auto"/>
              <w:bottom w:val="single" w:sz="8" w:space="0" w:color="auto"/>
              <w:right w:val="single" w:sz="8" w:space="0" w:color="auto"/>
            </w:tcBorders>
            <w:shd w:val="clear" w:color="auto" w:fill="BFBFBF" w:themeFill="background1" w:themeFillShade="BF"/>
            <w:vAlign w:val="center"/>
          </w:tcPr>
          <w:p w14:paraId="4B9BCC1F" w14:textId="04B9B671" w:rsidR="00383957" w:rsidRPr="00991C0E" w:rsidRDefault="00383957" w:rsidP="0018041B">
            <w:pPr>
              <w:jc w:val="center"/>
              <w:rPr>
                <w:rFonts w:cstheme="minorHAnsi"/>
                <w:b/>
                <w:color w:val="000000"/>
                <w:sz w:val="20"/>
                <w:szCs w:val="20"/>
              </w:rPr>
            </w:pPr>
            <w:r>
              <w:rPr>
                <w:rFonts w:eastAsia="Times New Roman" w:cstheme="minorHAnsi"/>
                <w:b/>
                <w:bCs/>
                <w:color w:val="000000"/>
                <w:sz w:val="20"/>
                <w:szCs w:val="20"/>
              </w:rPr>
              <w:t xml:space="preserve">E </w:t>
            </w:r>
            <w:r w:rsidRPr="00991C0E">
              <w:rPr>
                <w:rFonts w:eastAsia="Times New Roman" w:cstheme="minorHAnsi"/>
                <w:b/>
                <w:bCs/>
                <w:color w:val="000000"/>
                <w:sz w:val="20"/>
                <w:szCs w:val="20"/>
              </w:rPr>
              <w:t>=</w:t>
            </w:r>
            <w:r>
              <w:rPr>
                <w:rFonts w:eastAsia="Times New Roman" w:cstheme="minorHAnsi"/>
                <w:b/>
                <w:bCs/>
                <w:color w:val="000000"/>
                <w:sz w:val="20"/>
                <w:szCs w:val="20"/>
              </w:rPr>
              <w:t xml:space="preserve"> </w:t>
            </w:r>
            <w:r w:rsidRPr="00991C0E">
              <w:rPr>
                <w:rFonts w:eastAsia="Times New Roman" w:cstheme="minorHAnsi"/>
                <w:b/>
                <w:bCs/>
                <w:color w:val="000000"/>
                <w:sz w:val="20"/>
                <w:szCs w:val="20"/>
              </w:rPr>
              <w:t>B</w:t>
            </w:r>
            <w:r>
              <w:rPr>
                <w:rFonts w:eastAsia="Times New Roman" w:cstheme="minorHAnsi"/>
                <w:b/>
                <w:bCs/>
                <w:color w:val="000000"/>
                <w:sz w:val="20"/>
                <w:szCs w:val="20"/>
              </w:rPr>
              <w:t xml:space="preserve"> </w:t>
            </w:r>
            <w:r w:rsidRPr="00991C0E">
              <w:rPr>
                <w:rFonts w:eastAsia="Times New Roman" w:cstheme="minorHAnsi"/>
                <w:b/>
                <w:bCs/>
                <w:color w:val="000000"/>
                <w:sz w:val="20"/>
                <w:szCs w:val="20"/>
              </w:rPr>
              <w:t>x</w:t>
            </w:r>
            <w:r>
              <w:rPr>
                <w:rFonts w:eastAsia="Times New Roman" w:cstheme="minorHAnsi"/>
                <w:b/>
                <w:bCs/>
                <w:color w:val="000000"/>
                <w:sz w:val="20"/>
                <w:szCs w:val="20"/>
              </w:rPr>
              <w:t xml:space="preserve"> </w:t>
            </w:r>
            <w:r w:rsidRPr="00991C0E">
              <w:rPr>
                <w:rFonts w:eastAsia="Times New Roman" w:cstheme="minorHAnsi"/>
                <w:b/>
                <w:bCs/>
                <w:color w:val="000000"/>
                <w:sz w:val="20"/>
                <w:szCs w:val="20"/>
              </w:rPr>
              <w:t>D</w:t>
            </w:r>
          </w:p>
        </w:tc>
        <w:tc>
          <w:tcPr>
            <w:tcW w:w="850" w:type="dxa"/>
            <w:tcBorders>
              <w:top w:val="nil"/>
              <w:left w:val="nil"/>
              <w:bottom w:val="single" w:sz="8" w:space="0" w:color="auto"/>
              <w:right w:val="single" w:sz="4" w:space="0" w:color="auto"/>
            </w:tcBorders>
            <w:shd w:val="clear" w:color="auto" w:fill="BFBFBF" w:themeFill="background1" w:themeFillShade="BF"/>
            <w:vAlign w:val="center"/>
          </w:tcPr>
          <w:p w14:paraId="32F28BF7" w14:textId="77777777" w:rsidR="00383957" w:rsidRPr="00991C0E" w:rsidRDefault="00383957" w:rsidP="0018041B">
            <w:pPr>
              <w:jc w:val="center"/>
              <w:rPr>
                <w:rFonts w:cstheme="minorHAnsi"/>
                <w:b/>
                <w:color w:val="000000"/>
                <w:sz w:val="20"/>
                <w:szCs w:val="20"/>
              </w:rPr>
            </w:pPr>
          </w:p>
        </w:tc>
        <w:tc>
          <w:tcPr>
            <w:tcW w:w="993" w:type="dxa"/>
            <w:tcBorders>
              <w:top w:val="nil"/>
              <w:left w:val="nil"/>
              <w:bottom w:val="single" w:sz="8" w:space="0" w:color="auto"/>
              <w:right w:val="single" w:sz="4" w:space="0" w:color="auto"/>
            </w:tcBorders>
            <w:shd w:val="clear" w:color="auto" w:fill="BFBFBF" w:themeFill="background1" w:themeFillShade="BF"/>
            <w:vAlign w:val="center"/>
          </w:tcPr>
          <w:p w14:paraId="1DF0603E" w14:textId="77777777" w:rsidR="00383957" w:rsidRPr="00991C0E" w:rsidRDefault="00383957" w:rsidP="0018041B">
            <w:pPr>
              <w:jc w:val="center"/>
              <w:rPr>
                <w:rFonts w:cstheme="minorHAnsi"/>
                <w:b/>
                <w:color w:val="000000"/>
                <w:sz w:val="20"/>
                <w:szCs w:val="20"/>
              </w:rPr>
            </w:pPr>
          </w:p>
        </w:tc>
        <w:tc>
          <w:tcPr>
            <w:tcW w:w="992" w:type="dxa"/>
            <w:tcBorders>
              <w:top w:val="nil"/>
              <w:left w:val="nil"/>
              <w:bottom w:val="single" w:sz="8" w:space="0" w:color="auto"/>
              <w:right w:val="single" w:sz="4" w:space="0" w:color="auto"/>
            </w:tcBorders>
            <w:shd w:val="clear" w:color="auto" w:fill="BFBFBF" w:themeFill="background1" w:themeFillShade="BF"/>
            <w:vAlign w:val="center"/>
          </w:tcPr>
          <w:p w14:paraId="29A8F860" w14:textId="77777777" w:rsidR="00383957" w:rsidRPr="00991C0E" w:rsidRDefault="00383957" w:rsidP="0018041B">
            <w:pPr>
              <w:jc w:val="center"/>
              <w:rPr>
                <w:rFonts w:cstheme="minorHAnsi"/>
                <w:b/>
                <w:color w:val="000000"/>
                <w:sz w:val="20"/>
                <w:szCs w:val="20"/>
              </w:rPr>
            </w:pPr>
          </w:p>
        </w:tc>
        <w:tc>
          <w:tcPr>
            <w:tcW w:w="1134" w:type="dxa"/>
            <w:tcBorders>
              <w:top w:val="nil"/>
              <w:left w:val="nil"/>
              <w:bottom w:val="single" w:sz="8" w:space="0" w:color="auto"/>
              <w:right w:val="single" w:sz="4" w:space="0" w:color="auto"/>
            </w:tcBorders>
            <w:shd w:val="clear" w:color="auto" w:fill="BFBFBF" w:themeFill="background1" w:themeFillShade="BF"/>
            <w:vAlign w:val="center"/>
          </w:tcPr>
          <w:p w14:paraId="524D4A26" w14:textId="77777777" w:rsidR="00383957" w:rsidRPr="00991C0E" w:rsidRDefault="00383957" w:rsidP="0018041B">
            <w:pPr>
              <w:jc w:val="center"/>
              <w:rPr>
                <w:rFonts w:cstheme="minorHAnsi"/>
                <w:b/>
                <w:color w:val="000000"/>
                <w:sz w:val="20"/>
                <w:szCs w:val="20"/>
              </w:rPr>
            </w:pPr>
          </w:p>
        </w:tc>
        <w:tc>
          <w:tcPr>
            <w:tcW w:w="1276" w:type="dxa"/>
            <w:tcBorders>
              <w:top w:val="nil"/>
              <w:left w:val="nil"/>
              <w:bottom w:val="single" w:sz="8" w:space="0" w:color="auto"/>
              <w:right w:val="single" w:sz="4" w:space="0" w:color="auto"/>
            </w:tcBorders>
            <w:shd w:val="clear" w:color="auto" w:fill="BFBFBF" w:themeFill="background1" w:themeFillShade="BF"/>
            <w:vAlign w:val="center"/>
          </w:tcPr>
          <w:p w14:paraId="7A227462" w14:textId="63DAF838" w:rsidR="00383957" w:rsidRPr="00991C0E" w:rsidRDefault="00383957" w:rsidP="0018041B">
            <w:pPr>
              <w:jc w:val="center"/>
              <w:rPr>
                <w:rFonts w:cstheme="minorHAnsi"/>
                <w:b/>
                <w:color w:val="000000"/>
                <w:sz w:val="20"/>
                <w:szCs w:val="20"/>
              </w:rPr>
            </w:pPr>
            <w:r>
              <w:rPr>
                <w:rFonts w:eastAsia="Times New Roman" w:cstheme="minorHAnsi"/>
                <w:b/>
                <w:bCs/>
                <w:color w:val="000000"/>
                <w:sz w:val="20"/>
                <w:szCs w:val="20"/>
              </w:rPr>
              <w:t xml:space="preserve">J </w:t>
            </w:r>
            <w:proofErr w:type="gramStart"/>
            <w:r w:rsidRPr="00991C0E">
              <w:rPr>
                <w:rFonts w:eastAsia="Times New Roman" w:cstheme="minorHAnsi"/>
                <w:b/>
                <w:bCs/>
                <w:color w:val="000000"/>
                <w:sz w:val="20"/>
                <w:szCs w:val="20"/>
              </w:rPr>
              <w:t>=(</w:t>
            </w:r>
            <w:proofErr w:type="gramEnd"/>
            <w:r w:rsidRPr="00991C0E">
              <w:rPr>
                <w:rFonts w:eastAsia="Times New Roman" w:cstheme="minorHAnsi"/>
                <w:b/>
                <w:bCs/>
                <w:color w:val="000000"/>
                <w:sz w:val="20"/>
                <w:szCs w:val="20"/>
              </w:rPr>
              <w:t>G</w:t>
            </w:r>
            <w:r>
              <w:rPr>
                <w:rFonts w:eastAsia="Times New Roman" w:cstheme="minorHAnsi"/>
                <w:b/>
                <w:bCs/>
                <w:color w:val="000000"/>
                <w:sz w:val="20"/>
                <w:szCs w:val="20"/>
              </w:rPr>
              <w:t xml:space="preserve"> </w:t>
            </w:r>
            <w:r w:rsidRPr="00991C0E">
              <w:rPr>
                <w:rFonts w:eastAsia="Times New Roman" w:cstheme="minorHAnsi"/>
                <w:b/>
                <w:bCs/>
                <w:color w:val="000000"/>
                <w:sz w:val="20"/>
                <w:szCs w:val="20"/>
              </w:rPr>
              <w:t>+</w:t>
            </w:r>
            <w:r>
              <w:rPr>
                <w:rFonts w:eastAsia="Times New Roman" w:cstheme="minorHAnsi"/>
                <w:b/>
                <w:bCs/>
                <w:color w:val="000000"/>
                <w:sz w:val="20"/>
                <w:szCs w:val="20"/>
              </w:rPr>
              <w:t xml:space="preserve"> </w:t>
            </w:r>
            <w:r w:rsidRPr="00991C0E">
              <w:rPr>
                <w:rFonts w:eastAsia="Times New Roman" w:cstheme="minorHAnsi"/>
                <w:b/>
                <w:bCs/>
                <w:color w:val="000000"/>
                <w:sz w:val="20"/>
                <w:szCs w:val="20"/>
              </w:rPr>
              <w:t>H</w:t>
            </w:r>
            <w:r>
              <w:rPr>
                <w:rFonts w:eastAsia="Times New Roman" w:cstheme="minorHAnsi"/>
                <w:b/>
                <w:bCs/>
                <w:color w:val="000000"/>
                <w:sz w:val="20"/>
                <w:szCs w:val="20"/>
              </w:rPr>
              <w:t xml:space="preserve"> </w:t>
            </w:r>
            <w:r w:rsidRPr="00991C0E">
              <w:rPr>
                <w:rFonts w:eastAsia="Times New Roman" w:cstheme="minorHAnsi"/>
                <w:b/>
                <w:bCs/>
                <w:color w:val="000000"/>
                <w:sz w:val="20"/>
                <w:szCs w:val="20"/>
              </w:rPr>
              <w:t>+</w:t>
            </w:r>
            <w:r>
              <w:rPr>
                <w:rFonts w:eastAsia="Times New Roman" w:cstheme="minorHAnsi"/>
                <w:b/>
                <w:bCs/>
                <w:color w:val="000000"/>
                <w:sz w:val="20"/>
                <w:szCs w:val="20"/>
              </w:rPr>
              <w:t xml:space="preserve"> </w:t>
            </w:r>
            <w:r w:rsidRPr="00991C0E">
              <w:rPr>
                <w:rFonts w:eastAsia="Times New Roman" w:cstheme="minorHAnsi"/>
                <w:b/>
                <w:bCs/>
                <w:color w:val="000000"/>
                <w:sz w:val="20"/>
                <w:szCs w:val="20"/>
              </w:rPr>
              <w:t xml:space="preserve">I) x </w:t>
            </w:r>
            <w:proofErr w:type="spellStart"/>
            <w:r w:rsidRPr="00991C0E">
              <w:rPr>
                <w:rFonts w:eastAsia="Times New Roman" w:cstheme="minorHAnsi"/>
                <w:b/>
                <w:bCs/>
                <w:color w:val="000000"/>
                <w:sz w:val="20"/>
                <w:szCs w:val="20"/>
              </w:rPr>
              <w:t>ALSLTiS</w:t>
            </w:r>
            <w:proofErr w:type="spellEnd"/>
          </w:p>
        </w:tc>
        <w:tc>
          <w:tcPr>
            <w:tcW w:w="1275" w:type="dxa"/>
            <w:tcBorders>
              <w:top w:val="nil"/>
              <w:left w:val="nil"/>
              <w:bottom w:val="single" w:sz="8" w:space="0" w:color="auto"/>
              <w:right w:val="nil"/>
            </w:tcBorders>
            <w:shd w:val="clear" w:color="auto" w:fill="BFBFBF" w:themeFill="background1" w:themeFillShade="BF"/>
            <w:vAlign w:val="center"/>
          </w:tcPr>
          <w:p w14:paraId="16D7D8FA" w14:textId="204C75AE" w:rsidR="00383957" w:rsidRPr="00991C0E" w:rsidRDefault="00383957" w:rsidP="0018041B">
            <w:pPr>
              <w:jc w:val="center"/>
              <w:rPr>
                <w:rFonts w:eastAsia="Times New Roman" w:cstheme="minorHAnsi"/>
                <w:b/>
                <w:bCs/>
                <w:color w:val="000000"/>
                <w:sz w:val="20"/>
                <w:szCs w:val="20"/>
              </w:rPr>
            </w:pPr>
            <w:r>
              <w:rPr>
                <w:rFonts w:eastAsia="Times New Roman" w:cstheme="minorHAnsi"/>
                <w:b/>
                <w:bCs/>
                <w:color w:val="000000"/>
                <w:sz w:val="20"/>
                <w:szCs w:val="20"/>
              </w:rPr>
              <w:t xml:space="preserve">K </w:t>
            </w:r>
            <w:r w:rsidRPr="00991C0E">
              <w:rPr>
                <w:rFonts w:eastAsia="Times New Roman" w:cstheme="minorHAnsi"/>
                <w:b/>
                <w:bCs/>
                <w:color w:val="000000"/>
                <w:sz w:val="20"/>
                <w:szCs w:val="20"/>
              </w:rPr>
              <w:t>=</w:t>
            </w:r>
            <w:r>
              <w:rPr>
                <w:rFonts w:eastAsia="Times New Roman" w:cstheme="minorHAnsi"/>
                <w:b/>
                <w:bCs/>
                <w:color w:val="000000"/>
                <w:sz w:val="20"/>
                <w:szCs w:val="20"/>
              </w:rPr>
              <w:t xml:space="preserve"> </w:t>
            </w:r>
            <w:r w:rsidRPr="00991C0E">
              <w:rPr>
                <w:rFonts w:eastAsia="Times New Roman" w:cstheme="minorHAnsi"/>
                <w:b/>
                <w:bCs/>
                <w:color w:val="000000"/>
                <w:sz w:val="20"/>
                <w:szCs w:val="20"/>
              </w:rPr>
              <w:t>E</w:t>
            </w:r>
            <w:r>
              <w:rPr>
                <w:rFonts w:eastAsia="Times New Roman" w:cstheme="minorHAnsi"/>
                <w:b/>
                <w:bCs/>
                <w:color w:val="000000"/>
                <w:sz w:val="20"/>
                <w:szCs w:val="20"/>
              </w:rPr>
              <w:t xml:space="preserve"> </w:t>
            </w:r>
            <w:r w:rsidRPr="00991C0E">
              <w:rPr>
                <w:rFonts w:eastAsia="Times New Roman" w:cstheme="minorHAnsi"/>
                <w:b/>
                <w:bCs/>
                <w:color w:val="000000"/>
                <w:sz w:val="20"/>
                <w:szCs w:val="20"/>
              </w:rPr>
              <w:t>x</w:t>
            </w:r>
            <w:r>
              <w:rPr>
                <w:rFonts w:eastAsia="Times New Roman" w:cstheme="minorHAnsi"/>
                <w:b/>
                <w:bCs/>
                <w:color w:val="000000"/>
                <w:sz w:val="20"/>
                <w:szCs w:val="20"/>
              </w:rPr>
              <w:t xml:space="preserve"> </w:t>
            </w:r>
            <w:r w:rsidRPr="00991C0E">
              <w:rPr>
                <w:rFonts w:eastAsia="Times New Roman" w:cstheme="minorHAnsi"/>
                <w:b/>
                <w:bCs/>
                <w:color w:val="000000"/>
                <w:sz w:val="20"/>
                <w:szCs w:val="20"/>
              </w:rPr>
              <w:t>J</w:t>
            </w:r>
          </w:p>
        </w:tc>
        <w:tc>
          <w:tcPr>
            <w:tcW w:w="1276" w:type="dxa"/>
            <w:tcBorders>
              <w:top w:val="nil"/>
              <w:left w:val="single" w:sz="8" w:space="0" w:color="auto"/>
              <w:bottom w:val="single" w:sz="8" w:space="0" w:color="auto"/>
              <w:right w:val="single" w:sz="8" w:space="0" w:color="auto"/>
            </w:tcBorders>
            <w:shd w:val="clear" w:color="auto" w:fill="BFBFBF" w:themeFill="background1" w:themeFillShade="BF"/>
            <w:vAlign w:val="center"/>
          </w:tcPr>
          <w:p w14:paraId="71ABAE95" w14:textId="49D9D431" w:rsidR="00383957" w:rsidRPr="00991C0E" w:rsidRDefault="00383957" w:rsidP="0018041B">
            <w:pPr>
              <w:jc w:val="center"/>
              <w:rPr>
                <w:rFonts w:cstheme="minorHAnsi"/>
                <w:b/>
                <w:color w:val="000000"/>
                <w:sz w:val="20"/>
                <w:szCs w:val="20"/>
              </w:rPr>
            </w:pPr>
            <w:r>
              <w:rPr>
                <w:rFonts w:eastAsia="Times New Roman" w:cstheme="minorHAnsi"/>
                <w:b/>
                <w:bCs/>
                <w:color w:val="000000"/>
                <w:sz w:val="20"/>
                <w:szCs w:val="20"/>
              </w:rPr>
              <w:t xml:space="preserve">L </w:t>
            </w:r>
            <w:r w:rsidRPr="00991C0E">
              <w:rPr>
                <w:rFonts w:eastAsia="Times New Roman" w:cstheme="minorHAnsi"/>
                <w:b/>
                <w:bCs/>
                <w:color w:val="000000"/>
                <w:sz w:val="20"/>
                <w:szCs w:val="20"/>
              </w:rPr>
              <w:t>=</w:t>
            </w:r>
            <w:r>
              <w:rPr>
                <w:rFonts w:eastAsia="Times New Roman" w:cstheme="minorHAnsi"/>
                <w:b/>
                <w:bCs/>
                <w:color w:val="000000"/>
                <w:sz w:val="20"/>
                <w:szCs w:val="20"/>
              </w:rPr>
              <w:t xml:space="preserve"> </w:t>
            </w:r>
            <w:r w:rsidRPr="00991C0E">
              <w:rPr>
                <w:rFonts w:eastAsia="Times New Roman" w:cstheme="minorHAnsi"/>
                <w:b/>
                <w:bCs/>
                <w:color w:val="000000"/>
                <w:sz w:val="20"/>
                <w:szCs w:val="20"/>
              </w:rPr>
              <w:t>E</w:t>
            </w:r>
            <w:r>
              <w:rPr>
                <w:rFonts w:eastAsia="Times New Roman" w:cstheme="minorHAnsi"/>
                <w:b/>
                <w:bCs/>
                <w:color w:val="000000"/>
                <w:sz w:val="20"/>
                <w:szCs w:val="20"/>
              </w:rPr>
              <w:t xml:space="preserve"> </w:t>
            </w:r>
            <w:r w:rsidRPr="00991C0E">
              <w:rPr>
                <w:rFonts w:eastAsia="Times New Roman" w:cstheme="minorHAnsi"/>
                <w:b/>
                <w:bCs/>
                <w:color w:val="000000"/>
                <w:sz w:val="20"/>
                <w:szCs w:val="20"/>
              </w:rPr>
              <w:t>+</w:t>
            </w:r>
            <w:r>
              <w:rPr>
                <w:rFonts w:eastAsia="Times New Roman" w:cstheme="minorHAnsi"/>
                <w:b/>
                <w:bCs/>
                <w:color w:val="000000"/>
                <w:sz w:val="20"/>
                <w:szCs w:val="20"/>
              </w:rPr>
              <w:t xml:space="preserve"> </w:t>
            </w:r>
            <w:r w:rsidRPr="00991C0E">
              <w:rPr>
                <w:rFonts w:eastAsia="Times New Roman" w:cstheme="minorHAnsi"/>
                <w:b/>
                <w:bCs/>
                <w:color w:val="000000"/>
                <w:sz w:val="20"/>
                <w:szCs w:val="20"/>
              </w:rPr>
              <w:t>K</w:t>
            </w:r>
          </w:p>
        </w:tc>
        <w:tc>
          <w:tcPr>
            <w:tcW w:w="1559" w:type="dxa"/>
            <w:tcBorders>
              <w:top w:val="nil"/>
              <w:left w:val="nil"/>
              <w:bottom w:val="single" w:sz="4" w:space="0" w:color="auto"/>
              <w:right w:val="single" w:sz="8" w:space="0" w:color="auto"/>
            </w:tcBorders>
            <w:shd w:val="clear" w:color="auto" w:fill="BFBFBF" w:themeFill="background1" w:themeFillShade="BF"/>
            <w:vAlign w:val="center"/>
          </w:tcPr>
          <w:p w14:paraId="62557A12" w14:textId="05E1300A" w:rsidR="00383957" w:rsidRPr="00991C0E" w:rsidRDefault="00383957" w:rsidP="0018041B">
            <w:pPr>
              <w:jc w:val="center"/>
              <w:rPr>
                <w:rFonts w:eastAsia="Times New Roman" w:cstheme="minorHAnsi"/>
                <w:b/>
                <w:bCs/>
                <w:color w:val="000000"/>
                <w:sz w:val="20"/>
                <w:szCs w:val="20"/>
              </w:rPr>
            </w:pPr>
            <w:r>
              <w:rPr>
                <w:rFonts w:eastAsia="Times New Roman" w:cstheme="minorHAnsi"/>
                <w:b/>
                <w:bCs/>
                <w:color w:val="000000"/>
                <w:sz w:val="20"/>
                <w:szCs w:val="20"/>
              </w:rPr>
              <w:t xml:space="preserve">M </w:t>
            </w:r>
            <w:r w:rsidRPr="00991C0E">
              <w:rPr>
                <w:rFonts w:eastAsia="Times New Roman" w:cstheme="minorHAnsi"/>
                <w:b/>
                <w:bCs/>
                <w:color w:val="000000"/>
                <w:sz w:val="20"/>
                <w:szCs w:val="20"/>
              </w:rPr>
              <w:t>= L x PVF*</w:t>
            </w:r>
          </w:p>
        </w:tc>
      </w:tr>
      <w:tr w:rsidR="006C0160" w:rsidRPr="00714FD8" w14:paraId="4DBA07AC" w14:textId="77777777" w:rsidTr="006C0160">
        <w:trPr>
          <w:trHeight w:val="540"/>
        </w:trPr>
        <w:tc>
          <w:tcPr>
            <w:tcW w:w="126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8B18F7" w14:textId="77777777" w:rsidR="002E4A9B" w:rsidRPr="00991C0E" w:rsidRDefault="002E4A9B" w:rsidP="008B6C56">
            <w:pPr>
              <w:spacing w:before="80" w:after="80" w:line="240" w:lineRule="auto"/>
              <w:jc w:val="center"/>
              <w:rPr>
                <w:rFonts w:cstheme="minorHAnsi"/>
                <w:color w:val="000000"/>
                <w:sz w:val="20"/>
                <w:szCs w:val="20"/>
              </w:rPr>
            </w:pPr>
            <w:r w:rsidRPr="00991C0E">
              <w:rPr>
                <w:rFonts w:eastAsia="Times New Roman" w:cstheme="minorHAnsi"/>
                <w:color w:val="000000"/>
                <w:sz w:val="20"/>
                <w:szCs w:val="20"/>
              </w:rPr>
              <w:t>A1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49761A" w14:textId="77777777" w:rsidR="002E4A9B" w:rsidRPr="00991C0E" w:rsidRDefault="002E4A9B" w:rsidP="008B6C56">
            <w:pPr>
              <w:spacing w:before="80" w:after="80" w:line="240" w:lineRule="auto"/>
              <w:jc w:val="center"/>
              <w:rPr>
                <w:rFonts w:cstheme="minorHAnsi"/>
                <w:color w:val="000000"/>
                <w:sz w:val="20"/>
                <w:szCs w:val="20"/>
              </w:rPr>
            </w:pPr>
            <w:r w:rsidRPr="00991C0E">
              <w:rPr>
                <w:rFonts w:cstheme="minorHAnsi"/>
                <w:color w:val="000000"/>
                <w:sz w:val="20"/>
                <w:szCs w:val="20"/>
              </w:rPr>
              <w:t>$8,000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8448A08" w14:textId="77777777" w:rsidR="002E4A9B" w:rsidRPr="00991C0E" w:rsidRDefault="002E4A9B" w:rsidP="008B6C56">
            <w:pPr>
              <w:spacing w:before="80" w:after="80" w:line="240" w:lineRule="auto"/>
              <w:jc w:val="center"/>
              <w:rPr>
                <w:rFonts w:cstheme="minorHAnsi"/>
                <w:color w:val="000000"/>
                <w:sz w:val="20"/>
                <w:szCs w:val="20"/>
              </w:rPr>
            </w:pPr>
            <w:r w:rsidRPr="00991C0E">
              <w:rPr>
                <w:rFonts w:cstheme="minorHAnsi"/>
                <w:color w:val="000000"/>
                <w:sz w:val="20"/>
                <w:szCs w:val="20"/>
              </w:rPr>
              <w:t>10</w:t>
            </w:r>
          </w:p>
        </w:tc>
        <w:tc>
          <w:tcPr>
            <w:tcW w:w="992" w:type="dxa"/>
            <w:tcBorders>
              <w:top w:val="single" w:sz="4" w:space="0" w:color="auto"/>
              <w:left w:val="nil"/>
              <w:bottom w:val="single" w:sz="4" w:space="0" w:color="auto"/>
              <w:right w:val="nil"/>
            </w:tcBorders>
            <w:shd w:val="clear" w:color="auto" w:fill="auto"/>
            <w:noWrap/>
            <w:vAlign w:val="center"/>
            <w:hideMark/>
          </w:tcPr>
          <w:p w14:paraId="68700C6D" w14:textId="105D39B4" w:rsidR="002E4A9B" w:rsidRPr="00991C0E" w:rsidRDefault="002E4A9B" w:rsidP="008B6C56">
            <w:pPr>
              <w:spacing w:before="80" w:after="80" w:line="240" w:lineRule="auto"/>
              <w:jc w:val="center"/>
              <w:rPr>
                <w:rFonts w:cstheme="minorHAnsi"/>
                <w:color w:val="000000"/>
                <w:sz w:val="20"/>
                <w:szCs w:val="20"/>
              </w:rPr>
            </w:pPr>
            <w:r w:rsidRPr="00B46C1D">
              <w:rPr>
                <w:rFonts w:cstheme="minorHAnsi"/>
                <w:sz w:val="20"/>
                <w:szCs w:val="20"/>
              </w:rPr>
              <w:t>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D99A24B" w14:textId="290D0036" w:rsidR="002E4A9B" w:rsidRPr="00991C0E" w:rsidRDefault="002E4A9B" w:rsidP="008B6C56">
            <w:pPr>
              <w:spacing w:before="80" w:after="80" w:line="240" w:lineRule="auto"/>
              <w:jc w:val="center"/>
              <w:rPr>
                <w:rFonts w:cstheme="minorHAnsi"/>
                <w:color w:val="000000"/>
                <w:sz w:val="20"/>
                <w:szCs w:val="20"/>
              </w:rPr>
            </w:pPr>
            <w:r w:rsidRPr="00B46C1D">
              <w:rPr>
                <w:rFonts w:cstheme="minorHAnsi"/>
                <w:sz w:val="20"/>
                <w:szCs w:val="20"/>
              </w:rPr>
              <w:t>$8,000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9F3D1E9" w14:textId="3970247A" w:rsidR="002E4A9B" w:rsidRPr="00991C0E" w:rsidRDefault="002E4A9B" w:rsidP="00273B09">
            <w:pPr>
              <w:spacing w:before="80" w:after="80" w:line="240" w:lineRule="auto"/>
              <w:jc w:val="center"/>
              <w:rPr>
                <w:rFonts w:cstheme="minorHAnsi"/>
                <w:color w:val="000000"/>
                <w:sz w:val="20"/>
                <w:szCs w:val="20"/>
              </w:rPr>
            </w:pPr>
            <w:r w:rsidRPr="00B46C1D">
              <w:rPr>
                <w:rFonts w:cstheme="minorHAnsi"/>
                <w:sz w:val="20"/>
                <w:szCs w:val="20"/>
              </w:rPr>
              <w:t>PSS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9C8E077" w14:textId="66D540CE" w:rsidR="002E4A9B" w:rsidRPr="007C1A9D" w:rsidRDefault="002E4A9B" w:rsidP="008B6C56">
            <w:pPr>
              <w:spacing w:before="80" w:after="80" w:line="240" w:lineRule="auto"/>
              <w:jc w:val="center"/>
              <w:rPr>
                <w:rFonts w:cstheme="minorHAnsi"/>
                <w:color w:val="000000"/>
                <w:sz w:val="20"/>
                <w:szCs w:val="20"/>
              </w:rPr>
            </w:pPr>
            <w:r w:rsidRPr="007C1A9D">
              <w:rPr>
                <w:rFonts w:cstheme="minorHAnsi"/>
                <w:sz w:val="20"/>
                <w:szCs w:val="20"/>
              </w:rPr>
              <w:t>0.</w:t>
            </w:r>
            <w:r w:rsidRPr="008B6C56">
              <w:rPr>
                <w:rFonts w:cstheme="minorHAnsi"/>
                <w:sz w:val="20"/>
                <w:szCs w:val="20"/>
              </w:rPr>
              <w:t>31</w:t>
            </w:r>
            <w:r w:rsidRPr="007C1A9D">
              <w:rPr>
                <w:rFonts w:cstheme="minorHAnsi"/>
                <w:sz w:val="20"/>
                <w:szCs w:val="20"/>
              </w:rPr>
              <w:t>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5802C8" w14:textId="0B6B8C66" w:rsidR="002E4A9B" w:rsidRPr="00991C0E" w:rsidRDefault="002E4A9B" w:rsidP="008B6C56">
            <w:pPr>
              <w:spacing w:before="80" w:after="80" w:line="240" w:lineRule="auto"/>
              <w:jc w:val="center"/>
              <w:rPr>
                <w:rFonts w:cstheme="minorHAnsi"/>
                <w:color w:val="000000"/>
                <w:sz w:val="20"/>
                <w:szCs w:val="20"/>
              </w:rPr>
            </w:pPr>
            <w:r w:rsidRPr="00B46C1D">
              <w:rPr>
                <w:rFonts w:cstheme="minorHAnsi"/>
                <w:sz w:val="20"/>
                <w:szCs w:val="20"/>
              </w:rPr>
              <w:t>0.02464</w:t>
            </w:r>
          </w:p>
        </w:tc>
        <w:tc>
          <w:tcPr>
            <w:tcW w:w="1134" w:type="dxa"/>
            <w:tcBorders>
              <w:top w:val="nil"/>
              <w:left w:val="nil"/>
              <w:bottom w:val="single" w:sz="4" w:space="0" w:color="auto"/>
              <w:right w:val="single" w:sz="4" w:space="0" w:color="auto"/>
            </w:tcBorders>
            <w:shd w:val="clear" w:color="auto" w:fill="auto"/>
            <w:noWrap/>
            <w:vAlign w:val="center"/>
            <w:hideMark/>
          </w:tcPr>
          <w:p w14:paraId="2D6F8C6C" w14:textId="48781A83" w:rsidR="002E4A9B" w:rsidRPr="00991C0E" w:rsidRDefault="002E4A9B" w:rsidP="008B6C56">
            <w:pPr>
              <w:spacing w:before="80" w:after="80" w:line="240" w:lineRule="auto"/>
              <w:jc w:val="center"/>
              <w:rPr>
                <w:rFonts w:cstheme="minorHAnsi"/>
                <w:color w:val="000000"/>
                <w:sz w:val="20"/>
                <w:szCs w:val="20"/>
              </w:rPr>
            </w:pPr>
            <w:r w:rsidRPr="00B46C1D">
              <w:rPr>
                <w:rFonts w:cstheme="minorHAnsi"/>
                <w:sz w:val="20"/>
                <w:szCs w:val="20"/>
              </w:rPr>
              <w:t>0.07668</w:t>
            </w:r>
          </w:p>
        </w:tc>
        <w:tc>
          <w:tcPr>
            <w:tcW w:w="1276" w:type="dxa"/>
            <w:tcBorders>
              <w:top w:val="nil"/>
              <w:left w:val="nil"/>
              <w:bottom w:val="single" w:sz="4" w:space="0" w:color="auto"/>
              <w:right w:val="single" w:sz="4" w:space="0" w:color="auto"/>
            </w:tcBorders>
            <w:shd w:val="clear" w:color="auto" w:fill="auto"/>
            <w:noWrap/>
            <w:vAlign w:val="center"/>
            <w:hideMark/>
          </w:tcPr>
          <w:p w14:paraId="2B6AD5F1" w14:textId="647847F5" w:rsidR="002E4A9B" w:rsidRPr="00991C0E" w:rsidRDefault="002E4A9B" w:rsidP="008B6C56">
            <w:pPr>
              <w:spacing w:before="80" w:after="80" w:line="240" w:lineRule="auto"/>
              <w:jc w:val="center"/>
              <w:rPr>
                <w:rFonts w:cstheme="minorHAnsi"/>
                <w:color w:val="000000"/>
                <w:sz w:val="20"/>
                <w:szCs w:val="20"/>
              </w:rPr>
            </w:pPr>
            <w:r>
              <w:rPr>
                <w:rFonts w:ascii="Calibri" w:hAnsi="Calibri" w:cstheme="minorHAnsi"/>
                <w:color w:val="000000"/>
                <w:sz w:val="20"/>
                <w:szCs w:val="20"/>
              </w:rPr>
              <w:t>0.187344</w:t>
            </w:r>
          </w:p>
        </w:tc>
        <w:tc>
          <w:tcPr>
            <w:tcW w:w="1275" w:type="dxa"/>
            <w:tcBorders>
              <w:top w:val="nil"/>
              <w:left w:val="nil"/>
              <w:bottom w:val="single" w:sz="4" w:space="0" w:color="auto"/>
              <w:right w:val="nil"/>
            </w:tcBorders>
            <w:shd w:val="clear" w:color="auto" w:fill="auto"/>
            <w:noWrap/>
            <w:vAlign w:val="center"/>
            <w:hideMark/>
          </w:tcPr>
          <w:p w14:paraId="3C9E35B3" w14:textId="24E49E25" w:rsidR="002E4A9B" w:rsidRPr="00991C0E" w:rsidRDefault="002E4A9B" w:rsidP="008B6C56">
            <w:pPr>
              <w:spacing w:before="80" w:after="80" w:line="240" w:lineRule="auto"/>
              <w:jc w:val="center"/>
              <w:rPr>
                <w:rFonts w:cstheme="minorHAnsi"/>
                <w:color w:val="000000"/>
                <w:sz w:val="20"/>
                <w:szCs w:val="20"/>
              </w:rPr>
            </w:pPr>
            <w:r>
              <w:rPr>
                <w:rFonts w:ascii="Calibri" w:hAnsi="Calibri" w:cstheme="minorHAnsi"/>
                <w:color w:val="000000"/>
                <w:sz w:val="20"/>
                <w:szCs w:val="20"/>
              </w:rPr>
              <w:t>$1,499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C7EE1E1" w14:textId="3CA2E80B" w:rsidR="002E4A9B" w:rsidRPr="00991C0E" w:rsidRDefault="002E4A9B" w:rsidP="008B6C56">
            <w:pPr>
              <w:spacing w:before="80" w:after="80" w:line="240" w:lineRule="auto"/>
              <w:jc w:val="center"/>
              <w:rPr>
                <w:rFonts w:cstheme="minorHAnsi"/>
                <w:color w:val="000000"/>
                <w:sz w:val="20"/>
                <w:szCs w:val="20"/>
              </w:rPr>
            </w:pPr>
            <w:r>
              <w:rPr>
                <w:rFonts w:ascii="Calibri" w:hAnsi="Calibri" w:cstheme="minorHAnsi"/>
                <w:color w:val="000000"/>
                <w:sz w:val="20"/>
                <w:szCs w:val="20"/>
              </w:rPr>
              <w:t>$9,499</w:t>
            </w:r>
          </w:p>
        </w:tc>
        <w:tc>
          <w:tcPr>
            <w:tcW w:w="1559" w:type="dxa"/>
            <w:tcBorders>
              <w:top w:val="nil"/>
              <w:left w:val="nil"/>
              <w:bottom w:val="single" w:sz="4" w:space="0" w:color="auto"/>
              <w:right w:val="single" w:sz="8" w:space="0" w:color="auto"/>
            </w:tcBorders>
            <w:shd w:val="clear" w:color="auto" w:fill="auto"/>
            <w:vAlign w:val="center"/>
            <w:hideMark/>
          </w:tcPr>
          <w:p w14:paraId="4AAC4403" w14:textId="51C3F3D7" w:rsidR="002E4A9B" w:rsidRPr="00991C0E" w:rsidRDefault="002E4A9B" w:rsidP="008B6C56">
            <w:pPr>
              <w:spacing w:before="80" w:after="80" w:line="240" w:lineRule="auto"/>
              <w:jc w:val="center"/>
              <w:rPr>
                <w:rFonts w:eastAsia="Times New Roman" w:cstheme="minorHAnsi"/>
                <w:color w:val="000000"/>
                <w:sz w:val="20"/>
                <w:szCs w:val="20"/>
              </w:rPr>
            </w:pPr>
            <w:r>
              <w:rPr>
                <w:rFonts w:ascii="Calibri" w:hAnsi="Calibri" w:cs="Calibri"/>
                <w:color w:val="000000"/>
                <w:sz w:val="20"/>
                <w:szCs w:val="20"/>
              </w:rPr>
              <w:t>$8,815</w:t>
            </w:r>
          </w:p>
        </w:tc>
      </w:tr>
      <w:tr w:rsidR="006C0160" w:rsidRPr="00714FD8" w14:paraId="255812DD" w14:textId="77777777" w:rsidTr="006C0160">
        <w:trPr>
          <w:trHeight w:val="540"/>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74C5307E" w14:textId="77777777" w:rsidR="002E4A9B" w:rsidRPr="00991C0E" w:rsidRDefault="002E4A9B" w:rsidP="008B6C56">
            <w:pPr>
              <w:spacing w:before="80" w:after="80" w:line="240" w:lineRule="auto"/>
              <w:jc w:val="center"/>
              <w:rPr>
                <w:rFonts w:cstheme="minorHAnsi"/>
                <w:color w:val="000000"/>
                <w:sz w:val="20"/>
                <w:szCs w:val="20"/>
              </w:rPr>
            </w:pPr>
            <w:r w:rsidRPr="00991C0E">
              <w:rPr>
                <w:rFonts w:eastAsia="Times New Roman" w:cstheme="minorHAnsi"/>
                <w:color w:val="000000"/>
                <w:sz w:val="20"/>
                <w:szCs w:val="20"/>
              </w:rPr>
              <w:t>B1</w:t>
            </w:r>
          </w:p>
        </w:tc>
        <w:tc>
          <w:tcPr>
            <w:tcW w:w="1276" w:type="dxa"/>
            <w:tcBorders>
              <w:top w:val="nil"/>
              <w:left w:val="nil"/>
              <w:bottom w:val="single" w:sz="4" w:space="0" w:color="auto"/>
              <w:right w:val="single" w:sz="4" w:space="0" w:color="auto"/>
            </w:tcBorders>
            <w:shd w:val="clear" w:color="auto" w:fill="auto"/>
            <w:noWrap/>
            <w:vAlign w:val="center"/>
            <w:hideMark/>
          </w:tcPr>
          <w:p w14:paraId="4BE237E6" w14:textId="77777777" w:rsidR="002E4A9B" w:rsidRPr="00991C0E" w:rsidRDefault="002E4A9B" w:rsidP="00273B09">
            <w:pPr>
              <w:spacing w:before="80" w:after="80" w:line="240" w:lineRule="auto"/>
              <w:jc w:val="center"/>
              <w:rPr>
                <w:rFonts w:cstheme="minorHAnsi"/>
                <w:color w:val="000000"/>
                <w:sz w:val="20"/>
                <w:szCs w:val="20"/>
              </w:rPr>
            </w:pPr>
            <w:r w:rsidRPr="00991C0E">
              <w:rPr>
                <w:rFonts w:cstheme="minorHAnsi"/>
                <w:color w:val="000000"/>
                <w:sz w:val="20"/>
                <w:szCs w:val="20"/>
              </w:rPr>
              <w:t>$25,000</w:t>
            </w:r>
          </w:p>
        </w:tc>
        <w:tc>
          <w:tcPr>
            <w:tcW w:w="1134" w:type="dxa"/>
            <w:tcBorders>
              <w:top w:val="nil"/>
              <w:left w:val="nil"/>
              <w:bottom w:val="single" w:sz="4" w:space="0" w:color="auto"/>
              <w:right w:val="single" w:sz="4" w:space="0" w:color="auto"/>
            </w:tcBorders>
            <w:shd w:val="clear" w:color="auto" w:fill="auto"/>
            <w:noWrap/>
            <w:vAlign w:val="center"/>
            <w:hideMark/>
          </w:tcPr>
          <w:p w14:paraId="40876293" w14:textId="77777777" w:rsidR="002E4A9B" w:rsidRPr="00991C0E" w:rsidRDefault="002E4A9B" w:rsidP="00273B09">
            <w:pPr>
              <w:spacing w:before="80" w:after="80" w:line="240" w:lineRule="auto"/>
              <w:jc w:val="center"/>
              <w:rPr>
                <w:rFonts w:cstheme="minorHAnsi"/>
                <w:color w:val="000000"/>
                <w:sz w:val="20"/>
                <w:szCs w:val="20"/>
              </w:rPr>
            </w:pPr>
            <w:r w:rsidRPr="00991C0E">
              <w:rPr>
                <w:rFonts w:cstheme="minorHAnsi"/>
                <w:color w:val="000000"/>
                <w:sz w:val="20"/>
                <w:szCs w:val="20"/>
              </w:rPr>
              <w:t>12</w:t>
            </w:r>
          </w:p>
        </w:tc>
        <w:tc>
          <w:tcPr>
            <w:tcW w:w="992" w:type="dxa"/>
            <w:tcBorders>
              <w:top w:val="nil"/>
              <w:left w:val="nil"/>
              <w:bottom w:val="single" w:sz="4" w:space="0" w:color="auto"/>
              <w:right w:val="nil"/>
            </w:tcBorders>
            <w:shd w:val="clear" w:color="auto" w:fill="auto"/>
            <w:noWrap/>
            <w:vAlign w:val="center"/>
            <w:hideMark/>
          </w:tcPr>
          <w:p w14:paraId="24DD6A16" w14:textId="2FB87A7C" w:rsidR="002E4A9B" w:rsidRPr="00991C0E" w:rsidRDefault="002E4A9B" w:rsidP="00273B09">
            <w:pPr>
              <w:spacing w:before="80" w:after="80" w:line="240" w:lineRule="auto"/>
              <w:jc w:val="center"/>
              <w:rPr>
                <w:rFonts w:cstheme="minorHAnsi"/>
                <w:color w:val="000000"/>
                <w:sz w:val="20"/>
                <w:szCs w:val="20"/>
              </w:rPr>
            </w:pPr>
            <w:r w:rsidRPr="00B46C1D">
              <w:rPr>
                <w:rFonts w:cstheme="minorHAnsi"/>
                <w:sz w:val="20"/>
                <w:szCs w:val="20"/>
              </w:rPr>
              <w:t>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D3B88CF" w14:textId="22345B3C" w:rsidR="002E4A9B" w:rsidRPr="00991C0E" w:rsidRDefault="002E4A9B" w:rsidP="00273B09">
            <w:pPr>
              <w:spacing w:before="80" w:after="80" w:line="240" w:lineRule="auto"/>
              <w:jc w:val="center"/>
              <w:rPr>
                <w:rFonts w:cstheme="minorHAnsi"/>
                <w:color w:val="000000"/>
                <w:sz w:val="20"/>
                <w:szCs w:val="20"/>
              </w:rPr>
            </w:pPr>
            <w:r w:rsidRPr="00B46C1D">
              <w:rPr>
                <w:rFonts w:cstheme="minorHAnsi"/>
                <w:sz w:val="20"/>
                <w:szCs w:val="20"/>
              </w:rPr>
              <w:t>$25,000</w:t>
            </w:r>
          </w:p>
        </w:tc>
        <w:tc>
          <w:tcPr>
            <w:tcW w:w="850" w:type="dxa"/>
            <w:tcBorders>
              <w:top w:val="nil"/>
              <w:left w:val="nil"/>
              <w:bottom w:val="single" w:sz="4" w:space="0" w:color="auto"/>
              <w:right w:val="single" w:sz="4" w:space="0" w:color="auto"/>
            </w:tcBorders>
            <w:shd w:val="clear" w:color="auto" w:fill="auto"/>
            <w:noWrap/>
            <w:vAlign w:val="center"/>
            <w:hideMark/>
          </w:tcPr>
          <w:p w14:paraId="4FFC5D97" w14:textId="72DDD2AE" w:rsidR="002E4A9B" w:rsidRPr="00991C0E" w:rsidRDefault="002E4A9B" w:rsidP="00273B09">
            <w:pPr>
              <w:spacing w:before="80" w:after="80" w:line="240" w:lineRule="auto"/>
              <w:jc w:val="center"/>
              <w:rPr>
                <w:rFonts w:cstheme="minorHAnsi"/>
                <w:color w:val="000000"/>
                <w:sz w:val="20"/>
                <w:szCs w:val="20"/>
              </w:rPr>
            </w:pPr>
            <w:r w:rsidRPr="00B46C1D">
              <w:rPr>
                <w:rFonts w:cstheme="minorHAnsi"/>
                <w:sz w:val="20"/>
                <w:szCs w:val="20"/>
              </w:rPr>
              <w:t>CSS</w:t>
            </w:r>
          </w:p>
        </w:tc>
        <w:tc>
          <w:tcPr>
            <w:tcW w:w="993" w:type="dxa"/>
            <w:tcBorders>
              <w:top w:val="nil"/>
              <w:left w:val="nil"/>
              <w:bottom w:val="single" w:sz="4" w:space="0" w:color="auto"/>
              <w:right w:val="single" w:sz="4" w:space="0" w:color="auto"/>
            </w:tcBorders>
            <w:shd w:val="clear" w:color="auto" w:fill="auto"/>
            <w:noWrap/>
            <w:vAlign w:val="center"/>
            <w:hideMark/>
          </w:tcPr>
          <w:p w14:paraId="1F9F5561" w14:textId="4845D762" w:rsidR="002E4A9B" w:rsidRPr="007C1A9D" w:rsidRDefault="002E4A9B" w:rsidP="00273B09">
            <w:pPr>
              <w:spacing w:before="80" w:after="80" w:line="240" w:lineRule="auto"/>
              <w:jc w:val="center"/>
              <w:rPr>
                <w:rFonts w:cstheme="minorHAnsi"/>
                <w:color w:val="000000"/>
                <w:sz w:val="20"/>
                <w:szCs w:val="20"/>
              </w:rPr>
            </w:pPr>
            <w:r w:rsidRPr="007C1A9D">
              <w:rPr>
                <w:rFonts w:cstheme="minorHAnsi"/>
                <w:sz w:val="20"/>
                <w:szCs w:val="20"/>
              </w:rPr>
              <w:t>0.1</w:t>
            </w:r>
            <w:r>
              <w:rPr>
                <w:rFonts w:cstheme="minorHAnsi"/>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14:paraId="3E9B36D1" w14:textId="53B647A6" w:rsidR="002E4A9B" w:rsidRPr="00991C0E" w:rsidRDefault="002E4A9B" w:rsidP="00273B09">
            <w:pPr>
              <w:spacing w:before="80" w:after="80" w:line="240" w:lineRule="auto"/>
              <w:jc w:val="center"/>
              <w:rPr>
                <w:rFonts w:cstheme="minorHAnsi"/>
                <w:color w:val="000000"/>
                <w:sz w:val="20"/>
                <w:szCs w:val="20"/>
              </w:rPr>
            </w:pPr>
            <w:r w:rsidRPr="00B46C1D">
              <w:rPr>
                <w:rFonts w:cstheme="minorHAnsi"/>
                <w:sz w:val="20"/>
                <w:szCs w:val="20"/>
              </w:rPr>
              <w:t>0.02464</w:t>
            </w:r>
          </w:p>
        </w:tc>
        <w:tc>
          <w:tcPr>
            <w:tcW w:w="1134" w:type="dxa"/>
            <w:tcBorders>
              <w:top w:val="nil"/>
              <w:left w:val="nil"/>
              <w:bottom w:val="single" w:sz="4" w:space="0" w:color="auto"/>
              <w:right w:val="single" w:sz="4" w:space="0" w:color="auto"/>
            </w:tcBorders>
            <w:shd w:val="clear" w:color="auto" w:fill="auto"/>
            <w:noWrap/>
            <w:vAlign w:val="center"/>
            <w:hideMark/>
          </w:tcPr>
          <w:p w14:paraId="6392BBD4" w14:textId="5A8384BA" w:rsidR="002E4A9B" w:rsidRPr="00991C0E" w:rsidRDefault="002E4A9B" w:rsidP="00273B09">
            <w:pPr>
              <w:spacing w:before="80" w:after="80" w:line="240" w:lineRule="auto"/>
              <w:jc w:val="center"/>
              <w:rPr>
                <w:rFonts w:cstheme="minorHAnsi"/>
                <w:color w:val="000000"/>
                <w:sz w:val="20"/>
                <w:szCs w:val="20"/>
              </w:rPr>
            </w:pPr>
            <w:r w:rsidRPr="00B46C1D">
              <w:rPr>
                <w:rFonts w:cstheme="minorHAnsi"/>
                <w:sz w:val="20"/>
                <w:szCs w:val="20"/>
              </w:rPr>
              <w:t>0.07668</w:t>
            </w:r>
          </w:p>
        </w:tc>
        <w:tc>
          <w:tcPr>
            <w:tcW w:w="1276" w:type="dxa"/>
            <w:tcBorders>
              <w:top w:val="nil"/>
              <w:left w:val="nil"/>
              <w:bottom w:val="single" w:sz="4" w:space="0" w:color="auto"/>
              <w:right w:val="single" w:sz="4" w:space="0" w:color="auto"/>
            </w:tcBorders>
            <w:shd w:val="clear" w:color="auto" w:fill="auto"/>
            <w:noWrap/>
            <w:vAlign w:val="center"/>
            <w:hideMark/>
          </w:tcPr>
          <w:p w14:paraId="0F3C8DEF" w14:textId="0A7377CE" w:rsidR="002E4A9B" w:rsidRPr="00991C0E" w:rsidRDefault="002E4A9B" w:rsidP="00273B09">
            <w:pPr>
              <w:spacing w:before="80" w:after="80" w:line="240" w:lineRule="auto"/>
              <w:jc w:val="center"/>
              <w:rPr>
                <w:rFonts w:cstheme="minorHAnsi"/>
                <w:color w:val="000000"/>
                <w:sz w:val="20"/>
                <w:szCs w:val="20"/>
              </w:rPr>
            </w:pPr>
            <w:r>
              <w:rPr>
                <w:rFonts w:ascii="Calibri" w:hAnsi="Calibri" w:cstheme="minorHAnsi"/>
                <w:color w:val="000000"/>
                <w:sz w:val="20"/>
                <w:szCs w:val="20"/>
              </w:rPr>
              <w:t>0.126594</w:t>
            </w:r>
          </w:p>
        </w:tc>
        <w:tc>
          <w:tcPr>
            <w:tcW w:w="1275" w:type="dxa"/>
            <w:tcBorders>
              <w:top w:val="nil"/>
              <w:left w:val="nil"/>
              <w:bottom w:val="single" w:sz="4" w:space="0" w:color="auto"/>
              <w:right w:val="nil"/>
            </w:tcBorders>
            <w:shd w:val="clear" w:color="auto" w:fill="auto"/>
            <w:noWrap/>
            <w:vAlign w:val="center"/>
            <w:hideMark/>
          </w:tcPr>
          <w:p w14:paraId="211DBC1A" w14:textId="1C07AAB2" w:rsidR="002E4A9B" w:rsidRPr="00991C0E" w:rsidRDefault="002E4A9B" w:rsidP="00273B09">
            <w:pPr>
              <w:spacing w:before="80" w:after="80" w:line="240" w:lineRule="auto"/>
              <w:jc w:val="center"/>
              <w:rPr>
                <w:rFonts w:cstheme="minorHAnsi"/>
                <w:color w:val="000000"/>
                <w:sz w:val="20"/>
                <w:szCs w:val="20"/>
              </w:rPr>
            </w:pPr>
            <w:r>
              <w:rPr>
                <w:rFonts w:ascii="Calibri" w:hAnsi="Calibri" w:cstheme="minorHAnsi"/>
                <w:color w:val="000000"/>
                <w:sz w:val="20"/>
                <w:szCs w:val="20"/>
              </w:rPr>
              <w:t>$3,165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CC606B8" w14:textId="61BE0EBD" w:rsidR="002E4A9B" w:rsidRPr="00991C0E" w:rsidRDefault="002E4A9B" w:rsidP="00273B09">
            <w:pPr>
              <w:spacing w:before="80" w:after="80" w:line="240" w:lineRule="auto"/>
              <w:jc w:val="center"/>
              <w:rPr>
                <w:rFonts w:cstheme="minorHAnsi"/>
                <w:color w:val="000000"/>
                <w:sz w:val="20"/>
                <w:szCs w:val="20"/>
              </w:rPr>
            </w:pPr>
            <w:r>
              <w:rPr>
                <w:rFonts w:ascii="Calibri" w:hAnsi="Calibri" w:cstheme="minorHAnsi"/>
                <w:color w:val="000000"/>
                <w:sz w:val="20"/>
                <w:szCs w:val="20"/>
              </w:rPr>
              <w:t>$28,165</w:t>
            </w:r>
          </w:p>
        </w:tc>
        <w:tc>
          <w:tcPr>
            <w:tcW w:w="1559" w:type="dxa"/>
            <w:tcBorders>
              <w:top w:val="nil"/>
              <w:left w:val="nil"/>
              <w:bottom w:val="single" w:sz="4" w:space="0" w:color="auto"/>
              <w:right w:val="single" w:sz="8" w:space="0" w:color="auto"/>
            </w:tcBorders>
            <w:shd w:val="clear" w:color="auto" w:fill="auto"/>
            <w:vAlign w:val="center"/>
            <w:hideMark/>
          </w:tcPr>
          <w:p w14:paraId="23FC6915" w14:textId="662A61F9" w:rsidR="002E4A9B" w:rsidRPr="00991C0E" w:rsidRDefault="002E4A9B" w:rsidP="00273B09">
            <w:pPr>
              <w:spacing w:before="80" w:after="80" w:line="240" w:lineRule="auto"/>
              <w:jc w:val="center"/>
              <w:rPr>
                <w:rFonts w:eastAsia="Times New Roman" w:cstheme="minorHAnsi"/>
                <w:color w:val="000000"/>
                <w:sz w:val="20"/>
                <w:szCs w:val="20"/>
              </w:rPr>
            </w:pPr>
            <w:r>
              <w:rPr>
                <w:rFonts w:ascii="Calibri" w:hAnsi="Calibri" w:cstheme="minorHAnsi"/>
                <w:color w:val="000000"/>
                <w:sz w:val="20"/>
                <w:szCs w:val="20"/>
              </w:rPr>
              <w:t>$26,137</w:t>
            </w:r>
          </w:p>
        </w:tc>
      </w:tr>
      <w:tr w:rsidR="006C0160" w:rsidRPr="00714FD8" w14:paraId="40DC1A5A" w14:textId="77777777" w:rsidTr="006C0160">
        <w:trPr>
          <w:trHeight w:val="540"/>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3ED85FA8" w14:textId="77777777" w:rsidR="002E4A9B" w:rsidRPr="00991C0E" w:rsidRDefault="002E4A9B" w:rsidP="00273B09">
            <w:pPr>
              <w:spacing w:before="80" w:after="80" w:line="240" w:lineRule="auto"/>
              <w:jc w:val="center"/>
              <w:rPr>
                <w:rFonts w:eastAsia="Times New Roman" w:cstheme="minorHAnsi"/>
                <w:color w:val="000000"/>
                <w:sz w:val="20"/>
                <w:szCs w:val="20"/>
              </w:rPr>
            </w:pPr>
            <w:r w:rsidRPr="00991C0E">
              <w:rPr>
                <w:rFonts w:eastAsia="Times New Roman" w:cstheme="minorHAnsi"/>
                <w:color w:val="000000"/>
                <w:sz w:val="20"/>
                <w:szCs w:val="20"/>
              </w:rPr>
              <w:t>C1</w:t>
            </w:r>
          </w:p>
        </w:tc>
        <w:tc>
          <w:tcPr>
            <w:tcW w:w="1276" w:type="dxa"/>
            <w:tcBorders>
              <w:top w:val="nil"/>
              <w:left w:val="nil"/>
              <w:bottom w:val="single" w:sz="4" w:space="0" w:color="auto"/>
              <w:right w:val="single" w:sz="4" w:space="0" w:color="auto"/>
            </w:tcBorders>
            <w:shd w:val="clear" w:color="auto" w:fill="auto"/>
            <w:noWrap/>
            <w:vAlign w:val="center"/>
            <w:hideMark/>
          </w:tcPr>
          <w:p w14:paraId="0DDA92CA" w14:textId="77777777" w:rsidR="002E4A9B" w:rsidRPr="00991C0E" w:rsidRDefault="002E4A9B" w:rsidP="00273B09">
            <w:pPr>
              <w:spacing w:before="80" w:after="80" w:line="240" w:lineRule="auto"/>
              <w:jc w:val="center"/>
              <w:rPr>
                <w:rFonts w:eastAsia="Times New Roman" w:cstheme="minorHAnsi"/>
                <w:color w:val="000000"/>
                <w:sz w:val="20"/>
                <w:szCs w:val="20"/>
              </w:rPr>
            </w:pPr>
            <w:r w:rsidRPr="00991C0E">
              <w:rPr>
                <w:rFonts w:eastAsia="Times New Roman" w:cstheme="minorHAnsi"/>
                <w:color w:val="000000"/>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153E124C" w14:textId="77777777" w:rsidR="002E4A9B" w:rsidRPr="00991C0E" w:rsidRDefault="002E4A9B" w:rsidP="00273B09">
            <w:pPr>
              <w:spacing w:before="80" w:after="80" w:line="240" w:lineRule="auto"/>
              <w:jc w:val="center"/>
              <w:rPr>
                <w:rFonts w:eastAsia="Times New Roman" w:cstheme="minorHAnsi"/>
                <w:color w:val="000000"/>
                <w:sz w:val="20"/>
                <w:szCs w:val="20"/>
              </w:rPr>
            </w:pPr>
            <w:r w:rsidRPr="00991C0E">
              <w:rPr>
                <w:rFonts w:eastAsia="Times New Roman" w:cstheme="minorHAnsi"/>
                <w:color w:val="000000"/>
                <w:sz w:val="20"/>
                <w:szCs w:val="20"/>
              </w:rPr>
              <w:t>9</w:t>
            </w:r>
          </w:p>
        </w:tc>
        <w:tc>
          <w:tcPr>
            <w:tcW w:w="992" w:type="dxa"/>
            <w:tcBorders>
              <w:top w:val="nil"/>
              <w:left w:val="nil"/>
              <w:bottom w:val="single" w:sz="4" w:space="0" w:color="auto"/>
              <w:right w:val="nil"/>
            </w:tcBorders>
            <w:shd w:val="clear" w:color="auto" w:fill="auto"/>
            <w:noWrap/>
            <w:vAlign w:val="center"/>
            <w:hideMark/>
          </w:tcPr>
          <w:p w14:paraId="0950A8F5" w14:textId="0AB8A8C3" w:rsidR="002E4A9B" w:rsidRPr="00991C0E" w:rsidRDefault="002E4A9B" w:rsidP="00273B09">
            <w:pPr>
              <w:spacing w:before="80" w:after="80" w:line="240" w:lineRule="auto"/>
              <w:jc w:val="center"/>
              <w:rPr>
                <w:rFonts w:eastAsia="Times New Roman" w:cstheme="minorHAnsi"/>
                <w:color w:val="000000"/>
                <w:sz w:val="20"/>
                <w:szCs w:val="20"/>
              </w:rPr>
            </w:pPr>
            <w:r w:rsidRPr="00B46C1D">
              <w:rPr>
                <w:rFonts w:cstheme="minorHAnsi"/>
                <w:sz w:val="20"/>
                <w:szCs w:val="20"/>
              </w:rPr>
              <w:t>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66E6D15" w14:textId="275CFEA7" w:rsidR="002E4A9B" w:rsidRPr="00991C0E" w:rsidRDefault="002E4A9B" w:rsidP="00273B09">
            <w:pPr>
              <w:spacing w:before="80" w:after="80" w:line="240" w:lineRule="auto"/>
              <w:jc w:val="center"/>
              <w:rPr>
                <w:rFonts w:eastAsia="Times New Roman" w:cstheme="minorHAnsi"/>
                <w:color w:val="000000"/>
                <w:sz w:val="20"/>
                <w:szCs w:val="20"/>
              </w:rPr>
            </w:pPr>
            <w:r w:rsidRPr="00B46C1D">
              <w:rPr>
                <w:rFonts w:cstheme="minorHAnsi"/>
                <w:sz w:val="20"/>
                <w:szCs w:val="20"/>
              </w:rPr>
              <w:t>$2,000</w:t>
            </w:r>
          </w:p>
        </w:tc>
        <w:tc>
          <w:tcPr>
            <w:tcW w:w="850" w:type="dxa"/>
            <w:tcBorders>
              <w:top w:val="nil"/>
              <w:left w:val="nil"/>
              <w:bottom w:val="single" w:sz="4" w:space="0" w:color="auto"/>
              <w:right w:val="single" w:sz="4" w:space="0" w:color="auto"/>
            </w:tcBorders>
            <w:shd w:val="clear" w:color="auto" w:fill="auto"/>
            <w:noWrap/>
            <w:vAlign w:val="center"/>
            <w:hideMark/>
          </w:tcPr>
          <w:p w14:paraId="055BB3AC" w14:textId="7B2DADC5" w:rsidR="002E4A9B" w:rsidRPr="00991C0E" w:rsidRDefault="002E4A9B" w:rsidP="00273B09">
            <w:pPr>
              <w:spacing w:before="80" w:after="80" w:line="240" w:lineRule="auto"/>
              <w:jc w:val="center"/>
              <w:rPr>
                <w:rFonts w:eastAsia="Times New Roman" w:cstheme="minorHAnsi"/>
                <w:color w:val="000000"/>
                <w:sz w:val="20"/>
                <w:szCs w:val="20"/>
              </w:rPr>
            </w:pPr>
            <w:r w:rsidRPr="00B46C1D">
              <w:rPr>
                <w:rFonts w:cstheme="minorHAnsi"/>
                <w:sz w:val="20"/>
                <w:szCs w:val="20"/>
              </w:rPr>
              <w:t>PSS</w:t>
            </w:r>
          </w:p>
        </w:tc>
        <w:tc>
          <w:tcPr>
            <w:tcW w:w="993" w:type="dxa"/>
            <w:tcBorders>
              <w:top w:val="nil"/>
              <w:left w:val="nil"/>
              <w:bottom w:val="single" w:sz="4" w:space="0" w:color="auto"/>
              <w:right w:val="single" w:sz="4" w:space="0" w:color="auto"/>
            </w:tcBorders>
            <w:shd w:val="clear" w:color="auto" w:fill="auto"/>
            <w:noWrap/>
            <w:vAlign w:val="center"/>
            <w:hideMark/>
          </w:tcPr>
          <w:p w14:paraId="2A087679" w14:textId="5CB2B1AF" w:rsidR="002E4A9B" w:rsidRPr="007C1A9D" w:rsidRDefault="002E4A9B" w:rsidP="00273B09">
            <w:pPr>
              <w:spacing w:before="80" w:after="80" w:line="240" w:lineRule="auto"/>
              <w:jc w:val="center"/>
              <w:rPr>
                <w:rFonts w:eastAsia="Times New Roman" w:cstheme="minorHAnsi"/>
                <w:color w:val="000000"/>
                <w:sz w:val="20"/>
                <w:szCs w:val="20"/>
              </w:rPr>
            </w:pPr>
            <w:r w:rsidRPr="007C1A9D">
              <w:rPr>
                <w:rFonts w:cstheme="minorHAnsi"/>
                <w:sz w:val="20"/>
                <w:szCs w:val="20"/>
              </w:rPr>
              <w:t>0.</w:t>
            </w:r>
            <w:r w:rsidRPr="00273B09">
              <w:rPr>
                <w:rFonts w:cstheme="minorHAnsi"/>
                <w:sz w:val="20"/>
                <w:szCs w:val="20"/>
              </w:rPr>
              <w:t>31</w:t>
            </w:r>
            <w:r w:rsidRPr="007C1A9D">
              <w:rPr>
                <w:rFonts w:cstheme="minorHAnsi"/>
                <w:sz w:val="20"/>
                <w:szCs w:val="20"/>
              </w:rPr>
              <w:t>5</w:t>
            </w:r>
          </w:p>
        </w:tc>
        <w:tc>
          <w:tcPr>
            <w:tcW w:w="992" w:type="dxa"/>
            <w:tcBorders>
              <w:top w:val="nil"/>
              <w:left w:val="nil"/>
              <w:bottom w:val="single" w:sz="4" w:space="0" w:color="auto"/>
              <w:right w:val="single" w:sz="4" w:space="0" w:color="auto"/>
            </w:tcBorders>
            <w:shd w:val="clear" w:color="auto" w:fill="auto"/>
            <w:noWrap/>
            <w:vAlign w:val="center"/>
            <w:hideMark/>
          </w:tcPr>
          <w:p w14:paraId="21B5C126" w14:textId="2B421B00" w:rsidR="002E4A9B" w:rsidRPr="00991C0E" w:rsidRDefault="002E4A9B" w:rsidP="00273B09">
            <w:pPr>
              <w:spacing w:before="80" w:after="80" w:line="240" w:lineRule="auto"/>
              <w:jc w:val="center"/>
              <w:rPr>
                <w:rFonts w:eastAsia="Times New Roman" w:cstheme="minorHAnsi"/>
                <w:color w:val="000000"/>
                <w:sz w:val="20"/>
                <w:szCs w:val="20"/>
              </w:rPr>
            </w:pPr>
            <w:r w:rsidRPr="00B46C1D">
              <w:rPr>
                <w:rFonts w:cstheme="minorHAnsi"/>
                <w:sz w:val="20"/>
                <w:szCs w:val="20"/>
              </w:rPr>
              <w:t>0.02464</w:t>
            </w:r>
          </w:p>
        </w:tc>
        <w:tc>
          <w:tcPr>
            <w:tcW w:w="1134" w:type="dxa"/>
            <w:tcBorders>
              <w:top w:val="nil"/>
              <w:left w:val="nil"/>
              <w:bottom w:val="single" w:sz="4" w:space="0" w:color="auto"/>
              <w:right w:val="single" w:sz="4" w:space="0" w:color="auto"/>
            </w:tcBorders>
            <w:shd w:val="clear" w:color="auto" w:fill="auto"/>
            <w:noWrap/>
            <w:vAlign w:val="center"/>
            <w:hideMark/>
          </w:tcPr>
          <w:p w14:paraId="54BF8354" w14:textId="6B1757CC" w:rsidR="002E4A9B" w:rsidRPr="00991C0E" w:rsidRDefault="002E4A9B" w:rsidP="00273B09">
            <w:pPr>
              <w:spacing w:before="80" w:after="80" w:line="240" w:lineRule="auto"/>
              <w:jc w:val="center"/>
              <w:rPr>
                <w:rFonts w:eastAsia="Times New Roman" w:cstheme="minorHAnsi"/>
                <w:color w:val="000000"/>
                <w:sz w:val="20"/>
                <w:szCs w:val="20"/>
              </w:rPr>
            </w:pPr>
            <w:r w:rsidRPr="00B46C1D">
              <w:rPr>
                <w:rFonts w:cstheme="minorHAnsi"/>
                <w:sz w:val="20"/>
                <w:szCs w:val="20"/>
              </w:rPr>
              <w:t>0.07668</w:t>
            </w:r>
          </w:p>
        </w:tc>
        <w:tc>
          <w:tcPr>
            <w:tcW w:w="1276" w:type="dxa"/>
            <w:tcBorders>
              <w:top w:val="nil"/>
              <w:left w:val="nil"/>
              <w:bottom w:val="single" w:sz="4" w:space="0" w:color="auto"/>
              <w:right w:val="single" w:sz="4" w:space="0" w:color="auto"/>
            </w:tcBorders>
            <w:shd w:val="clear" w:color="auto" w:fill="auto"/>
            <w:noWrap/>
            <w:vAlign w:val="center"/>
            <w:hideMark/>
          </w:tcPr>
          <w:p w14:paraId="521E1404" w14:textId="727F8750" w:rsidR="002E4A9B" w:rsidRPr="00991C0E" w:rsidRDefault="002E4A9B" w:rsidP="00273B09">
            <w:pPr>
              <w:spacing w:before="80" w:after="80" w:line="240" w:lineRule="auto"/>
              <w:jc w:val="center"/>
              <w:rPr>
                <w:rFonts w:eastAsia="Times New Roman" w:cstheme="minorHAnsi"/>
                <w:color w:val="000000"/>
                <w:sz w:val="20"/>
                <w:szCs w:val="20"/>
              </w:rPr>
            </w:pPr>
            <w:r>
              <w:rPr>
                <w:rFonts w:ascii="Calibri" w:hAnsi="Calibri" w:cstheme="minorHAnsi"/>
                <w:color w:val="000000"/>
                <w:sz w:val="20"/>
                <w:szCs w:val="20"/>
              </w:rPr>
              <w:t>0.187344</w:t>
            </w:r>
          </w:p>
        </w:tc>
        <w:tc>
          <w:tcPr>
            <w:tcW w:w="1275" w:type="dxa"/>
            <w:tcBorders>
              <w:top w:val="nil"/>
              <w:left w:val="nil"/>
              <w:bottom w:val="single" w:sz="4" w:space="0" w:color="auto"/>
              <w:right w:val="nil"/>
            </w:tcBorders>
            <w:shd w:val="clear" w:color="auto" w:fill="auto"/>
            <w:noWrap/>
            <w:vAlign w:val="center"/>
            <w:hideMark/>
          </w:tcPr>
          <w:p w14:paraId="66F2C9DF" w14:textId="1249B307" w:rsidR="002E4A9B" w:rsidRPr="00991C0E" w:rsidRDefault="002E4A9B" w:rsidP="00273B09">
            <w:pPr>
              <w:spacing w:before="80" w:after="80" w:line="240" w:lineRule="auto"/>
              <w:jc w:val="center"/>
              <w:rPr>
                <w:rFonts w:eastAsia="Times New Roman" w:cstheme="minorHAnsi"/>
                <w:color w:val="000000"/>
                <w:sz w:val="20"/>
                <w:szCs w:val="20"/>
              </w:rPr>
            </w:pPr>
            <w:r>
              <w:rPr>
                <w:rFonts w:ascii="Calibri" w:hAnsi="Calibri" w:cstheme="minorHAnsi"/>
                <w:color w:val="000000"/>
                <w:sz w:val="20"/>
                <w:szCs w:val="20"/>
              </w:rPr>
              <w:t>$375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B3769D9" w14:textId="043D6B12" w:rsidR="002E4A9B" w:rsidRPr="00991C0E" w:rsidRDefault="002E4A9B" w:rsidP="00273B09">
            <w:pPr>
              <w:spacing w:before="80" w:after="80" w:line="240" w:lineRule="auto"/>
              <w:jc w:val="center"/>
              <w:rPr>
                <w:rFonts w:eastAsia="Times New Roman" w:cstheme="minorHAnsi"/>
                <w:color w:val="000000"/>
                <w:sz w:val="20"/>
                <w:szCs w:val="20"/>
              </w:rPr>
            </w:pPr>
            <w:r>
              <w:rPr>
                <w:rFonts w:ascii="Calibri" w:hAnsi="Calibri" w:cstheme="minorHAnsi"/>
                <w:color w:val="000000"/>
                <w:sz w:val="20"/>
                <w:szCs w:val="20"/>
              </w:rPr>
              <w:t>$2,375</w:t>
            </w:r>
          </w:p>
        </w:tc>
        <w:tc>
          <w:tcPr>
            <w:tcW w:w="1559" w:type="dxa"/>
            <w:tcBorders>
              <w:top w:val="nil"/>
              <w:left w:val="nil"/>
              <w:bottom w:val="single" w:sz="4" w:space="0" w:color="auto"/>
              <w:right w:val="single" w:sz="8" w:space="0" w:color="auto"/>
            </w:tcBorders>
            <w:shd w:val="clear" w:color="auto" w:fill="auto"/>
            <w:vAlign w:val="center"/>
            <w:hideMark/>
          </w:tcPr>
          <w:p w14:paraId="67E46AA5" w14:textId="711C1F42" w:rsidR="002E4A9B" w:rsidRPr="00991C0E" w:rsidRDefault="002E4A9B" w:rsidP="00273B09">
            <w:pPr>
              <w:spacing w:before="80" w:after="80" w:line="240" w:lineRule="auto"/>
              <w:jc w:val="center"/>
              <w:rPr>
                <w:rFonts w:eastAsia="Times New Roman" w:cstheme="minorHAnsi"/>
                <w:color w:val="000000"/>
                <w:sz w:val="20"/>
                <w:szCs w:val="20"/>
              </w:rPr>
            </w:pPr>
            <w:r>
              <w:rPr>
                <w:rFonts w:ascii="Calibri" w:hAnsi="Calibri" w:cs="Calibri"/>
                <w:color w:val="000000"/>
                <w:sz w:val="20"/>
                <w:szCs w:val="20"/>
              </w:rPr>
              <w:t>$2,204</w:t>
            </w:r>
          </w:p>
        </w:tc>
      </w:tr>
      <w:tr w:rsidR="006C0160" w:rsidRPr="00714FD8" w14:paraId="58C8F680" w14:textId="77777777" w:rsidTr="006C0160">
        <w:trPr>
          <w:trHeight w:val="540"/>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56EBC370" w14:textId="77777777" w:rsidR="002E4A9B" w:rsidRPr="00991C0E" w:rsidRDefault="002E4A9B" w:rsidP="00273B09">
            <w:pPr>
              <w:spacing w:before="80" w:after="80" w:line="240" w:lineRule="auto"/>
              <w:jc w:val="center"/>
              <w:rPr>
                <w:rFonts w:cstheme="minorHAnsi"/>
                <w:color w:val="000000"/>
                <w:sz w:val="20"/>
                <w:szCs w:val="20"/>
              </w:rPr>
            </w:pPr>
            <w:r w:rsidRPr="00991C0E">
              <w:rPr>
                <w:rFonts w:cstheme="minorHAnsi"/>
                <w:color w:val="000000"/>
                <w:sz w:val="20"/>
                <w:szCs w:val="20"/>
              </w:rPr>
              <w:t>D1</w:t>
            </w:r>
          </w:p>
        </w:tc>
        <w:tc>
          <w:tcPr>
            <w:tcW w:w="1276" w:type="dxa"/>
            <w:tcBorders>
              <w:top w:val="nil"/>
              <w:left w:val="nil"/>
              <w:bottom w:val="single" w:sz="8" w:space="0" w:color="auto"/>
              <w:right w:val="single" w:sz="4" w:space="0" w:color="auto"/>
            </w:tcBorders>
            <w:shd w:val="clear" w:color="auto" w:fill="auto"/>
            <w:noWrap/>
            <w:vAlign w:val="center"/>
            <w:hideMark/>
          </w:tcPr>
          <w:p w14:paraId="2DB58A3D" w14:textId="77777777" w:rsidR="002E4A9B" w:rsidRPr="00991C0E" w:rsidRDefault="002E4A9B" w:rsidP="00273B09">
            <w:pPr>
              <w:spacing w:before="80" w:after="80" w:line="240" w:lineRule="auto"/>
              <w:jc w:val="center"/>
              <w:rPr>
                <w:rFonts w:cstheme="minorHAnsi"/>
                <w:color w:val="000000"/>
                <w:sz w:val="20"/>
                <w:szCs w:val="20"/>
              </w:rPr>
            </w:pPr>
            <w:r w:rsidRPr="00991C0E">
              <w:rPr>
                <w:rFonts w:cstheme="minorHAnsi"/>
                <w:color w:val="000000"/>
                <w:sz w:val="20"/>
                <w:szCs w:val="20"/>
              </w:rPr>
              <w:t>$</w:t>
            </w:r>
            <w:r w:rsidRPr="00991C0E">
              <w:rPr>
                <w:rFonts w:eastAsia="Times New Roman" w:cstheme="minorHAnsi"/>
                <w:color w:val="000000"/>
                <w:sz w:val="20"/>
                <w:szCs w:val="20"/>
              </w:rPr>
              <w:t>30,000</w:t>
            </w:r>
          </w:p>
        </w:tc>
        <w:tc>
          <w:tcPr>
            <w:tcW w:w="1134" w:type="dxa"/>
            <w:tcBorders>
              <w:top w:val="nil"/>
              <w:left w:val="nil"/>
              <w:bottom w:val="single" w:sz="8" w:space="0" w:color="auto"/>
              <w:right w:val="single" w:sz="4" w:space="0" w:color="auto"/>
            </w:tcBorders>
            <w:shd w:val="clear" w:color="auto" w:fill="auto"/>
            <w:noWrap/>
            <w:vAlign w:val="center"/>
            <w:hideMark/>
          </w:tcPr>
          <w:p w14:paraId="288504E0" w14:textId="77777777" w:rsidR="002E4A9B" w:rsidRPr="00991C0E" w:rsidRDefault="002E4A9B" w:rsidP="00273B09">
            <w:pPr>
              <w:spacing w:before="80" w:after="80" w:line="240" w:lineRule="auto"/>
              <w:jc w:val="center"/>
              <w:rPr>
                <w:rFonts w:cstheme="minorHAnsi"/>
                <w:color w:val="000000"/>
                <w:sz w:val="20"/>
                <w:szCs w:val="20"/>
              </w:rPr>
            </w:pPr>
            <w:r w:rsidRPr="00991C0E">
              <w:rPr>
                <w:rFonts w:eastAsia="Times New Roman" w:cstheme="minorHAnsi"/>
                <w:color w:val="000000"/>
                <w:sz w:val="20"/>
                <w:szCs w:val="20"/>
              </w:rPr>
              <w:t>15</w:t>
            </w:r>
          </w:p>
        </w:tc>
        <w:tc>
          <w:tcPr>
            <w:tcW w:w="992" w:type="dxa"/>
            <w:tcBorders>
              <w:top w:val="nil"/>
              <w:left w:val="nil"/>
              <w:bottom w:val="single" w:sz="8" w:space="0" w:color="auto"/>
              <w:right w:val="nil"/>
            </w:tcBorders>
            <w:shd w:val="clear" w:color="auto" w:fill="auto"/>
            <w:noWrap/>
            <w:vAlign w:val="center"/>
            <w:hideMark/>
          </w:tcPr>
          <w:p w14:paraId="1218E07E" w14:textId="7B5BE47B" w:rsidR="002E4A9B" w:rsidRPr="00991C0E" w:rsidRDefault="002E4A9B" w:rsidP="00273B09">
            <w:pPr>
              <w:spacing w:before="80" w:after="80" w:line="240" w:lineRule="auto"/>
              <w:jc w:val="center"/>
              <w:rPr>
                <w:rFonts w:cstheme="minorHAnsi"/>
                <w:color w:val="000000"/>
                <w:sz w:val="20"/>
                <w:szCs w:val="20"/>
              </w:rPr>
            </w:pPr>
            <w:r w:rsidRPr="00B46C1D">
              <w:rPr>
                <w:rFonts w:cstheme="minorHAnsi"/>
                <w:sz w:val="20"/>
                <w:szCs w:val="20"/>
              </w:rPr>
              <w:t>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F68F074" w14:textId="3B94F4C7" w:rsidR="002E4A9B" w:rsidRPr="00991C0E" w:rsidRDefault="002E4A9B" w:rsidP="00273B09">
            <w:pPr>
              <w:spacing w:before="80" w:after="80" w:line="240" w:lineRule="auto"/>
              <w:jc w:val="center"/>
              <w:rPr>
                <w:rFonts w:cstheme="minorHAnsi"/>
                <w:color w:val="000000"/>
                <w:sz w:val="20"/>
                <w:szCs w:val="20"/>
              </w:rPr>
            </w:pPr>
            <w:r w:rsidRPr="00B46C1D">
              <w:rPr>
                <w:rFonts w:cstheme="minorHAnsi"/>
                <w:sz w:val="20"/>
                <w:szCs w:val="20"/>
              </w:rPr>
              <w:t>$30,000</w:t>
            </w:r>
          </w:p>
        </w:tc>
        <w:tc>
          <w:tcPr>
            <w:tcW w:w="850" w:type="dxa"/>
            <w:tcBorders>
              <w:top w:val="nil"/>
              <w:left w:val="nil"/>
              <w:bottom w:val="single" w:sz="8" w:space="0" w:color="auto"/>
              <w:right w:val="single" w:sz="4" w:space="0" w:color="auto"/>
            </w:tcBorders>
            <w:shd w:val="clear" w:color="auto" w:fill="auto"/>
            <w:noWrap/>
            <w:vAlign w:val="center"/>
            <w:hideMark/>
          </w:tcPr>
          <w:p w14:paraId="57DD7233" w14:textId="1A5E2750" w:rsidR="002E4A9B" w:rsidRPr="00991C0E" w:rsidRDefault="002E4A9B" w:rsidP="00273B09">
            <w:pPr>
              <w:spacing w:before="80" w:after="80" w:line="240" w:lineRule="auto"/>
              <w:jc w:val="center"/>
              <w:rPr>
                <w:rFonts w:cstheme="minorHAnsi"/>
                <w:color w:val="000000"/>
                <w:sz w:val="20"/>
                <w:szCs w:val="20"/>
              </w:rPr>
            </w:pPr>
            <w:r w:rsidRPr="00B46C1D">
              <w:rPr>
                <w:rFonts w:cstheme="minorHAnsi"/>
                <w:sz w:val="20"/>
                <w:szCs w:val="20"/>
              </w:rPr>
              <w:t>CSS</w:t>
            </w:r>
          </w:p>
        </w:tc>
        <w:tc>
          <w:tcPr>
            <w:tcW w:w="993" w:type="dxa"/>
            <w:tcBorders>
              <w:top w:val="nil"/>
              <w:left w:val="nil"/>
              <w:bottom w:val="single" w:sz="8" w:space="0" w:color="auto"/>
              <w:right w:val="single" w:sz="4" w:space="0" w:color="auto"/>
            </w:tcBorders>
            <w:shd w:val="clear" w:color="auto" w:fill="auto"/>
            <w:noWrap/>
            <w:vAlign w:val="center"/>
            <w:hideMark/>
          </w:tcPr>
          <w:p w14:paraId="6572E31F" w14:textId="17816570" w:rsidR="002E4A9B" w:rsidRPr="00991C0E" w:rsidRDefault="002E4A9B" w:rsidP="00273B09">
            <w:pPr>
              <w:spacing w:before="80" w:after="80" w:line="240" w:lineRule="auto"/>
              <w:jc w:val="center"/>
              <w:rPr>
                <w:rFonts w:cstheme="minorHAnsi"/>
                <w:color w:val="000000"/>
                <w:sz w:val="20"/>
                <w:szCs w:val="20"/>
              </w:rPr>
            </w:pPr>
            <w:r w:rsidRPr="00B46C1D">
              <w:rPr>
                <w:rFonts w:cstheme="minorHAnsi"/>
                <w:sz w:val="20"/>
                <w:szCs w:val="20"/>
              </w:rPr>
              <w:t>0.1</w:t>
            </w:r>
            <w:r>
              <w:rPr>
                <w:rFonts w:cstheme="minorHAnsi"/>
                <w:sz w:val="20"/>
                <w:szCs w:val="20"/>
              </w:rPr>
              <w:t>8</w:t>
            </w:r>
          </w:p>
        </w:tc>
        <w:tc>
          <w:tcPr>
            <w:tcW w:w="992" w:type="dxa"/>
            <w:tcBorders>
              <w:top w:val="nil"/>
              <w:left w:val="nil"/>
              <w:bottom w:val="single" w:sz="8" w:space="0" w:color="auto"/>
              <w:right w:val="single" w:sz="4" w:space="0" w:color="auto"/>
            </w:tcBorders>
            <w:shd w:val="clear" w:color="auto" w:fill="auto"/>
            <w:noWrap/>
            <w:vAlign w:val="center"/>
            <w:hideMark/>
          </w:tcPr>
          <w:p w14:paraId="037FF8E1" w14:textId="4B380B5B" w:rsidR="002E4A9B" w:rsidRPr="00991C0E" w:rsidRDefault="002E4A9B" w:rsidP="00273B09">
            <w:pPr>
              <w:spacing w:before="80" w:after="80" w:line="240" w:lineRule="auto"/>
              <w:jc w:val="center"/>
              <w:rPr>
                <w:rFonts w:cstheme="minorHAnsi"/>
                <w:color w:val="000000"/>
                <w:sz w:val="20"/>
                <w:szCs w:val="20"/>
              </w:rPr>
            </w:pPr>
            <w:r w:rsidRPr="00B46C1D">
              <w:rPr>
                <w:rFonts w:cstheme="minorHAnsi"/>
                <w:sz w:val="20"/>
                <w:szCs w:val="20"/>
              </w:rPr>
              <w:t>0.02464</w:t>
            </w:r>
          </w:p>
        </w:tc>
        <w:tc>
          <w:tcPr>
            <w:tcW w:w="1134" w:type="dxa"/>
            <w:tcBorders>
              <w:top w:val="nil"/>
              <w:left w:val="nil"/>
              <w:bottom w:val="single" w:sz="8" w:space="0" w:color="auto"/>
              <w:right w:val="single" w:sz="4" w:space="0" w:color="auto"/>
            </w:tcBorders>
            <w:shd w:val="clear" w:color="auto" w:fill="auto"/>
            <w:noWrap/>
            <w:vAlign w:val="center"/>
            <w:hideMark/>
          </w:tcPr>
          <w:p w14:paraId="5F7B7055" w14:textId="0A1427B8" w:rsidR="002E4A9B" w:rsidRPr="00991C0E" w:rsidRDefault="002E4A9B" w:rsidP="00273B09">
            <w:pPr>
              <w:spacing w:before="80" w:after="80" w:line="240" w:lineRule="auto"/>
              <w:jc w:val="center"/>
              <w:rPr>
                <w:rFonts w:cstheme="minorHAnsi"/>
                <w:color w:val="000000"/>
                <w:sz w:val="20"/>
                <w:szCs w:val="20"/>
              </w:rPr>
            </w:pPr>
            <w:r w:rsidRPr="00B46C1D">
              <w:rPr>
                <w:rFonts w:cstheme="minorHAnsi"/>
                <w:sz w:val="20"/>
                <w:szCs w:val="20"/>
              </w:rPr>
              <w:t>0.07668</w:t>
            </w:r>
          </w:p>
        </w:tc>
        <w:tc>
          <w:tcPr>
            <w:tcW w:w="1276" w:type="dxa"/>
            <w:tcBorders>
              <w:top w:val="nil"/>
              <w:left w:val="nil"/>
              <w:bottom w:val="single" w:sz="8" w:space="0" w:color="auto"/>
              <w:right w:val="single" w:sz="4" w:space="0" w:color="auto"/>
            </w:tcBorders>
            <w:shd w:val="clear" w:color="auto" w:fill="auto"/>
            <w:noWrap/>
            <w:vAlign w:val="center"/>
            <w:hideMark/>
          </w:tcPr>
          <w:p w14:paraId="1D91473F" w14:textId="5382C311" w:rsidR="002E4A9B" w:rsidRPr="00991C0E" w:rsidRDefault="002E4A9B" w:rsidP="00273B09">
            <w:pPr>
              <w:spacing w:before="80" w:after="80" w:line="240" w:lineRule="auto"/>
              <w:jc w:val="center"/>
              <w:rPr>
                <w:rFonts w:cstheme="minorHAnsi"/>
                <w:color w:val="000000"/>
                <w:sz w:val="20"/>
                <w:szCs w:val="20"/>
              </w:rPr>
            </w:pPr>
            <w:r>
              <w:rPr>
                <w:rFonts w:ascii="Calibri" w:hAnsi="Calibri" w:cstheme="minorHAnsi"/>
                <w:color w:val="000000"/>
                <w:sz w:val="20"/>
                <w:szCs w:val="20"/>
              </w:rPr>
              <w:t>0.126594</w:t>
            </w:r>
          </w:p>
        </w:tc>
        <w:tc>
          <w:tcPr>
            <w:tcW w:w="1275" w:type="dxa"/>
            <w:tcBorders>
              <w:top w:val="nil"/>
              <w:left w:val="nil"/>
              <w:bottom w:val="single" w:sz="8" w:space="0" w:color="auto"/>
              <w:right w:val="nil"/>
            </w:tcBorders>
            <w:shd w:val="clear" w:color="auto" w:fill="auto"/>
            <w:noWrap/>
            <w:vAlign w:val="center"/>
            <w:hideMark/>
          </w:tcPr>
          <w:p w14:paraId="6966F19C" w14:textId="74F2716C" w:rsidR="002E4A9B" w:rsidRPr="00991C0E" w:rsidRDefault="002E4A9B" w:rsidP="00273B09">
            <w:pPr>
              <w:spacing w:before="80" w:after="80" w:line="240" w:lineRule="auto"/>
              <w:jc w:val="center"/>
              <w:rPr>
                <w:rFonts w:cstheme="minorHAnsi"/>
                <w:color w:val="000000"/>
                <w:sz w:val="20"/>
                <w:szCs w:val="20"/>
              </w:rPr>
            </w:pPr>
            <w:r w:rsidRPr="00B46C1D">
              <w:rPr>
                <w:rFonts w:cstheme="minorHAnsi"/>
                <w:sz w:val="20"/>
                <w:szCs w:val="20"/>
              </w:rPr>
              <w:t>$3,393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D4FD094" w14:textId="3C276A5C" w:rsidR="002E4A9B" w:rsidRPr="00991C0E" w:rsidRDefault="002E4A9B" w:rsidP="00273B09">
            <w:pPr>
              <w:spacing w:before="80" w:after="80" w:line="240" w:lineRule="auto"/>
              <w:jc w:val="center"/>
              <w:rPr>
                <w:rFonts w:cstheme="minorHAnsi"/>
                <w:color w:val="000000"/>
                <w:sz w:val="20"/>
                <w:szCs w:val="20"/>
              </w:rPr>
            </w:pPr>
            <w:r w:rsidRPr="00B46C1D">
              <w:rPr>
                <w:rFonts w:cstheme="minorHAnsi"/>
                <w:sz w:val="20"/>
                <w:szCs w:val="20"/>
              </w:rPr>
              <w:t>$33,393</w:t>
            </w:r>
          </w:p>
        </w:tc>
        <w:tc>
          <w:tcPr>
            <w:tcW w:w="1559" w:type="dxa"/>
            <w:tcBorders>
              <w:top w:val="nil"/>
              <w:left w:val="nil"/>
              <w:bottom w:val="single" w:sz="8" w:space="0" w:color="auto"/>
              <w:right w:val="single" w:sz="8" w:space="0" w:color="auto"/>
            </w:tcBorders>
            <w:shd w:val="clear" w:color="auto" w:fill="auto"/>
            <w:vAlign w:val="center"/>
            <w:hideMark/>
          </w:tcPr>
          <w:p w14:paraId="6A018E9C" w14:textId="5780F8CF" w:rsidR="002E4A9B" w:rsidRPr="00991C0E" w:rsidRDefault="002E4A9B" w:rsidP="00273B09">
            <w:pPr>
              <w:spacing w:before="80" w:after="80" w:line="240" w:lineRule="auto"/>
              <w:jc w:val="center"/>
              <w:rPr>
                <w:rFonts w:eastAsia="Times New Roman" w:cstheme="minorHAnsi"/>
                <w:color w:val="000000"/>
                <w:sz w:val="20"/>
                <w:szCs w:val="20"/>
              </w:rPr>
            </w:pPr>
            <w:r>
              <w:rPr>
                <w:rFonts w:ascii="Calibri" w:hAnsi="Calibri" w:cstheme="minorHAnsi"/>
                <w:color w:val="000000"/>
                <w:sz w:val="20"/>
                <w:szCs w:val="20"/>
              </w:rPr>
              <w:t>$31,365</w:t>
            </w:r>
          </w:p>
        </w:tc>
      </w:tr>
      <w:tr w:rsidR="006C0160" w:rsidRPr="00E94142" w14:paraId="509A2EC0" w14:textId="77777777" w:rsidTr="006C0160">
        <w:trPr>
          <w:trHeight w:val="348"/>
        </w:trPr>
        <w:tc>
          <w:tcPr>
            <w:tcW w:w="1266" w:type="dxa"/>
            <w:tcBorders>
              <w:top w:val="nil"/>
              <w:left w:val="single" w:sz="8" w:space="0" w:color="auto"/>
              <w:bottom w:val="single" w:sz="4" w:space="0" w:color="auto"/>
              <w:right w:val="single" w:sz="4" w:space="0" w:color="auto"/>
            </w:tcBorders>
            <w:shd w:val="clear" w:color="000000" w:fill="D6DCE4"/>
            <w:noWrap/>
            <w:vAlign w:val="center"/>
            <w:hideMark/>
          </w:tcPr>
          <w:p w14:paraId="30A561B2" w14:textId="77777777" w:rsidR="002E4A9B" w:rsidRPr="00991C0E" w:rsidRDefault="002E4A9B" w:rsidP="00273B09">
            <w:pPr>
              <w:spacing w:before="80" w:after="80" w:line="240" w:lineRule="auto"/>
              <w:jc w:val="center"/>
              <w:rPr>
                <w:rFonts w:eastAsia="Times New Roman" w:cstheme="minorHAnsi"/>
                <w:b/>
                <w:bCs/>
                <w:color w:val="000000"/>
                <w:sz w:val="20"/>
                <w:szCs w:val="20"/>
              </w:rPr>
            </w:pPr>
            <w:r w:rsidRPr="00991C0E">
              <w:rPr>
                <w:rFonts w:eastAsia="Times New Roman" w:cstheme="minorHAnsi"/>
                <w:b/>
                <w:bCs/>
                <w:color w:val="000000"/>
                <w:sz w:val="20"/>
                <w:szCs w:val="20"/>
              </w:rPr>
              <w:t>Current</w:t>
            </w:r>
          </w:p>
        </w:tc>
        <w:tc>
          <w:tcPr>
            <w:tcW w:w="1276" w:type="dxa"/>
            <w:tcBorders>
              <w:top w:val="nil"/>
              <w:left w:val="nil"/>
              <w:bottom w:val="single" w:sz="8" w:space="0" w:color="auto"/>
              <w:right w:val="single" w:sz="4" w:space="0" w:color="auto"/>
            </w:tcBorders>
            <w:shd w:val="clear" w:color="000000" w:fill="D6DCE4"/>
            <w:noWrap/>
            <w:vAlign w:val="center"/>
            <w:hideMark/>
          </w:tcPr>
          <w:p w14:paraId="53A1B14B" w14:textId="77777777" w:rsidR="002E4A9B" w:rsidRPr="00991C0E" w:rsidRDefault="002E4A9B" w:rsidP="00273B09">
            <w:pPr>
              <w:spacing w:before="80" w:after="80" w:line="240" w:lineRule="auto"/>
              <w:jc w:val="center"/>
              <w:rPr>
                <w:rFonts w:eastAsia="Times New Roman" w:cstheme="minorHAnsi"/>
                <w:color w:val="000000"/>
                <w:sz w:val="20"/>
                <w:szCs w:val="20"/>
              </w:rPr>
            </w:pPr>
            <w:r w:rsidRPr="00991C0E">
              <w:rPr>
                <w:rFonts w:eastAsia="Times New Roman" w:cstheme="minorHAnsi"/>
                <w:color w:val="000000"/>
                <w:sz w:val="20"/>
                <w:szCs w:val="20"/>
              </w:rPr>
              <w:t>$65,000</w:t>
            </w:r>
          </w:p>
        </w:tc>
        <w:tc>
          <w:tcPr>
            <w:tcW w:w="1134" w:type="dxa"/>
            <w:tcBorders>
              <w:top w:val="nil"/>
              <w:left w:val="nil"/>
              <w:bottom w:val="single" w:sz="8" w:space="0" w:color="auto"/>
              <w:right w:val="single" w:sz="4" w:space="0" w:color="auto"/>
            </w:tcBorders>
            <w:shd w:val="clear" w:color="000000" w:fill="D6DCE4"/>
            <w:noWrap/>
            <w:vAlign w:val="center"/>
            <w:hideMark/>
          </w:tcPr>
          <w:p w14:paraId="7D1B7CF5" w14:textId="5B405EE9" w:rsidR="002E4A9B" w:rsidRPr="00991C0E" w:rsidRDefault="002E4A9B" w:rsidP="00273B09">
            <w:pPr>
              <w:spacing w:before="80" w:after="80" w:line="240" w:lineRule="auto"/>
              <w:jc w:val="center"/>
              <w:rPr>
                <w:rFonts w:eastAsia="Times New Roman" w:cstheme="minorHAnsi"/>
                <w:b/>
                <w:bCs/>
                <w:color w:val="000000"/>
                <w:sz w:val="20"/>
                <w:szCs w:val="20"/>
              </w:rPr>
            </w:pPr>
          </w:p>
        </w:tc>
        <w:tc>
          <w:tcPr>
            <w:tcW w:w="992" w:type="dxa"/>
            <w:tcBorders>
              <w:top w:val="nil"/>
              <w:left w:val="nil"/>
              <w:bottom w:val="single" w:sz="8" w:space="0" w:color="auto"/>
              <w:right w:val="nil"/>
            </w:tcBorders>
            <w:shd w:val="clear" w:color="000000" w:fill="D6DCE4"/>
            <w:noWrap/>
            <w:vAlign w:val="center"/>
            <w:hideMark/>
          </w:tcPr>
          <w:p w14:paraId="2295C6BB" w14:textId="6E797DD3" w:rsidR="002E4A9B" w:rsidRPr="00991C0E" w:rsidRDefault="002E4A9B" w:rsidP="00273B09">
            <w:pPr>
              <w:spacing w:before="80" w:after="80" w:line="240" w:lineRule="auto"/>
              <w:jc w:val="center"/>
              <w:rPr>
                <w:rFonts w:eastAsia="Times New Roman" w:cstheme="minorHAnsi"/>
                <w:color w:val="000000"/>
                <w:sz w:val="20"/>
                <w:szCs w:val="20"/>
              </w:rPr>
            </w:pPr>
          </w:p>
        </w:tc>
        <w:tc>
          <w:tcPr>
            <w:tcW w:w="1276" w:type="dxa"/>
            <w:tcBorders>
              <w:top w:val="nil"/>
              <w:left w:val="single" w:sz="8" w:space="0" w:color="auto"/>
              <w:bottom w:val="single" w:sz="8" w:space="0" w:color="auto"/>
              <w:right w:val="single" w:sz="8" w:space="0" w:color="auto"/>
            </w:tcBorders>
            <w:shd w:val="clear" w:color="000000" w:fill="D6DCE4"/>
            <w:noWrap/>
            <w:vAlign w:val="center"/>
            <w:hideMark/>
          </w:tcPr>
          <w:p w14:paraId="66F5B3FF" w14:textId="7D78C48D" w:rsidR="002E4A9B" w:rsidRPr="00991C0E" w:rsidRDefault="002E4A9B" w:rsidP="00273B09">
            <w:pPr>
              <w:spacing w:before="80" w:after="80" w:line="240" w:lineRule="auto"/>
              <w:jc w:val="center"/>
              <w:rPr>
                <w:rFonts w:eastAsia="Times New Roman" w:cstheme="minorHAnsi"/>
                <w:color w:val="000000"/>
                <w:sz w:val="20"/>
                <w:szCs w:val="20"/>
              </w:rPr>
            </w:pPr>
            <w:r w:rsidRPr="00B46C1D">
              <w:rPr>
                <w:rFonts w:cstheme="minorHAnsi"/>
                <w:sz w:val="20"/>
                <w:szCs w:val="20"/>
              </w:rPr>
              <w:t>$65,000</w:t>
            </w:r>
          </w:p>
        </w:tc>
        <w:tc>
          <w:tcPr>
            <w:tcW w:w="850" w:type="dxa"/>
            <w:tcBorders>
              <w:top w:val="nil"/>
              <w:left w:val="nil"/>
              <w:bottom w:val="single" w:sz="8" w:space="0" w:color="auto"/>
              <w:right w:val="single" w:sz="4" w:space="0" w:color="auto"/>
            </w:tcBorders>
            <w:shd w:val="clear" w:color="000000" w:fill="D6DCE4"/>
            <w:noWrap/>
            <w:vAlign w:val="center"/>
            <w:hideMark/>
          </w:tcPr>
          <w:p w14:paraId="7B072316" w14:textId="38DD5101" w:rsidR="002E4A9B" w:rsidRPr="00991C0E" w:rsidRDefault="002E4A9B" w:rsidP="00273B09">
            <w:pPr>
              <w:spacing w:before="80" w:after="80" w:line="240" w:lineRule="auto"/>
              <w:jc w:val="center"/>
              <w:rPr>
                <w:rFonts w:eastAsia="Times New Roman" w:cstheme="minorHAnsi"/>
                <w:color w:val="000000"/>
                <w:sz w:val="20"/>
                <w:szCs w:val="20"/>
              </w:rPr>
            </w:pPr>
          </w:p>
        </w:tc>
        <w:tc>
          <w:tcPr>
            <w:tcW w:w="993" w:type="dxa"/>
            <w:tcBorders>
              <w:top w:val="nil"/>
              <w:left w:val="nil"/>
              <w:bottom w:val="single" w:sz="8" w:space="0" w:color="auto"/>
              <w:right w:val="single" w:sz="4" w:space="0" w:color="auto"/>
            </w:tcBorders>
            <w:shd w:val="clear" w:color="000000" w:fill="D6DCE4"/>
            <w:noWrap/>
            <w:vAlign w:val="center"/>
            <w:hideMark/>
          </w:tcPr>
          <w:p w14:paraId="5BDA00F2" w14:textId="20DB2223" w:rsidR="002E4A9B" w:rsidRPr="00991C0E" w:rsidRDefault="002E4A9B" w:rsidP="00273B09">
            <w:pPr>
              <w:spacing w:before="80" w:after="80" w:line="240" w:lineRule="auto"/>
              <w:jc w:val="center"/>
              <w:rPr>
                <w:rFonts w:eastAsia="Times New Roman" w:cstheme="minorHAnsi"/>
                <w:color w:val="000000"/>
                <w:sz w:val="20"/>
                <w:szCs w:val="20"/>
              </w:rPr>
            </w:pPr>
          </w:p>
        </w:tc>
        <w:tc>
          <w:tcPr>
            <w:tcW w:w="992" w:type="dxa"/>
            <w:tcBorders>
              <w:top w:val="nil"/>
              <w:left w:val="nil"/>
              <w:bottom w:val="single" w:sz="8" w:space="0" w:color="auto"/>
              <w:right w:val="single" w:sz="4" w:space="0" w:color="auto"/>
            </w:tcBorders>
            <w:shd w:val="clear" w:color="000000" w:fill="D6DCE4"/>
            <w:noWrap/>
            <w:vAlign w:val="center"/>
            <w:hideMark/>
          </w:tcPr>
          <w:p w14:paraId="55632ACA" w14:textId="16F87A8A" w:rsidR="002E4A9B" w:rsidRPr="00991C0E" w:rsidRDefault="002E4A9B" w:rsidP="00273B09">
            <w:pPr>
              <w:spacing w:before="80" w:after="80" w:line="240" w:lineRule="auto"/>
              <w:jc w:val="center"/>
              <w:rPr>
                <w:rFonts w:eastAsia="Times New Roman" w:cstheme="minorHAnsi"/>
                <w:color w:val="000000"/>
                <w:sz w:val="20"/>
                <w:szCs w:val="20"/>
              </w:rPr>
            </w:pPr>
          </w:p>
        </w:tc>
        <w:tc>
          <w:tcPr>
            <w:tcW w:w="1134" w:type="dxa"/>
            <w:tcBorders>
              <w:top w:val="nil"/>
              <w:left w:val="nil"/>
              <w:bottom w:val="single" w:sz="8" w:space="0" w:color="auto"/>
              <w:right w:val="single" w:sz="4" w:space="0" w:color="auto"/>
            </w:tcBorders>
            <w:shd w:val="clear" w:color="000000" w:fill="D6DCE4"/>
            <w:noWrap/>
            <w:vAlign w:val="center"/>
            <w:hideMark/>
          </w:tcPr>
          <w:p w14:paraId="586D7048" w14:textId="546BF83C" w:rsidR="002E4A9B" w:rsidRPr="00991C0E" w:rsidRDefault="002E4A9B" w:rsidP="00273B09">
            <w:pPr>
              <w:spacing w:before="80" w:after="80" w:line="240" w:lineRule="auto"/>
              <w:jc w:val="center"/>
              <w:rPr>
                <w:rFonts w:eastAsia="Times New Roman" w:cstheme="minorHAnsi"/>
                <w:color w:val="000000"/>
                <w:sz w:val="20"/>
                <w:szCs w:val="20"/>
              </w:rPr>
            </w:pPr>
          </w:p>
        </w:tc>
        <w:tc>
          <w:tcPr>
            <w:tcW w:w="1276" w:type="dxa"/>
            <w:tcBorders>
              <w:top w:val="nil"/>
              <w:left w:val="nil"/>
              <w:bottom w:val="single" w:sz="8" w:space="0" w:color="auto"/>
              <w:right w:val="single" w:sz="4" w:space="0" w:color="auto"/>
            </w:tcBorders>
            <w:shd w:val="clear" w:color="000000" w:fill="D6DCE4"/>
            <w:noWrap/>
            <w:vAlign w:val="center"/>
            <w:hideMark/>
          </w:tcPr>
          <w:p w14:paraId="79795F62" w14:textId="194B03F6" w:rsidR="002E4A9B" w:rsidRPr="00991C0E" w:rsidRDefault="002E4A9B" w:rsidP="00273B09">
            <w:pPr>
              <w:spacing w:before="80" w:after="80" w:line="240" w:lineRule="auto"/>
              <w:jc w:val="center"/>
              <w:rPr>
                <w:rFonts w:eastAsia="Times New Roman" w:cstheme="minorHAnsi"/>
                <w:color w:val="000000"/>
                <w:sz w:val="20"/>
                <w:szCs w:val="20"/>
              </w:rPr>
            </w:pPr>
            <w:r>
              <w:rPr>
                <w:rFonts w:ascii="Calibri" w:hAnsi="Calibri" w:cs="Calibri"/>
                <w:color w:val="000000"/>
                <w:sz w:val="22"/>
                <w:szCs w:val="22"/>
              </w:rPr>
              <w:t> </w:t>
            </w:r>
          </w:p>
        </w:tc>
        <w:tc>
          <w:tcPr>
            <w:tcW w:w="1275" w:type="dxa"/>
            <w:tcBorders>
              <w:top w:val="nil"/>
              <w:left w:val="nil"/>
              <w:bottom w:val="single" w:sz="8" w:space="0" w:color="auto"/>
              <w:right w:val="nil"/>
            </w:tcBorders>
            <w:shd w:val="clear" w:color="000000" w:fill="D6DCE4"/>
            <w:noWrap/>
            <w:vAlign w:val="center"/>
            <w:hideMark/>
          </w:tcPr>
          <w:p w14:paraId="404D1BA7" w14:textId="76E86423" w:rsidR="002E4A9B" w:rsidRPr="00991C0E" w:rsidRDefault="002E4A9B" w:rsidP="00273B09">
            <w:pPr>
              <w:spacing w:before="80" w:after="80" w:line="240" w:lineRule="auto"/>
              <w:jc w:val="center"/>
              <w:rPr>
                <w:rFonts w:eastAsia="Times New Roman" w:cstheme="minorHAnsi"/>
                <w:color w:val="000000"/>
                <w:sz w:val="20"/>
                <w:szCs w:val="20"/>
              </w:rPr>
            </w:pPr>
            <w:r>
              <w:rPr>
                <w:rFonts w:ascii="Calibri" w:hAnsi="Calibri" w:cs="Calibri"/>
                <w:color w:val="000000"/>
                <w:sz w:val="22"/>
                <w:szCs w:val="22"/>
              </w:rPr>
              <w:t> </w:t>
            </w:r>
          </w:p>
        </w:tc>
        <w:tc>
          <w:tcPr>
            <w:tcW w:w="1276" w:type="dxa"/>
            <w:tcBorders>
              <w:top w:val="nil"/>
              <w:left w:val="single" w:sz="8" w:space="0" w:color="auto"/>
              <w:bottom w:val="single" w:sz="8" w:space="0" w:color="auto"/>
              <w:right w:val="single" w:sz="8" w:space="0" w:color="auto"/>
            </w:tcBorders>
            <w:shd w:val="clear" w:color="000000" w:fill="D6DCE4"/>
            <w:noWrap/>
            <w:vAlign w:val="center"/>
            <w:hideMark/>
          </w:tcPr>
          <w:p w14:paraId="692AA29E" w14:textId="31D60188" w:rsidR="002E4A9B" w:rsidRPr="00991C0E" w:rsidRDefault="002E4A9B" w:rsidP="00273B09">
            <w:pPr>
              <w:spacing w:before="80" w:after="80" w:line="240" w:lineRule="auto"/>
              <w:jc w:val="center"/>
              <w:rPr>
                <w:rFonts w:eastAsia="Times New Roman" w:cstheme="minorHAnsi"/>
                <w:color w:val="000000"/>
                <w:sz w:val="20"/>
                <w:szCs w:val="20"/>
              </w:rPr>
            </w:pPr>
            <w:r>
              <w:rPr>
                <w:rFonts w:ascii="Calibri" w:hAnsi="Calibri" w:cs="Calibri"/>
                <w:color w:val="000000"/>
                <w:sz w:val="22"/>
                <w:szCs w:val="22"/>
              </w:rPr>
              <w:t> </w:t>
            </w:r>
          </w:p>
        </w:tc>
        <w:tc>
          <w:tcPr>
            <w:tcW w:w="1559" w:type="dxa"/>
            <w:tcBorders>
              <w:top w:val="nil"/>
              <w:left w:val="nil"/>
              <w:bottom w:val="single" w:sz="8" w:space="0" w:color="auto"/>
              <w:right w:val="single" w:sz="8" w:space="0" w:color="auto"/>
            </w:tcBorders>
            <w:shd w:val="clear" w:color="000000" w:fill="D6DCE4"/>
            <w:vAlign w:val="center"/>
            <w:hideMark/>
          </w:tcPr>
          <w:p w14:paraId="23AD7625" w14:textId="6375D5DB" w:rsidR="002E4A9B" w:rsidRPr="00273B09" w:rsidRDefault="002E4A9B" w:rsidP="00273B09">
            <w:pPr>
              <w:spacing w:before="80" w:after="80" w:line="240" w:lineRule="auto"/>
              <w:jc w:val="center"/>
              <w:rPr>
                <w:rFonts w:ascii="Calibri" w:hAnsi="Calibri" w:cs="Calibri"/>
                <w:color w:val="000000"/>
                <w:sz w:val="20"/>
                <w:szCs w:val="20"/>
              </w:rPr>
            </w:pPr>
            <w:r>
              <w:rPr>
                <w:rFonts w:ascii="Calibri" w:hAnsi="Calibri" w:cs="Calibri"/>
                <w:color w:val="000000"/>
                <w:sz w:val="20"/>
                <w:szCs w:val="20"/>
              </w:rPr>
              <w:t>$68,521</w:t>
            </w:r>
          </w:p>
        </w:tc>
      </w:tr>
      <w:tr w:rsidR="006C0160" w:rsidRPr="00714FD8" w14:paraId="4AB9A846" w14:textId="77777777" w:rsidTr="006C0160">
        <w:trPr>
          <w:trHeight w:val="288"/>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46005643" w14:textId="77777777" w:rsidR="002E4A9B" w:rsidRPr="00991C0E" w:rsidRDefault="002E4A9B" w:rsidP="00273B09">
            <w:pPr>
              <w:spacing w:before="80" w:after="80" w:line="240" w:lineRule="auto"/>
              <w:jc w:val="center"/>
              <w:rPr>
                <w:rFonts w:cstheme="minorHAnsi"/>
                <w:color w:val="000000"/>
                <w:sz w:val="20"/>
                <w:szCs w:val="20"/>
              </w:rPr>
            </w:pPr>
            <w:r w:rsidRPr="00991C0E">
              <w:rPr>
                <w:rFonts w:cstheme="minorHAnsi"/>
                <w:color w:val="000000"/>
                <w:sz w:val="20"/>
                <w:szCs w:val="20"/>
              </w:rPr>
              <w:t>E1</w:t>
            </w:r>
          </w:p>
        </w:tc>
        <w:tc>
          <w:tcPr>
            <w:tcW w:w="1276" w:type="dxa"/>
            <w:tcBorders>
              <w:top w:val="nil"/>
              <w:left w:val="nil"/>
              <w:bottom w:val="single" w:sz="4" w:space="0" w:color="auto"/>
              <w:right w:val="single" w:sz="4" w:space="0" w:color="auto"/>
            </w:tcBorders>
            <w:shd w:val="clear" w:color="auto" w:fill="auto"/>
            <w:noWrap/>
            <w:vAlign w:val="center"/>
            <w:hideMark/>
          </w:tcPr>
          <w:p w14:paraId="15FA325E" w14:textId="77777777" w:rsidR="002E4A9B" w:rsidRPr="00991C0E" w:rsidRDefault="002E4A9B" w:rsidP="00273B09">
            <w:pPr>
              <w:spacing w:before="80" w:after="80" w:line="240" w:lineRule="auto"/>
              <w:jc w:val="center"/>
              <w:rPr>
                <w:rFonts w:eastAsia="Times New Roman" w:cstheme="minorHAnsi"/>
                <w:color w:val="000000"/>
                <w:sz w:val="20"/>
                <w:szCs w:val="20"/>
              </w:rPr>
            </w:pPr>
            <w:r w:rsidRPr="00991C0E">
              <w:rPr>
                <w:rFonts w:eastAsia="Times New Roman" w:cstheme="minorHAnsi"/>
                <w:color w:val="000000"/>
                <w:sz w:val="20"/>
                <w:szCs w:val="20"/>
              </w:rPr>
              <w:t>$4,043</w:t>
            </w:r>
          </w:p>
        </w:tc>
        <w:tc>
          <w:tcPr>
            <w:tcW w:w="1134" w:type="dxa"/>
            <w:tcBorders>
              <w:top w:val="nil"/>
              <w:left w:val="nil"/>
              <w:bottom w:val="single" w:sz="4" w:space="0" w:color="auto"/>
              <w:right w:val="single" w:sz="4" w:space="0" w:color="auto"/>
            </w:tcBorders>
            <w:shd w:val="clear" w:color="auto" w:fill="auto"/>
            <w:noWrap/>
            <w:vAlign w:val="center"/>
            <w:hideMark/>
          </w:tcPr>
          <w:p w14:paraId="3A6AF473" w14:textId="77777777" w:rsidR="002E4A9B" w:rsidRPr="00991C0E" w:rsidRDefault="002E4A9B" w:rsidP="00273B09">
            <w:pPr>
              <w:spacing w:before="80" w:after="80" w:line="240" w:lineRule="auto"/>
              <w:jc w:val="center"/>
              <w:rPr>
                <w:rFonts w:cstheme="minorHAnsi"/>
                <w:color w:val="000000"/>
                <w:sz w:val="20"/>
                <w:szCs w:val="20"/>
              </w:rPr>
            </w:pPr>
            <w:r w:rsidRPr="00991C0E">
              <w:rPr>
                <w:rFonts w:cstheme="minorHAnsi"/>
                <w:color w:val="000000"/>
                <w:sz w:val="20"/>
                <w:szCs w:val="20"/>
              </w:rPr>
              <w:t>2</w:t>
            </w:r>
          </w:p>
        </w:tc>
        <w:tc>
          <w:tcPr>
            <w:tcW w:w="992" w:type="dxa"/>
            <w:tcBorders>
              <w:top w:val="nil"/>
              <w:left w:val="nil"/>
              <w:bottom w:val="single" w:sz="4" w:space="0" w:color="auto"/>
              <w:right w:val="nil"/>
            </w:tcBorders>
            <w:shd w:val="clear" w:color="auto" w:fill="auto"/>
            <w:noWrap/>
            <w:vAlign w:val="center"/>
            <w:hideMark/>
          </w:tcPr>
          <w:p w14:paraId="3430B160" w14:textId="30A70DA8" w:rsidR="002E4A9B" w:rsidRPr="00991C0E" w:rsidRDefault="002E4A9B" w:rsidP="00273B09">
            <w:pPr>
              <w:spacing w:before="80" w:after="80" w:line="240" w:lineRule="auto"/>
              <w:jc w:val="center"/>
              <w:rPr>
                <w:rFonts w:cstheme="minorHAnsi"/>
                <w:color w:val="000000"/>
                <w:sz w:val="20"/>
                <w:szCs w:val="20"/>
              </w:rPr>
            </w:pPr>
            <w:r w:rsidRPr="004B2E4D">
              <w:rPr>
                <w:rFonts w:cstheme="minorHAnsi"/>
                <w:sz w:val="20"/>
                <w:szCs w:val="20"/>
              </w:rPr>
              <w:t>0.70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B11824C" w14:textId="35FCAB3A" w:rsidR="002E4A9B" w:rsidRPr="00991C0E" w:rsidRDefault="002E4A9B" w:rsidP="00273B09">
            <w:pPr>
              <w:spacing w:before="80" w:after="80" w:line="240" w:lineRule="auto"/>
              <w:jc w:val="center"/>
              <w:rPr>
                <w:rFonts w:cstheme="minorHAnsi"/>
                <w:color w:val="000000"/>
                <w:sz w:val="20"/>
                <w:szCs w:val="20"/>
              </w:rPr>
            </w:pPr>
            <w:r w:rsidRPr="00B46C1D">
              <w:rPr>
                <w:rFonts w:cstheme="minorHAnsi"/>
                <w:sz w:val="20"/>
                <w:szCs w:val="20"/>
              </w:rPr>
              <w:t>$2,830</w:t>
            </w:r>
          </w:p>
        </w:tc>
        <w:tc>
          <w:tcPr>
            <w:tcW w:w="850" w:type="dxa"/>
            <w:tcBorders>
              <w:top w:val="nil"/>
              <w:left w:val="nil"/>
              <w:bottom w:val="single" w:sz="4" w:space="0" w:color="auto"/>
              <w:right w:val="single" w:sz="4" w:space="0" w:color="auto"/>
            </w:tcBorders>
            <w:shd w:val="clear" w:color="auto" w:fill="auto"/>
            <w:noWrap/>
            <w:vAlign w:val="center"/>
            <w:hideMark/>
          </w:tcPr>
          <w:p w14:paraId="79C06FF4" w14:textId="6C42240A" w:rsidR="002E4A9B" w:rsidRPr="00991C0E" w:rsidRDefault="002E4A9B" w:rsidP="00273B09">
            <w:pPr>
              <w:spacing w:before="80" w:after="80" w:line="240" w:lineRule="auto"/>
              <w:jc w:val="center"/>
              <w:rPr>
                <w:rFonts w:cstheme="minorHAnsi"/>
                <w:color w:val="000000"/>
                <w:sz w:val="20"/>
                <w:szCs w:val="20"/>
              </w:rPr>
            </w:pPr>
            <w:r w:rsidRPr="00B46C1D">
              <w:rPr>
                <w:rFonts w:cstheme="minorHAnsi"/>
                <w:sz w:val="20"/>
                <w:szCs w:val="20"/>
              </w:rPr>
              <w:t>FoC</w:t>
            </w:r>
          </w:p>
        </w:tc>
        <w:tc>
          <w:tcPr>
            <w:tcW w:w="993" w:type="dxa"/>
            <w:tcBorders>
              <w:top w:val="nil"/>
              <w:left w:val="nil"/>
              <w:bottom w:val="single" w:sz="4" w:space="0" w:color="auto"/>
              <w:right w:val="single" w:sz="4" w:space="0" w:color="auto"/>
            </w:tcBorders>
            <w:shd w:val="clear" w:color="auto" w:fill="auto"/>
            <w:noWrap/>
            <w:vAlign w:val="center"/>
            <w:hideMark/>
          </w:tcPr>
          <w:p w14:paraId="6693D561" w14:textId="30B40000" w:rsidR="002E4A9B" w:rsidRPr="00991C0E" w:rsidRDefault="002E4A9B" w:rsidP="00273B09">
            <w:pPr>
              <w:spacing w:before="80" w:after="80" w:line="240" w:lineRule="auto"/>
              <w:jc w:val="center"/>
              <w:rPr>
                <w:rFonts w:cstheme="minorHAnsi"/>
                <w:color w:val="000000"/>
                <w:sz w:val="20"/>
                <w:szCs w:val="20"/>
              </w:rPr>
            </w:pPr>
            <w:r w:rsidRPr="00B46C1D">
              <w:rPr>
                <w:rFonts w:cstheme="minorHAnsi"/>
                <w:sz w:val="20"/>
                <w:szCs w:val="20"/>
              </w:rPr>
              <w:t>0.115</w:t>
            </w:r>
          </w:p>
        </w:tc>
        <w:tc>
          <w:tcPr>
            <w:tcW w:w="992" w:type="dxa"/>
            <w:tcBorders>
              <w:top w:val="nil"/>
              <w:left w:val="nil"/>
              <w:bottom w:val="single" w:sz="4" w:space="0" w:color="auto"/>
              <w:right w:val="single" w:sz="4" w:space="0" w:color="auto"/>
            </w:tcBorders>
            <w:shd w:val="clear" w:color="auto" w:fill="auto"/>
            <w:noWrap/>
            <w:vAlign w:val="center"/>
            <w:hideMark/>
          </w:tcPr>
          <w:p w14:paraId="506DE040" w14:textId="28655E54" w:rsidR="002E4A9B" w:rsidRPr="00991C0E" w:rsidRDefault="002E4A9B" w:rsidP="00273B09">
            <w:pPr>
              <w:spacing w:before="80" w:after="80" w:line="240" w:lineRule="auto"/>
              <w:jc w:val="center"/>
              <w:rPr>
                <w:rFonts w:cstheme="minorHAnsi"/>
                <w:color w:val="000000"/>
                <w:sz w:val="20"/>
                <w:szCs w:val="20"/>
              </w:rPr>
            </w:pPr>
            <w:r w:rsidRPr="004B2E4D">
              <w:rPr>
                <w:rFonts w:cstheme="minorHAnsi"/>
                <w:sz w:val="20"/>
                <w:szCs w:val="20"/>
              </w:rPr>
              <w:t>0.02464</w:t>
            </w:r>
          </w:p>
        </w:tc>
        <w:tc>
          <w:tcPr>
            <w:tcW w:w="1134" w:type="dxa"/>
            <w:tcBorders>
              <w:top w:val="nil"/>
              <w:left w:val="nil"/>
              <w:bottom w:val="single" w:sz="4" w:space="0" w:color="auto"/>
              <w:right w:val="single" w:sz="4" w:space="0" w:color="auto"/>
            </w:tcBorders>
            <w:shd w:val="clear" w:color="auto" w:fill="auto"/>
            <w:noWrap/>
            <w:vAlign w:val="center"/>
            <w:hideMark/>
          </w:tcPr>
          <w:p w14:paraId="2240D450" w14:textId="07FD31AF" w:rsidR="002E4A9B" w:rsidRPr="00991C0E" w:rsidRDefault="002E4A9B" w:rsidP="00273B09">
            <w:pPr>
              <w:spacing w:before="80" w:after="80" w:line="240" w:lineRule="auto"/>
              <w:jc w:val="center"/>
              <w:rPr>
                <w:rFonts w:cstheme="minorHAnsi"/>
                <w:color w:val="000000"/>
                <w:sz w:val="20"/>
                <w:szCs w:val="20"/>
              </w:rPr>
            </w:pPr>
            <w:r w:rsidRPr="004B2E4D">
              <w:rPr>
                <w:rFonts w:cstheme="minorHAnsi"/>
                <w:sz w:val="20"/>
                <w:szCs w:val="20"/>
              </w:rPr>
              <w:t>0.07668</w:t>
            </w:r>
          </w:p>
        </w:tc>
        <w:tc>
          <w:tcPr>
            <w:tcW w:w="1276" w:type="dxa"/>
            <w:tcBorders>
              <w:top w:val="nil"/>
              <w:left w:val="nil"/>
              <w:bottom w:val="single" w:sz="4" w:space="0" w:color="auto"/>
              <w:right w:val="single" w:sz="4" w:space="0" w:color="auto"/>
            </w:tcBorders>
            <w:shd w:val="clear" w:color="auto" w:fill="auto"/>
            <w:noWrap/>
            <w:vAlign w:val="center"/>
            <w:hideMark/>
          </w:tcPr>
          <w:p w14:paraId="2C1DCB78" w14:textId="5F4F6891" w:rsidR="002E4A9B" w:rsidRPr="00991C0E" w:rsidRDefault="002E4A9B" w:rsidP="00273B09">
            <w:pPr>
              <w:spacing w:before="80" w:after="80" w:line="240" w:lineRule="auto"/>
              <w:jc w:val="center"/>
              <w:rPr>
                <w:rFonts w:cstheme="minorHAnsi"/>
                <w:color w:val="000000"/>
                <w:sz w:val="20"/>
                <w:szCs w:val="20"/>
              </w:rPr>
            </w:pPr>
            <w:r>
              <w:rPr>
                <w:rFonts w:ascii="Calibri" w:hAnsi="Calibri" w:cstheme="minorHAnsi"/>
                <w:color w:val="000000"/>
                <w:sz w:val="20"/>
                <w:szCs w:val="20"/>
              </w:rPr>
              <w:t>0.097344</w:t>
            </w:r>
          </w:p>
        </w:tc>
        <w:tc>
          <w:tcPr>
            <w:tcW w:w="1275" w:type="dxa"/>
            <w:tcBorders>
              <w:top w:val="nil"/>
              <w:left w:val="nil"/>
              <w:bottom w:val="single" w:sz="4" w:space="0" w:color="auto"/>
              <w:right w:val="nil"/>
            </w:tcBorders>
            <w:shd w:val="clear" w:color="auto" w:fill="auto"/>
            <w:noWrap/>
            <w:vAlign w:val="center"/>
            <w:hideMark/>
          </w:tcPr>
          <w:p w14:paraId="0E137C3C" w14:textId="71A81E6B" w:rsidR="002E4A9B" w:rsidRPr="00991C0E" w:rsidRDefault="002E4A9B" w:rsidP="00273B09">
            <w:pPr>
              <w:spacing w:before="80" w:after="80" w:line="240" w:lineRule="auto"/>
              <w:jc w:val="center"/>
              <w:rPr>
                <w:rFonts w:cstheme="minorHAnsi"/>
                <w:color w:val="000000"/>
                <w:sz w:val="20"/>
                <w:szCs w:val="20"/>
              </w:rPr>
            </w:pPr>
            <w:r>
              <w:rPr>
                <w:rFonts w:ascii="Calibri" w:hAnsi="Calibri" w:cstheme="minorHAnsi"/>
                <w:color w:val="000000"/>
                <w:sz w:val="20"/>
                <w:szCs w:val="20"/>
              </w:rPr>
              <w:t>$275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C91C1C5" w14:textId="7139E604" w:rsidR="002E4A9B" w:rsidRPr="00991C0E" w:rsidRDefault="002E4A9B" w:rsidP="00273B09">
            <w:pPr>
              <w:spacing w:before="80" w:after="80" w:line="240" w:lineRule="auto"/>
              <w:jc w:val="center"/>
              <w:rPr>
                <w:rFonts w:cstheme="minorHAnsi"/>
                <w:color w:val="000000"/>
                <w:sz w:val="20"/>
                <w:szCs w:val="20"/>
              </w:rPr>
            </w:pPr>
            <w:r>
              <w:rPr>
                <w:rFonts w:ascii="Calibri" w:hAnsi="Calibri" w:cstheme="minorHAnsi"/>
                <w:color w:val="000000"/>
                <w:sz w:val="20"/>
                <w:szCs w:val="20"/>
              </w:rPr>
              <w:t>$3,105</w:t>
            </w:r>
          </w:p>
        </w:tc>
        <w:tc>
          <w:tcPr>
            <w:tcW w:w="1559" w:type="dxa"/>
            <w:tcBorders>
              <w:top w:val="nil"/>
              <w:left w:val="nil"/>
              <w:bottom w:val="single" w:sz="4" w:space="0" w:color="auto"/>
              <w:right w:val="single" w:sz="8" w:space="0" w:color="auto"/>
            </w:tcBorders>
            <w:shd w:val="clear" w:color="auto" w:fill="auto"/>
            <w:vAlign w:val="center"/>
            <w:hideMark/>
          </w:tcPr>
          <w:p w14:paraId="1EC37058" w14:textId="40B2C1AB" w:rsidR="002E4A9B" w:rsidRPr="00991C0E" w:rsidRDefault="002E4A9B" w:rsidP="00273B09">
            <w:pPr>
              <w:spacing w:before="80" w:after="80" w:line="240" w:lineRule="auto"/>
              <w:jc w:val="center"/>
              <w:rPr>
                <w:rFonts w:eastAsia="Times New Roman" w:cstheme="minorHAnsi"/>
                <w:color w:val="000000"/>
                <w:sz w:val="20"/>
                <w:szCs w:val="20"/>
              </w:rPr>
            </w:pPr>
            <w:r>
              <w:rPr>
                <w:rFonts w:ascii="Calibri" w:hAnsi="Calibri" w:cstheme="minorHAnsi"/>
                <w:color w:val="000000"/>
                <w:sz w:val="20"/>
                <w:szCs w:val="20"/>
              </w:rPr>
              <w:t>$2,881</w:t>
            </w:r>
          </w:p>
        </w:tc>
      </w:tr>
      <w:tr w:rsidR="006C0160" w:rsidRPr="00714FD8" w14:paraId="637D2BC3" w14:textId="77777777" w:rsidTr="006C0160">
        <w:trPr>
          <w:trHeight w:val="288"/>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4F796A22" w14:textId="77777777" w:rsidR="002E4A9B" w:rsidRPr="00991C0E" w:rsidRDefault="002E4A9B" w:rsidP="00273B09">
            <w:pPr>
              <w:spacing w:before="80" w:after="80" w:line="240" w:lineRule="auto"/>
              <w:jc w:val="center"/>
              <w:rPr>
                <w:rFonts w:eastAsia="Times New Roman" w:cstheme="minorHAnsi"/>
                <w:color w:val="000000"/>
                <w:sz w:val="20"/>
                <w:szCs w:val="20"/>
              </w:rPr>
            </w:pPr>
            <w:r w:rsidRPr="00991C0E">
              <w:rPr>
                <w:rFonts w:eastAsia="Times New Roman" w:cstheme="minorHAnsi"/>
                <w:color w:val="000000"/>
                <w:sz w:val="20"/>
                <w:szCs w:val="20"/>
              </w:rPr>
              <w:t>F1</w:t>
            </w:r>
          </w:p>
        </w:tc>
        <w:tc>
          <w:tcPr>
            <w:tcW w:w="1276" w:type="dxa"/>
            <w:tcBorders>
              <w:top w:val="nil"/>
              <w:left w:val="nil"/>
              <w:bottom w:val="single" w:sz="4" w:space="0" w:color="auto"/>
              <w:right w:val="single" w:sz="4" w:space="0" w:color="auto"/>
            </w:tcBorders>
            <w:shd w:val="clear" w:color="auto" w:fill="auto"/>
            <w:noWrap/>
            <w:vAlign w:val="center"/>
            <w:hideMark/>
          </w:tcPr>
          <w:p w14:paraId="7FE978FB" w14:textId="77777777" w:rsidR="002E4A9B" w:rsidRPr="00991C0E" w:rsidRDefault="002E4A9B" w:rsidP="00273B09">
            <w:pPr>
              <w:spacing w:before="80" w:after="80" w:line="240" w:lineRule="auto"/>
              <w:jc w:val="center"/>
              <w:rPr>
                <w:rFonts w:eastAsia="Times New Roman" w:cstheme="minorHAnsi"/>
                <w:color w:val="000000"/>
                <w:sz w:val="20"/>
                <w:szCs w:val="20"/>
              </w:rPr>
            </w:pPr>
            <w:r w:rsidRPr="00991C0E">
              <w:rPr>
                <w:rFonts w:eastAsia="Times New Roman" w:cstheme="minorHAnsi"/>
                <w:color w:val="000000"/>
                <w:sz w:val="20"/>
                <w:szCs w:val="20"/>
              </w:rPr>
              <w:t>$6,800</w:t>
            </w:r>
          </w:p>
        </w:tc>
        <w:tc>
          <w:tcPr>
            <w:tcW w:w="1134" w:type="dxa"/>
            <w:tcBorders>
              <w:top w:val="nil"/>
              <w:left w:val="nil"/>
              <w:bottom w:val="single" w:sz="4" w:space="0" w:color="auto"/>
              <w:right w:val="single" w:sz="4" w:space="0" w:color="auto"/>
            </w:tcBorders>
            <w:shd w:val="clear" w:color="auto" w:fill="auto"/>
            <w:noWrap/>
            <w:vAlign w:val="center"/>
            <w:hideMark/>
          </w:tcPr>
          <w:p w14:paraId="3AD34532" w14:textId="77777777" w:rsidR="002E4A9B" w:rsidRPr="00991C0E" w:rsidRDefault="002E4A9B" w:rsidP="00273B09">
            <w:pPr>
              <w:spacing w:before="80" w:after="80" w:line="240" w:lineRule="auto"/>
              <w:jc w:val="center"/>
              <w:rPr>
                <w:rFonts w:eastAsia="Times New Roman" w:cstheme="minorHAnsi"/>
                <w:color w:val="000000"/>
                <w:sz w:val="20"/>
                <w:szCs w:val="20"/>
              </w:rPr>
            </w:pPr>
            <w:r w:rsidRPr="00991C0E">
              <w:rPr>
                <w:rFonts w:eastAsia="Times New Roman" w:cstheme="minorHAnsi"/>
                <w:color w:val="000000"/>
                <w:sz w:val="20"/>
                <w:szCs w:val="20"/>
              </w:rPr>
              <w:t>3</w:t>
            </w:r>
          </w:p>
        </w:tc>
        <w:tc>
          <w:tcPr>
            <w:tcW w:w="992" w:type="dxa"/>
            <w:tcBorders>
              <w:top w:val="nil"/>
              <w:left w:val="nil"/>
              <w:bottom w:val="single" w:sz="4" w:space="0" w:color="auto"/>
              <w:right w:val="nil"/>
            </w:tcBorders>
            <w:shd w:val="clear" w:color="auto" w:fill="auto"/>
            <w:noWrap/>
            <w:vAlign w:val="center"/>
            <w:hideMark/>
          </w:tcPr>
          <w:p w14:paraId="56126D7F" w14:textId="5363452E" w:rsidR="002E4A9B" w:rsidRPr="00991C0E" w:rsidRDefault="002E4A9B" w:rsidP="00273B09">
            <w:pPr>
              <w:spacing w:before="80" w:after="80" w:line="240" w:lineRule="auto"/>
              <w:jc w:val="center"/>
              <w:rPr>
                <w:rFonts w:eastAsia="Times New Roman" w:cstheme="minorHAnsi"/>
                <w:color w:val="000000"/>
                <w:sz w:val="20"/>
                <w:szCs w:val="20"/>
              </w:rPr>
            </w:pPr>
            <w:r w:rsidRPr="00A94668">
              <w:rPr>
                <w:rFonts w:cstheme="minorHAnsi"/>
                <w:sz w:val="20"/>
                <w:szCs w:val="20"/>
              </w:rPr>
              <w:t>0.76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BFF9547" w14:textId="5604113C" w:rsidR="002E4A9B" w:rsidRPr="00991C0E" w:rsidRDefault="002E4A9B" w:rsidP="00273B09">
            <w:pPr>
              <w:spacing w:before="80" w:after="80" w:line="240" w:lineRule="auto"/>
              <w:jc w:val="center"/>
              <w:rPr>
                <w:rFonts w:eastAsia="Times New Roman" w:cstheme="minorHAnsi"/>
                <w:color w:val="000000"/>
                <w:sz w:val="20"/>
                <w:szCs w:val="20"/>
              </w:rPr>
            </w:pPr>
            <w:r w:rsidRPr="00A94668">
              <w:rPr>
                <w:rFonts w:cstheme="minorHAnsi"/>
                <w:sz w:val="20"/>
                <w:szCs w:val="20"/>
              </w:rPr>
              <w:t>$5,168</w:t>
            </w:r>
          </w:p>
        </w:tc>
        <w:tc>
          <w:tcPr>
            <w:tcW w:w="850" w:type="dxa"/>
            <w:tcBorders>
              <w:top w:val="nil"/>
              <w:left w:val="nil"/>
              <w:bottom w:val="single" w:sz="4" w:space="0" w:color="auto"/>
              <w:right w:val="single" w:sz="4" w:space="0" w:color="auto"/>
            </w:tcBorders>
            <w:shd w:val="clear" w:color="auto" w:fill="auto"/>
            <w:noWrap/>
            <w:vAlign w:val="center"/>
            <w:hideMark/>
          </w:tcPr>
          <w:p w14:paraId="370E8D1A" w14:textId="1A10E54F" w:rsidR="002E4A9B" w:rsidRPr="00991C0E" w:rsidRDefault="002E4A9B" w:rsidP="00273B09">
            <w:pPr>
              <w:spacing w:before="80" w:after="80" w:line="240" w:lineRule="auto"/>
              <w:jc w:val="center"/>
              <w:rPr>
                <w:rFonts w:eastAsia="Times New Roman" w:cstheme="minorHAnsi"/>
                <w:color w:val="000000"/>
                <w:sz w:val="20"/>
                <w:szCs w:val="20"/>
              </w:rPr>
            </w:pPr>
            <w:r w:rsidRPr="00A94668">
              <w:rPr>
                <w:rFonts w:cstheme="minorHAnsi"/>
                <w:sz w:val="20"/>
                <w:szCs w:val="20"/>
              </w:rPr>
              <w:t>PSSAP</w:t>
            </w:r>
          </w:p>
        </w:tc>
        <w:tc>
          <w:tcPr>
            <w:tcW w:w="993" w:type="dxa"/>
            <w:tcBorders>
              <w:top w:val="nil"/>
              <w:left w:val="nil"/>
              <w:bottom w:val="single" w:sz="4" w:space="0" w:color="auto"/>
              <w:right w:val="single" w:sz="4" w:space="0" w:color="auto"/>
            </w:tcBorders>
            <w:shd w:val="clear" w:color="auto" w:fill="auto"/>
            <w:noWrap/>
            <w:vAlign w:val="center"/>
            <w:hideMark/>
          </w:tcPr>
          <w:p w14:paraId="4447DCC9" w14:textId="46DAAF9E" w:rsidR="002E4A9B" w:rsidRPr="00991C0E" w:rsidRDefault="002E4A9B" w:rsidP="00273B09">
            <w:pPr>
              <w:spacing w:before="80" w:after="80" w:line="240" w:lineRule="auto"/>
              <w:jc w:val="center"/>
              <w:rPr>
                <w:rFonts w:eastAsia="Times New Roman" w:cstheme="minorHAnsi"/>
                <w:color w:val="000000"/>
                <w:sz w:val="20"/>
                <w:szCs w:val="20"/>
              </w:rPr>
            </w:pPr>
            <w:r w:rsidRPr="00A94668">
              <w:rPr>
                <w:rFonts w:cstheme="minorHAnsi"/>
                <w:sz w:val="20"/>
                <w:szCs w:val="20"/>
              </w:rPr>
              <w:t>0.154</w:t>
            </w:r>
          </w:p>
        </w:tc>
        <w:tc>
          <w:tcPr>
            <w:tcW w:w="992" w:type="dxa"/>
            <w:tcBorders>
              <w:top w:val="nil"/>
              <w:left w:val="nil"/>
              <w:bottom w:val="single" w:sz="4" w:space="0" w:color="auto"/>
              <w:right w:val="single" w:sz="4" w:space="0" w:color="auto"/>
            </w:tcBorders>
            <w:shd w:val="clear" w:color="auto" w:fill="auto"/>
            <w:noWrap/>
            <w:vAlign w:val="center"/>
            <w:hideMark/>
          </w:tcPr>
          <w:p w14:paraId="13EDE9A8" w14:textId="18FE56E0" w:rsidR="002E4A9B" w:rsidRPr="00991C0E" w:rsidRDefault="002E4A9B" w:rsidP="00273B09">
            <w:pPr>
              <w:spacing w:before="80" w:after="80" w:line="240" w:lineRule="auto"/>
              <w:jc w:val="center"/>
              <w:rPr>
                <w:rFonts w:eastAsia="Times New Roman" w:cstheme="minorHAnsi"/>
                <w:color w:val="000000"/>
                <w:sz w:val="20"/>
                <w:szCs w:val="20"/>
              </w:rPr>
            </w:pPr>
            <w:r w:rsidRPr="00A94668">
              <w:rPr>
                <w:rFonts w:cstheme="minorHAnsi"/>
                <w:sz w:val="20"/>
                <w:szCs w:val="20"/>
              </w:rPr>
              <w:t>0.02464</w:t>
            </w:r>
          </w:p>
        </w:tc>
        <w:tc>
          <w:tcPr>
            <w:tcW w:w="1134" w:type="dxa"/>
            <w:tcBorders>
              <w:top w:val="nil"/>
              <w:left w:val="nil"/>
              <w:bottom w:val="single" w:sz="4" w:space="0" w:color="auto"/>
              <w:right w:val="single" w:sz="4" w:space="0" w:color="auto"/>
            </w:tcBorders>
            <w:shd w:val="clear" w:color="auto" w:fill="auto"/>
            <w:noWrap/>
            <w:vAlign w:val="center"/>
            <w:hideMark/>
          </w:tcPr>
          <w:p w14:paraId="29299552" w14:textId="6D3AB66D" w:rsidR="002E4A9B" w:rsidRPr="00991C0E" w:rsidRDefault="002E4A9B" w:rsidP="00273B09">
            <w:pPr>
              <w:spacing w:before="80" w:after="80" w:line="240" w:lineRule="auto"/>
              <w:jc w:val="center"/>
              <w:rPr>
                <w:rFonts w:eastAsia="Times New Roman" w:cstheme="minorHAnsi"/>
                <w:color w:val="000000"/>
                <w:sz w:val="20"/>
                <w:szCs w:val="20"/>
              </w:rPr>
            </w:pPr>
            <w:r w:rsidRPr="00A94668">
              <w:rPr>
                <w:rFonts w:cstheme="minorHAnsi"/>
                <w:sz w:val="20"/>
                <w:szCs w:val="20"/>
              </w:rPr>
              <w:t>0.07668</w:t>
            </w:r>
          </w:p>
        </w:tc>
        <w:tc>
          <w:tcPr>
            <w:tcW w:w="1276" w:type="dxa"/>
            <w:tcBorders>
              <w:top w:val="nil"/>
              <w:left w:val="nil"/>
              <w:bottom w:val="single" w:sz="4" w:space="0" w:color="auto"/>
              <w:right w:val="single" w:sz="4" w:space="0" w:color="auto"/>
            </w:tcBorders>
            <w:shd w:val="clear" w:color="auto" w:fill="auto"/>
            <w:noWrap/>
            <w:vAlign w:val="center"/>
            <w:hideMark/>
          </w:tcPr>
          <w:p w14:paraId="3B52229C" w14:textId="517E28D6" w:rsidR="002E4A9B" w:rsidRPr="00991C0E" w:rsidRDefault="002E4A9B" w:rsidP="00273B09">
            <w:pPr>
              <w:spacing w:before="80" w:after="80" w:line="240" w:lineRule="auto"/>
              <w:jc w:val="center"/>
              <w:rPr>
                <w:rFonts w:eastAsia="Times New Roman" w:cstheme="minorHAnsi"/>
                <w:color w:val="000000"/>
                <w:sz w:val="20"/>
                <w:szCs w:val="20"/>
              </w:rPr>
            </w:pPr>
            <w:r>
              <w:rPr>
                <w:rFonts w:ascii="Calibri" w:hAnsi="Calibri" w:cstheme="minorHAnsi"/>
                <w:color w:val="000000"/>
                <w:sz w:val="20"/>
                <w:szCs w:val="20"/>
              </w:rPr>
              <w:t>0.114894</w:t>
            </w:r>
          </w:p>
        </w:tc>
        <w:tc>
          <w:tcPr>
            <w:tcW w:w="1275" w:type="dxa"/>
            <w:tcBorders>
              <w:top w:val="nil"/>
              <w:left w:val="nil"/>
              <w:bottom w:val="single" w:sz="4" w:space="0" w:color="auto"/>
              <w:right w:val="nil"/>
            </w:tcBorders>
            <w:shd w:val="clear" w:color="auto" w:fill="auto"/>
            <w:noWrap/>
            <w:vAlign w:val="center"/>
            <w:hideMark/>
          </w:tcPr>
          <w:p w14:paraId="5906A0DF" w14:textId="02234F87" w:rsidR="002E4A9B" w:rsidRPr="00991C0E" w:rsidRDefault="002E4A9B" w:rsidP="00273B09">
            <w:pPr>
              <w:spacing w:before="80" w:after="80" w:line="240" w:lineRule="auto"/>
              <w:jc w:val="center"/>
              <w:rPr>
                <w:rFonts w:eastAsia="Times New Roman" w:cstheme="minorHAnsi"/>
                <w:color w:val="000000"/>
                <w:sz w:val="20"/>
                <w:szCs w:val="20"/>
              </w:rPr>
            </w:pPr>
            <w:r>
              <w:rPr>
                <w:rFonts w:ascii="Calibri" w:hAnsi="Calibri" w:cstheme="minorHAnsi"/>
                <w:color w:val="000000"/>
                <w:sz w:val="20"/>
                <w:szCs w:val="20"/>
              </w:rPr>
              <w:t>$594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E5681EC" w14:textId="11B94004" w:rsidR="002E4A9B" w:rsidRPr="00991C0E" w:rsidRDefault="002E4A9B" w:rsidP="00273B09">
            <w:pPr>
              <w:spacing w:before="80" w:after="80" w:line="240" w:lineRule="auto"/>
              <w:jc w:val="center"/>
              <w:rPr>
                <w:rFonts w:eastAsia="Times New Roman" w:cstheme="minorHAnsi"/>
                <w:color w:val="000000"/>
                <w:sz w:val="20"/>
                <w:szCs w:val="20"/>
              </w:rPr>
            </w:pPr>
            <w:r>
              <w:rPr>
                <w:rFonts w:ascii="Calibri" w:hAnsi="Calibri" w:cstheme="minorHAnsi"/>
                <w:color w:val="000000"/>
                <w:sz w:val="20"/>
                <w:szCs w:val="20"/>
              </w:rPr>
              <w:t>$5,762</w:t>
            </w:r>
          </w:p>
        </w:tc>
        <w:tc>
          <w:tcPr>
            <w:tcW w:w="1559" w:type="dxa"/>
            <w:tcBorders>
              <w:top w:val="nil"/>
              <w:left w:val="nil"/>
              <w:bottom w:val="single" w:sz="4" w:space="0" w:color="auto"/>
              <w:right w:val="single" w:sz="8" w:space="0" w:color="auto"/>
            </w:tcBorders>
            <w:shd w:val="clear" w:color="auto" w:fill="auto"/>
            <w:vAlign w:val="center"/>
            <w:hideMark/>
          </w:tcPr>
          <w:p w14:paraId="07C31EB1" w14:textId="0FC2FBEA" w:rsidR="002E4A9B" w:rsidRPr="00991C0E" w:rsidRDefault="002E4A9B" w:rsidP="00273B09">
            <w:pPr>
              <w:spacing w:before="80" w:after="80" w:line="240" w:lineRule="auto"/>
              <w:jc w:val="center"/>
              <w:rPr>
                <w:rFonts w:eastAsia="Times New Roman" w:cstheme="minorHAnsi"/>
                <w:color w:val="000000"/>
                <w:sz w:val="20"/>
                <w:szCs w:val="20"/>
              </w:rPr>
            </w:pPr>
            <w:r>
              <w:rPr>
                <w:rFonts w:ascii="Calibri" w:hAnsi="Calibri" w:cstheme="minorHAnsi"/>
                <w:color w:val="000000"/>
                <w:sz w:val="20"/>
                <w:szCs w:val="20"/>
              </w:rPr>
              <w:t>$5,347</w:t>
            </w:r>
          </w:p>
        </w:tc>
      </w:tr>
      <w:tr w:rsidR="006C0160" w:rsidRPr="00714FD8" w14:paraId="681A622F" w14:textId="77777777" w:rsidTr="006C0160">
        <w:trPr>
          <w:trHeight w:val="288"/>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5404D246" w14:textId="77777777" w:rsidR="002E4A9B" w:rsidRPr="00991C0E" w:rsidRDefault="002E4A9B" w:rsidP="00273B09">
            <w:pPr>
              <w:spacing w:before="80" w:after="80" w:line="240" w:lineRule="auto"/>
              <w:jc w:val="center"/>
              <w:rPr>
                <w:rFonts w:cstheme="minorHAnsi"/>
                <w:color w:val="000000"/>
                <w:sz w:val="20"/>
                <w:szCs w:val="20"/>
              </w:rPr>
            </w:pPr>
            <w:r w:rsidRPr="00991C0E">
              <w:rPr>
                <w:rFonts w:eastAsia="Times New Roman" w:cstheme="minorHAnsi"/>
                <w:color w:val="000000"/>
                <w:sz w:val="20"/>
                <w:szCs w:val="20"/>
              </w:rPr>
              <w:t>G1</w:t>
            </w:r>
          </w:p>
        </w:tc>
        <w:tc>
          <w:tcPr>
            <w:tcW w:w="1276" w:type="dxa"/>
            <w:tcBorders>
              <w:top w:val="nil"/>
              <w:left w:val="nil"/>
              <w:bottom w:val="single" w:sz="4" w:space="0" w:color="auto"/>
              <w:right w:val="single" w:sz="4" w:space="0" w:color="auto"/>
            </w:tcBorders>
            <w:shd w:val="clear" w:color="auto" w:fill="auto"/>
            <w:noWrap/>
            <w:vAlign w:val="center"/>
            <w:hideMark/>
          </w:tcPr>
          <w:p w14:paraId="580399A0" w14:textId="77777777" w:rsidR="002E4A9B" w:rsidRPr="00991C0E" w:rsidRDefault="002E4A9B" w:rsidP="00273B09">
            <w:pPr>
              <w:spacing w:before="80" w:after="80" w:line="240" w:lineRule="auto"/>
              <w:jc w:val="center"/>
              <w:rPr>
                <w:rFonts w:cstheme="minorHAnsi"/>
                <w:color w:val="000000"/>
                <w:sz w:val="20"/>
                <w:szCs w:val="20"/>
              </w:rPr>
            </w:pPr>
            <w:r w:rsidRPr="00991C0E">
              <w:rPr>
                <w:rFonts w:cstheme="minorHAnsi"/>
                <w:color w:val="000000"/>
                <w:sz w:val="20"/>
                <w:szCs w:val="20"/>
              </w:rPr>
              <w:t>$1,200</w:t>
            </w:r>
          </w:p>
        </w:tc>
        <w:tc>
          <w:tcPr>
            <w:tcW w:w="1134" w:type="dxa"/>
            <w:tcBorders>
              <w:top w:val="nil"/>
              <w:left w:val="nil"/>
              <w:bottom w:val="single" w:sz="4" w:space="0" w:color="auto"/>
              <w:right w:val="single" w:sz="4" w:space="0" w:color="auto"/>
            </w:tcBorders>
            <w:shd w:val="clear" w:color="auto" w:fill="auto"/>
            <w:noWrap/>
            <w:vAlign w:val="center"/>
            <w:hideMark/>
          </w:tcPr>
          <w:p w14:paraId="1D2972EF" w14:textId="77777777" w:rsidR="002E4A9B" w:rsidRPr="00991C0E" w:rsidRDefault="002E4A9B" w:rsidP="00273B09">
            <w:pPr>
              <w:spacing w:before="80" w:after="80" w:line="240" w:lineRule="auto"/>
              <w:jc w:val="center"/>
              <w:rPr>
                <w:rFonts w:cstheme="minorHAnsi"/>
                <w:color w:val="000000"/>
                <w:sz w:val="20"/>
                <w:szCs w:val="20"/>
              </w:rPr>
            </w:pPr>
            <w:r w:rsidRPr="00991C0E">
              <w:rPr>
                <w:rFonts w:cstheme="minorHAnsi"/>
                <w:color w:val="000000"/>
                <w:sz w:val="20"/>
                <w:szCs w:val="20"/>
              </w:rPr>
              <w:t>0</w:t>
            </w:r>
          </w:p>
        </w:tc>
        <w:tc>
          <w:tcPr>
            <w:tcW w:w="992" w:type="dxa"/>
            <w:tcBorders>
              <w:top w:val="nil"/>
              <w:left w:val="nil"/>
              <w:bottom w:val="single" w:sz="4" w:space="0" w:color="auto"/>
              <w:right w:val="nil"/>
            </w:tcBorders>
            <w:shd w:val="clear" w:color="auto" w:fill="auto"/>
            <w:noWrap/>
            <w:vAlign w:val="center"/>
            <w:hideMark/>
          </w:tcPr>
          <w:p w14:paraId="5A2AEC33" w14:textId="057A5CA8" w:rsidR="002E4A9B" w:rsidRPr="00991C0E" w:rsidRDefault="002E4A9B" w:rsidP="00273B09">
            <w:pPr>
              <w:spacing w:before="80" w:after="80" w:line="240" w:lineRule="auto"/>
              <w:jc w:val="center"/>
              <w:rPr>
                <w:rFonts w:cstheme="minorHAnsi"/>
                <w:color w:val="000000"/>
                <w:sz w:val="20"/>
                <w:szCs w:val="20"/>
              </w:rPr>
            </w:pPr>
            <w:r w:rsidRPr="004B2E4D">
              <w:rPr>
                <w:rFonts w:cstheme="minorHAnsi"/>
                <w:sz w:val="20"/>
                <w:szCs w:val="20"/>
              </w:rPr>
              <w:t>0.56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BB45544" w14:textId="06F1C4E7" w:rsidR="002E4A9B" w:rsidRPr="00991C0E" w:rsidRDefault="002E4A9B" w:rsidP="00273B09">
            <w:pPr>
              <w:spacing w:before="80" w:after="80" w:line="240" w:lineRule="auto"/>
              <w:jc w:val="center"/>
              <w:rPr>
                <w:rFonts w:cstheme="minorHAnsi"/>
                <w:color w:val="000000"/>
                <w:sz w:val="20"/>
                <w:szCs w:val="20"/>
              </w:rPr>
            </w:pPr>
            <w:r w:rsidRPr="004B2E4D">
              <w:rPr>
                <w:rFonts w:cstheme="minorHAnsi"/>
                <w:sz w:val="20"/>
                <w:szCs w:val="20"/>
              </w:rPr>
              <w:t>$672</w:t>
            </w:r>
          </w:p>
        </w:tc>
        <w:tc>
          <w:tcPr>
            <w:tcW w:w="850" w:type="dxa"/>
            <w:tcBorders>
              <w:top w:val="nil"/>
              <w:left w:val="nil"/>
              <w:bottom w:val="single" w:sz="4" w:space="0" w:color="auto"/>
              <w:right w:val="single" w:sz="4" w:space="0" w:color="auto"/>
            </w:tcBorders>
            <w:shd w:val="clear" w:color="auto" w:fill="auto"/>
            <w:noWrap/>
            <w:vAlign w:val="center"/>
            <w:hideMark/>
          </w:tcPr>
          <w:p w14:paraId="1037EB65" w14:textId="340625F7" w:rsidR="002E4A9B" w:rsidRPr="00991C0E" w:rsidRDefault="002E4A9B" w:rsidP="00273B09">
            <w:pPr>
              <w:spacing w:before="80" w:after="80" w:line="240" w:lineRule="auto"/>
              <w:jc w:val="center"/>
              <w:rPr>
                <w:rFonts w:cstheme="minorHAnsi"/>
                <w:color w:val="000000"/>
                <w:sz w:val="20"/>
                <w:szCs w:val="20"/>
              </w:rPr>
            </w:pPr>
            <w:r w:rsidRPr="004B2E4D">
              <w:rPr>
                <w:rFonts w:cstheme="minorHAnsi"/>
                <w:sz w:val="20"/>
                <w:szCs w:val="20"/>
              </w:rPr>
              <w:t>FoC</w:t>
            </w:r>
          </w:p>
        </w:tc>
        <w:tc>
          <w:tcPr>
            <w:tcW w:w="993" w:type="dxa"/>
            <w:tcBorders>
              <w:top w:val="nil"/>
              <w:left w:val="nil"/>
              <w:bottom w:val="single" w:sz="4" w:space="0" w:color="auto"/>
              <w:right w:val="single" w:sz="4" w:space="0" w:color="auto"/>
            </w:tcBorders>
            <w:shd w:val="clear" w:color="auto" w:fill="auto"/>
            <w:noWrap/>
            <w:vAlign w:val="center"/>
            <w:hideMark/>
          </w:tcPr>
          <w:p w14:paraId="4C4E456D" w14:textId="2D573877" w:rsidR="002E4A9B" w:rsidRPr="00991C0E" w:rsidRDefault="002E4A9B" w:rsidP="00273B09">
            <w:pPr>
              <w:spacing w:before="80" w:after="80" w:line="240" w:lineRule="auto"/>
              <w:jc w:val="center"/>
              <w:rPr>
                <w:rFonts w:cstheme="minorHAnsi"/>
                <w:color w:val="000000"/>
                <w:sz w:val="20"/>
                <w:szCs w:val="20"/>
              </w:rPr>
            </w:pPr>
            <w:r w:rsidRPr="004B2E4D">
              <w:rPr>
                <w:rFonts w:cstheme="minorHAnsi"/>
                <w:sz w:val="20"/>
                <w:szCs w:val="20"/>
              </w:rPr>
              <w:t>0.115</w:t>
            </w:r>
          </w:p>
        </w:tc>
        <w:tc>
          <w:tcPr>
            <w:tcW w:w="992" w:type="dxa"/>
            <w:tcBorders>
              <w:top w:val="nil"/>
              <w:left w:val="nil"/>
              <w:bottom w:val="single" w:sz="4" w:space="0" w:color="auto"/>
              <w:right w:val="single" w:sz="4" w:space="0" w:color="auto"/>
            </w:tcBorders>
            <w:shd w:val="clear" w:color="auto" w:fill="auto"/>
            <w:noWrap/>
            <w:vAlign w:val="center"/>
            <w:hideMark/>
          </w:tcPr>
          <w:p w14:paraId="71CA483A" w14:textId="0D04D1DF" w:rsidR="002E4A9B" w:rsidRPr="00991C0E" w:rsidRDefault="002E4A9B" w:rsidP="00273B09">
            <w:pPr>
              <w:spacing w:before="80" w:after="80" w:line="240" w:lineRule="auto"/>
              <w:jc w:val="center"/>
              <w:rPr>
                <w:rFonts w:cstheme="minorHAnsi"/>
                <w:color w:val="000000"/>
                <w:sz w:val="20"/>
                <w:szCs w:val="20"/>
              </w:rPr>
            </w:pPr>
            <w:r w:rsidRPr="004B2E4D">
              <w:rPr>
                <w:rFonts w:cstheme="minorHAnsi"/>
                <w:sz w:val="20"/>
                <w:szCs w:val="20"/>
              </w:rPr>
              <w:t>0.02464</w:t>
            </w:r>
          </w:p>
        </w:tc>
        <w:tc>
          <w:tcPr>
            <w:tcW w:w="1134" w:type="dxa"/>
            <w:tcBorders>
              <w:top w:val="nil"/>
              <w:left w:val="nil"/>
              <w:bottom w:val="single" w:sz="4" w:space="0" w:color="auto"/>
              <w:right w:val="single" w:sz="4" w:space="0" w:color="auto"/>
            </w:tcBorders>
            <w:shd w:val="clear" w:color="auto" w:fill="auto"/>
            <w:noWrap/>
            <w:vAlign w:val="center"/>
            <w:hideMark/>
          </w:tcPr>
          <w:p w14:paraId="7841CCE8" w14:textId="64DD6BFC" w:rsidR="002E4A9B" w:rsidRPr="00991C0E" w:rsidRDefault="002E4A9B" w:rsidP="00273B09">
            <w:pPr>
              <w:spacing w:before="80" w:after="80" w:line="240" w:lineRule="auto"/>
              <w:jc w:val="center"/>
              <w:rPr>
                <w:rFonts w:cstheme="minorHAnsi"/>
                <w:color w:val="000000"/>
                <w:sz w:val="20"/>
                <w:szCs w:val="20"/>
              </w:rPr>
            </w:pPr>
            <w:r w:rsidRPr="004B2E4D">
              <w:rPr>
                <w:rFonts w:cstheme="minorHAnsi"/>
                <w:sz w:val="20"/>
                <w:szCs w:val="20"/>
              </w:rPr>
              <w:t>0.07668</w:t>
            </w:r>
          </w:p>
        </w:tc>
        <w:tc>
          <w:tcPr>
            <w:tcW w:w="1276" w:type="dxa"/>
            <w:tcBorders>
              <w:top w:val="nil"/>
              <w:left w:val="nil"/>
              <w:bottom w:val="single" w:sz="4" w:space="0" w:color="auto"/>
              <w:right w:val="single" w:sz="4" w:space="0" w:color="auto"/>
            </w:tcBorders>
            <w:shd w:val="clear" w:color="auto" w:fill="auto"/>
            <w:noWrap/>
            <w:vAlign w:val="center"/>
            <w:hideMark/>
          </w:tcPr>
          <w:p w14:paraId="0F5ED998" w14:textId="730106FE" w:rsidR="002E4A9B" w:rsidRPr="00991C0E" w:rsidRDefault="002E4A9B" w:rsidP="00273B09">
            <w:pPr>
              <w:spacing w:before="80" w:after="80" w:line="240" w:lineRule="auto"/>
              <w:jc w:val="center"/>
              <w:rPr>
                <w:rFonts w:cstheme="minorHAnsi"/>
                <w:color w:val="000000"/>
                <w:sz w:val="20"/>
                <w:szCs w:val="20"/>
              </w:rPr>
            </w:pPr>
            <w:r>
              <w:rPr>
                <w:rFonts w:ascii="Calibri" w:hAnsi="Calibri" w:cstheme="minorHAnsi"/>
                <w:color w:val="000000"/>
                <w:sz w:val="20"/>
                <w:szCs w:val="20"/>
              </w:rPr>
              <w:t>0.097344</w:t>
            </w:r>
          </w:p>
        </w:tc>
        <w:tc>
          <w:tcPr>
            <w:tcW w:w="1275" w:type="dxa"/>
            <w:tcBorders>
              <w:top w:val="nil"/>
              <w:left w:val="nil"/>
              <w:bottom w:val="single" w:sz="4" w:space="0" w:color="auto"/>
              <w:right w:val="nil"/>
            </w:tcBorders>
            <w:shd w:val="clear" w:color="auto" w:fill="auto"/>
            <w:noWrap/>
            <w:vAlign w:val="center"/>
            <w:hideMark/>
          </w:tcPr>
          <w:p w14:paraId="44CE52B1" w14:textId="57EA9ABD" w:rsidR="002E4A9B" w:rsidRPr="00991C0E" w:rsidRDefault="002E4A9B" w:rsidP="00273B09">
            <w:pPr>
              <w:spacing w:before="80" w:after="80" w:line="240" w:lineRule="auto"/>
              <w:jc w:val="center"/>
              <w:rPr>
                <w:rFonts w:cstheme="minorHAnsi"/>
                <w:color w:val="000000"/>
                <w:sz w:val="20"/>
                <w:szCs w:val="20"/>
              </w:rPr>
            </w:pPr>
            <w:r>
              <w:rPr>
                <w:rFonts w:ascii="Calibri" w:hAnsi="Calibri" w:cstheme="minorHAnsi"/>
                <w:color w:val="000000"/>
                <w:sz w:val="20"/>
                <w:szCs w:val="20"/>
              </w:rPr>
              <w:t>$65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A472C2A" w14:textId="1AC494EF" w:rsidR="002E4A9B" w:rsidRPr="00991C0E" w:rsidRDefault="002E4A9B" w:rsidP="00273B09">
            <w:pPr>
              <w:spacing w:before="80" w:after="80" w:line="240" w:lineRule="auto"/>
              <w:jc w:val="center"/>
              <w:rPr>
                <w:rFonts w:cstheme="minorHAnsi"/>
                <w:color w:val="000000"/>
                <w:sz w:val="20"/>
                <w:szCs w:val="20"/>
              </w:rPr>
            </w:pPr>
            <w:r>
              <w:rPr>
                <w:rFonts w:ascii="Calibri" w:hAnsi="Calibri" w:cstheme="minorHAnsi"/>
                <w:color w:val="000000"/>
                <w:sz w:val="20"/>
                <w:szCs w:val="20"/>
              </w:rPr>
              <w:t>$737</w:t>
            </w:r>
          </w:p>
        </w:tc>
        <w:tc>
          <w:tcPr>
            <w:tcW w:w="1559" w:type="dxa"/>
            <w:tcBorders>
              <w:top w:val="nil"/>
              <w:left w:val="nil"/>
              <w:bottom w:val="single" w:sz="4" w:space="0" w:color="auto"/>
              <w:right w:val="single" w:sz="8" w:space="0" w:color="auto"/>
            </w:tcBorders>
            <w:shd w:val="clear" w:color="auto" w:fill="auto"/>
            <w:vAlign w:val="center"/>
            <w:hideMark/>
          </w:tcPr>
          <w:p w14:paraId="57761542" w14:textId="65AD0506" w:rsidR="002E4A9B" w:rsidRPr="00991C0E" w:rsidRDefault="002E4A9B" w:rsidP="00273B09">
            <w:pPr>
              <w:spacing w:before="80" w:after="80" w:line="240" w:lineRule="auto"/>
              <w:jc w:val="center"/>
              <w:rPr>
                <w:rFonts w:eastAsia="Times New Roman" w:cstheme="minorHAnsi"/>
                <w:color w:val="000000"/>
                <w:sz w:val="20"/>
                <w:szCs w:val="20"/>
              </w:rPr>
            </w:pPr>
            <w:r>
              <w:rPr>
                <w:rFonts w:ascii="Calibri" w:hAnsi="Calibri" w:cstheme="minorHAnsi"/>
                <w:color w:val="000000"/>
                <w:sz w:val="20"/>
                <w:szCs w:val="20"/>
              </w:rPr>
              <w:t>$684</w:t>
            </w:r>
          </w:p>
        </w:tc>
      </w:tr>
      <w:tr w:rsidR="006C0160" w:rsidRPr="00714FD8" w14:paraId="79EAA95E" w14:textId="77777777" w:rsidTr="006C0160">
        <w:trPr>
          <w:trHeight w:val="300"/>
        </w:trPr>
        <w:tc>
          <w:tcPr>
            <w:tcW w:w="1266" w:type="dxa"/>
            <w:tcBorders>
              <w:top w:val="nil"/>
              <w:left w:val="single" w:sz="8" w:space="0" w:color="auto"/>
              <w:bottom w:val="single" w:sz="8" w:space="0" w:color="auto"/>
              <w:right w:val="single" w:sz="4" w:space="0" w:color="auto"/>
            </w:tcBorders>
            <w:shd w:val="clear" w:color="auto" w:fill="auto"/>
            <w:noWrap/>
            <w:vAlign w:val="center"/>
            <w:hideMark/>
          </w:tcPr>
          <w:p w14:paraId="5735A3C7" w14:textId="77777777" w:rsidR="002E4A9B" w:rsidRPr="00991C0E" w:rsidRDefault="002E4A9B" w:rsidP="00273B09">
            <w:pPr>
              <w:spacing w:before="80" w:after="80" w:line="240" w:lineRule="auto"/>
              <w:jc w:val="center"/>
              <w:rPr>
                <w:rFonts w:cstheme="minorHAnsi"/>
                <w:color w:val="000000"/>
                <w:sz w:val="20"/>
                <w:szCs w:val="20"/>
              </w:rPr>
            </w:pPr>
            <w:r w:rsidRPr="00991C0E">
              <w:rPr>
                <w:rFonts w:eastAsia="Times New Roman" w:cstheme="minorHAnsi"/>
                <w:color w:val="000000"/>
                <w:sz w:val="20"/>
                <w:szCs w:val="20"/>
              </w:rPr>
              <w:t>H1</w:t>
            </w:r>
          </w:p>
        </w:tc>
        <w:tc>
          <w:tcPr>
            <w:tcW w:w="1276" w:type="dxa"/>
            <w:tcBorders>
              <w:top w:val="nil"/>
              <w:left w:val="nil"/>
              <w:bottom w:val="single" w:sz="8" w:space="0" w:color="auto"/>
              <w:right w:val="single" w:sz="4" w:space="0" w:color="auto"/>
            </w:tcBorders>
            <w:shd w:val="clear" w:color="auto" w:fill="auto"/>
            <w:noWrap/>
            <w:vAlign w:val="center"/>
            <w:hideMark/>
          </w:tcPr>
          <w:p w14:paraId="3FD8E90D" w14:textId="77777777" w:rsidR="002E4A9B" w:rsidRPr="00991C0E" w:rsidRDefault="002E4A9B" w:rsidP="00273B09">
            <w:pPr>
              <w:spacing w:before="80" w:after="80" w:line="240" w:lineRule="auto"/>
              <w:jc w:val="center"/>
              <w:rPr>
                <w:rFonts w:cstheme="minorHAnsi"/>
                <w:color w:val="000000"/>
                <w:sz w:val="20"/>
                <w:szCs w:val="20"/>
              </w:rPr>
            </w:pPr>
            <w:r w:rsidRPr="00991C0E">
              <w:rPr>
                <w:rFonts w:cstheme="minorHAnsi"/>
                <w:color w:val="000000"/>
                <w:sz w:val="20"/>
                <w:szCs w:val="20"/>
              </w:rPr>
              <w:t>$5,000</w:t>
            </w:r>
          </w:p>
        </w:tc>
        <w:tc>
          <w:tcPr>
            <w:tcW w:w="1134" w:type="dxa"/>
            <w:tcBorders>
              <w:top w:val="nil"/>
              <w:left w:val="nil"/>
              <w:bottom w:val="single" w:sz="8" w:space="0" w:color="auto"/>
              <w:right w:val="single" w:sz="4" w:space="0" w:color="auto"/>
            </w:tcBorders>
            <w:shd w:val="clear" w:color="auto" w:fill="auto"/>
            <w:noWrap/>
            <w:vAlign w:val="center"/>
            <w:hideMark/>
          </w:tcPr>
          <w:p w14:paraId="7F7176CE" w14:textId="77777777" w:rsidR="002E4A9B" w:rsidRPr="00991C0E" w:rsidRDefault="002E4A9B" w:rsidP="00273B09">
            <w:pPr>
              <w:spacing w:before="80" w:after="80" w:line="240" w:lineRule="auto"/>
              <w:jc w:val="center"/>
              <w:rPr>
                <w:rFonts w:cstheme="minorHAnsi"/>
                <w:color w:val="000000"/>
                <w:sz w:val="20"/>
                <w:szCs w:val="20"/>
              </w:rPr>
            </w:pPr>
            <w:r w:rsidRPr="00991C0E">
              <w:rPr>
                <w:rFonts w:cstheme="minorHAnsi"/>
                <w:color w:val="000000"/>
                <w:sz w:val="20"/>
                <w:szCs w:val="20"/>
              </w:rPr>
              <w:t>2</w:t>
            </w:r>
          </w:p>
        </w:tc>
        <w:tc>
          <w:tcPr>
            <w:tcW w:w="992" w:type="dxa"/>
            <w:tcBorders>
              <w:top w:val="nil"/>
              <w:left w:val="nil"/>
              <w:bottom w:val="single" w:sz="8" w:space="0" w:color="auto"/>
              <w:right w:val="nil"/>
            </w:tcBorders>
            <w:shd w:val="clear" w:color="auto" w:fill="auto"/>
            <w:noWrap/>
            <w:vAlign w:val="center"/>
            <w:hideMark/>
          </w:tcPr>
          <w:p w14:paraId="3EE7A9EF" w14:textId="3B264037" w:rsidR="002E4A9B" w:rsidRPr="00991C0E" w:rsidRDefault="002E4A9B" w:rsidP="00273B09">
            <w:pPr>
              <w:spacing w:before="80" w:after="80" w:line="240" w:lineRule="auto"/>
              <w:jc w:val="center"/>
              <w:rPr>
                <w:rFonts w:cstheme="minorHAnsi"/>
                <w:color w:val="000000"/>
                <w:sz w:val="20"/>
                <w:szCs w:val="20"/>
              </w:rPr>
            </w:pPr>
            <w:r w:rsidRPr="004B2E4D">
              <w:rPr>
                <w:rFonts w:cstheme="minorHAnsi"/>
                <w:sz w:val="20"/>
                <w:szCs w:val="20"/>
              </w:rPr>
              <w:t>0.70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86EFB48" w14:textId="4A50945A" w:rsidR="002E4A9B" w:rsidRPr="00991C0E" w:rsidRDefault="002E4A9B" w:rsidP="00273B09">
            <w:pPr>
              <w:spacing w:before="80" w:after="80" w:line="240" w:lineRule="auto"/>
              <w:jc w:val="center"/>
              <w:rPr>
                <w:rFonts w:cstheme="minorHAnsi"/>
                <w:color w:val="000000"/>
                <w:sz w:val="20"/>
                <w:szCs w:val="20"/>
              </w:rPr>
            </w:pPr>
            <w:r w:rsidRPr="004B2E4D">
              <w:rPr>
                <w:rFonts w:cstheme="minorHAnsi"/>
                <w:sz w:val="20"/>
                <w:szCs w:val="20"/>
              </w:rPr>
              <w:t>$3,500</w:t>
            </w:r>
          </w:p>
        </w:tc>
        <w:tc>
          <w:tcPr>
            <w:tcW w:w="850" w:type="dxa"/>
            <w:tcBorders>
              <w:top w:val="nil"/>
              <w:left w:val="nil"/>
              <w:bottom w:val="single" w:sz="8" w:space="0" w:color="auto"/>
              <w:right w:val="single" w:sz="4" w:space="0" w:color="auto"/>
            </w:tcBorders>
            <w:shd w:val="clear" w:color="auto" w:fill="auto"/>
            <w:noWrap/>
            <w:vAlign w:val="center"/>
            <w:hideMark/>
          </w:tcPr>
          <w:p w14:paraId="34AAE19B" w14:textId="0553DAC8" w:rsidR="002E4A9B" w:rsidRPr="00991C0E" w:rsidRDefault="002E4A9B" w:rsidP="00273B09">
            <w:pPr>
              <w:spacing w:before="80" w:after="80" w:line="240" w:lineRule="auto"/>
              <w:jc w:val="center"/>
              <w:rPr>
                <w:rFonts w:cstheme="minorHAnsi"/>
                <w:color w:val="000000"/>
                <w:sz w:val="20"/>
                <w:szCs w:val="20"/>
              </w:rPr>
            </w:pPr>
            <w:r w:rsidRPr="004B2E4D">
              <w:rPr>
                <w:rFonts w:cstheme="minorHAnsi"/>
                <w:sz w:val="20"/>
                <w:szCs w:val="20"/>
              </w:rPr>
              <w:t>FoC</w:t>
            </w:r>
          </w:p>
        </w:tc>
        <w:tc>
          <w:tcPr>
            <w:tcW w:w="993" w:type="dxa"/>
            <w:tcBorders>
              <w:top w:val="nil"/>
              <w:left w:val="nil"/>
              <w:bottom w:val="single" w:sz="8" w:space="0" w:color="auto"/>
              <w:right w:val="single" w:sz="4" w:space="0" w:color="auto"/>
            </w:tcBorders>
            <w:shd w:val="clear" w:color="auto" w:fill="auto"/>
            <w:noWrap/>
            <w:vAlign w:val="center"/>
            <w:hideMark/>
          </w:tcPr>
          <w:p w14:paraId="1A9DD918" w14:textId="75B8C1AB" w:rsidR="002E4A9B" w:rsidRPr="00991C0E" w:rsidRDefault="002E4A9B" w:rsidP="00273B09">
            <w:pPr>
              <w:spacing w:before="80" w:after="80" w:line="240" w:lineRule="auto"/>
              <w:jc w:val="center"/>
              <w:rPr>
                <w:rFonts w:cstheme="minorHAnsi"/>
                <w:color w:val="000000"/>
                <w:sz w:val="20"/>
                <w:szCs w:val="20"/>
              </w:rPr>
            </w:pPr>
            <w:r w:rsidRPr="004B2E4D">
              <w:rPr>
                <w:rFonts w:cstheme="minorHAnsi"/>
                <w:sz w:val="20"/>
                <w:szCs w:val="20"/>
              </w:rPr>
              <w:t>0.115</w:t>
            </w:r>
          </w:p>
        </w:tc>
        <w:tc>
          <w:tcPr>
            <w:tcW w:w="992" w:type="dxa"/>
            <w:tcBorders>
              <w:top w:val="nil"/>
              <w:left w:val="nil"/>
              <w:bottom w:val="single" w:sz="8" w:space="0" w:color="auto"/>
              <w:right w:val="single" w:sz="4" w:space="0" w:color="auto"/>
            </w:tcBorders>
            <w:shd w:val="clear" w:color="auto" w:fill="auto"/>
            <w:noWrap/>
            <w:vAlign w:val="center"/>
            <w:hideMark/>
          </w:tcPr>
          <w:p w14:paraId="349E22C5" w14:textId="117EFA09" w:rsidR="002E4A9B" w:rsidRPr="00991C0E" w:rsidRDefault="002E4A9B" w:rsidP="00273B09">
            <w:pPr>
              <w:spacing w:before="80" w:after="80" w:line="240" w:lineRule="auto"/>
              <w:jc w:val="center"/>
              <w:rPr>
                <w:rFonts w:cstheme="minorHAnsi"/>
                <w:color w:val="000000"/>
                <w:sz w:val="20"/>
                <w:szCs w:val="20"/>
              </w:rPr>
            </w:pPr>
            <w:r w:rsidRPr="004B2E4D">
              <w:rPr>
                <w:rFonts w:cstheme="minorHAnsi"/>
                <w:sz w:val="20"/>
                <w:szCs w:val="20"/>
              </w:rPr>
              <w:t>0.02464</w:t>
            </w:r>
          </w:p>
        </w:tc>
        <w:tc>
          <w:tcPr>
            <w:tcW w:w="1134" w:type="dxa"/>
            <w:tcBorders>
              <w:top w:val="nil"/>
              <w:left w:val="nil"/>
              <w:bottom w:val="single" w:sz="8" w:space="0" w:color="auto"/>
              <w:right w:val="single" w:sz="4" w:space="0" w:color="auto"/>
            </w:tcBorders>
            <w:shd w:val="clear" w:color="auto" w:fill="auto"/>
            <w:noWrap/>
            <w:vAlign w:val="center"/>
            <w:hideMark/>
          </w:tcPr>
          <w:p w14:paraId="31A8AA1F" w14:textId="543D3D3A" w:rsidR="002E4A9B" w:rsidRPr="00991C0E" w:rsidRDefault="002E4A9B" w:rsidP="00273B09">
            <w:pPr>
              <w:spacing w:before="80" w:after="80" w:line="240" w:lineRule="auto"/>
              <w:jc w:val="center"/>
              <w:rPr>
                <w:rFonts w:cstheme="minorHAnsi"/>
                <w:color w:val="000000"/>
                <w:sz w:val="20"/>
                <w:szCs w:val="20"/>
              </w:rPr>
            </w:pPr>
            <w:r w:rsidRPr="004B2E4D">
              <w:rPr>
                <w:rFonts w:cstheme="minorHAnsi"/>
                <w:sz w:val="20"/>
                <w:szCs w:val="20"/>
              </w:rPr>
              <w:t>0.07668</w:t>
            </w:r>
          </w:p>
        </w:tc>
        <w:tc>
          <w:tcPr>
            <w:tcW w:w="1276" w:type="dxa"/>
            <w:tcBorders>
              <w:top w:val="nil"/>
              <w:left w:val="nil"/>
              <w:bottom w:val="single" w:sz="8" w:space="0" w:color="auto"/>
              <w:right w:val="single" w:sz="4" w:space="0" w:color="auto"/>
            </w:tcBorders>
            <w:shd w:val="clear" w:color="auto" w:fill="auto"/>
            <w:noWrap/>
            <w:vAlign w:val="center"/>
            <w:hideMark/>
          </w:tcPr>
          <w:p w14:paraId="2E9336D6" w14:textId="0253DE97" w:rsidR="002E4A9B" w:rsidRPr="00991C0E" w:rsidRDefault="002E4A9B" w:rsidP="00273B09">
            <w:pPr>
              <w:spacing w:before="80" w:after="80" w:line="240" w:lineRule="auto"/>
              <w:jc w:val="center"/>
              <w:rPr>
                <w:rFonts w:cstheme="minorHAnsi"/>
                <w:color w:val="000000"/>
                <w:sz w:val="20"/>
                <w:szCs w:val="20"/>
              </w:rPr>
            </w:pPr>
            <w:r>
              <w:rPr>
                <w:rFonts w:ascii="Calibri" w:hAnsi="Calibri" w:cstheme="minorHAnsi"/>
                <w:color w:val="000000"/>
                <w:sz w:val="20"/>
                <w:szCs w:val="20"/>
              </w:rPr>
              <w:t>0.097344</w:t>
            </w:r>
          </w:p>
        </w:tc>
        <w:tc>
          <w:tcPr>
            <w:tcW w:w="1275" w:type="dxa"/>
            <w:tcBorders>
              <w:top w:val="nil"/>
              <w:left w:val="nil"/>
              <w:bottom w:val="single" w:sz="8" w:space="0" w:color="auto"/>
              <w:right w:val="nil"/>
            </w:tcBorders>
            <w:shd w:val="clear" w:color="auto" w:fill="auto"/>
            <w:noWrap/>
            <w:vAlign w:val="center"/>
            <w:hideMark/>
          </w:tcPr>
          <w:p w14:paraId="60AB85D5" w14:textId="14E238C1" w:rsidR="002E4A9B" w:rsidRPr="00991C0E" w:rsidRDefault="002E4A9B" w:rsidP="00273B09">
            <w:pPr>
              <w:spacing w:before="80" w:after="80" w:line="240" w:lineRule="auto"/>
              <w:jc w:val="center"/>
              <w:rPr>
                <w:rFonts w:cstheme="minorHAnsi"/>
                <w:color w:val="000000"/>
                <w:sz w:val="20"/>
                <w:szCs w:val="20"/>
              </w:rPr>
            </w:pPr>
            <w:r>
              <w:rPr>
                <w:rFonts w:ascii="Calibri" w:hAnsi="Calibri" w:cstheme="minorHAnsi"/>
                <w:color w:val="000000"/>
                <w:sz w:val="20"/>
                <w:szCs w:val="20"/>
              </w:rPr>
              <w:t>$341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F3A3145" w14:textId="73E84E02" w:rsidR="002E4A9B" w:rsidRPr="00991C0E" w:rsidRDefault="002E4A9B" w:rsidP="00273B09">
            <w:pPr>
              <w:spacing w:before="80" w:after="80" w:line="240" w:lineRule="auto"/>
              <w:jc w:val="center"/>
              <w:rPr>
                <w:rFonts w:cstheme="minorHAnsi"/>
                <w:color w:val="000000"/>
                <w:sz w:val="20"/>
                <w:szCs w:val="20"/>
              </w:rPr>
            </w:pPr>
            <w:r>
              <w:rPr>
                <w:rFonts w:ascii="Calibri" w:hAnsi="Calibri" w:cstheme="minorHAnsi"/>
                <w:color w:val="000000"/>
                <w:sz w:val="20"/>
                <w:szCs w:val="20"/>
              </w:rPr>
              <w:t>$3,841</w:t>
            </w:r>
          </w:p>
        </w:tc>
        <w:tc>
          <w:tcPr>
            <w:tcW w:w="1559" w:type="dxa"/>
            <w:tcBorders>
              <w:top w:val="nil"/>
              <w:left w:val="nil"/>
              <w:bottom w:val="single" w:sz="8" w:space="0" w:color="auto"/>
              <w:right w:val="single" w:sz="8" w:space="0" w:color="auto"/>
            </w:tcBorders>
            <w:shd w:val="clear" w:color="auto" w:fill="auto"/>
            <w:vAlign w:val="center"/>
            <w:hideMark/>
          </w:tcPr>
          <w:p w14:paraId="6680E554" w14:textId="6BBAF9FC" w:rsidR="002E4A9B" w:rsidRPr="00991C0E" w:rsidRDefault="002E4A9B" w:rsidP="00273B09">
            <w:pPr>
              <w:spacing w:before="80" w:after="80" w:line="240" w:lineRule="auto"/>
              <w:jc w:val="center"/>
              <w:rPr>
                <w:rFonts w:eastAsia="Times New Roman" w:cstheme="minorHAnsi"/>
                <w:color w:val="000000"/>
                <w:sz w:val="20"/>
                <w:szCs w:val="20"/>
              </w:rPr>
            </w:pPr>
            <w:r>
              <w:rPr>
                <w:rFonts w:ascii="Calibri" w:hAnsi="Calibri" w:cstheme="minorHAnsi"/>
                <w:color w:val="000000"/>
                <w:sz w:val="20"/>
                <w:szCs w:val="20"/>
              </w:rPr>
              <w:t>$3,564</w:t>
            </w:r>
          </w:p>
        </w:tc>
      </w:tr>
      <w:tr w:rsidR="006C0160" w:rsidRPr="00E94142" w14:paraId="1FC11411" w14:textId="77777777" w:rsidTr="006C0160">
        <w:trPr>
          <w:trHeight w:val="300"/>
        </w:trPr>
        <w:tc>
          <w:tcPr>
            <w:tcW w:w="1266" w:type="dxa"/>
            <w:tcBorders>
              <w:top w:val="single" w:sz="8" w:space="0" w:color="auto"/>
              <w:left w:val="single" w:sz="8" w:space="0" w:color="auto"/>
              <w:bottom w:val="single" w:sz="8" w:space="0" w:color="auto"/>
              <w:right w:val="single" w:sz="4" w:space="0" w:color="auto"/>
            </w:tcBorders>
            <w:shd w:val="clear" w:color="000000" w:fill="D6DCE4"/>
            <w:noWrap/>
            <w:vAlign w:val="center"/>
            <w:hideMark/>
          </w:tcPr>
          <w:p w14:paraId="3A7083E5" w14:textId="77777777" w:rsidR="002E4A9B" w:rsidRPr="00991C0E" w:rsidRDefault="002E4A9B" w:rsidP="00273B09">
            <w:pPr>
              <w:spacing w:before="80" w:after="80" w:line="240" w:lineRule="auto"/>
              <w:jc w:val="center"/>
              <w:rPr>
                <w:rFonts w:cstheme="minorHAnsi"/>
                <w:b/>
                <w:color w:val="000000"/>
                <w:sz w:val="20"/>
                <w:szCs w:val="20"/>
              </w:rPr>
            </w:pPr>
            <w:r w:rsidRPr="00991C0E">
              <w:rPr>
                <w:rFonts w:cstheme="minorHAnsi"/>
                <w:b/>
                <w:color w:val="000000"/>
                <w:sz w:val="20"/>
                <w:szCs w:val="20"/>
              </w:rPr>
              <w:t>Non-Current</w:t>
            </w:r>
          </w:p>
        </w:tc>
        <w:tc>
          <w:tcPr>
            <w:tcW w:w="1276" w:type="dxa"/>
            <w:tcBorders>
              <w:top w:val="nil"/>
              <w:left w:val="nil"/>
              <w:bottom w:val="single" w:sz="8" w:space="0" w:color="auto"/>
              <w:right w:val="single" w:sz="4" w:space="0" w:color="auto"/>
            </w:tcBorders>
            <w:shd w:val="clear" w:color="000000" w:fill="D6DCE4"/>
            <w:noWrap/>
            <w:vAlign w:val="center"/>
            <w:hideMark/>
          </w:tcPr>
          <w:p w14:paraId="0980AEB4" w14:textId="77777777" w:rsidR="002E4A9B" w:rsidRPr="00991C0E" w:rsidRDefault="002E4A9B" w:rsidP="00273B09">
            <w:pPr>
              <w:spacing w:before="80" w:after="80" w:line="240" w:lineRule="auto"/>
              <w:jc w:val="center"/>
              <w:rPr>
                <w:rFonts w:cstheme="minorHAnsi"/>
                <w:color w:val="000000"/>
                <w:sz w:val="20"/>
                <w:szCs w:val="20"/>
              </w:rPr>
            </w:pPr>
            <w:r w:rsidRPr="00991C0E">
              <w:rPr>
                <w:rFonts w:cstheme="minorHAnsi"/>
                <w:color w:val="000000"/>
                <w:sz w:val="20"/>
                <w:szCs w:val="20"/>
              </w:rPr>
              <w:t>$</w:t>
            </w:r>
            <w:r w:rsidRPr="00991C0E">
              <w:rPr>
                <w:rFonts w:eastAsia="Times New Roman" w:cstheme="minorHAnsi"/>
                <w:color w:val="000000"/>
                <w:sz w:val="20"/>
                <w:szCs w:val="20"/>
              </w:rPr>
              <w:t>17,043</w:t>
            </w:r>
          </w:p>
        </w:tc>
        <w:tc>
          <w:tcPr>
            <w:tcW w:w="1134" w:type="dxa"/>
            <w:tcBorders>
              <w:top w:val="nil"/>
              <w:left w:val="nil"/>
              <w:bottom w:val="single" w:sz="8" w:space="0" w:color="auto"/>
              <w:right w:val="single" w:sz="4" w:space="0" w:color="auto"/>
            </w:tcBorders>
            <w:shd w:val="clear" w:color="000000" w:fill="D6DCE4"/>
            <w:noWrap/>
            <w:vAlign w:val="center"/>
            <w:hideMark/>
          </w:tcPr>
          <w:p w14:paraId="28BADFF2" w14:textId="4F86060E" w:rsidR="002E4A9B" w:rsidRPr="00991C0E" w:rsidRDefault="002E4A9B" w:rsidP="00273B09">
            <w:pPr>
              <w:spacing w:before="80" w:after="80" w:line="240" w:lineRule="auto"/>
              <w:jc w:val="center"/>
              <w:rPr>
                <w:rFonts w:cstheme="minorHAnsi"/>
                <w:color w:val="000000"/>
                <w:sz w:val="20"/>
                <w:szCs w:val="20"/>
              </w:rPr>
            </w:pPr>
          </w:p>
        </w:tc>
        <w:tc>
          <w:tcPr>
            <w:tcW w:w="992" w:type="dxa"/>
            <w:tcBorders>
              <w:top w:val="nil"/>
              <w:left w:val="nil"/>
              <w:bottom w:val="single" w:sz="8" w:space="0" w:color="auto"/>
              <w:right w:val="nil"/>
            </w:tcBorders>
            <w:shd w:val="clear" w:color="000000" w:fill="D6DCE4"/>
            <w:noWrap/>
            <w:vAlign w:val="center"/>
            <w:hideMark/>
          </w:tcPr>
          <w:p w14:paraId="242E155E" w14:textId="1886DED2" w:rsidR="002E4A9B" w:rsidRPr="00991C0E" w:rsidRDefault="002E4A9B" w:rsidP="00273B09">
            <w:pPr>
              <w:spacing w:before="80" w:after="80" w:line="240" w:lineRule="auto"/>
              <w:jc w:val="center"/>
              <w:rPr>
                <w:rFonts w:cstheme="minorHAnsi"/>
                <w:color w:val="000000"/>
                <w:sz w:val="20"/>
                <w:szCs w:val="20"/>
              </w:rPr>
            </w:pPr>
          </w:p>
        </w:tc>
        <w:tc>
          <w:tcPr>
            <w:tcW w:w="1276" w:type="dxa"/>
            <w:tcBorders>
              <w:top w:val="nil"/>
              <w:left w:val="single" w:sz="8" w:space="0" w:color="auto"/>
              <w:bottom w:val="single" w:sz="8" w:space="0" w:color="auto"/>
              <w:right w:val="single" w:sz="8" w:space="0" w:color="auto"/>
            </w:tcBorders>
            <w:shd w:val="clear" w:color="000000" w:fill="D6DCE4"/>
            <w:noWrap/>
            <w:vAlign w:val="center"/>
            <w:hideMark/>
          </w:tcPr>
          <w:p w14:paraId="16F67172" w14:textId="72005775" w:rsidR="002E4A9B" w:rsidRPr="00991C0E" w:rsidRDefault="002E4A9B" w:rsidP="00273B09">
            <w:pPr>
              <w:spacing w:before="80" w:after="80" w:line="240" w:lineRule="auto"/>
              <w:jc w:val="center"/>
              <w:rPr>
                <w:rFonts w:cstheme="minorHAnsi"/>
                <w:color w:val="000000"/>
                <w:sz w:val="20"/>
                <w:szCs w:val="20"/>
              </w:rPr>
            </w:pPr>
            <w:r w:rsidRPr="004B2E4D">
              <w:rPr>
                <w:rFonts w:cstheme="minorHAnsi"/>
                <w:sz w:val="20"/>
                <w:szCs w:val="20"/>
              </w:rPr>
              <w:t>$12,170</w:t>
            </w:r>
          </w:p>
        </w:tc>
        <w:tc>
          <w:tcPr>
            <w:tcW w:w="850" w:type="dxa"/>
            <w:tcBorders>
              <w:top w:val="nil"/>
              <w:left w:val="nil"/>
              <w:bottom w:val="single" w:sz="8" w:space="0" w:color="auto"/>
              <w:right w:val="single" w:sz="4" w:space="0" w:color="auto"/>
            </w:tcBorders>
            <w:shd w:val="clear" w:color="000000" w:fill="D6DCE4"/>
            <w:noWrap/>
            <w:vAlign w:val="center"/>
            <w:hideMark/>
          </w:tcPr>
          <w:p w14:paraId="076AE208" w14:textId="541209C7" w:rsidR="002E4A9B" w:rsidRPr="00991C0E" w:rsidRDefault="002E4A9B" w:rsidP="00273B09">
            <w:pPr>
              <w:spacing w:before="80" w:after="80" w:line="240" w:lineRule="auto"/>
              <w:jc w:val="center"/>
              <w:rPr>
                <w:rFonts w:cstheme="minorHAnsi"/>
                <w:color w:val="000000"/>
                <w:sz w:val="20"/>
                <w:szCs w:val="20"/>
              </w:rPr>
            </w:pPr>
          </w:p>
        </w:tc>
        <w:tc>
          <w:tcPr>
            <w:tcW w:w="993" w:type="dxa"/>
            <w:tcBorders>
              <w:top w:val="nil"/>
              <w:left w:val="nil"/>
              <w:bottom w:val="single" w:sz="8" w:space="0" w:color="auto"/>
              <w:right w:val="single" w:sz="4" w:space="0" w:color="auto"/>
            </w:tcBorders>
            <w:shd w:val="clear" w:color="000000" w:fill="D6DCE4"/>
            <w:noWrap/>
            <w:vAlign w:val="center"/>
            <w:hideMark/>
          </w:tcPr>
          <w:p w14:paraId="2A6E088D" w14:textId="55721FB0" w:rsidR="002E4A9B" w:rsidRPr="00991C0E" w:rsidRDefault="002E4A9B" w:rsidP="00273B09">
            <w:pPr>
              <w:spacing w:before="80" w:after="80" w:line="240" w:lineRule="auto"/>
              <w:jc w:val="center"/>
              <w:rPr>
                <w:rFonts w:cstheme="minorHAnsi"/>
                <w:color w:val="000000"/>
                <w:sz w:val="20"/>
                <w:szCs w:val="20"/>
              </w:rPr>
            </w:pPr>
          </w:p>
        </w:tc>
        <w:tc>
          <w:tcPr>
            <w:tcW w:w="992" w:type="dxa"/>
            <w:tcBorders>
              <w:top w:val="nil"/>
              <w:left w:val="nil"/>
              <w:bottom w:val="single" w:sz="8" w:space="0" w:color="auto"/>
              <w:right w:val="single" w:sz="4" w:space="0" w:color="auto"/>
            </w:tcBorders>
            <w:shd w:val="clear" w:color="000000" w:fill="D6DCE4"/>
            <w:noWrap/>
            <w:vAlign w:val="center"/>
            <w:hideMark/>
          </w:tcPr>
          <w:p w14:paraId="5A4AD32D" w14:textId="32143129" w:rsidR="002E4A9B" w:rsidRPr="00991C0E" w:rsidRDefault="002E4A9B" w:rsidP="00273B09">
            <w:pPr>
              <w:spacing w:before="80" w:after="80" w:line="240" w:lineRule="auto"/>
              <w:jc w:val="center"/>
              <w:rPr>
                <w:rFonts w:cstheme="minorHAnsi"/>
                <w:color w:val="000000"/>
                <w:sz w:val="20"/>
                <w:szCs w:val="20"/>
              </w:rPr>
            </w:pPr>
          </w:p>
        </w:tc>
        <w:tc>
          <w:tcPr>
            <w:tcW w:w="1134" w:type="dxa"/>
            <w:tcBorders>
              <w:top w:val="nil"/>
              <w:left w:val="nil"/>
              <w:bottom w:val="single" w:sz="8" w:space="0" w:color="auto"/>
              <w:right w:val="single" w:sz="4" w:space="0" w:color="auto"/>
            </w:tcBorders>
            <w:shd w:val="clear" w:color="000000" w:fill="D6DCE4"/>
            <w:noWrap/>
            <w:vAlign w:val="center"/>
            <w:hideMark/>
          </w:tcPr>
          <w:p w14:paraId="039449E8" w14:textId="24C9E94A" w:rsidR="002E4A9B" w:rsidRPr="00991C0E" w:rsidRDefault="002E4A9B" w:rsidP="00273B09">
            <w:pPr>
              <w:spacing w:before="80" w:after="80" w:line="240" w:lineRule="auto"/>
              <w:jc w:val="center"/>
              <w:rPr>
                <w:rFonts w:cstheme="minorHAnsi"/>
                <w:color w:val="000000"/>
                <w:sz w:val="20"/>
                <w:szCs w:val="20"/>
              </w:rPr>
            </w:pPr>
          </w:p>
        </w:tc>
        <w:tc>
          <w:tcPr>
            <w:tcW w:w="1276" w:type="dxa"/>
            <w:tcBorders>
              <w:top w:val="nil"/>
              <w:left w:val="nil"/>
              <w:bottom w:val="single" w:sz="8" w:space="0" w:color="auto"/>
              <w:right w:val="single" w:sz="4" w:space="0" w:color="auto"/>
            </w:tcBorders>
            <w:shd w:val="clear" w:color="000000" w:fill="D6DCE4"/>
            <w:noWrap/>
            <w:vAlign w:val="center"/>
            <w:hideMark/>
          </w:tcPr>
          <w:p w14:paraId="6AE3F39D" w14:textId="5EF8E189" w:rsidR="002E4A9B" w:rsidRPr="00991C0E" w:rsidRDefault="002E4A9B" w:rsidP="00273B09">
            <w:pPr>
              <w:spacing w:before="80" w:after="80" w:line="240" w:lineRule="auto"/>
              <w:jc w:val="center"/>
              <w:rPr>
                <w:rFonts w:cstheme="minorHAnsi"/>
                <w:color w:val="000000"/>
                <w:sz w:val="20"/>
                <w:szCs w:val="20"/>
              </w:rPr>
            </w:pPr>
          </w:p>
        </w:tc>
        <w:tc>
          <w:tcPr>
            <w:tcW w:w="1275" w:type="dxa"/>
            <w:tcBorders>
              <w:top w:val="nil"/>
              <w:left w:val="nil"/>
              <w:bottom w:val="single" w:sz="8" w:space="0" w:color="auto"/>
              <w:right w:val="nil"/>
            </w:tcBorders>
            <w:shd w:val="clear" w:color="000000" w:fill="D6DCE4"/>
            <w:noWrap/>
            <w:vAlign w:val="center"/>
            <w:hideMark/>
          </w:tcPr>
          <w:p w14:paraId="4605BFED" w14:textId="246330CF" w:rsidR="002E4A9B" w:rsidRPr="00991C0E" w:rsidRDefault="002E4A9B" w:rsidP="00273B09">
            <w:pPr>
              <w:spacing w:before="80" w:after="80" w:line="240" w:lineRule="auto"/>
              <w:jc w:val="center"/>
              <w:rPr>
                <w:rFonts w:cstheme="minorHAnsi"/>
                <w:color w:val="000000"/>
                <w:sz w:val="20"/>
                <w:szCs w:val="20"/>
              </w:rPr>
            </w:pPr>
            <w:r>
              <w:rPr>
                <w:rFonts w:ascii="Calibri" w:hAnsi="Calibri" w:cs="Calibri"/>
                <w:color w:val="000000"/>
                <w:sz w:val="22"/>
                <w:szCs w:val="22"/>
              </w:rPr>
              <w:t> </w:t>
            </w:r>
          </w:p>
        </w:tc>
        <w:tc>
          <w:tcPr>
            <w:tcW w:w="1276" w:type="dxa"/>
            <w:tcBorders>
              <w:top w:val="nil"/>
              <w:left w:val="single" w:sz="8" w:space="0" w:color="auto"/>
              <w:bottom w:val="single" w:sz="8" w:space="0" w:color="auto"/>
              <w:right w:val="single" w:sz="8" w:space="0" w:color="auto"/>
            </w:tcBorders>
            <w:shd w:val="clear" w:color="000000" w:fill="D6DCE4"/>
            <w:noWrap/>
            <w:vAlign w:val="center"/>
            <w:hideMark/>
          </w:tcPr>
          <w:p w14:paraId="65A0C488" w14:textId="1538D48C" w:rsidR="002E4A9B" w:rsidRPr="00991C0E" w:rsidRDefault="002E4A9B" w:rsidP="00273B09">
            <w:pPr>
              <w:spacing w:before="80" w:after="80" w:line="240" w:lineRule="auto"/>
              <w:jc w:val="center"/>
              <w:rPr>
                <w:rFonts w:cstheme="minorHAnsi"/>
                <w:color w:val="000000"/>
                <w:sz w:val="20"/>
                <w:szCs w:val="20"/>
              </w:rPr>
            </w:pPr>
            <w:r>
              <w:rPr>
                <w:rFonts w:ascii="Calibri" w:hAnsi="Calibri" w:cs="Calibri"/>
                <w:color w:val="000000"/>
                <w:sz w:val="22"/>
                <w:szCs w:val="22"/>
              </w:rPr>
              <w:t> </w:t>
            </w:r>
          </w:p>
        </w:tc>
        <w:tc>
          <w:tcPr>
            <w:tcW w:w="1559" w:type="dxa"/>
            <w:tcBorders>
              <w:top w:val="nil"/>
              <w:left w:val="nil"/>
              <w:bottom w:val="single" w:sz="8" w:space="0" w:color="auto"/>
              <w:right w:val="single" w:sz="8" w:space="0" w:color="auto"/>
            </w:tcBorders>
            <w:shd w:val="clear" w:color="000000" w:fill="D6DCE4"/>
            <w:vAlign w:val="center"/>
            <w:hideMark/>
          </w:tcPr>
          <w:p w14:paraId="63A082A6" w14:textId="397A9076" w:rsidR="002E4A9B" w:rsidRPr="00273B09" w:rsidRDefault="002E4A9B" w:rsidP="00273B09">
            <w:pPr>
              <w:spacing w:before="80" w:after="80" w:line="240" w:lineRule="auto"/>
              <w:jc w:val="center"/>
              <w:rPr>
                <w:rFonts w:ascii="Calibri" w:hAnsi="Calibri" w:cs="Calibri"/>
                <w:color w:val="000000"/>
                <w:sz w:val="20"/>
                <w:szCs w:val="20"/>
              </w:rPr>
            </w:pPr>
            <w:r>
              <w:rPr>
                <w:rFonts w:ascii="Calibri" w:hAnsi="Calibri" w:cs="Calibri"/>
                <w:color w:val="000000"/>
                <w:sz w:val="20"/>
                <w:szCs w:val="20"/>
              </w:rPr>
              <w:t>$12,476</w:t>
            </w:r>
          </w:p>
        </w:tc>
      </w:tr>
      <w:tr w:rsidR="006C0160" w:rsidRPr="00E94142" w14:paraId="5E56618C" w14:textId="77777777" w:rsidTr="006C0160">
        <w:trPr>
          <w:trHeight w:val="300"/>
        </w:trPr>
        <w:tc>
          <w:tcPr>
            <w:tcW w:w="1266" w:type="dxa"/>
            <w:tcBorders>
              <w:top w:val="single" w:sz="8" w:space="0" w:color="auto"/>
              <w:left w:val="single" w:sz="8" w:space="0" w:color="auto"/>
              <w:bottom w:val="single" w:sz="8" w:space="0" w:color="auto"/>
              <w:right w:val="single" w:sz="4" w:space="0" w:color="auto"/>
            </w:tcBorders>
            <w:shd w:val="clear" w:color="000000" w:fill="BFBFBF"/>
            <w:noWrap/>
            <w:vAlign w:val="center"/>
            <w:hideMark/>
          </w:tcPr>
          <w:p w14:paraId="4D2B8A05" w14:textId="77777777" w:rsidR="002E4A9B" w:rsidRPr="00991C0E" w:rsidRDefault="002E4A9B" w:rsidP="00273B09">
            <w:pPr>
              <w:spacing w:before="80" w:after="80" w:line="240" w:lineRule="auto"/>
              <w:jc w:val="center"/>
              <w:rPr>
                <w:rFonts w:cstheme="minorHAnsi"/>
                <w:b/>
                <w:color w:val="000000"/>
                <w:sz w:val="20"/>
                <w:szCs w:val="20"/>
              </w:rPr>
            </w:pPr>
            <w:r w:rsidRPr="00991C0E">
              <w:rPr>
                <w:rFonts w:cstheme="minorHAnsi"/>
                <w:b/>
                <w:color w:val="000000"/>
                <w:sz w:val="20"/>
                <w:szCs w:val="20"/>
              </w:rPr>
              <w:t>Totals</w:t>
            </w:r>
          </w:p>
        </w:tc>
        <w:tc>
          <w:tcPr>
            <w:tcW w:w="1276" w:type="dxa"/>
            <w:tcBorders>
              <w:top w:val="single" w:sz="8" w:space="0" w:color="auto"/>
              <w:left w:val="nil"/>
              <w:bottom w:val="single" w:sz="8" w:space="0" w:color="auto"/>
              <w:right w:val="single" w:sz="4" w:space="0" w:color="auto"/>
            </w:tcBorders>
            <w:shd w:val="clear" w:color="000000" w:fill="BFBFBF"/>
            <w:noWrap/>
            <w:vAlign w:val="center"/>
            <w:hideMark/>
          </w:tcPr>
          <w:p w14:paraId="1A5AC45A" w14:textId="77777777" w:rsidR="002E4A9B" w:rsidRPr="00991C0E" w:rsidRDefault="002E4A9B" w:rsidP="00273B09">
            <w:pPr>
              <w:spacing w:before="80" w:after="80" w:line="240" w:lineRule="auto"/>
              <w:jc w:val="center"/>
              <w:rPr>
                <w:rFonts w:cstheme="minorHAnsi"/>
                <w:b/>
                <w:color w:val="000000"/>
                <w:sz w:val="20"/>
                <w:szCs w:val="20"/>
              </w:rPr>
            </w:pPr>
            <w:r w:rsidRPr="00991C0E">
              <w:rPr>
                <w:rFonts w:cstheme="minorHAnsi"/>
                <w:b/>
                <w:color w:val="000000"/>
                <w:sz w:val="20"/>
                <w:szCs w:val="20"/>
              </w:rPr>
              <w:t>$82,043</w:t>
            </w:r>
          </w:p>
        </w:tc>
        <w:tc>
          <w:tcPr>
            <w:tcW w:w="1134" w:type="dxa"/>
            <w:tcBorders>
              <w:top w:val="single" w:sz="8" w:space="0" w:color="auto"/>
              <w:left w:val="nil"/>
              <w:bottom w:val="single" w:sz="8" w:space="0" w:color="auto"/>
              <w:right w:val="single" w:sz="4" w:space="0" w:color="auto"/>
            </w:tcBorders>
            <w:shd w:val="clear" w:color="000000" w:fill="BFBFBF"/>
            <w:noWrap/>
            <w:vAlign w:val="center"/>
            <w:hideMark/>
          </w:tcPr>
          <w:p w14:paraId="272B5EB4" w14:textId="63A33920" w:rsidR="002E4A9B" w:rsidRPr="00991C0E" w:rsidRDefault="002E4A9B" w:rsidP="00273B09">
            <w:pPr>
              <w:spacing w:before="80" w:after="80" w:line="240" w:lineRule="auto"/>
              <w:jc w:val="center"/>
              <w:rPr>
                <w:rFonts w:cstheme="minorHAnsi"/>
                <w:b/>
                <w:color w:val="000000"/>
                <w:sz w:val="20"/>
                <w:szCs w:val="20"/>
              </w:rPr>
            </w:pPr>
          </w:p>
        </w:tc>
        <w:tc>
          <w:tcPr>
            <w:tcW w:w="992" w:type="dxa"/>
            <w:tcBorders>
              <w:top w:val="single" w:sz="8" w:space="0" w:color="auto"/>
              <w:left w:val="nil"/>
              <w:bottom w:val="single" w:sz="8" w:space="0" w:color="auto"/>
              <w:right w:val="nil"/>
            </w:tcBorders>
            <w:shd w:val="clear" w:color="000000" w:fill="BFBFBF"/>
            <w:noWrap/>
            <w:vAlign w:val="center"/>
            <w:hideMark/>
          </w:tcPr>
          <w:p w14:paraId="45DCE719" w14:textId="2F84B9EF" w:rsidR="002E4A9B" w:rsidRPr="00991C0E" w:rsidRDefault="002E4A9B" w:rsidP="00273B09">
            <w:pPr>
              <w:spacing w:before="80" w:after="80" w:line="240" w:lineRule="auto"/>
              <w:jc w:val="center"/>
              <w:rPr>
                <w:rFonts w:cstheme="minorHAnsi"/>
                <w:b/>
                <w:color w:val="000000"/>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469A7D67" w14:textId="4D42AF81" w:rsidR="002E4A9B" w:rsidRPr="00991C0E" w:rsidRDefault="002E4A9B" w:rsidP="00273B09">
            <w:pPr>
              <w:spacing w:before="80" w:after="80" w:line="240" w:lineRule="auto"/>
              <w:jc w:val="center"/>
              <w:rPr>
                <w:rFonts w:cstheme="minorHAnsi"/>
                <w:b/>
                <w:color w:val="000000"/>
                <w:sz w:val="20"/>
                <w:szCs w:val="20"/>
              </w:rPr>
            </w:pPr>
            <w:r w:rsidRPr="004B2E4D">
              <w:rPr>
                <w:rFonts w:cstheme="minorHAnsi"/>
                <w:sz w:val="20"/>
                <w:szCs w:val="20"/>
              </w:rPr>
              <w:t>$77,170</w:t>
            </w:r>
          </w:p>
        </w:tc>
        <w:tc>
          <w:tcPr>
            <w:tcW w:w="850" w:type="dxa"/>
            <w:tcBorders>
              <w:top w:val="single" w:sz="8" w:space="0" w:color="auto"/>
              <w:left w:val="nil"/>
              <w:bottom w:val="single" w:sz="8" w:space="0" w:color="auto"/>
              <w:right w:val="single" w:sz="4" w:space="0" w:color="auto"/>
            </w:tcBorders>
            <w:shd w:val="clear" w:color="000000" w:fill="BFBFBF"/>
            <w:noWrap/>
            <w:vAlign w:val="center"/>
            <w:hideMark/>
          </w:tcPr>
          <w:p w14:paraId="2FC9B1A9" w14:textId="2FB9C681" w:rsidR="002E4A9B" w:rsidRPr="00991C0E" w:rsidRDefault="002E4A9B" w:rsidP="00273B09">
            <w:pPr>
              <w:spacing w:before="80" w:after="80" w:line="240" w:lineRule="auto"/>
              <w:jc w:val="center"/>
              <w:rPr>
                <w:rFonts w:cstheme="minorHAnsi"/>
                <w:b/>
                <w:color w:val="000000"/>
                <w:sz w:val="20"/>
                <w:szCs w:val="20"/>
              </w:rPr>
            </w:pPr>
          </w:p>
        </w:tc>
        <w:tc>
          <w:tcPr>
            <w:tcW w:w="993" w:type="dxa"/>
            <w:tcBorders>
              <w:top w:val="single" w:sz="8" w:space="0" w:color="auto"/>
              <w:left w:val="nil"/>
              <w:bottom w:val="single" w:sz="8" w:space="0" w:color="auto"/>
              <w:right w:val="single" w:sz="4" w:space="0" w:color="auto"/>
            </w:tcBorders>
            <w:shd w:val="clear" w:color="000000" w:fill="BFBFBF"/>
            <w:noWrap/>
            <w:vAlign w:val="center"/>
            <w:hideMark/>
          </w:tcPr>
          <w:p w14:paraId="67B160AE" w14:textId="4A85A7C6" w:rsidR="002E4A9B" w:rsidRPr="00991C0E" w:rsidRDefault="002E4A9B" w:rsidP="00273B09">
            <w:pPr>
              <w:spacing w:before="80" w:after="80" w:line="240" w:lineRule="auto"/>
              <w:jc w:val="center"/>
              <w:rPr>
                <w:rFonts w:cstheme="minorHAnsi"/>
                <w:b/>
                <w:color w:val="000000"/>
                <w:sz w:val="20"/>
                <w:szCs w:val="20"/>
              </w:rPr>
            </w:pPr>
          </w:p>
        </w:tc>
        <w:tc>
          <w:tcPr>
            <w:tcW w:w="992" w:type="dxa"/>
            <w:tcBorders>
              <w:top w:val="single" w:sz="8" w:space="0" w:color="auto"/>
              <w:left w:val="nil"/>
              <w:bottom w:val="single" w:sz="8" w:space="0" w:color="auto"/>
              <w:right w:val="single" w:sz="4" w:space="0" w:color="auto"/>
            </w:tcBorders>
            <w:shd w:val="clear" w:color="000000" w:fill="BFBFBF"/>
            <w:noWrap/>
            <w:vAlign w:val="center"/>
            <w:hideMark/>
          </w:tcPr>
          <w:p w14:paraId="1AD6ED92" w14:textId="1B0A0AD2" w:rsidR="002E4A9B" w:rsidRPr="00991C0E" w:rsidRDefault="002E4A9B" w:rsidP="00273B09">
            <w:pPr>
              <w:spacing w:before="80" w:after="80" w:line="240" w:lineRule="auto"/>
              <w:jc w:val="center"/>
              <w:rPr>
                <w:rFonts w:cstheme="minorHAnsi"/>
                <w:b/>
                <w:color w:val="000000"/>
                <w:sz w:val="20"/>
                <w:szCs w:val="20"/>
              </w:rPr>
            </w:pPr>
          </w:p>
        </w:tc>
        <w:tc>
          <w:tcPr>
            <w:tcW w:w="1134" w:type="dxa"/>
            <w:tcBorders>
              <w:top w:val="single" w:sz="8" w:space="0" w:color="auto"/>
              <w:left w:val="nil"/>
              <w:bottom w:val="single" w:sz="8" w:space="0" w:color="auto"/>
              <w:right w:val="single" w:sz="4" w:space="0" w:color="auto"/>
            </w:tcBorders>
            <w:shd w:val="clear" w:color="000000" w:fill="BFBFBF"/>
            <w:noWrap/>
            <w:vAlign w:val="center"/>
            <w:hideMark/>
          </w:tcPr>
          <w:p w14:paraId="4264C544" w14:textId="7BCCAA7C" w:rsidR="002E4A9B" w:rsidRPr="00991C0E" w:rsidRDefault="002E4A9B" w:rsidP="00273B09">
            <w:pPr>
              <w:spacing w:before="80" w:after="80" w:line="240" w:lineRule="auto"/>
              <w:jc w:val="center"/>
              <w:rPr>
                <w:rFonts w:cstheme="minorHAnsi"/>
                <w:b/>
                <w:color w:val="000000"/>
                <w:sz w:val="20"/>
                <w:szCs w:val="20"/>
              </w:rPr>
            </w:pPr>
          </w:p>
        </w:tc>
        <w:tc>
          <w:tcPr>
            <w:tcW w:w="1276" w:type="dxa"/>
            <w:tcBorders>
              <w:top w:val="single" w:sz="8" w:space="0" w:color="auto"/>
              <w:left w:val="nil"/>
              <w:bottom w:val="single" w:sz="8" w:space="0" w:color="auto"/>
              <w:right w:val="single" w:sz="4" w:space="0" w:color="auto"/>
            </w:tcBorders>
            <w:shd w:val="clear" w:color="000000" w:fill="BFBFBF"/>
            <w:noWrap/>
            <w:vAlign w:val="center"/>
            <w:hideMark/>
          </w:tcPr>
          <w:p w14:paraId="2EF0A9A1" w14:textId="66607579" w:rsidR="002E4A9B" w:rsidRPr="00991C0E" w:rsidRDefault="002E4A9B" w:rsidP="00273B09">
            <w:pPr>
              <w:spacing w:before="80" w:after="80" w:line="240" w:lineRule="auto"/>
              <w:jc w:val="center"/>
              <w:rPr>
                <w:rFonts w:cstheme="minorHAnsi"/>
                <w:b/>
                <w:color w:val="000000"/>
                <w:sz w:val="20"/>
                <w:szCs w:val="20"/>
              </w:rPr>
            </w:pPr>
          </w:p>
        </w:tc>
        <w:tc>
          <w:tcPr>
            <w:tcW w:w="1275" w:type="dxa"/>
            <w:tcBorders>
              <w:top w:val="single" w:sz="8" w:space="0" w:color="auto"/>
              <w:left w:val="nil"/>
              <w:bottom w:val="single" w:sz="8" w:space="0" w:color="auto"/>
              <w:right w:val="nil"/>
            </w:tcBorders>
            <w:shd w:val="clear" w:color="000000" w:fill="BFBFBF"/>
            <w:noWrap/>
            <w:vAlign w:val="center"/>
            <w:hideMark/>
          </w:tcPr>
          <w:p w14:paraId="61A85CDA" w14:textId="4DEDB460" w:rsidR="002E4A9B" w:rsidRPr="00991C0E" w:rsidRDefault="002E4A9B" w:rsidP="00273B09">
            <w:pPr>
              <w:spacing w:before="80" w:after="80" w:line="240" w:lineRule="auto"/>
              <w:jc w:val="center"/>
              <w:rPr>
                <w:rFonts w:cstheme="minorHAnsi"/>
                <w:b/>
                <w:color w:val="000000"/>
                <w:sz w:val="20"/>
                <w:szCs w:val="20"/>
              </w:rPr>
            </w:pPr>
            <w:r>
              <w:rPr>
                <w:rFonts w:ascii="Calibri" w:hAnsi="Calibri" w:cs="Calibri"/>
                <w:color w:val="000000"/>
                <w:sz w:val="20"/>
                <w:szCs w:val="20"/>
              </w:rPr>
              <w:t>$10,112</w:t>
            </w:r>
          </w:p>
        </w:tc>
        <w:tc>
          <w:tcPr>
            <w:tcW w:w="1276"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12FF0F75" w14:textId="304A9DFA" w:rsidR="002E4A9B" w:rsidRPr="00991C0E" w:rsidRDefault="002E4A9B" w:rsidP="00273B09">
            <w:pPr>
              <w:spacing w:before="80" w:after="80" w:line="240" w:lineRule="auto"/>
              <w:jc w:val="center"/>
              <w:rPr>
                <w:rFonts w:cstheme="minorHAnsi"/>
                <w:b/>
                <w:color w:val="000000"/>
                <w:sz w:val="20"/>
                <w:szCs w:val="20"/>
              </w:rPr>
            </w:pPr>
            <w:r>
              <w:rPr>
                <w:rFonts w:ascii="Calibri" w:hAnsi="Calibri" w:cs="Calibri"/>
                <w:color w:val="000000"/>
                <w:sz w:val="20"/>
                <w:szCs w:val="20"/>
              </w:rPr>
              <w:t>$87,282</w:t>
            </w:r>
          </w:p>
        </w:tc>
        <w:tc>
          <w:tcPr>
            <w:tcW w:w="1559" w:type="dxa"/>
            <w:tcBorders>
              <w:top w:val="single" w:sz="8" w:space="0" w:color="auto"/>
              <w:left w:val="nil"/>
              <w:bottom w:val="single" w:sz="8" w:space="0" w:color="auto"/>
              <w:right w:val="single" w:sz="8" w:space="0" w:color="auto"/>
            </w:tcBorders>
            <w:shd w:val="clear" w:color="000000" w:fill="BFBFBF"/>
            <w:noWrap/>
            <w:vAlign w:val="center"/>
            <w:hideMark/>
          </w:tcPr>
          <w:p w14:paraId="5E00C36F" w14:textId="6D1AC07B" w:rsidR="002E4A9B" w:rsidRPr="00273B09" w:rsidRDefault="002E4A9B" w:rsidP="00273B09">
            <w:pPr>
              <w:spacing w:before="80" w:after="80" w:line="240" w:lineRule="auto"/>
              <w:jc w:val="center"/>
              <w:rPr>
                <w:rFonts w:ascii="Calibri" w:hAnsi="Calibri" w:cs="Calibri"/>
                <w:color w:val="000000"/>
                <w:sz w:val="20"/>
                <w:szCs w:val="20"/>
              </w:rPr>
            </w:pPr>
            <w:r>
              <w:rPr>
                <w:rFonts w:ascii="Calibri" w:hAnsi="Calibri" w:cs="Calibri"/>
                <w:color w:val="000000"/>
                <w:sz w:val="20"/>
                <w:szCs w:val="20"/>
              </w:rPr>
              <w:t>$80,997</w:t>
            </w:r>
          </w:p>
        </w:tc>
      </w:tr>
    </w:tbl>
    <w:p w14:paraId="32E92B1A" w14:textId="7659E0AE" w:rsidR="00BA1D65" w:rsidRPr="00E94142" w:rsidRDefault="00BA1D65" w:rsidP="00BA1D65">
      <w:pPr>
        <w:rPr>
          <w:b/>
          <w:sz w:val="20"/>
          <w:szCs w:val="20"/>
          <w:lang w:val="en-US"/>
        </w:rPr>
        <w:sectPr w:rsidR="00BA1D65" w:rsidRPr="00E94142" w:rsidSect="00B46C1D">
          <w:pgSz w:w="16838" w:h="11906" w:orient="landscape" w:code="9"/>
          <w:pgMar w:top="1418" w:right="851" w:bottom="993" w:left="709" w:header="426" w:footer="227" w:gutter="0"/>
          <w:cols w:space="720"/>
          <w:docGrid w:linePitch="299"/>
        </w:sectPr>
      </w:pPr>
      <w:bookmarkStart w:id="95" w:name="OLE_LINK10"/>
      <w:bookmarkStart w:id="96" w:name="OLE_LINK11"/>
      <w:r w:rsidRPr="004B2E4D">
        <w:rPr>
          <w:bCs/>
          <w:lang w:val="en-US"/>
        </w:rPr>
        <w:t>*</w:t>
      </w:r>
      <w:proofErr w:type="gramStart"/>
      <w:r w:rsidRPr="004B2E4D">
        <w:rPr>
          <w:bCs/>
          <w:lang w:val="en-US"/>
        </w:rPr>
        <w:t>see</w:t>
      </w:r>
      <w:proofErr w:type="gramEnd"/>
      <w:r w:rsidRPr="004B2E4D">
        <w:rPr>
          <w:bCs/>
          <w:lang w:val="en-US"/>
        </w:rPr>
        <w:t xml:space="preserve"> </w:t>
      </w:r>
      <w:r w:rsidR="006C0160">
        <w:rPr>
          <w:bCs/>
          <w:lang w:val="en-US"/>
        </w:rPr>
        <w:t>S</w:t>
      </w:r>
      <w:r w:rsidRPr="004B2E4D">
        <w:rPr>
          <w:bCs/>
          <w:lang w:val="en-US"/>
        </w:rPr>
        <w:t xml:space="preserve">tep 3 below – this rate is published by </w:t>
      </w:r>
      <w:r w:rsidR="008E415A">
        <w:rPr>
          <w:bCs/>
          <w:lang w:val="en-US"/>
        </w:rPr>
        <w:t xml:space="preserve">the </w:t>
      </w:r>
      <w:r w:rsidRPr="00A94668">
        <w:rPr>
          <w:bCs/>
          <w:lang w:val="en-US"/>
        </w:rPr>
        <w:t>Financial Reporting and Framework Branch every six months at</w:t>
      </w:r>
      <w:r>
        <w:rPr>
          <w:b/>
          <w:lang w:val="en-US"/>
        </w:rPr>
        <w:t xml:space="preserve"> </w:t>
      </w:r>
      <w:hyperlink r:id="rId19" w:history="1">
        <w:r w:rsidRPr="00893481">
          <w:rPr>
            <w:rStyle w:val="Hyperlink"/>
            <w:b/>
            <w:bCs/>
          </w:rPr>
          <w:t xml:space="preserve">Accounting in the ACT Government </w:t>
        </w:r>
        <w:r w:rsidR="008E415A">
          <w:rPr>
            <w:rStyle w:val="Hyperlink"/>
            <w:b/>
            <w:bCs/>
          </w:rPr>
          <w:t>–</w:t>
        </w:r>
        <w:r w:rsidRPr="00893481">
          <w:rPr>
            <w:rStyle w:val="Hyperlink"/>
            <w:b/>
            <w:bCs/>
          </w:rPr>
          <w:t xml:space="preserve"> Treasury</w:t>
        </w:r>
      </w:hyperlink>
    </w:p>
    <w:p w14:paraId="362745DC" w14:textId="77777777" w:rsidR="00BA1D65" w:rsidRPr="002C5843" w:rsidRDefault="00BA1D65" w:rsidP="00BA1D65">
      <w:pPr>
        <w:rPr>
          <w:b/>
          <w:u w:val="single"/>
          <w:lang w:val="en-US"/>
        </w:rPr>
      </w:pPr>
      <w:r w:rsidRPr="008F2469">
        <w:rPr>
          <w:b/>
          <w:lang w:val="en-US"/>
        </w:rPr>
        <w:lastRenderedPageBreak/>
        <w:t xml:space="preserve">CALCULATION </w:t>
      </w:r>
      <w:r>
        <w:rPr>
          <w:b/>
          <w:lang w:val="en-US"/>
        </w:rPr>
        <w:t>-</w:t>
      </w:r>
      <w:r w:rsidRPr="002C5843">
        <w:rPr>
          <w:b/>
          <w:lang w:val="en-US"/>
        </w:rPr>
        <w:t>Table 1 (above</w:t>
      </w:r>
      <w:r w:rsidRPr="002C5843">
        <w:rPr>
          <w:b/>
          <w:u w:val="single"/>
          <w:lang w:val="en-US"/>
        </w:rPr>
        <w:t>)</w:t>
      </w:r>
    </w:p>
    <w:p w14:paraId="1BAFD25B" w14:textId="77777777" w:rsidR="00BA1D65" w:rsidRPr="00B5230A" w:rsidRDefault="00BA1D65" w:rsidP="00B5230A">
      <w:pPr>
        <w:spacing w:after="120" w:line="276" w:lineRule="auto"/>
        <w:jc w:val="both"/>
        <w:rPr>
          <w:bCs/>
          <w:sz w:val="22"/>
          <w:szCs w:val="22"/>
          <w:lang w:val="en-US"/>
        </w:rPr>
      </w:pPr>
      <w:r w:rsidRPr="00B5230A">
        <w:rPr>
          <w:b/>
          <w:sz w:val="22"/>
          <w:szCs w:val="22"/>
          <w:lang w:val="en-US"/>
        </w:rPr>
        <w:t>Step 1 – Probability Factor</w:t>
      </w:r>
      <w:r w:rsidRPr="00B5230A">
        <w:rPr>
          <w:bCs/>
          <w:sz w:val="22"/>
          <w:szCs w:val="22"/>
          <w:lang w:val="en-US"/>
        </w:rPr>
        <w:t xml:space="preserve"> (see section 3.2.1)</w:t>
      </w:r>
    </w:p>
    <w:p w14:paraId="4325A0D6" w14:textId="5562EB6F" w:rsidR="00BA1D65" w:rsidRPr="00B5230A" w:rsidRDefault="00BA1D65" w:rsidP="00B5230A">
      <w:pPr>
        <w:numPr>
          <w:ilvl w:val="0"/>
          <w:numId w:val="13"/>
        </w:numPr>
        <w:spacing w:after="120" w:line="276" w:lineRule="auto"/>
        <w:jc w:val="both"/>
        <w:rPr>
          <w:sz w:val="22"/>
          <w:szCs w:val="22"/>
          <w:lang w:val="en-US"/>
        </w:rPr>
      </w:pPr>
      <w:r w:rsidRPr="00B5230A">
        <w:rPr>
          <w:sz w:val="22"/>
          <w:szCs w:val="22"/>
          <w:lang w:val="en-US"/>
        </w:rPr>
        <w:t xml:space="preserve">Probability Weighted Accrued LSL </w:t>
      </w:r>
      <w:r w:rsidR="005A47E8" w:rsidRPr="00B5230A">
        <w:rPr>
          <w:sz w:val="22"/>
          <w:szCs w:val="22"/>
          <w:lang w:val="en-US"/>
        </w:rPr>
        <w:t xml:space="preserve">Unadjusted </w:t>
      </w:r>
      <w:r w:rsidRPr="00B5230A">
        <w:rPr>
          <w:sz w:val="22"/>
          <w:szCs w:val="22"/>
          <w:lang w:val="en-US"/>
        </w:rPr>
        <w:t xml:space="preserve">(Column E) = Unadjusted LSL Liability (Column B) x LSL Probability Factor (Column D). </w:t>
      </w:r>
    </w:p>
    <w:p w14:paraId="02356502" w14:textId="2AEF996F" w:rsidR="00BA1D65" w:rsidRPr="00B5230A" w:rsidRDefault="00BA1D65" w:rsidP="00B5230A">
      <w:pPr>
        <w:spacing w:after="120" w:line="276" w:lineRule="auto"/>
        <w:ind w:left="360"/>
        <w:jc w:val="both"/>
        <w:rPr>
          <w:sz w:val="22"/>
          <w:szCs w:val="22"/>
          <w:lang w:val="en-US"/>
        </w:rPr>
      </w:pPr>
      <w:r w:rsidRPr="00B5230A">
        <w:rPr>
          <w:sz w:val="22"/>
          <w:szCs w:val="22"/>
          <w:lang w:val="en-US"/>
        </w:rPr>
        <w:t>Formula: B x D = E</w:t>
      </w:r>
    </w:p>
    <w:p w14:paraId="5570A716" w14:textId="77777777" w:rsidR="00BA1D65" w:rsidRPr="00B5230A" w:rsidRDefault="00BA1D65" w:rsidP="00B5230A">
      <w:pPr>
        <w:spacing w:after="120" w:line="276" w:lineRule="auto"/>
        <w:jc w:val="both"/>
        <w:rPr>
          <w:sz w:val="22"/>
          <w:szCs w:val="22"/>
          <w:lang w:val="en-US"/>
        </w:rPr>
      </w:pPr>
      <w:r w:rsidRPr="00B5230A">
        <w:rPr>
          <w:b/>
          <w:bCs/>
          <w:sz w:val="22"/>
          <w:szCs w:val="22"/>
          <w:lang w:val="en-US"/>
        </w:rPr>
        <w:t xml:space="preserve">Step 2 – On Costs </w:t>
      </w:r>
      <w:r w:rsidRPr="00B5230A">
        <w:rPr>
          <w:sz w:val="22"/>
          <w:szCs w:val="22"/>
          <w:lang w:val="en-US"/>
        </w:rPr>
        <w:t>(see section 3.2.2)</w:t>
      </w:r>
    </w:p>
    <w:p w14:paraId="5DC6DB06" w14:textId="77777777" w:rsidR="00BA1D65" w:rsidRPr="00B5230A" w:rsidRDefault="00BA1D65" w:rsidP="00B5230A">
      <w:pPr>
        <w:numPr>
          <w:ilvl w:val="0"/>
          <w:numId w:val="13"/>
        </w:numPr>
        <w:spacing w:after="120" w:line="276" w:lineRule="auto"/>
        <w:jc w:val="both"/>
        <w:rPr>
          <w:sz w:val="22"/>
          <w:szCs w:val="22"/>
          <w:lang w:val="en-US"/>
        </w:rPr>
      </w:pPr>
      <w:r w:rsidRPr="00B5230A">
        <w:rPr>
          <w:sz w:val="22"/>
          <w:szCs w:val="22"/>
          <w:lang w:val="en-US"/>
        </w:rPr>
        <w:t>Total In-Service On-Cost Rate (Column J) = Super On-Cost Rate (Column G) + LSL On-Cost Rate (Column H) + AL On-Cost Rate (Column I) x Accrued LSL taken in Service % (</w:t>
      </w:r>
      <w:proofErr w:type="spellStart"/>
      <w:r w:rsidRPr="00B5230A">
        <w:rPr>
          <w:sz w:val="22"/>
          <w:szCs w:val="22"/>
          <w:lang w:val="en-US"/>
        </w:rPr>
        <w:t>ALSLTiS</w:t>
      </w:r>
      <w:proofErr w:type="spellEnd"/>
      <w:r w:rsidRPr="00B5230A">
        <w:rPr>
          <w:sz w:val="22"/>
          <w:szCs w:val="22"/>
          <w:lang w:val="en-US"/>
        </w:rPr>
        <w:t>%).</w:t>
      </w:r>
    </w:p>
    <w:p w14:paraId="30CD5277" w14:textId="63A382BE" w:rsidR="00BA1D65" w:rsidRPr="00A94668" w:rsidRDefault="00BA1D65" w:rsidP="00B5230A">
      <w:pPr>
        <w:spacing w:after="120" w:line="276" w:lineRule="auto"/>
        <w:ind w:left="360"/>
        <w:jc w:val="both"/>
        <w:rPr>
          <w:sz w:val="22"/>
          <w:szCs w:val="22"/>
          <w:lang w:val="en-US"/>
        </w:rPr>
      </w:pPr>
      <w:r w:rsidRPr="00B5230A">
        <w:rPr>
          <w:sz w:val="22"/>
          <w:szCs w:val="22"/>
          <w:lang w:val="en-US"/>
        </w:rPr>
        <w:t xml:space="preserve">Formula: (G + H + I) x </w:t>
      </w:r>
      <w:proofErr w:type="spellStart"/>
      <w:r w:rsidRPr="00B5230A">
        <w:rPr>
          <w:sz w:val="22"/>
          <w:szCs w:val="22"/>
          <w:lang w:val="en-US"/>
        </w:rPr>
        <w:t>ALSLTiS</w:t>
      </w:r>
      <w:proofErr w:type="spellEnd"/>
      <w:r w:rsidRPr="00B5230A">
        <w:rPr>
          <w:sz w:val="22"/>
          <w:szCs w:val="22"/>
          <w:lang w:val="en-US"/>
        </w:rPr>
        <w:t xml:space="preserve">% </w:t>
      </w:r>
      <w:r w:rsidRPr="00A94668">
        <w:rPr>
          <w:sz w:val="22"/>
          <w:szCs w:val="22"/>
          <w:lang w:val="en-US"/>
        </w:rPr>
        <w:t>(</w:t>
      </w:r>
      <w:r w:rsidR="004F14AA" w:rsidRPr="00A94668">
        <w:rPr>
          <w:sz w:val="22"/>
          <w:szCs w:val="22"/>
          <w:lang w:val="en-US"/>
        </w:rPr>
        <w:t>45</w:t>
      </w:r>
      <w:r w:rsidRPr="00097E22">
        <w:rPr>
          <w:sz w:val="22"/>
          <w:szCs w:val="22"/>
          <w:lang w:val="en-US"/>
        </w:rPr>
        <w:t xml:space="preserve">% </w:t>
      </w:r>
      <w:r w:rsidR="00097E22">
        <w:rPr>
          <w:sz w:val="22"/>
          <w:szCs w:val="22"/>
          <w:lang w:val="en-US"/>
        </w:rPr>
        <w:t xml:space="preserve">as per </w:t>
      </w:r>
      <w:r w:rsidRPr="00097E22">
        <w:rPr>
          <w:sz w:val="22"/>
          <w:szCs w:val="22"/>
          <w:lang w:val="en-US"/>
        </w:rPr>
        <w:t xml:space="preserve">AGA </w:t>
      </w:r>
      <w:r w:rsidR="00097E22">
        <w:rPr>
          <w:sz w:val="22"/>
          <w:szCs w:val="22"/>
          <w:lang w:val="en-US"/>
        </w:rPr>
        <w:t>R</w:t>
      </w:r>
      <w:r w:rsidRPr="00097E22">
        <w:rPr>
          <w:sz w:val="22"/>
          <w:szCs w:val="22"/>
          <w:lang w:val="en-US"/>
        </w:rPr>
        <w:t xml:space="preserve">eport </w:t>
      </w:r>
      <w:r w:rsidR="00097E22">
        <w:rPr>
          <w:sz w:val="22"/>
          <w:szCs w:val="22"/>
          <w:lang w:val="en-US"/>
        </w:rPr>
        <w:t>June</w:t>
      </w:r>
      <w:r w:rsidR="003A6688" w:rsidRPr="00097E22">
        <w:rPr>
          <w:sz w:val="22"/>
          <w:szCs w:val="22"/>
          <w:lang w:val="en-US"/>
        </w:rPr>
        <w:t xml:space="preserve"> 2022</w:t>
      </w:r>
      <w:r w:rsidRPr="00097E22">
        <w:rPr>
          <w:sz w:val="22"/>
          <w:szCs w:val="22"/>
          <w:lang w:val="en-US"/>
        </w:rPr>
        <w:t>) = J</w:t>
      </w:r>
    </w:p>
    <w:p w14:paraId="4FE17E8A" w14:textId="72104153" w:rsidR="00BA1D65" w:rsidRPr="00A94668" w:rsidRDefault="004F14AA" w:rsidP="00B5230A">
      <w:pPr>
        <w:numPr>
          <w:ilvl w:val="0"/>
          <w:numId w:val="13"/>
        </w:numPr>
        <w:spacing w:after="120" w:line="276" w:lineRule="auto"/>
        <w:jc w:val="both"/>
        <w:rPr>
          <w:sz w:val="22"/>
          <w:szCs w:val="22"/>
          <w:lang w:val="en-US"/>
        </w:rPr>
      </w:pPr>
      <w:r>
        <w:rPr>
          <w:sz w:val="22"/>
          <w:szCs w:val="22"/>
          <w:lang w:val="en-US"/>
        </w:rPr>
        <w:t xml:space="preserve">Total </w:t>
      </w:r>
      <w:r w:rsidR="00BA1D65" w:rsidRPr="004F14AA">
        <w:rPr>
          <w:sz w:val="22"/>
          <w:szCs w:val="22"/>
          <w:lang w:val="en-US"/>
        </w:rPr>
        <w:t xml:space="preserve">LSL On-Cost Amount (Column K) = Probability Weighted Accrued LSL </w:t>
      </w:r>
      <w:r>
        <w:rPr>
          <w:sz w:val="22"/>
          <w:szCs w:val="22"/>
          <w:lang w:val="en-US"/>
        </w:rPr>
        <w:t xml:space="preserve">Unadjusted </w:t>
      </w:r>
      <w:r w:rsidR="00BA1D65" w:rsidRPr="00A94668">
        <w:rPr>
          <w:sz w:val="22"/>
          <w:szCs w:val="22"/>
          <w:lang w:val="en-US"/>
        </w:rPr>
        <w:t>(Column E) x Total In-Service On-Cost Rate (Column J).</w:t>
      </w:r>
    </w:p>
    <w:p w14:paraId="18C04FC6" w14:textId="77777777" w:rsidR="00BA1D65" w:rsidRPr="00A94668" w:rsidRDefault="00BA1D65" w:rsidP="00B5230A">
      <w:pPr>
        <w:spacing w:after="120" w:line="276" w:lineRule="auto"/>
        <w:ind w:left="360"/>
        <w:jc w:val="both"/>
        <w:rPr>
          <w:sz w:val="22"/>
          <w:szCs w:val="22"/>
          <w:lang w:val="en-US"/>
        </w:rPr>
      </w:pPr>
      <w:r w:rsidRPr="00A94668">
        <w:rPr>
          <w:sz w:val="22"/>
          <w:szCs w:val="22"/>
          <w:lang w:val="en-US"/>
        </w:rPr>
        <w:t>Formula: E x J = K</w:t>
      </w:r>
    </w:p>
    <w:p w14:paraId="24C11807" w14:textId="4CEBD3C7" w:rsidR="00BA1D65" w:rsidRPr="004F14AA" w:rsidRDefault="00BA1D65" w:rsidP="00B5230A">
      <w:pPr>
        <w:numPr>
          <w:ilvl w:val="0"/>
          <w:numId w:val="13"/>
        </w:numPr>
        <w:spacing w:after="120" w:line="276" w:lineRule="auto"/>
        <w:jc w:val="both"/>
        <w:rPr>
          <w:sz w:val="22"/>
          <w:szCs w:val="22"/>
          <w:lang w:val="en-US"/>
        </w:rPr>
      </w:pPr>
      <w:r w:rsidRPr="00A94668">
        <w:rPr>
          <w:sz w:val="22"/>
          <w:szCs w:val="22"/>
          <w:lang w:val="en-US"/>
        </w:rPr>
        <w:t xml:space="preserve">Total Nominal LSL Liability (Column L) = Probability Weighted Accrued LSL </w:t>
      </w:r>
      <w:r w:rsidR="004F14AA">
        <w:rPr>
          <w:sz w:val="22"/>
          <w:szCs w:val="22"/>
          <w:lang w:val="en-US"/>
        </w:rPr>
        <w:t xml:space="preserve">Unadjusted </w:t>
      </w:r>
      <w:r w:rsidRPr="00A94668">
        <w:rPr>
          <w:sz w:val="22"/>
          <w:szCs w:val="22"/>
          <w:lang w:val="en-US"/>
        </w:rPr>
        <w:t xml:space="preserve">(Column E) + </w:t>
      </w:r>
      <w:r w:rsidR="004F14AA">
        <w:rPr>
          <w:sz w:val="22"/>
          <w:szCs w:val="22"/>
          <w:lang w:val="en-US"/>
        </w:rPr>
        <w:t xml:space="preserve">Total </w:t>
      </w:r>
      <w:r w:rsidRPr="004F14AA">
        <w:rPr>
          <w:sz w:val="22"/>
          <w:szCs w:val="22"/>
          <w:lang w:val="en-US"/>
        </w:rPr>
        <w:t>LSL On-Cost Amount (Column K).</w:t>
      </w:r>
    </w:p>
    <w:p w14:paraId="4E3BCE54" w14:textId="44DDF524" w:rsidR="00BA1D65" w:rsidRPr="004F14AA" w:rsidRDefault="00BA1D65" w:rsidP="00B5230A">
      <w:pPr>
        <w:spacing w:after="120" w:line="276" w:lineRule="auto"/>
        <w:ind w:left="360"/>
        <w:jc w:val="both"/>
        <w:rPr>
          <w:sz w:val="22"/>
          <w:szCs w:val="22"/>
          <w:lang w:val="en-US"/>
        </w:rPr>
      </w:pPr>
      <w:r w:rsidRPr="004F14AA">
        <w:rPr>
          <w:sz w:val="22"/>
          <w:szCs w:val="22"/>
          <w:lang w:val="en-US"/>
        </w:rPr>
        <w:t>Formula: E + K = L</w:t>
      </w:r>
    </w:p>
    <w:p w14:paraId="676756D6" w14:textId="77777777" w:rsidR="00BA1D65" w:rsidRPr="001C7FBC" w:rsidRDefault="00BA1D65" w:rsidP="00B5230A">
      <w:pPr>
        <w:spacing w:after="120" w:line="276" w:lineRule="auto"/>
        <w:jc w:val="both"/>
        <w:rPr>
          <w:sz w:val="22"/>
          <w:szCs w:val="22"/>
          <w:lang w:val="en-US"/>
        </w:rPr>
      </w:pPr>
      <w:bookmarkStart w:id="97" w:name="_Hlk40725928"/>
      <w:r w:rsidRPr="004F14AA">
        <w:rPr>
          <w:b/>
          <w:bCs/>
          <w:sz w:val="22"/>
          <w:szCs w:val="22"/>
          <w:lang w:val="en-US"/>
        </w:rPr>
        <w:t xml:space="preserve">Step 3 – LSL PVF </w:t>
      </w:r>
      <w:r w:rsidRPr="004F14AA">
        <w:rPr>
          <w:sz w:val="22"/>
          <w:szCs w:val="22"/>
          <w:lang w:val="en-US"/>
        </w:rPr>
        <w:t>(</w:t>
      </w:r>
      <w:r w:rsidRPr="001C7FBC">
        <w:rPr>
          <w:sz w:val="22"/>
          <w:szCs w:val="22"/>
          <w:lang w:val="en-US"/>
        </w:rPr>
        <w:t>see section 3.2.3)</w:t>
      </w:r>
    </w:p>
    <w:p w14:paraId="027B4648" w14:textId="13832F70" w:rsidR="00BA1D65" w:rsidRPr="00097E22" w:rsidRDefault="00BA1D65" w:rsidP="00B5230A">
      <w:pPr>
        <w:numPr>
          <w:ilvl w:val="0"/>
          <w:numId w:val="13"/>
        </w:numPr>
        <w:spacing w:after="120" w:line="276" w:lineRule="auto"/>
        <w:jc w:val="both"/>
        <w:rPr>
          <w:b/>
          <w:sz w:val="22"/>
          <w:szCs w:val="22"/>
          <w:lang w:val="en-US"/>
        </w:rPr>
      </w:pPr>
      <w:r w:rsidRPr="001C7FBC">
        <w:rPr>
          <w:sz w:val="22"/>
          <w:szCs w:val="22"/>
          <w:lang w:val="en-US"/>
        </w:rPr>
        <w:t xml:space="preserve">Adjusted Total LSL Liability (column M) = Total Nominal LSL Liability (column L) x LSL PVF </w:t>
      </w:r>
      <w:r w:rsidR="00ED4E00">
        <w:rPr>
          <w:sz w:val="22"/>
          <w:szCs w:val="22"/>
          <w:lang w:val="en-US"/>
        </w:rPr>
        <w:t>9</w:t>
      </w:r>
      <w:r w:rsidR="007C1A9D">
        <w:rPr>
          <w:sz w:val="22"/>
          <w:szCs w:val="22"/>
          <w:lang w:val="en-US"/>
        </w:rPr>
        <w:t>2</w:t>
      </w:r>
      <w:r w:rsidR="00ED4E00">
        <w:rPr>
          <w:sz w:val="22"/>
          <w:szCs w:val="22"/>
          <w:lang w:val="en-US"/>
        </w:rPr>
        <w:t>.</w:t>
      </w:r>
      <w:r w:rsidR="007C1A9D">
        <w:rPr>
          <w:sz w:val="22"/>
          <w:szCs w:val="22"/>
          <w:lang w:val="en-US"/>
        </w:rPr>
        <w:t>8</w:t>
      </w:r>
      <w:r w:rsidRPr="00097E22">
        <w:rPr>
          <w:sz w:val="22"/>
          <w:szCs w:val="22"/>
          <w:lang w:val="en-US"/>
        </w:rPr>
        <w:t xml:space="preserve">% </w:t>
      </w:r>
      <w:r w:rsidR="001C7FBC">
        <w:rPr>
          <w:sz w:val="22"/>
          <w:szCs w:val="22"/>
          <w:lang w:val="en-US"/>
        </w:rPr>
        <w:t>(</w:t>
      </w:r>
      <w:r w:rsidRPr="00A94668">
        <w:rPr>
          <w:sz w:val="22"/>
          <w:szCs w:val="22"/>
          <w:lang w:val="en-US"/>
        </w:rPr>
        <w:t xml:space="preserve">in </w:t>
      </w:r>
      <w:r w:rsidR="00823687">
        <w:rPr>
          <w:sz w:val="22"/>
          <w:szCs w:val="22"/>
          <w:lang w:val="en-US"/>
        </w:rPr>
        <w:t>December</w:t>
      </w:r>
      <w:r w:rsidR="001C7FBC" w:rsidRPr="00A94668">
        <w:rPr>
          <w:sz w:val="22"/>
          <w:szCs w:val="22"/>
          <w:lang w:val="en-US"/>
        </w:rPr>
        <w:t xml:space="preserve"> 2022</w:t>
      </w:r>
      <w:r w:rsidR="001C7FBC">
        <w:rPr>
          <w:sz w:val="22"/>
          <w:szCs w:val="22"/>
          <w:lang w:val="en-US"/>
        </w:rPr>
        <w:t xml:space="preserve">) </w:t>
      </w:r>
      <w:r w:rsidRPr="00097E22">
        <w:rPr>
          <w:sz w:val="22"/>
          <w:szCs w:val="22"/>
          <w:lang w:val="en-US"/>
        </w:rPr>
        <w:t>/</w:t>
      </w:r>
      <w:r w:rsidR="00097E22">
        <w:rPr>
          <w:sz w:val="22"/>
          <w:szCs w:val="22"/>
          <w:lang w:val="en-US"/>
        </w:rPr>
        <w:t xml:space="preserve"> </w:t>
      </w:r>
      <w:r w:rsidRPr="00A94668">
        <w:rPr>
          <w:sz w:val="22"/>
          <w:szCs w:val="22"/>
          <w:lang w:val="en-US"/>
        </w:rPr>
        <w:t>100 Formula: L x PVF = M. (</w:t>
      </w:r>
      <w:r w:rsidR="00ED4E00">
        <w:rPr>
          <w:sz w:val="22"/>
          <w:szCs w:val="22"/>
          <w:lang w:val="en-US"/>
        </w:rPr>
        <w:t>9</w:t>
      </w:r>
      <w:r w:rsidR="007C1A9D">
        <w:rPr>
          <w:sz w:val="22"/>
          <w:szCs w:val="22"/>
          <w:lang w:val="en-US"/>
        </w:rPr>
        <w:t>2</w:t>
      </w:r>
      <w:r w:rsidR="00ED4E00">
        <w:rPr>
          <w:sz w:val="22"/>
          <w:szCs w:val="22"/>
          <w:lang w:val="en-US"/>
        </w:rPr>
        <w:t>.</w:t>
      </w:r>
      <w:r w:rsidR="007C1A9D">
        <w:rPr>
          <w:sz w:val="22"/>
          <w:szCs w:val="22"/>
          <w:lang w:val="en-US"/>
        </w:rPr>
        <w:t>8</w:t>
      </w:r>
      <w:r w:rsidRPr="00097E22">
        <w:rPr>
          <w:sz w:val="22"/>
          <w:szCs w:val="22"/>
          <w:lang w:val="en-US"/>
        </w:rPr>
        <w:t>% LSL</w:t>
      </w:r>
      <w:r w:rsidR="00097E22">
        <w:rPr>
          <w:sz w:val="22"/>
          <w:szCs w:val="22"/>
          <w:lang w:val="en-US"/>
        </w:rPr>
        <w:t xml:space="preserve"> </w:t>
      </w:r>
      <w:r w:rsidRPr="00097E22">
        <w:rPr>
          <w:sz w:val="22"/>
          <w:szCs w:val="22"/>
          <w:lang w:val="en-US"/>
        </w:rPr>
        <w:t xml:space="preserve">PVF% issued by </w:t>
      </w:r>
      <w:r w:rsidR="001C7FBC" w:rsidRPr="00097E22">
        <w:rPr>
          <w:sz w:val="22"/>
          <w:szCs w:val="22"/>
          <w:lang w:val="en-US"/>
        </w:rPr>
        <w:t xml:space="preserve">the </w:t>
      </w:r>
      <w:r w:rsidRPr="00097E22">
        <w:rPr>
          <w:sz w:val="22"/>
          <w:szCs w:val="22"/>
          <w:lang w:val="en-US"/>
        </w:rPr>
        <w:t>FRF</w:t>
      </w:r>
      <w:r w:rsidR="001C7FBC" w:rsidRPr="00097E22">
        <w:rPr>
          <w:sz w:val="22"/>
          <w:szCs w:val="22"/>
          <w:lang w:val="en-US"/>
        </w:rPr>
        <w:t xml:space="preserve"> Branch</w:t>
      </w:r>
      <w:r w:rsidRPr="00097E22">
        <w:rPr>
          <w:sz w:val="22"/>
          <w:szCs w:val="22"/>
          <w:lang w:val="en-US"/>
        </w:rPr>
        <w:t xml:space="preserve"> June and December).</w:t>
      </w:r>
    </w:p>
    <w:p w14:paraId="4C0C882C" w14:textId="27F915FB" w:rsidR="00BA1D65" w:rsidRPr="00A94668" w:rsidRDefault="00BA1D65" w:rsidP="00A94668">
      <w:pPr>
        <w:spacing w:after="120" w:line="276" w:lineRule="auto"/>
        <w:jc w:val="both"/>
        <w:rPr>
          <w:lang w:val="en-US"/>
        </w:rPr>
      </w:pPr>
      <w:r w:rsidRPr="00A94668">
        <w:rPr>
          <w:bCs/>
          <w:sz w:val="22"/>
          <w:szCs w:val="22"/>
          <w:lang w:val="en-US"/>
        </w:rPr>
        <w:t>Further information on Financial Statement Disclosures for Employee Benefits is included in the ACT Model Financial Statements available on</w:t>
      </w:r>
      <w:r w:rsidRPr="004F14AA">
        <w:rPr>
          <w:b/>
          <w:sz w:val="22"/>
          <w:szCs w:val="22"/>
          <w:lang w:val="en-US"/>
        </w:rPr>
        <w:t xml:space="preserve"> </w:t>
      </w:r>
      <w:hyperlink r:id="rId20" w:history="1">
        <w:r w:rsidRPr="004F14AA">
          <w:rPr>
            <w:rStyle w:val="Hyperlink"/>
            <w:b/>
            <w:bCs/>
            <w:sz w:val="22"/>
            <w:szCs w:val="22"/>
          </w:rPr>
          <w:t xml:space="preserve">Accounting in the ACT Government </w:t>
        </w:r>
        <w:r w:rsidR="008E415A">
          <w:rPr>
            <w:rStyle w:val="Hyperlink"/>
            <w:b/>
            <w:bCs/>
            <w:sz w:val="22"/>
            <w:szCs w:val="22"/>
          </w:rPr>
          <w:t>–</w:t>
        </w:r>
        <w:r w:rsidRPr="004F14AA">
          <w:rPr>
            <w:rStyle w:val="Hyperlink"/>
            <w:b/>
            <w:bCs/>
            <w:sz w:val="22"/>
            <w:szCs w:val="22"/>
          </w:rPr>
          <w:t xml:space="preserve"> Treasury</w:t>
        </w:r>
      </w:hyperlink>
      <w:bookmarkStart w:id="98" w:name="_Hlk40701237"/>
      <w:bookmarkStart w:id="99" w:name="OLE_LINK2"/>
      <w:bookmarkEnd w:id="95"/>
      <w:bookmarkEnd w:id="96"/>
      <w:bookmarkEnd w:id="97"/>
      <w:r w:rsidR="001C7FBC" w:rsidRPr="00A94668">
        <w:rPr>
          <w:lang w:val="en-US"/>
        </w:rPr>
        <w:t>.</w:t>
      </w:r>
    </w:p>
    <w:p w14:paraId="17D0E2F8" w14:textId="77777777" w:rsidR="00BA1D65" w:rsidRPr="00893481" w:rsidRDefault="00BA1D65" w:rsidP="00A94668">
      <w:pPr>
        <w:pStyle w:val="Heading2"/>
        <w:spacing w:before="360" w:line="276" w:lineRule="auto"/>
      </w:pPr>
      <w:bookmarkStart w:id="100" w:name="_Toc79159896"/>
      <w:bookmarkStart w:id="101" w:name="_Toc137036642"/>
      <w:bookmarkStart w:id="102" w:name="OLE_LINK8"/>
      <w:bookmarkStart w:id="103" w:name="OLE_LINK9"/>
      <w:bookmarkEnd w:id="98"/>
      <w:r>
        <w:t>A</w:t>
      </w:r>
      <w:r w:rsidRPr="00961E6C">
        <w:t>2 Disclosure</w:t>
      </w:r>
      <w:r>
        <w:t xml:space="preserve"> &amp; </w:t>
      </w:r>
      <w:r w:rsidRPr="00893481">
        <w:t>Calculation</w:t>
      </w:r>
      <w:bookmarkEnd w:id="100"/>
      <w:bookmarkEnd w:id="101"/>
    </w:p>
    <w:p w14:paraId="439FF58C" w14:textId="783CC78B" w:rsidR="00BA1D65" w:rsidRPr="00A94668" w:rsidRDefault="00BA1D65" w:rsidP="00A94668">
      <w:pPr>
        <w:spacing w:after="120" w:line="276" w:lineRule="auto"/>
        <w:jc w:val="both"/>
        <w:rPr>
          <w:b/>
          <w:bCs/>
          <w:sz w:val="22"/>
          <w:szCs w:val="22"/>
        </w:rPr>
      </w:pPr>
      <w:bookmarkStart w:id="104" w:name="_Hlk40722535"/>
      <w:bookmarkEnd w:id="102"/>
      <w:bookmarkEnd w:id="103"/>
      <w:r w:rsidRPr="00A94668">
        <w:rPr>
          <w:b/>
          <w:bCs/>
          <w:sz w:val="22"/>
          <w:szCs w:val="22"/>
        </w:rPr>
        <w:t xml:space="preserve">Disclosure </w:t>
      </w:r>
      <w:r w:rsidR="008E415A">
        <w:rPr>
          <w:b/>
          <w:bCs/>
          <w:sz w:val="22"/>
          <w:szCs w:val="22"/>
        </w:rPr>
        <w:t>–</w:t>
      </w:r>
      <w:r w:rsidRPr="00A94668">
        <w:rPr>
          <w:b/>
          <w:bCs/>
          <w:sz w:val="22"/>
          <w:szCs w:val="22"/>
        </w:rPr>
        <w:t xml:space="preserve"> Current and Non-Current for LSL Liability</w:t>
      </w:r>
    </w:p>
    <w:p w14:paraId="6A9BD133" w14:textId="5B8B76EE" w:rsidR="00BA1D65" w:rsidRPr="00A94668" w:rsidRDefault="00BA1D65" w:rsidP="00A94668">
      <w:pPr>
        <w:spacing w:after="120" w:line="276" w:lineRule="auto"/>
        <w:jc w:val="both"/>
        <w:rPr>
          <w:rFonts w:eastAsia="Calibri"/>
          <w:sz w:val="22"/>
          <w:szCs w:val="22"/>
        </w:rPr>
      </w:pPr>
      <w:r w:rsidRPr="00A94668">
        <w:rPr>
          <w:rFonts w:eastAsia="Calibri"/>
          <w:sz w:val="22"/>
          <w:szCs w:val="22"/>
        </w:rPr>
        <w:t xml:space="preserve">Formula to calculate the Non-Current and Current LSL liability is based on the outcome of the 3 steps in A1 which results in the Adjusted LSL Liability in Table 1 Column M: </w:t>
      </w:r>
      <w:r w:rsidR="001C7FBC" w:rsidRPr="007C1A9D">
        <w:rPr>
          <w:rFonts w:eastAsia="Calibri"/>
          <w:sz w:val="22"/>
          <w:szCs w:val="22"/>
        </w:rPr>
        <w:t>$8</w:t>
      </w:r>
      <w:r w:rsidR="007C1A9D" w:rsidRPr="006C0160">
        <w:rPr>
          <w:rFonts w:eastAsia="Calibri"/>
          <w:sz w:val="22"/>
          <w:szCs w:val="22"/>
        </w:rPr>
        <w:t>0</w:t>
      </w:r>
      <w:r w:rsidR="001C7FBC" w:rsidRPr="007C1A9D">
        <w:rPr>
          <w:rFonts w:eastAsia="Calibri"/>
          <w:sz w:val="22"/>
          <w:szCs w:val="22"/>
        </w:rPr>
        <w:t>,</w:t>
      </w:r>
      <w:r w:rsidR="000A3408">
        <w:rPr>
          <w:rFonts w:eastAsia="Calibri"/>
          <w:sz w:val="22"/>
          <w:szCs w:val="22"/>
        </w:rPr>
        <w:t>997</w:t>
      </w:r>
      <w:r w:rsidRPr="00097E22">
        <w:rPr>
          <w:rFonts w:eastAsia="Calibri"/>
          <w:sz w:val="22"/>
          <w:szCs w:val="22"/>
        </w:rPr>
        <w:t>.</w:t>
      </w:r>
    </w:p>
    <w:p w14:paraId="76B58D75" w14:textId="27A2A421" w:rsidR="00BA1D65" w:rsidRPr="00097E22" w:rsidRDefault="00BA1D65" w:rsidP="00A94668">
      <w:pPr>
        <w:numPr>
          <w:ilvl w:val="0"/>
          <w:numId w:val="31"/>
        </w:numPr>
        <w:spacing w:after="120" w:line="276" w:lineRule="auto"/>
        <w:jc w:val="both"/>
        <w:rPr>
          <w:rFonts w:eastAsia="Calibri"/>
          <w:sz w:val="22"/>
          <w:szCs w:val="22"/>
        </w:rPr>
      </w:pPr>
      <w:r w:rsidRPr="00A94668">
        <w:rPr>
          <w:rFonts w:eastAsia="Calibri"/>
          <w:b/>
          <w:bCs/>
          <w:sz w:val="22"/>
          <w:szCs w:val="22"/>
        </w:rPr>
        <w:t xml:space="preserve">Current LSL Liability </w:t>
      </w:r>
      <w:r w:rsidR="008E415A">
        <w:rPr>
          <w:rFonts w:eastAsia="Calibri"/>
          <w:b/>
          <w:bCs/>
          <w:sz w:val="22"/>
          <w:szCs w:val="22"/>
        </w:rPr>
        <w:t>–</w:t>
      </w:r>
      <w:r w:rsidRPr="00A94668">
        <w:rPr>
          <w:rFonts w:eastAsia="Calibri"/>
          <w:b/>
          <w:bCs/>
          <w:sz w:val="22"/>
          <w:szCs w:val="22"/>
        </w:rPr>
        <w:t xml:space="preserve"> </w:t>
      </w:r>
      <w:r w:rsidRPr="00A94668">
        <w:rPr>
          <w:rFonts w:eastAsia="Calibri"/>
          <w:sz w:val="22"/>
          <w:szCs w:val="22"/>
        </w:rPr>
        <w:t xml:space="preserve">Column M: </w:t>
      </w:r>
      <w:r w:rsidR="001C7FBC" w:rsidRPr="00A94668">
        <w:rPr>
          <w:rFonts w:eastAsia="Calibri"/>
          <w:sz w:val="22"/>
          <w:szCs w:val="22"/>
        </w:rPr>
        <w:t>$6</w:t>
      </w:r>
      <w:r w:rsidR="000A3408">
        <w:rPr>
          <w:rFonts w:eastAsia="Calibri"/>
          <w:sz w:val="22"/>
          <w:szCs w:val="22"/>
        </w:rPr>
        <w:t>8</w:t>
      </w:r>
      <w:r w:rsidR="001C7FBC" w:rsidRPr="00A94668">
        <w:rPr>
          <w:rFonts w:eastAsia="Calibri"/>
          <w:sz w:val="22"/>
          <w:szCs w:val="22"/>
        </w:rPr>
        <w:t>,</w:t>
      </w:r>
      <w:r w:rsidR="000A3408">
        <w:rPr>
          <w:rFonts w:eastAsia="Calibri"/>
          <w:sz w:val="22"/>
          <w:szCs w:val="22"/>
        </w:rPr>
        <w:t>52</w:t>
      </w:r>
      <w:r w:rsidR="002E4A9B">
        <w:rPr>
          <w:rFonts w:eastAsia="Calibri"/>
          <w:sz w:val="22"/>
          <w:szCs w:val="22"/>
        </w:rPr>
        <w:t>1</w:t>
      </w:r>
    </w:p>
    <w:p w14:paraId="2E00ABFA" w14:textId="77777777" w:rsidR="00BA1D65" w:rsidRPr="00097E22" w:rsidRDefault="00BA1D65" w:rsidP="00A94668">
      <w:pPr>
        <w:spacing w:after="120" w:line="276" w:lineRule="auto"/>
        <w:ind w:left="426"/>
        <w:jc w:val="both"/>
        <w:rPr>
          <w:rFonts w:eastAsia="Calibri"/>
          <w:sz w:val="22"/>
          <w:szCs w:val="22"/>
        </w:rPr>
      </w:pPr>
      <w:r w:rsidRPr="00097E22">
        <w:rPr>
          <w:rFonts w:eastAsia="Calibri"/>
          <w:sz w:val="22"/>
          <w:szCs w:val="22"/>
        </w:rPr>
        <w:t>(</w:t>
      </w:r>
      <w:proofErr w:type="gramStart"/>
      <w:r w:rsidRPr="00097E22">
        <w:rPr>
          <w:rFonts w:eastAsia="Calibri"/>
          <w:sz w:val="22"/>
          <w:szCs w:val="22"/>
        </w:rPr>
        <w:t>based</w:t>
      </w:r>
      <w:proofErr w:type="gramEnd"/>
      <w:r w:rsidRPr="00097E22">
        <w:rPr>
          <w:rFonts w:eastAsia="Calibri"/>
          <w:sz w:val="22"/>
          <w:szCs w:val="22"/>
        </w:rPr>
        <w:t xml:space="preserve"> on HR employees records with 6 years completed service </w:t>
      </w:r>
      <w:r w:rsidRPr="00097E22">
        <w:rPr>
          <w:rFonts w:eastAsia="Calibri"/>
          <w:sz w:val="22"/>
          <w:szCs w:val="22"/>
          <w:u w:val="single"/>
        </w:rPr>
        <w:t>or more</w:t>
      </w:r>
      <w:r w:rsidRPr="00097E22">
        <w:rPr>
          <w:rFonts w:eastAsia="Calibri"/>
          <w:sz w:val="22"/>
          <w:szCs w:val="22"/>
        </w:rPr>
        <w:t xml:space="preserve"> (Table 1 column B: A1, B1, C1, D1)</w:t>
      </w:r>
    </w:p>
    <w:p w14:paraId="26B93091" w14:textId="1E87FB00" w:rsidR="00BA1D65" w:rsidRPr="00097E22" w:rsidRDefault="00BA1D65" w:rsidP="00A94668">
      <w:pPr>
        <w:numPr>
          <w:ilvl w:val="0"/>
          <w:numId w:val="31"/>
        </w:numPr>
        <w:spacing w:after="120" w:line="276" w:lineRule="auto"/>
        <w:jc w:val="both"/>
        <w:rPr>
          <w:rFonts w:eastAsia="Calibri"/>
          <w:sz w:val="22"/>
          <w:szCs w:val="22"/>
        </w:rPr>
      </w:pPr>
      <w:r w:rsidRPr="00097E22">
        <w:rPr>
          <w:rFonts w:eastAsia="Calibri"/>
          <w:b/>
          <w:bCs/>
          <w:sz w:val="22"/>
          <w:szCs w:val="22"/>
        </w:rPr>
        <w:t>Non-Current LSL Liability –</w:t>
      </w:r>
      <w:r w:rsidRPr="00097E22">
        <w:rPr>
          <w:rFonts w:eastAsia="Calibri"/>
          <w:sz w:val="22"/>
          <w:szCs w:val="22"/>
        </w:rPr>
        <w:t xml:space="preserve"> Column M: </w:t>
      </w:r>
      <w:r w:rsidR="001C7FBC" w:rsidRPr="00097E22">
        <w:rPr>
          <w:rFonts w:eastAsia="Calibri"/>
          <w:sz w:val="22"/>
          <w:szCs w:val="22"/>
        </w:rPr>
        <w:t>$12,</w:t>
      </w:r>
      <w:r w:rsidR="007C1A9D">
        <w:rPr>
          <w:rFonts w:eastAsia="Calibri"/>
          <w:sz w:val="22"/>
          <w:szCs w:val="22"/>
        </w:rPr>
        <w:t>47</w:t>
      </w:r>
      <w:r w:rsidR="002E4A9B">
        <w:rPr>
          <w:rFonts w:eastAsia="Calibri"/>
          <w:sz w:val="22"/>
          <w:szCs w:val="22"/>
        </w:rPr>
        <w:t>6</w:t>
      </w:r>
    </w:p>
    <w:p w14:paraId="2988FB3A" w14:textId="77777777" w:rsidR="00BA1D65" w:rsidRPr="00097E22" w:rsidRDefault="00BA1D65" w:rsidP="00A94668">
      <w:pPr>
        <w:spacing w:after="120" w:line="276" w:lineRule="auto"/>
        <w:ind w:left="426"/>
        <w:jc w:val="both"/>
        <w:rPr>
          <w:rFonts w:eastAsia="Calibri"/>
          <w:sz w:val="22"/>
          <w:szCs w:val="22"/>
        </w:rPr>
      </w:pPr>
      <w:r w:rsidRPr="00097E22">
        <w:rPr>
          <w:rFonts w:eastAsia="Calibri"/>
          <w:sz w:val="22"/>
          <w:szCs w:val="22"/>
        </w:rPr>
        <w:t>(</w:t>
      </w:r>
      <w:proofErr w:type="gramStart"/>
      <w:r w:rsidRPr="00097E22">
        <w:rPr>
          <w:rFonts w:eastAsia="Calibri"/>
          <w:sz w:val="22"/>
          <w:szCs w:val="22"/>
        </w:rPr>
        <w:t>based</w:t>
      </w:r>
      <w:proofErr w:type="gramEnd"/>
      <w:r w:rsidRPr="00097E22">
        <w:rPr>
          <w:rFonts w:eastAsia="Calibri"/>
          <w:sz w:val="22"/>
          <w:szCs w:val="22"/>
        </w:rPr>
        <w:t xml:space="preserve"> on HR employees records </w:t>
      </w:r>
      <w:r w:rsidRPr="00097E22">
        <w:rPr>
          <w:rFonts w:eastAsia="Calibri"/>
          <w:sz w:val="22"/>
          <w:szCs w:val="22"/>
          <w:u w:val="single"/>
        </w:rPr>
        <w:t>less than</w:t>
      </w:r>
      <w:r w:rsidRPr="00097E22">
        <w:rPr>
          <w:rFonts w:eastAsia="Calibri"/>
          <w:sz w:val="22"/>
          <w:szCs w:val="22"/>
        </w:rPr>
        <w:t xml:space="preserve"> 6 years completed service (Table 1 column B: E1, F1, G1, H1)</w:t>
      </w:r>
      <w:r w:rsidRPr="00097E22" w:rsidDel="00AB7985">
        <w:rPr>
          <w:rFonts w:eastAsia="Calibri"/>
          <w:sz w:val="22"/>
          <w:szCs w:val="22"/>
        </w:rPr>
        <w:t xml:space="preserve"> </w:t>
      </w:r>
    </w:p>
    <w:p w14:paraId="231F4213" w14:textId="77777777" w:rsidR="00BA1D65" w:rsidRPr="00097E22" w:rsidRDefault="00BA1D65" w:rsidP="00A94668">
      <w:pPr>
        <w:spacing w:after="120" w:line="276" w:lineRule="auto"/>
        <w:jc w:val="both"/>
        <w:rPr>
          <w:b/>
          <w:bCs/>
          <w:sz w:val="22"/>
          <w:szCs w:val="22"/>
          <w:lang w:val="en-US"/>
        </w:rPr>
      </w:pPr>
      <w:bookmarkStart w:id="105" w:name="_Hlk40723574"/>
      <w:bookmarkEnd w:id="104"/>
      <w:r w:rsidRPr="00097E22">
        <w:rPr>
          <w:b/>
          <w:sz w:val="22"/>
          <w:szCs w:val="22"/>
          <w:lang w:val="en-US"/>
        </w:rPr>
        <w:t>Calculation</w:t>
      </w:r>
      <w:r w:rsidRPr="00097E22">
        <w:rPr>
          <w:b/>
          <w:bCs/>
          <w:sz w:val="22"/>
          <w:szCs w:val="22"/>
          <w:lang w:val="en-US"/>
        </w:rPr>
        <w:t xml:space="preserve"> – LSL Expense for 20X1-X2</w:t>
      </w:r>
    </w:p>
    <w:p w14:paraId="0136990A" w14:textId="70404B0D" w:rsidR="00BA1D65" w:rsidRDefault="00BA1D65" w:rsidP="00A11083">
      <w:pPr>
        <w:spacing w:after="120" w:line="276" w:lineRule="auto"/>
        <w:jc w:val="both"/>
        <w:rPr>
          <w:sz w:val="22"/>
          <w:szCs w:val="22"/>
          <w:lang w:val="en-US"/>
        </w:rPr>
      </w:pPr>
      <w:r w:rsidRPr="00A94668">
        <w:rPr>
          <w:sz w:val="22"/>
          <w:szCs w:val="22"/>
          <w:lang w:val="en-US"/>
        </w:rPr>
        <w:t xml:space="preserve">Determine the difference between the 20X1-X2 and the 20X0-X1 LSL, </w:t>
      </w:r>
      <w:proofErr w:type="gramStart"/>
      <w:r w:rsidRPr="00A94668">
        <w:rPr>
          <w:sz w:val="22"/>
          <w:szCs w:val="22"/>
          <w:lang w:val="en-US"/>
        </w:rPr>
        <w:t>so as to</w:t>
      </w:r>
      <w:proofErr w:type="gramEnd"/>
      <w:r w:rsidRPr="00A94668">
        <w:rPr>
          <w:sz w:val="22"/>
          <w:szCs w:val="22"/>
          <w:lang w:val="en-US"/>
        </w:rPr>
        <w:t xml:space="preserve"> calculate the 30 June 20</w:t>
      </w:r>
      <w:r w:rsidR="00097E22">
        <w:rPr>
          <w:sz w:val="22"/>
          <w:szCs w:val="22"/>
          <w:lang w:val="en-US"/>
        </w:rPr>
        <w:t>X</w:t>
      </w:r>
      <w:r w:rsidRPr="00A94668">
        <w:rPr>
          <w:sz w:val="22"/>
          <w:szCs w:val="22"/>
          <w:lang w:val="en-US"/>
        </w:rPr>
        <w:t>2 LSL liabilities journal entries below:</w:t>
      </w:r>
    </w:p>
    <w:p w14:paraId="053252D7" w14:textId="11A58C3C" w:rsidR="00A11083" w:rsidRDefault="00A11083" w:rsidP="00A11083">
      <w:pPr>
        <w:spacing w:after="120" w:line="276" w:lineRule="auto"/>
        <w:jc w:val="both"/>
        <w:rPr>
          <w:sz w:val="22"/>
          <w:szCs w:val="22"/>
          <w:lang w:val="en-US"/>
        </w:rPr>
      </w:pPr>
    </w:p>
    <w:p w14:paraId="17019CEF" w14:textId="4ED914E6" w:rsidR="00A11083" w:rsidRDefault="00A11083" w:rsidP="00A11083">
      <w:pPr>
        <w:spacing w:after="120" w:line="276" w:lineRule="auto"/>
        <w:jc w:val="both"/>
        <w:rPr>
          <w:sz w:val="22"/>
          <w:szCs w:val="22"/>
          <w:lang w:val="en-US"/>
        </w:rPr>
      </w:pPr>
    </w:p>
    <w:p w14:paraId="7903A1E7" w14:textId="77777777" w:rsidR="00A11083" w:rsidRPr="00A94668" w:rsidRDefault="00A11083" w:rsidP="00A94668">
      <w:pPr>
        <w:spacing w:after="120" w:line="276" w:lineRule="auto"/>
        <w:jc w:val="both"/>
        <w:rPr>
          <w:sz w:val="22"/>
          <w:szCs w:val="22"/>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3539"/>
        <w:gridCol w:w="1843"/>
        <w:gridCol w:w="1843"/>
        <w:gridCol w:w="1859"/>
      </w:tblGrid>
      <w:tr w:rsidR="00A11083" w:rsidRPr="00A11083" w14:paraId="2F4A598D" w14:textId="77777777" w:rsidTr="00A1772C">
        <w:tc>
          <w:tcPr>
            <w:tcW w:w="3539" w:type="dxa"/>
            <w:shd w:val="clear" w:color="auto" w:fill="AF9CDF" w:themeFill="background2" w:themeFillTint="66"/>
          </w:tcPr>
          <w:p w14:paraId="2699C8B6" w14:textId="77777777" w:rsidR="00BA1D65" w:rsidRPr="00A94668" w:rsidRDefault="00BA1D65" w:rsidP="00A94668">
            <w:pPr>
              <w:spacing w:after="120" w:line="240" w:lineRule="auto"/>
              <w:jc w:val="both"/>
              <w:rPr>
                <w:rFonts w:cstheme="minorBidi"/>
                <w:sz w:val="22"/>
                <w:szCs w:val="22"/>
                <w:lang w:eastAsia="en-US"/>
              </w:rPr>
            </w:pPr>
          </w:p>
        </w:tc>
        <w:tc>
          <w:tcPr>
            <w:tcW w:w="1843" w:type="dxa"/>
            <w:shd w:val="clear" w:color="auto" w:fill="AF9CDF" w:themeFill="background2" w:themeFillTint="66"/>
          </w:tcPr>
          <w:p w14:paraId="74B5AACF" w14:textId="77777777" w:rsidR="00BA1D65" w:rsidRPr="00A94668" w:rsidRDefault="00BA1D65" w:rsidP="00A94668">
            <w:pPr>
              <w:spacing w:after="120" w:line="240" w:lineRule="auto"/>
              <w:jc w:val="center"/>
              <w:rPr>
                <w:b/>
                <w:sz w:val="22"/>
                <w:szCs w:val="22"/>
              </w:rPr>
            </w:pPr>
            <w:r w:rsidRPr="00A94668">
              <w:rPr>
                <w:b/>
                <w:bCs/>
                <w:sz w:val="22"/>
                <w:szCs w:val="22"/>
              </w:rPr>
              <w:t>Total LSL Liability</w:t>
            </w:r>
          </w:p>
        </w:tc>
        <w:tc>
          <w:tcPr>
            <w:tcW w:w="1843" w:type="dxa"/>
            <w:shd w:val="clear" w:color="auto" w:fill="AF9CDF" w:themeFill="background2" w:themeFillTint="66"/>
          </w:tcPr>
          <w:p w14:paraId="6AD19742" w14:textId="7616EEB8" w:rsidR="008E415A" w:rsidRDefault="00BA1D65" w:rsidP="008E415A">
            <w:pPr>
              <w:spacing w:after="60" w:line="240" w:lineRule="auto"/>
              <w:jc w:val="center"/>
              <w:rPr>
                <w:b/>
                <w:bCs/>
                <w:sz w:val="22"/>
                <w:szCs w:val="22"/>
              </w:rPr>
            </w:pPr>
            <w:r w:rsidRPr="00A94668">
              <w:rPr>
                <w:b/>
                <w:bCs/>
                <w:sz w:val="22"/>
                <w:szCs w:val="22"/>
              </w:rPr>
              <w:t xml:space="preserve">Total Current </w:t>
            </w:r>
            <w:r w:rsidR="00A11083" w:rsidRPr="00A94668">
              <w:rPr>
                <w:b/>
                <w:bCs/>
                <w:sz w:val="22"/>
                <w:szCs w:val="22"/>
              </w:rPr>
              <w:t xml:space="preserve"> </w:t>
            </w:r>
          </w:p>
          <w:p w14:paraId="7866B17B" w14:textId="170D0DA8" w:rsidR="00BA1D65" w:rsidRPr="00A94668" w:rsidRDefault="00A11083" w:rsidP="00A94668">
            <w:pPr>
              <w:spacing w:after="60" w:line="240" w:lineRule="auto"/>
              <w:jc w:val="center"/>
              <w:rPr>
                <w:b/>
                <w:sz w:val="22"/>
                <w:szCs w:val="22"/>
              </w:rPr>
            </w:pPr>
            <w:r w:rsidRPr="00A94668">
              <w:rPr>
                <w:b/>
                <w:bCs/>
                <w:sz w:val="22"/>
                <w:szCs w:val="22"/>
              </w:rPr>
              <w:t xml:space="preserve">LSL </w:t>
            </w:r>
            <w:r w:rsidR="00BA1D65" w:rsidRPr="00A94668">
              <w:rPr>
                <w:b/>
                <w:bCs/>
                <w:sz w:val="22"/>
                <w:szCs w:val="22"/>
              </w:rPr>
              <w:t>Liability</w:t>
            </w:r>
          </w:p>
        </w:tc>
        <w:tc>
          <w:tcPr>
            <w:tcW w:w="1859" w:type="dxa"/>
            <w:shd w:val="clear" w:color="auto" w:fill="AF9CDF" w:themeFill="background2" w:themeFillTint="66"/>
          </w:tcPr>
          <w:p w14:paraId="16B3C208" w14:textId="48D2F962" w:rsidR="00BA1D65" w:rsidRPr="00A94668" w:rsidRDefault="00BA1D65" w:rsidP="00A94668">
            <w:pPr>
              <w:spacing w:line="240" w:lineRule="auto"/>
              <w:jc w:val="center"/>
              <w:rPr>
                <w:rFonts w:cstheme="minorBidi"/>
                <w:b/>
                <w:bCs/>
                <w:sz w:val="22"/>
                <w:szCs w:val="22"/>
                <w:lang w:eastAsia="en-US"/>
              </w:rPr>
            </w:pPr>
            <w:r w:rsidRPr="00A94668">
              <w:rPr>
                <w:b/>
                <w:bCs/>
                <w:sz w:val="22"/>
                <w:szCs w:val="22"/>
              </w:rPr>
              <w:t xml:space="preserve">Total </w:t>
            </w:r>
          </w:p>
          <w:p w14:paraId="09277A9C" w14:textId="6801B35A" w:rsidR="00BA1D65" w:rsidRPr="00A94668" w:rsidRDefault="00BA1D65" w:rsidP="00A94668">
            <w:pPr>
              <w:spacing w:line="240" w:lineRule="auto"/>
              <w:jc w:val="center"/>
              <w:rPr>
                <w:rFonts w:cstheme="minorBidi"/>
                <w:b/>
                <w:bCs/>
                <w:sz w:val="22"/>
                <w:szCs w:val="22"/>
                <w:lang w:eastAsia="en-US"/>
              </w:rPr>
            </w:pPr>
            <w:r w:rsidRPr="00A94668">
              <w:rPr>
                <w:b/>
                <w:bCs/>
                <w:sz w:val="22"/>
                <w:szCs w:val="22"/>
              </w:rPr>
              <w:t>Non-Current</w:t>
            </w:r>
            <w:r w:rsidR="008E415A">
              <w:rPr>
                <w:b/>
                <w:bCs/>
                <w:sz w:val="22"/>
                <w:szCs w:val="22"/>
              </w:rPr>
              <w:t xml:space="preserve"> </w:t>
            </w:r>
            <w:r w:rsidR="00A11083" w:rsidRPr="00A94668">
              <w:rPr>
                <w:b/>
                <w:bCs/>
                <w:sz w:val="22"/>
                <w:szCs w:val="22"/>
              </w:rPr>
              <w:t>LSL</w:t>
            </w:r>
          </w:p>
          <w:p w14:paraId="4A977402" w14:textId="77777777" w:rsidR="00BA1D65" w:rsidRPr="00A94668" w:rsidRDefault="00BA1D65" w:rsidP="00A94668">
            <w:pPr>
              <w:spacing w:after="60" w:line="240" w:lineRule="auto"/>
              <w:jc w:val="center"/>
              <w:rPr>
                <w:rFonts w:cstheme="minorBidi"/>
                <w:b/>
                <w:bCs/>
                <w:sz w:val="22"/>
                <w:szCs w:val="22"/>
                <w:lang w:eastAsia="en-US"/>
              </w:rPr>
            </w:pPr>
            <w:r w:rsidRPr="00A94668">
              <w:rPr>
                <w:b/>
                <w:bCs/>
                <w:sz w:val="22"/>
                <w:szCs w:val="22"/>
              </w:rPr>
              <w:t>Liability</w:t>
            </w:r>
          </w:p>
        </w:tc>
      </w:tr>
      <w:tr w:rsidR="00A11083" w:rsidRPr="00A11083" w14:paraId="4357BE88" w14:textId="77777777" w:rsidTr="00A94668">
        <w:tc>
          <w:tcPr>
            <w:tcW w:w="3539" w:type="dxa"/>
          </w:tcPr>
          <w:p w14:paraId="525A547B" w14:textId="77777777" w:rsidR="00F82B44" w:rsidRPr="00A94668" w:rsidRDefault="00F82B44" w:rsidP="00A94668">
            <w:pPr>
              <w:spacing w:after="120" w:line="240" w:lineRule="auto"/>
              <w:rPr>
                <w:sz w:val="22"/>
                <w:szCs w:val="22"/>
              </w:rPr>
            </w:pPr>
            <w:r w:rsidRPr="00A94668">
              <w:rPr>
                <w:sz w:val="22"/>
                <w:szCs w:val="22"/>
              </w:rPr>
              <w:t xml:space="preserve">‘Adjusted Total LSL liability’ </w:t>
            </w:r>
            <w:proofErr w:type="gramStart"/>
            <w:r w:rsidRPr="00A94668">
              <w:rPr>
                <w:sz w:val="22"/>
                <w:szCs w:val="22"/>
              </w:rPr>
              <w:t>at</w:t>
            </w:r>
            <w:proofErr w:type="gramEnd"/>
            <w:r w:rsidRPr="00A94668">
              <w:rPr>
                <w:sz w:val="22"/>
                <w:szCs w:val="22"/>
              </w:rPr>
              <w:t xml:space="preserve"> 30 June 20X2 Table 1 column M</w:t>
            </w:r>
          </w:p>
        </w:tc>
        <w:tc>
          <w:tcPr>
            <w:tcW w:w="1843" w:type="dxa"/>
            <w:vAlign w:val="center"/>
          </w:tcPr>
          <w:p w14:paraId="6E67DFDA" w14:textId="7EB7AD9C" w:rsidR="00F82B44" w:rsidRPr="00097E22" w:rsidRDefault="00A11083" w:rsidP="00A94668">
            <w:pPr>
              <w:spacing w:after="120" w:line="240" w:lineRule="auto"/>
              <w:jc w:val="center"/>
              <w:rPr>
                <w:sz w:val="22"/>
                <w:szCs w:val="22"/>
              </w:rPr>
            </w:pPr>
            <w:r w:rsidRPr="007C1A9D">
              <w:rPr>
                <w:rFonts w:ascii="Calibri" w:hAnsi="Calibri" w:cs="Calibri"/>
                <w:color w:val="000000"/>
                <w:sz w:val="22"/>
                <w:szCs w:val="22"/>
              </w:rPr>
              <w:t>$8</w:t>
            </w:r>
            <w:r w:rsidR="007C1A9D" w:rsidRPr="00A1772C">
              <w:rPr>
                <w:rFonts w:ascii="Calibri" w:hAnsi="Calibri" w:cs="Calibri"/>
                <w:color w:val="000000"/>
                <w:sz w:val="22"/>
                <w:szCs w:val="22"/>
              </w:rPr>
              <w:t>0</w:t>
            </w:r>
            <w:r w:rsidRPr="007C1A9D">
              <w:rPr>
                <w:rFonts w:ascii="Calibri" w:hAnsi="Calibri" w:cs="Calibri"/>
                <w:color w:val="000000"/>
                <w:sz w:val="22"/>
                <w:szCs w:val="22"/>
              </w:rPr>
              <w:t>,</w:t>
            </w:r>
            <w:r w:rsidR="000A3408">
              <w:rPr>
                <w:rFonts w:ascii="Calibri" w:hAnsi="Calibri" w:cs="Calibri"/>
                <w:color w:val="000000"/>
                <w:sz w:val="22"/>
                <w:szCs w:val="22"/>
              </w:rPr>
              <w:t>997</w:t>
            </w:r>
            <w:r>
              <w:rPr>
                <w:rFonts w:ascii="Calibri" w:hAnsi="Calibri" w:cs="Calibri"/>
                <w:color w:val="000000"/>
                <w:sz w:val="22"/>
                <w:szCs w:val="22"/>
              </w:rPr>
              <w:t xml:space="preserve"> </w:t>
            </w:r>
          </w:p>
        </w:tc>
        <w:tc>
          <w:tcPr>
            <w:tcW w:w="1843" w:type="dxa"/>
            <w:tcBorders>
              <w:top w:val="single" w:sz="8" w:space="0" w:color="auto"/>
            </w:tcBorders>
            <w:vAlign w:val="center"/>
          </w:tcPr>
          <w:p w14:paraId="2203A0FD" w14:textId="156100BA" w:rsidR="00F82B44" w:rsidRPr="00097E22" w:rsidRDefault="00A11083" w:rsidP="00A94668">
            <w:pPr>
              <w:spacing w:after="120" w:line="240" w:lineRule="auto"/>
              <w:jc w:val="center"/>
              <w:rPr>
                <w:rFonts w:cstheme="minorBidi"/>
                <w:sz w:val="22"/>
                <w:szCs w:val="22"/>
                <w:lang w:eastAsia="en-US"/>
              </w:rPr>
            </w:pPr>
            <w:r w:rsidRPr="00097E22">
              <w:rPr>
                <w:rFonts w:ascii="Calibri" w:eastAsia="Calibri" w:hAnsi="Calibri" w:cs="Calibri"/>
                <w:color w:val="000000"/>
                <w:sz w:val="22"/>
                <w:szCs w:val="22"/>
              </w:rPr>
              <w:t>$6</w:t>
            </w:r>
            <w:r w:rsidR="000A3408">
              <w:rPr>
                <w:rFonts w:ascii="Calibri" w:eastAsia="Calibri" w:hAnsi="Calibri" w:cs="Calibri"/>
                <w:color w:val="000000"/>
                <w:sz w:val="22"/>
                <w:szCs w:val="22"/>
              </w:rPr>
              <w:t>8</w:t>
            </w:r>
            <w:r w:rsidRPr="00A94668">
              <w:rPr>
                <w:rFonts w:ascii="Calibri" w:eastAsia="Calibri" w:hAnsi="Calibri" w:cs="Calibri"/>
                <w:color w:val="000000"/>
                <w:sz w:val="22"/>
                <w:szCs w:val="22"/>
              </w:rPr>
              <w:t>,</w:t>
            </w:r>
            <w:r w:rsidR="000A3408">
              <w:rPr>
                <w:rFonts w:ascii="Calibri" w:eastAsia="Calibri" w:hAnsi="Calibri" w:cs="Calibri"/>
                <w:color w:val="000000"/>
                <w:sz w:val="22"/>
                <w:szCs w:val="22"/>
              </w:rPr>
              <w:t>52</w:t>
            </w:r>
            <w:r w:rsidR="002E4A9B">
              <w:rPr>
                <w:rFonts w:ascii="Calibri" w:eastAsia="Calibri" w:hAnsi="Calibri" w:cs="Calibri"/>
                <w:color w:val="000000"/>
                <w:sz w:val="22"/>
                <w:szCs w:val="22"/>
              </w:rPr>
              <w:t>1</w:t>
            </w:r>
            <w:r>
              <w:rPr>
                <w:rFonts w:ascii="Calibri" w:eastAsia="Calibri" w:hAnsi="Calibri" w:cs="Calibri"/>
                <w:color w:val="000000"/>
                <w:sz w:val="22"/>
                <w:szCs w:val="22"/>
              </w:rPr>
              <w:t xml:space="preserve"> </w:t>
            </w:r>
          </w:p>
        </w:tc>
        <w:tc>
          <w:tcPr>
            <w:tcW w:w="1859" w:type="dxa"/>
            <w:tcBorders>
              <w:top w:val="single" w:sz="8" w:space="0" w:color="auto"/>
            </w:tcBorders>
            <w:vAlign w:val="center"/>
          </w:tcPr>
          <w:p w14:paraId="0043C7E1" w14:textId="2DFE28A6" w:rsidR="00F82B44" w:rsidRPr="00097E22" w:rsidRDefault="00A11083" w:rsidP="00A94668">
            <w:pPr>
              <w:spacing w:after="120" w:line="240" w:lineRule="auto"/>
              <w:jc w:val="center"/>
              <w:rPr>
                <w:rFonts w:cstheme="minorBidi"/>
                <w:sz w:val="22"/>
                <w:szCs w:val="22"/>
                <w:lang w:eastAsia="en-US"/>
              </w:rPr>
            </w:pPr>
            <w:r w:rsidRPr="00097E22">
              <w:rPr>
                <w:rFonts w:ascii="Calibri" w:eastAsia="Calibri" w:hAnsi="Calibri" w:cs="Calibri"/>
                <w:color w:val="000000"/>
                <w:sz w:val="22"/>
                <w:szCs w:val="22"/>
              </w:rPr>
              <w:t>$12,</w:t>
            </w:r>
            <w:r w:rsidR="007C1A9D">
              <w:rPr>
                <w:rFonts w:ascii="Calibri" w:eastAsia="Calibri" w:hAnsi="Calibri" w:cs="Calibri"/>
                <w:color w:val="000000"/>
                <w:sz w:val="22"/>
                <w:szCs w:val="22"/>
              </w:rPr>
              <w:t>47</w:t>
            </w:r>
            <w:r w:rsidR="002E4A9B">
              <w:rPr>
                <w:rFonts w:ascii="Calibri" w:eastAsia="Calibri" w:hAnsi="Calibri" w:cs="Calibri"/>
                <w:color w:val="000000"/>
                <w:sz w:val="22"/>
                <w:szCs w:val="22"/>
              </w:rPr>
              <w:t>6</w:t>
            </w:r>
          </w:p>
        </w:tc>
      </w:tr>
      <w:tr w:rsidR="00A11083" w:rsidRPr="00A11083" w14:paraId="58A45B9B" w14:textId="77777777" w:rsidTr="00A94668">
        <w:tc>
          <w:tcPr>
            <w:tcW w:w="3539" w:type="dxa"/>
          </w:tcPr>
          <w:p w14:paraId="18353F4D" w14:textId="77777777" w:rsidR="00BA1D65" w:rsidRPr="00A94668" w:rsidRDefault="00BA1D65" w:rsidP="00A94668">
            <w:pPr>
              <w:spacing w:after="120" w:line="240" w:lineRule="auto"/>
              <w:rPr>
                <w:rFonts w:cstheme="minorBidi"/>
                <w:sz w:val="22"/>
                <w:szCs w:val="22"/>
                <w:lang w:eastAsia="en-US"/>
              </w:rPr>
            </w:pPr>
            <w:r w:rsidRPr="00A94668">
              <w:rPr>
                <w:b/>
                <w:sz w:val="22"/>
                <w:szCs w:val="22"/>
              </w:rPr>
              <w:t>Less</w:t>
            </w:r>
            <w:r w:rsidRPr="00A94668">
              <w:rPr>
                <w:sz w:val="22"/>
                <w:szCs w:val="22"/>
              </w:rPr>
              <w:t xml:space="preserve"> Total LSL liability </w:t>
            </w:r>
            <w:proofErr w:type="gramStart"/>
            <w:r w:rsidRPr="00A94668">
              <w:rPr>
                <w:sz w:val="22"/>
                <w:szCs w:val="22"/>
              </w:rPr>
              <w:t>at</w:t>
            </w:r>
            <w:proofErr w:type="gramEnd"/>
            <w:r w:rsidRPr="00A94668">
              <w:rPr>
                <w:sz w:val="22"/>
                <w:szCs w:val="22"/>
              </w:rPr>
              <w:t xml:space="preserve"> 30 June 20X1</w:t>
            </w:r>
          </w:p>
          <w:p w14:paraId="4DCA314F" w14:textId="77777777" w:rsidR="00BA1D65" w:rsidRPr="00A94668" w:rsidRDefault="00BA1D65" w:rsidP="00A94668">
            <w:pPr>
              <w:spacing w:after="120" w:line="240" w:lineRule="auto"/>
              <w:rPr>
                <w:sz w:val="22"/>
                <w:szCs w:val="22"/>
              </w:rPr>
            </w:pPr>
            <w:r w:rsidRPr="00A94668">
              <w:rPr>
                <w:sz w:val="22"/>
                <w:szCs w:val="22"/>
              </w:rPr>
              <w:t>(Current $62,000, Non-current $8,000)</w:t>
            </w:r>
          </w:p>
        </w:tc>
        <w:tc>
          <w:tcPr>
            <w:tcW w:w="1843" w:type="dxa"/>
          </w:tcPr>
          <w:p w14:paraId="60D27059" w14:textId="77777777" w:rsidR="00BA1D65" w:rsidRPr="00A94668" w:rsidRDefault="00BA1D65" w:rsidP="00A94668">
            <w:pPr>
              <w:spacing w:after="120" w:line="240" w:lineRule="auto"/>
              <w:jc w:val="center"/>
              <w:rPr>
                <w:sz w:val="22"/>
                <w:szCs w:val="22"/>
              </w:rPr>
            </w:pPr>
            <w:r w:rsidRPr="00A94668">
              <w:rPr>
                <w:sz w:val="22"/>
                <w:szCs w:val="22"/>
              </w:rPr>
              <w:t>$70,000</w:t>
            </w:r>
          </w:p>
        </w:tc>
        <w:tc>
          <w:tcPr>
            <w:tcW w:w="1843" w:type="dxa"/>
            <w:tcBorders>
              <w:bottom w:val="single" w:sz="8" w:space="0" w:color="auto"/>
            </w:tcBorders>
          </w:tcPr>
          <w:p w14:paraId="042CFF92" w14:textId="77777777" w:rsidR="00BA1D65" w:rsidRPr="00A94668" w:rsidRDefault="00BA1D65" w:rsidP="00A94668">
            <w:pPr>
              <w:spacing w:after="120" w:line="240" w:lineRule="auto"/>
              <w:jc w:val="center"/>
              <w:rPr>
                <w:rFonts w:cstheme="minorBidi"/>
                <w:sz w:val="22"/>
                <w:szCs w:val="22"/>
                <w:lang w:eastAsia="en-US"/>
              </w:rPr>
            </w:pPr>
            <w:r w:rsidRPr="00A94668">
              <w:rPr>
                <w:rFonts w:eastAsia="Calibri"/>
                <w:sz w:val="22"/>
                <w:szCs w:val="22"/>
              </w:rPr>
              <w:t>$62,000</w:t>
            </w:r>
          </w:p>
        </w:tc>
        <w:tc>
          <w:tcPr>
            <w:tcW w:w="1859" w:type="dxa"/>
            <w:tcBorders>
              <w:bottom w:val="single" w:sz="8" w:space="0" w:color="auto"/>
            </w:tcBorders>
          </w:tcPr>
          <w:p w14:paraId="4D553378" w14:textId="77777777" w:rsidR="00BA1D65" w:rsidRPr="00A94668" w:rsidRDefault="00BA1D65" w:rsidP="00A94668">
            <w:pPr>
              <w:spacing w:after="120" w:line="240" w:lineRule="auto"/>
              <w:jc w:val="center"/>
              <w:rPr>
                <w:rFonts w:cstheme="minorBidi"/>
                <w:sz w:val="22"/>
                <w:szCs w:val="22"/>
                <w:lang w:eastAsia="en-US"/>
              </w:rPr>
            </w:pPr>
            <w:r w:rsidRPr="00A94668">
              <w:rPr>
                <w:rFonts w:eastAsia="Calibri"/>
                <w:sz w:val="22"/>
                <w:szCs w:val="22"/>
              </w:rPr>
              <w:t>$8,000</w:t>
            </w:r>
          </w:p>
        </w:tc>
      </w:tr>
      <w:tr w:rsidR="00A11083" w:rsidRPr="00A11083" w14:paraId="07742BCD" w14:textId="77777777" w:rsidTr="00A94668">
        <w:tc>
          <w:tcPr>
            <w:tcW w:w="3539" w:type="dxa"/>
          </w:tcPr>
          <w:p w14:paraId="345B416B" w14:textId="77777777" w:rsidR="00F82B44" w:rsidRPr="00A94668" w:rsidRDefault="00F82B44" w:rsidP="00A94668">
            <w:pPr>
              <w:spacing w:after="120" w:line="240" w:lineRule="auto"/>
              <w:rPr>
                <w:sz w:val="22"/>
                <w:szCs w:val="22"/>
              </w:rPr>
            </w:pPr>
            <w:r w:rsidRPr="00A94668">
              <w:rPr>
                <w:b/>
                <w:sz w:val="22"/>
                <w:szCs w:val="22"/>
              </w:rPr>
              <w:t xml:space="preserve">Total Expenditure for 20X1-X2 </w:t>
            </w:r>
            <w:r w:rsidRPr="00A94668">
              <w:rPr>
                <w:bCs/>
                <w:sz w:val="22"/>
                <w:szCs w:val="22"/>
              </w:rPr>
              <w:t>(Journal entry 30 June 20X2)</w:t>
            </w:r>
          </w:p>
        </w:tc>
        <w:tc>
          <w:tcPr>
            <w:tcW w:w="1843" w:type="dxa"/>
            <w:vAlign w:val="center"/>
          </w:tcPr>
          <w:p w14:paraId="2BE9863B" w14:textId="522DB3D3" w:rsidR="00F82B44" w:rsidRPr="00097E22" w:rsidRDefault="00A11083" w:rsidP="00A94668">
            <w:pPr>
              <w:spacing w:after="120" w:line="240" w:lineRule="auto"/>
              <w:jc w:val="center"/>
              <w:rPr>
                <w:rFonts w:cstheme="minorBidi"/>
                <w:sz w:val="22"/>
                <w:szCs w:val="22"/>
                <w:lang w:eastAsia="en-US"/>
              </w:rPr>
            </w:pPr>
            <w:r w:rsidRPr="00A94668">
              <w:rPr>
                <w:rFonts w:ascii="Calibri" w:hAnsi="Calibri" w:cs="Calibri"/>
                <w:color w:val="000000"/>
                <w:sz w:val="22"/>
                <w:szCs w:val="22"/>
              </w:rPr>
              <w:t>$1</w:t>
            </w:r>
            <w:r w:rsidR="007C1A9D">
              <w:rPr>
                <w:rFonts w:ascii="Calibri" w:hAnsi="Calibri" w:cs="Calibri"/>
                <w:color w:val="000000"/>
                <w:sz w:val="22"/>
                <w:szCs w:val="22"/>
              </w:rPr>
              <w:t>0</w:t>
            </w:r>
            <w:r w:rsidRPr="00A94668">
              <w:rPr>
                <w:rFonts w:ascii="Calibri" w:hAnsi="Calibri" w:cs="Calibri"/>
                <w:color w:val="000000"/>
                <w:sz w:val="22"/>
                <w:szCs w:val="22"/>
              </w:rPr>
              <w:t>,</w:t>
            </w:r>
            <w:r w:rsidR="000A3408">
              <w:rPr>
                <w:rFonts w:ascii="Calibri" w:hAnsi="Calibri" w:cs="Calibri"/>
                <w:color w:val="000000"/>
                <w:sz w:val="22"/>
                <w:szCs w:val="22"/>
              </w:rPr>
              <w:t>997</w:t>
            </w:r>
            <w:r>
              <w:rPr>
                <w:rFonts w:ascii="Calibri" w:hAnsi="Calibri" w:cs="Calibri"/>
                <w:color w:val="000000"/>
                <w:sz w:val="22"/>
                <w:szCs w:val="22"/>
              </w:rPr>
              <w:t xml:space="preserve"> </w:t>
            </w:r>
          </w:p>
        </w:tc>
        <w:tc>
          <w:tcPr>
            <w:tcW w:w="1843" w:type="dxa"/>
            <w:tcBorders>
              <w:top w:val="single" w:sz="8" w:space="0" w:color="auto"/>
              <w:left w:val="single" w:sz="8" w:space="0" w:color="auto"/>
              <w:bottom w:val="single" w:sz="8" w:space="0" w:color="auto"/>
              <w:right w:val="single" w:sz="8" w:space="0" w:color="auto"/>
            </w:tcBorders>
            <w:vAlign w:val="center"/>
          </w:tcPr>
          <w:p w14:paraId="38CF4F8A" w14:textId="70352E15" w:rsidR="00F82B44" w:rsidRPr="00097E22" w:rsidRDefault="00A11083" w:rsidP="00A94668">
            <w:pPr>
              <w:spacing w:after="120" w:line="240" w:lineRule="auto"/>
              <w:jc w:val="center"/>
              <w:rPr>
                <w:rFonts w:cstheme="minorBidi"/>
                <w:sz w:val="22"/>
                <w:szCs w:val="22"/>
                <w:lang w:eastAsia="en-US"/>
              </w:rPr>
            </w:pPr>
            <w:r w:rsidRPr="00097E22">
              <w:rPr>
                <w:rFonts w:ascii="Calibri" w:hAnsi="Calibri" w:cs="Calibri"/>
                <w:color w:val="000000"/>
                <w:sz w:val="22"/>
                <w:szCs w:val="22"/>
              </w:rPr>
              <w:t>$</w:t>
            </w:r>
            <w:r w:rsidR="000A3408">
              <w:rPr>
                <w:rFonts w:ascii="Calibri" w:hAnsi="Calibri" w:cs="Calibri"/>
                <w:color w:val="000000"/>
                <w:sz w:val="22"/>
                <w:szCs w:val="22"/>
              </w:rPr>
              <w:t>6</w:t>
            </w:r>
            <w:r w:rsidRPr="00A94668">
              <w:rPr>
                <w:rFonts w:ascii="Calibri" w:hAnsi="Calibri" w:cs="Calibri"/>
                <w:color w:val="000000"/>
                <w:sz w:val="22"/>
                <w:szCs w:val="22"/>
              </w:rPr>
              <w:t>,</w:t>
            </w:r>
            <w:r w:rsidR="000A3408">
              <w:rPr>
                <w:rFonts w:ascii="Calibri" w:hAnsi="Calibri" w:cs="Calibri"/>
                <w:color w:val="000000"/>
                <w:sz w:val="22"/>
                <w:szCs w:val="22"/>
              </w:rPr>
              <w:t>52</w:t>
            </w:r>
            <w:r w:rsidR="002E4A9B">
              <w:rPr>
                <w:rFonts w:ascii="Calibri" w:hAnsi="Calibri" w:cs="Calibri"/>
                <w:color w:val="000000"/>
                <w:sz w:val="22"/>
                <w:szCs w:val="22"/>
              </w:rPr>
              <w:t>1</w:t>
            </w:r>
            <w:r>
              <w:rPr>
                <w:rFonts w:ascii="Calibri" w:hAnsi="Calibri" w:cs="Calibri"/>
                <w:color w:val="000000"/>
                <w:sz w:val="22"/>
                <w:szCs w:val="22"/>
              </w:rPr>
              <w:t xml:space="preserve"> </w:t>
            </w:r>
          </w:p>
        </w:tc>
        <w:tc>
          <w:tcPr>
            <w:tcW w:w="1859" w:type="dxa"/>
            <w:tcBorders>
              <w:top w:val="single" w:sz="8" w:space="0" w:color="auto"/>
              <w:left w:val="single" w:sz="8" w:space="0" w:color="auto"/>
              <w:bottom w:val="single" w:sz="8" w:space="0" w:color="auto"/>
              <w:right w:val="single" w:sz="8" w:space="0" w:color="auto"/>
            </w:tcBorders>
            <w:vAlign w:val="center"/>
          </w:tcPr>
          <w:p w14:paraId="042B2D44" w14:textId="0FFE4495" w:rsidR="00F82B44" w:rsidRPr="00A94668" w:rsidRDefault="00A11083" w:rsidP="00A94668">
            <w:pPr>
              <w:spacing w:after="120" w:line="240" w:lineRule="auto"/>
              <w:jc w:val="center"/>
              <w:rPr>
                <w:sz w:val="22"/>
                <w:szCs w:val="22"/>
              </w:rPr>
            </w:pPr>
            <w:r w:rsidRPr="00097E22">
              <w:rPr>
                <w:rFonts w:ascii="Calibri" w:hAnsi="Calibri" w:cs="Calibri"/>
                <w:color w:val="000000"/>
                <w:sz w:val="22"/>
                <w:szCs w:val="22"/>
              </w:rPr>
              <w:t>$4,</w:t>
            </w:r>
            <w:r w:rsidR="007C1A9D">
              <w:rPr>
                <w:rFonts w:ascii="Calibri" w:hAnsi="Calibri" w:cs="Calibri"/>
                <w:color w:val="000000"/>
                <w:sz w:val="22"/>
                <w:szCs w:val="22"/>
              </w:rPr>
              <w:t>47</w:t>
            </w:r>
            <w:r w:rsidR="002E4A9B">
              <w:rPr>
                <w:rFonts w:ascii="Calibri" w:hAnsi="Calibri" w:cs="Calibri"/>
                <w:color w:val="000000"/>
                <w:sz w:val="22"/>
                <w:szCs w:val="22"/>
              </w:rPr>
              <w:t>6</w:t>
            </w:r>
            <w:r>
              <w:rPr>
                <w:rFonts w:ascii="Calibri" w:hAnsi="Calibri" w:cs="Calibri"/>
                <w:color w:val="000000"/>
                <w:sz w:val="22"/>
                <w:szCs w:val="22"/>
              </w:rPr>
              <w:t xml:space="preserve">    </w:t>
            </w:r>
          </w:p>
        </w:tc>
      </w:tr>
      <w:bookmarkEnd w:id="105"/>
    </w:tbl>
    <w:p w14:paraId="0EC0FD64" w14:textId="77777777" w:rsidR="00BA1D65" w:rsidRPr="00E74B54" w:rsidRDefault="00BA1D65" w:rsidP="00BA1D65">
      <w:pPr>
        <w:rPr>
          <w:lang w:val="en-US"/>
        </w:rPr>
      </w:pPr>
    </w:p>
    <w:p w14:paraId="1CC5955C" w14:textId="77777777" w:rsidR="00BA1D65" w:rsidRPr="00CB1038" w:rsidRDefault="00BA1D65" w:rsidP="00BA1D65">
      <w:pPr>
        <w:rPr>
          <w:lang w:val="en-US"/>
        </w:rPr>
      </w:pPr>
    </w:p>
    <w:p w14:paraId="62FFAE74" w14:textId="77777777" w:rsidR="00BA1D65" w:rsidRPr="00CB1038" w:rsidRDefault="00BA1D65" w:rsidP="00BA1D65">
      <w:pPr>
        <w:sectPr w:rsidR="00BA1D65" w:rsidRPr="00CB1038" w:rsidSect="00893481">
          <w:pgSz w:w="11906" w:h="16838" w:code="9"/>
          <w:pgMar w:top="851" w:right="1253" w:bottom="709" w:left="1559" w:header="426" w:footer="227" w:gutter="0"/>
          <w:cols w:space="720"/>
          <w:docGrid w:linePitch="299"/>
        </w:sectPr>
      </w:pPr>
    </w:p>
    <w:p w14:paraId="05D495A6" w14:textId="77777777" w:rsidR="00BA1D65" w:rsidRPr="00CB1038" w:rsidRDefault="00BA1D65" w:rsidP="00A94668">
      <w:pPr>
        <w:pStyle w:val="Heading1"/>
        <w:numPr>
          <w:ilvl w:val="0"/>
          <w:numId w:val="0"/>
        </w:numPr>
        <w:spacing w:before="0"/>
        <w:rPr>
          <w:lang w:val="en-US"/>
        </w:rPr>
      </w:pPr>
      <w:bookmarkStart w:id="106" w:name="_Toc149104861"/>
      <w:bookmarkStart w:id="107" w:name="_Toc79159897"/>
      <w:bookmarkStart w:id="108" w:name="_Toc137036643"/>
      <w:bookmarkStart w:id="109" w:name="_Hlk40712830"/>
      <w:bookmarkEnd w:id="99"/>
      <w:r w:rsidRPr="00CB1038">
        <w:rPr>
          <w:lang w:val="en-US"/>
        </w:rPr>
        <w:lastRenderedPageBreak/>
        <w:t>ATTACHMENT B</w:t>
      </w:r>
      <w:bookmarkEnd w:id="106"/>
      <w:r w:rsidRPr="00CB1038">
        <w:rPr>
          <w:lang w:val="en-US"/>
        </w:rPr>
        <w:t xml:space="preserve"> </w:t>
      </w:r>
      <w:r>
        <w:rPr>
          <w:lang w:val="en-US"/>
        </w:rPr>
        <w:t>–</w:t>
      </w:r>
      <w:r w:rsidRPr="00CB1038">
        <w:rPr>
          <w:lang w:val="en-US"/>
        </w:rPr>
        <w:t xml:space="preserve"> Calculation of Annual Leave Liability and Expense</w:t>
      </w:r>
      <w:bookmarkEnd w:id="107"/>
      <w:bookmarkEnd w:id="108"/>
    </w:p>
    <w:bookmarkEnd w:id="109"/>
    <w:p w14:paraId="3DFA3DE7" w14:textId="76ED0A86" w:rsidR="00BA1D65" w:rsidRPr="007505A0" w:rsidRDefault="00BB26D6" w:rsidP="007505A0">
      <w:pPr>
        <w:spacing w:after="120" w:line="276" w:lineRule="auto"/>
        <w:jc w:val="both"/>
        <w:rPr>
          <w:sz w:val="22"/>
          <w:szCs w:val="22"/>
          <w:lang w:val="en-US"/>
        </w:rPr>
      </w:pPr>
      <w:r>
        <w:rPr>
          <w:sz w:val="22"/>
          <w:szCs w:val="22"/>
          <w:lang w:val="en-US"/>
        </w:rPr>
        <w:t xml:space="preserve">In this example the </w:t>
      </w:r>
      <w:r w:rsidR="00BA1D65" w:rsidRPr="007505A0">
        <w:rPr>
          <w:sz w:val="22"/>
          <w:szCs w:val="22"/>
          <w:lang w:val="en-US"/>
        </w:rPr>
        <w:t xml:space="preserve">Annual </w:t>
      </w:r>
      <w:r>
        <w:rPr>
          <w:sz w:val="22"/>
          <w:szCs w:val="22"/>
          <w:lang w:val="en-US"/>
        </w:rPr>
        <w:t>L</w:t>
      </w:r>
      <w:r w:rsidR="00BA1D65" w:rsidRPr="007505A0">
        <w:rPr>
          <w:sz w:val="22"/>
          <w:szCs w:val="22"/>
          <w:lang w:val="en-US"/>
        </w:rPr>
        <w:t xml:space="preserve">eave liability as </w:t>
      </w:r>
      <w:proofErr w:type="gramStart"/>
      <w:r w:rsidR="00BA1D65" w:rsidRPr="007505A0">
        <w:rPr>
          <w:sz w:val="22"/>
          <w:szCs w:val="22"/>
          <w:lang w:val="en-US"/>
        </w:rPr>
        <w:t>at</w:t>
      </w:r>
      <w:proofErr w:type="gramEnd"/>
      <w:r w:rsidR="00BA1D65" w:rsidRPr="007505A0">
        <w:rPr>
          <w:sz w:val="22"/>
          <w:szCs w:val="22"/>
          <w:lang w:val="en-US"/>
        </w:rPr>
        <w:t xml:space="preserve"> 30 June 20X1</w:t>
      </w:r>
      <w:r>
        <w:rPr>
          <w:sz w:val="22"/>
          <w:szCs w:val="22"/>
          <w:lang w:val="en-US"/>
        </w:rPr>
        <w:t xml:space="preserve"> is</w:t>
      </w:r>
      <w:r w:rsidR="00BA1D65" w:rsidRPr="007505A0">
        <w:rPr>
          <w:sz w:val="22"/>
          <w:szCs w:val="22"/>
          <w:lang w:val="en-US"/>
        </w:rPr>
        <w:t xml:space="preserve"> $40,000 (from 20X0-X1 Financial Statements).</w:t>
      </w:r>
    </w:p>
    <w:p w14:paraId="7491CD41" w14:textId="77777777" w:rsidR="00BA1D65" w:rsidRPr="00CB1038" w:rsidRDefault="00BA1D65" w:rsidP="00FF5AA2">
      <w:pPr>
        <w:pStyle w:val="Heading2"/>
        <w:spacing w:before="360" w:line="276" w:lineRule="auto"/>
        <w:rPr>
          <w:lang w:val="en-US"/>
        </w:rPr>
      </w:pPr>
      <w:bookmarkStart w:id="110" w:name="_Toc79159898"/>
      <w:bookmarkStart w:id="111" w:name="_Toc137036644"/>
      <w:r>
        <w:rPr>
          <w:lang w:val="en-US"/>
        </w:rPr>
        <w:t>B1 Recognition and Measurement</w:t>
      </w:r>
      <w:bookmarkEnd w:id="110"/>
      <w:bookmarkEnd w:id="111"/>
    </w:p>
    <w:p w14:paraId="187C35D8" w14:textId="77777777" w:rsidR="00BA1D65" w:rsidRPr="00A1772C" w:rsidRDefault="00BA1D65" w:rsidP="007505A0">
      <w:pPr>
        <w:spacing w:after="120" w:line="276" w:lineRule="auto"/>
        <w:jc w:val="both"/>
        <w:rPr>
          <w:sz w:val="22"/>
          <w:szCs w:val="22"/>
          <w:u w:val="single"/>
          <w:lang w:val="en-US"/>
        </w:rPr>
      </w:pPr>
      <w:r w:rsidRPr="00A1772C">
        <w:rPr>
          <w:sz w:val="22"/>
          <w:szCs w:val="22"/>
          <w:u w:val="single"/>
          <w:lang w:val="en-US"/>
        </w:rPr>
        <w:t>Step 1 – Apply On-Costs to the Unadjusted</w:t>
      </w:r>
      <w:r w:rsidRPr="00A1772C">
        <w:rPr>
          <w:sz w:val="22"/>
          <w:szCs w:val="22"/>
          <w:u w:val="single"/>
        </w:rPr>
        <w:t xml:space="preserve"> Annual Leave Liability of </w:t>
      </w:r>
      <w:r w:rsidRPr="00A1772C">
        <w:rPr>
          <w:sz w:val="22"/>
          <w:szCs w:val="22"/>
          <w:u w:val="single"/>
          <w:lang w:val="en-US"/>
        </w:rPr>
        <w:t>Each Employee</w:t>
      </w:r>
    </w:p>
    <w:p w14:paraId="702A636D" w14:textId="5FAF5899" w:rsidR="00BA1D65" w:rsidRPr="007505A0" w:rsidRDefault="00BA1D65" w:rsidP="007505A0">
      <w:pPr>
        <w:spacing w:after="120" w:line="276" w:lineRule="auto"/>
        <w:jc w:val="both"/>
        <w:rPr>
          <w:sz w:val="22"/>
          <w:szCs w:val="22"/>
          <w:lang w:val="en-US"/>
        </w:rPr>
      </w:pPr>
      <w:r w:rsidRPr="007505A0">
        <w:rPr>
          <w:sz w:val="22"/>
          <w:szCs w:val="22"/>
          <w:lang w:val="en-US"/>
        </w:rPr>
        <w:t xml:space="preserve">Obtain the annual leave liability for each employee, based on remuneration rates applicable </w:t>
      </w:r>
      <w:proofErr w:type="gramStart"/>
      <w:r w:rsidRPr="007505A0">
        <w:rPr>
          <w:sz w:val="22"/>
          <w:szCs w:val="22"/>
          <w:lang w:val="en-US"/>
        </w:rPr>
        <w:t>at</w:t>
      </w:r>
      <w:proofErr w:type="gramEnd"/>
      <w:r w:rsidRPr="007505A0">
        <w:rPr>
          <w:sz w:val="22"/>
          <w:szCs w:val="22"/>
          <w:lang w:val="en-US"/>
        </w:rPr>
        <w:t xml:space="preserve"> 30 June 20X2 (e.g. from an agency’s HR records). Once this information is obtained on-costs must be applied. In this example, the below table outlines the application of on-costs to the unadjusted annual leave liability of each employee:</w:t>
      </w:r>
    </w:p>
    <w:p w14:paraId="075D56FB" w14:textId="77777777" w:rsidR="00BA1D65" w:rsidRPr="00A1772C" w:rsidRDefault="00BA1D65" w:rsidP="007505A0">
      <w:pPr>
        <w:spacing w:after="120" w:line="276" w:lineRule="auto"/>
        <w:jc w:val="both"/>
        <w:rPr>
          <w:bCs/>
          <w:i/>
          <w:iCs/>
          <w:sz w:val="22"/>
          <w:szCs w:val="22"/>
          <w:lang w:val="en-US"/>
        </w:rPr>
      </w:pPr>
      <w:r w:rsidRPr="00A1772C">
        <w:rPr>
          <w:bCs/>
          <w:i/>
          <w:iCs/>
          <w:sz w:val="22"/>
          <w:szCs w:val="22"/>
          <w:lang w:val="en-US"/>
        </w:rPr>
        <w:t xml:space="preserve">Table 2 Annual Leave Calculations 20X2 </w:t>
      </w:r>
    </w:p>
    <w:tbl>
      <w:tblPr>
        <w:tblW w:w="5062" w:type="pct"/>
        <w:tblLayout w:type="fixed"/>
        <w:tblLook w:val="04A0" w:firstRow="1" w:lastRow="0" w:firstColumn="1" w:lastColumn="0" w:noHBand="0" w:noVBand="1"/>
      </w:tblPr>
      <w:tblGrid>
        <w:gridCol w:w="1262"/>
        <w:gridCol w:w="1274"/>
        <w:gridCol w:w="710"/>
        <w:gridCol w:w="992"/>
        <w:gridCol w:w="992"/>
        <w:gridCol w:w="1135"/>
        <w:gridCol w:w="992"/>
        <w:gridCol w:w="1280"/>
      </w:tblGrid>
      <w:tr w:rsidR="00BA1D65" w:rsidRPr="00B82226" w14:paraId="50474D3A" w14:textId="77777777" w:rsidTr="00A1772C">
        <w:trPr>
          <w:trHeight w:val="288"/>
        </w:trPr>
        <w:tc>
          <w:tcPr>
            <w:tcW w:w="5000" w:type="pct"/>
            <w:gridSpan w:val="8"/>
            <w:tcBorders>
              <w:top w:val="single" w:sz="8" w:space="0" w:color="auto"/>
              <w:left w:val="single" w:sz="8" w:space="0" w:color="auto"/>
              <w:bottom w:val="single" w:sz="4" w:space="0" w:color="auto"/>
              <w:right w:val="single" w:sz="8" w:space="0" w:color="000000"/>
            </w:tcBorders>
            <w:shd w:val="clear" w:color="auto" w:fill="AF9CDF" w:themeFill="background2" w:themeFillTint="66"/>
            <w:vAlign w:val="center"/>
            <w:hideMark/>
          </w:tcPr>
          <w:p w14:paraId="22DE96AE" w14:textId="6A88063C" w:rsidR="00BA1D65" w:rsidRPr="00B82226" w:rsidRDefault="00BA1D65" w:rsidP="00A1772C">
            <w:pPr>
              <w:jc w:val="center"/>
              <w:rPr>
                <w:rFonts w:eastAsia="Times New Roman" w:cs="Calibri"/>
                <w:b/>
                <w:bCs/>
                <w:color w:val="000000"/>
              </w:rPr>
            </w:pPr>
            <w:r w:rsidRPr="00B82226">
              <w:rPr>
                <w:rFonts w:eastAsia="Times New Roman" w:cs="Calibri"/>
                <w:b/>
                <w:bCs/>
                <w:color w:val="000000"/>
              </w:rPr>
              <w:t xml:space="preserve">On-Costs </w:t>
            </w:r>
            <w:r w:rsidR="00BB13B6">
              <w:rPr>
                <w:rFonts w:eastAsia="Times New Roman" w:cs="Calibri"/>
                <w:b/>
                <w:bCs/>
                <w:color w:val="000000"/>
              </w:rPr>
              <w:t xml:space="preserve">Applied </w:t>
            </w:r>
            <w:r w:rsidRPr="00B82226">
              <w:rPr>
                <w:rFonts w:eastAsia="Times New Roman" w:cs="Calibri"/>
                <w:b/>
                <w:bCs/>
                <w:color w:val="000000"/>
              </w:rPr>
              <w:t>to the Unadjusted Annual Leave Liability of Each Employee</w:t>
            </w:r>
          </w:p>
        </w:tc>
      </w:tr>
      <w:tr w:rsidR="00BB13B6" w:rsidRPr="00B82226" w14:paraId="51246CCF" w14:textId="77777777" w:rsidTr="00A1772C">
        <w:trPr>
          <w:trHeight w:val="288"/>
        </w:trPr>
        <w:tc>
          <w:tcPr>
            <w:tcW w:w="731" w:type="pct"/>
            <w:tcBorders>
              <w:top w:val="nil"/>
              <w:left w:val="single" w:sz="8" w:space="0" w:color="auto"/>
              <w:bottom w:val="single" w:sz="4" w:space="0" w:color="auto"/>
              <w:right w:val="single" w:sz="4" w:space="0" w:color="auto"/>
            </w:tcBorders>
            <w:shd w:val="clear" w:color="auto" w:fill="AF9CDF" w:themeFill="background2" w:themeFillTint="66"/>
            <w:vAlign w:val="center"/>
            <w:hideMark/>
          </w:tcPr>
          <w:p w14:paraId="5A6A96DD" w14:textId="77777777" w:rsidR="00BA1D65" w:rsidRPr="00B82226" w:rsidRDefault="00BA1D65" w:rsidP="00E96A6D">
            <w:pPr>
              <w:jc w:val="center"/>
              <w:rPr>
                <w:rFonts w:eastAsia="Times New Roman" w:cs="Calibri"/>
                <w:b/>
                <w:bCs/>
                <w:color w:val="000000"/>
              </w:rPr>
            </w:pPr>
            <w:r w:rsidRPr="00B82226">
              <w:rPr>
                <w:rFonts w:eastAsia="Times New Roman" w:cs="Calibri"/>
                <w:b/>
                <w:bCs/>
                <w:color w:val="000000"/>
              </w:rPr>
              <w:t>A</w:t>
            </w:r>
          </w:p>
        </w:tc>
        <w:tc>
          <w:tcPr>
            <w:tcW w:w="738" w:type="pct"/>
            <w:tcBorders>
              <w:top w:val="nil"/>
              <w:left w:val="nil"/>
              <w:bottom w:val="single" w:sz="4" w:space="0" w:color="auto"/>
              <w:right w:val="single" w:sz="4" w:space="0" w:color="auto"/>
            </w:tcBorders>
            <w:shd w:val="clear" w:color="auto" w:fill="AF9CDF" w:themeFill="background2" w:themeFillTint="66"/>
            <w:vAlign w:val="center"/>
            <w:hideMark/>
          </w:tcPr>
          <w:p w14:paraId="462A9299" w14:textId="77777777" w:rsidR="00BA1D65" w:rsidRPr="00B82226" w:rsidRDefault="00BA1D65" w:rsidP="00E96A6D">
            <w:pPr>
              <w:jc w:val="center"/>
              <w:rPr>
                <w:rFonts w:eastAsia="Times New Roman" w:cs="Calibri"/>
                <w:b/>
                <w:bCs/>
                <w:color w:val="000000"/>
              </w:rPr>
            </w:pPr>
            <w:r w:rsidRPr="00B82226">
              <w:rPr>
                <w:rFonts w:eastAsia="Times New Roman" w:cs="Calibri"/>
                <w:b/>
                <w:bCs/>
                <w:color w:val="000000"/>
              </w:rPr>
              <w:t>B</w:t>
            </w:r>
          </w:p>
        </w:tc>
        <w:tc>
          <w:tcPr>
            <w:tcW w:w="411" w:type="pct"/>
            <w:tcBorders>
              <w:top w:val="nil"/>
              <w:left w:val="nil"/>
              <w:bottom w:val="single" w:sz="4" w:space="0" w:color="auto"/>
              <w:right w:val="single" w:sz="4" w:space="0" w:color="auto"/>
            </w:tcBorders>
            <w:shd w:val="clear" w:color="auto" w:fill="AF9CDF" w:themeFill="background2" w:themeFillTint="66"/>
            <w:vAlign w:val="center"/>
            <w:hideMark/>
          </w:tcPr>
          <w:p w14:paraId="6A46CA27" w14:textId="77777777" w:rsidR="00BA1D65" w:rsidRPr="00B82226" w:rsidRDefault="00BA1D65" w:rsidP="00E96A6D">
            <w:pPr>
              <w:jc w:val="center"/>
              <w:rPr>
                <w:rFonts w:eastAsia="Times New Roman" w:cs="Calibri"/>
                <w:b/>
                <w:bCs/>
                <w:color w:val="000000"/>
              </w:rPr>
            </w:pPr>
            <w:r w:rsidRPr="00B82226">
              <w:rPr>
                <w:rFonts w:eastAsia="Times New Roman" w:cs="Calibri"/>
                <w:b/>
                <w:bCs/>
                <w:color w:val="000000"/>
              </w:rPr>
              <w:t>C</w:t>
            </w:r>
          </w:p>
        </w:tc>
        <w:tc>
          <w:tcPr>
            <w:tcW w:w="574" w:type="pct"/>
            <w:tcBorders>
              <w:top w:val="nil"/>
              <w:left w:val="nil"/>
              <w:bottom w:val="single" w:sz="4" w:space="0" w:color="auto"/>
              <w:right w:val="single" w:sz="4" w:space="0" w:color="auto"/>
            </w:tcBorders>
            <w:shd w:val="clear" w:color="auto" w:fill="AF9CDF" w:themeFill="background2" w:themeFillTint="66"/>
            <w:vAlign w:val="center"/>
            <w:hideMark/>
          </w:tcPr>
          <w:p w14:paraId="38C61A74" w14:textId="77777777" w:rsidR="00BA1D65" w:rsidRPr="00B82226" w:rsidRDefault="00BA1D65" w:rsidP="00E96A6D">
            <w:pPr>
              <w:jc w:val="center"/>
              <w:rPr>
                <w:rFonts w:eastAsia="Times New Roman" w:cs="Calibri"/>
                <w:b/>
                <w:bCs/>
                <w:color w:val="000000"/>
              </w:rPr>
            </w:pPr>
            <w:r w:rsidRPr="00B82226">
              <w:rPr>
                <w:rFonts w:eastAsia="Times New Roman" w:cs="Calibri"/>
                <w:b/>
                <w:bCs/>
                <w:color w:val="000000"/>
              </w:rPr>
              <w:t>D</w:t>
            </w:r>
          </w:p>
        </w:tc>
        <w:tc>
          <w:tcPr>
            <w:tcW w:w="574" w:type="pct"/>
            <w:tcBorders>
              <w:top w:val="nil"/>
              <w:left w:val="nil"/>
              <w:bottom w:val="single" w:sz="4" w:space="0" w:color="auto"/>
              <w:right w:val="single" w:sz="4" w:space="0" w:color="auto"/>
            </w:tcBorders>
            <w:shd w:val="clear" w:color="auto" w:fill="AF9CDF" w:themeFill="background2" w:themeFillTint="66"/>
            <w:vAlign w:val="center"/>
            <w:hideMark/>
          </w:tcPr>
          <w:p w14:paraId="22F19747" w14:textId="77777777" w:rsidR="00BA1D65" w:rsidRPr="00B82226" w:rsidRDefault="00BA1D65" w:rsidP="00E96A6D">
            <w:pPr>
              <w:jc w:val="center"/>
              <w:rPr>
                <w:rFonts w:eastAsia="Times New Roman" w:cs="Calibri"/>
                <w:b/>
                <w:bCs/>
                <w:color w:val="000000"/>
              </w:rPr>
            </w:pPr>
            <w:r w:rsidRPr="00B82226">
              <w:rPr>
                <w:rFonts w:eastAsia="Times New Roman" w:cs="Calibri"/>
                <w:b/>
                <w:bCs/>
                <w:color w:val="000000"/>
              </w:rPr>
              <w:t>E</w:t>
            </w:r>
          </w:p>
        </w:tc>
        <w:tc>
          <w:tcPr>
            <w:tcW w:w="657" w:type="pct"/>
            <w:tcBorders>
              <w:top w:val="nil"/>
              <w:left w:val="nil"/>
              <w:bottom w:val="single" w:sz="4" w:space="0" w:color="auto"/>
              <w:right w:val="single" w:sz="4" w:space="0" w:color="auto"/>
            </w:tcBorders>
            <w:shd w:val="clear" w:color="auto" w:fill="AF9CDF" w:themeFill="background2" w:themeFillTint="66"/>
            <w:vAlign w:val="center"/>
            <w:hideMark/>
          </w:tcPr>
          <w:p w14:paraId="29454F0B" w14:textId="77777777" w:rsidR="00BA1D65" w:rsidRPr="00B82226" w:rsidRDefault="00BA1D65" w:rsidP="00E96A6D">
            <w:pPr>
              <w:jc w:val="center"/>
              <w:rPr>
                <w:rFonts w:eastAsia="Times New Roman" w:cs="Calibri"/>
                <w:b/>
                <w:bCs/>
              </w:rPr>
            </w:pPr>
            <w:r w:rsidRPr="00B82226">
              <w:rPr>
                <w:rFonts w:eastAsia="Times New Roman" w:cs="Calibri"/>
                <w:b/>
                <w:bCs/>
              </w:rPr>
              <w:t>F</w:t>
            </w:r>
          </w:p>
        </w:tc>
        <w:tc>
          <w:tcPr>
            <w:tcW w:w="574" w:type="pct"/>
            <w:tcBorders>
              <w:top w:val="nil"/>
              <w:left w:val="nil"/>
              <w:bottom w:val="single" w:sz="4" w:space="0" w:color="auto"/>
              <w:right w:val="single" w:sz="4" w:space="0" w:color="auto"/>
            </w:tcBorders>
            <w:shd w:val="clear" w:color="auto" w:fill="AF9CDF" w:themeFill="background2" w:themeFillTint="66"/>
            <w:vAlign w:val="center"/>
            <w:hideMark/>
          </w:tcPr>
          <w:p w14:paraId="62F62113" w14:textId="77777777" w:rsidR="00BA1D65" w:rsidRPr="00B82226" w:rsidRDefault="00BA1D65" w:rsidP="00E96A6D">
            <w:pPr>
              <w:jc w:val="center"/>
              <w:rPr>
                <w:rFonts w:eastAsia="Times New Roman" w:cs="Calibri"/>
                <w:b/>
                <w:bCs/>
                <w:color w:val="000000"/>
              </w:rPr>
            </w:pPr>
            <w:r w:rsidRPr="00B82226">
              <w:rPr>
                <w:rFonts w:eastAsia="Times New Roman" w:cs="Calibri"/>
                <w:b/>
                <w:bCs/>
                <w:color w:val="000000"/>
              </w:rPr>
              <w:t>G</w:t>
            </w:r>
          </w:p>
        </w:tc>
        <w:tc>
          <w:tcPr>
            <w:tcW w:w="741" w:type="pct"/>
            <w:tcBorders>
              <w:top w:val="nil"/>
              <w:left w:val="nil"/>
              <w:bottom w:val="single" w:sz="4" w:space="0" w:color="auto"/>
              <w:right w:val="single" w:sz="8" w:space="0" w:color="auto"/>
            </w:tcBorders>
            <w:shd w:val="clear" w:color="auto" w:fill="AF9CDF" w:themeFill="background2" w:themeFillTint="66"/>
            <w:vAlign w:val="center"/>
            <w:hideMark/>
          </w:tcPr>
          <w:p w14:paraId="175FCC11" w14:textId="77777777" w:rsidR="00BA1D65" w:rsidRPr="00B82226" w:rsidRDefault="00BA1D65" w:rsidP="00E96A6D">
            <w:pPr>
              <w:jc w:val="center"/>
              <w:rPr>
                <w:rFonts w:eastAsia="Times New Roman" w:cs="Calibri"/>
                <w:b/>
                <w:bCs/>
                <w:color w:val="000000"/>
              </w:rPr>
            </w:pPr>
            <w:r w:rsidRPr="00B82226">
              <w:rPr>
                <w:rFonts w:eastAsia="Times New Roman" w:cs="Calibri"/>
                <w:b/>
                <w:bCs/>
                <w:color w:val="000000"/>
              </w:rPr>
              <w:t>H</w:t>
            </w:r>
          </w:p>
        </w:tc>
      </w:tr>
      <w:tr w:rsidR="00BB13B6" w:rsidRPr="00B82226" w14:paraId="4CF11EC5" w14:textId="77777777" w:rsidTr="00A1772C">
        <w:trPr>
          <w:trHeight w:val="1567"/>
        </w:trPr>
        <w:tc>
          <w:tcPr>
            <w:tcW w:w="731" w:type="pct"/>
            <w:tcBorders>
              <w:top w:val="nil"/>
              <w:left w:val="single" w:sz="8" w:space="0" w:color="auto"/>
              <w:bottom w:val="single" w:sz="8" w:space="0" w:color="auto"/>
              <w:right w:val="single" w:sz="4" w:space="0" w:color="auto"/>
            </w:tcBorders>
            <w:shd w:val="clear" w:color="auto" w:fill="AF9CDF" w:themeFill="background2" w:themeFillTint="66"/>
            <w:vAlign w:val="center"/>
            <w:hideMark/>
          </w:tcPr>
          <w:p w14:paraId="7D6F29B9" w14:textId="77777777" w:rsidR="00BA1D65" w:rsidRPr="00B82226" w:rsidRDefault="00BA1D65" w:rsidP="0018041B">
            <w:pPr>
              <w:jc w:val="both"/>
              <w:rPr>
                <w:rFonts w:eastAsia="Times New Roman" w:cs="Calibri"/>
                <w:b/>
                <w:bCs/>
                <w:color w:val="000000"/>
                <w:sz w:val="20"/>
                <w:szCs w:val="20"/>
              </w:rPr>
            </w:pPr>
            <w:r w:rsidRPr="00B82226">
              <w:rPr>
                <w:rFonts w:eastAsia="Times New Roman" w:cs="Calibri"/>
                <w:b/>
                <w:bCs/>
                <w:color w:val="000000"/>
                <w:sz w:val="20"/>
                <w:szCs w:val="20"/>
              </w:rPr>
              <w:t>Employees</w:t>
            </w:r>
          </w:p>
        </w:tc>
        <w:tc>
          <w:tcPr>
            <w:tcW w:w="738" w:type="pct"/>
            <w:tcBorders>
              <w:top w:val="nil"/>
              <w:left w:val="nil"/>
              <w:bottom w:val="single" w:sz="8" w:space="0" w:color="auto"/>
              <w:right w:val="single" w:sz="4" w:space="0" w:color="auto"/>
            </w:tcBorders>
            <w:shd w:val="clear" w:color="auto" w:fill="AF9CDF" w:themeFill="background2" w:themeFillTint="66"/>
            <w:vAlign w:val="center"/>
            <w:hideMark/>
          </w:tcPr>
          <w:p w14:paraId="2CA086F5" w14:textId="77777777" w:rsidR="00BA1D65" w:rsidRPr="00B82226" w:rsidRDefault="00BA1D65" w:rsidP="0018041B">
            <w:pPr>
              <w:jc w:val="center"/>
              <w:rPr>
                <w:rFonts w:eastAsia="Times New Roman" w:cs="Calibri"/>
                <w:b/>
                <w:bCs/>
                <w:color w:val="000000"/>
                <w:sz w:val="20"/>
                <w:szCs w:val="20"/>
              </w:rPr>
            </w:pPr>
            <w:r w:rsidRPr="00B82226">
              <w:rPr>
                <w:rFonts w:eastAsia="Times New Roman" w:cs="Calibri"/>
                <w:b/>
                <w:bCs/>
                <w:color w:val="000000"/>
                <w:sz w:val="20"/>
                <w:szCs w:val="20"/>
              </w:rPr>
              <w:t>Unadjusted AL liability</w:t>
            </w:r>
          </w:p>
        </w:tc>
        <w:tc>
          <w:tcPr>
            <w:tcW w:w="411" w:type="pct"/>
            <w:tcBorders>
              <w:top w:val="nil"/>
              <w:left w:val="nil"/>
              <w:bottom w:val="single" w:sz="8" w:space="0" w:color="auto"/>
              <w:right w:val="single" w:sz="4" w:space="0" w:color="auto"/>
            </w:tcBorders>
            <w:shd w:val="clear" w:color="auto" w:fill="AF9CDF" w:themeFill="background2" w:themeFillTint="66"/>
            <w:vAlign w:val="center"/>
            <w:hideMark/>
          </w:tcPr>
          <w:p w14:paraId="25663C72" w14:textId="77777777" w:rsidR="00BA1D65" w:rsidRPr="00B82226" w:rsidRDefault="00BA1D65" w:rsidP="0018041B">
            <w:pPr>
              <w:jc w:val="center"/>
              <w:rPr>
                <w:rFonts w:eastAsia="Times New Roman" w:cs="Calibri"/>
                <w:b/>
                <w:bCs/>
                <w:color w:val="000000"/>
                <w:sz w:val="20"/>
                <w:szCs w:val="20"/>
              </w:rPr>
            </w:pPr>
            <w:r w:rsidRPr="00B82226">
              <w:rPr>
                <w:rFonts w:eastAsia="Times New Roman" w:cs="Calibri"/>
                <w:b/>
                <w:bCs/>
                <w:color w:val="000000"/>
                <w:sz w:val="20"/>
                <w:szCs w:val="20"/>
              </w:rPr>
              <w:t>Super On-cost Rate</w:t>
            </w:r>
          </w:p>
        </w:tc>
        <w:tc>
          <w:tcPr>
            <w:tcW w:w="574" w:type="pct"/>
            <w:tcBorders>
              <w:top w:val="nil"/>
              <w:left w:val="nil"/>
              <w:bottom w:val="single" w:sz="8" w:space="0" w:color="auto"/>
              <w:right w:val="single" w:sz="4" w:space="0" w:color="auto"/>
            </w:tcBorders>
            <w:shd w:val="clear" w:color="auto" w:fill="AF9CDF" w:themeFill="background2" w:themeFillTint="66"/>
            <w:vAlign w:val="center"/>
            <w:hideMark/>
          </w:tcPr>
          <w:p w14:paraId="5E29BA47" w14:textId="77777777" w:rsidR="00BA1D65" w:rsidRPr="00B82226" w:rsidRDefault="00BA1D65" w:rsidP="0018041B">
            <w:pPr>
              <w:jc w:val="center"/>
              <w:rPr>
                <w:rFonts w:eastAsia="Times New Roman" w:cs="Calibri"/>
                <w:b/>
                <w:bCs/>
                <w:color w:val="000000"/>
                <w:sz w:val="20"/>
                <w:szCs w:val="20"/>
              </w:rPr>
            </w:pPr>
            <w:r w:rsidRPr="00B82226">
              <w:rPr>
                <w:rFonts w:eastAsia="Times New Roman" w:cs="Calibri"/>
                <w:b/>
                <w:bCs/>
                <w:color w:val="000000"/>
                <w:sz w:val="20"/>
                <w:szCs w:val="20"/>
              </w:rPr>
              <w:t>LSL On-cost Rate</w:t>
            </w:r>
          </w:p>
        </w:tc>
        <w:tc>
          <w:tcPr>
            <w:tcW w:w="574" w:type="pct"/>
            <w:tcBorders>
              <w:top w:val="nil"/>
              <w:left w:val="nil"/>
              <w:bottom w:val="single" w:sz="8" w:space="0" w:color="auto"/>
              <w:right w:val="single" w:sz="4" w:space="0" w:color="auto"/>
            </w:tcBorders>
            <w:shd w:val="clear" w:color="auto" w:fill="AF9CDF" w:themeFill="background2" w:themeFillTint="66"/>
            <w:vAlign w:val="center"/>
            <w:hideMark/>
          </w:tcPr>
          <w:p w14:paraId="01DC1FF8" w14:textId="77777777" w:rsidR="00BA1D65" w:rsidRPr="00B82226" w:rsidRDefault="00BA1D65" w:rsidP="0018041B">
            <w:pPr>
              <w:jc w:val="center"/>
              <w:rPr>
                <w:rFonts w:eastAsia="Times New Roman" w:cs="Calibri"/>
                <w:b/>
                <w:bCs/>
                <w:color w:val="000000"/>
                <w:sz w:val="20"/>
                <w:szCs w:val="20"/>
              </w:rPr>
            </w:pPr>
            <w:r w:rsidRPr="00B82226">
              <w:rPr>
                <w:rFonts w:eastAsia="Times New Roman" w:cs="Calibri"/>
                <w:b/>
                <w:bCs/>
                <w:color w:val="000000"/>
                <w:sz w:val="20"/>
                <w:szCs w:val="20"/>
              </w:rPr>
              <w:t>AL On-cost Rate</w:t>
            </w:r>
          </w:p>
        </w:tc>
        <w:tc>
          <w:tcPr>
            <w:tcW w:w="657" w:type="pct"/>
            <w:tcBorders>
              <w:top w:val="nil"/>
              <w:left w:val="nil"/>
              <w:bottom w:val="single" w:sz="8" w:space="0" w:color="auto"/>
              <w:right w:val="single" w:sz="4" w:space="0" w:color="auto"/>
            </w:tcBorders>
            <w:shd w:val="clear" w:color="auto" w:fill="AF9CDF" w:themeFill="background2" w:themeFillTint="66"/>
            <w:vAlign w:val="center"/>
            <w:hideMark/>
          </w:tcPr>
          <w:p w14:paraId="7AB5685E" w14:textId="77777777" w:rsidR="00BA1D65" w:rsidRDefault="00BA1D65" w:rsidP="00E96A6D">
            <w:pPr>
              <w:spacing w:after="0"/>
              <w:jc w:val="center"/>
              <w:rPr>
                <w:rFonts w:eastAsia="Times New Roman" w:cs="Calibri"/>
                <w:b/>
                <w:bCs/>
                <w:color w:val="000000"/>
                <w:sz w:val="20"/>
                <w:szCs w:val="20"/>
              </w:rPr>
            </w:pPr>
            <w:r w:rsidRPr="00B82226">
              <w:rPr>
                <w:rFonts w:eastAsia="Times New Roman" w:cs="Calibri"/>
                <w:b/>
                <w:bCs/>
                <w:color w:val="000000"/>
                <w:sz w:val="20"/>
                <w:szCs w:val="20"/>
              </w:rPr>
              <w:t>% of Total On-Cost</w:t>
            </w:r>
          </w:p>
          <w:p w14:paraId="74C32F54" w14:textId="25BE473E" w:rsidR="00E96A6D" w:rsidRPr="00E96A6D" w:rsidRDefault="00E96A6D" w:rsidP="0018041B">
            <w:pPr>
              <w:jc w:val="center"/>
              <w:rPr>
                <w:rFonts w:eastAsia="Times New Roman" w:cs="Calibri"/>
                <w:b/>
                <w:bCs/>
                <w:color w:val="000000"/>
                <w:sz w:val="20"/>
                <w:szCs w:val="20"/>
              </w:rPr>
            </w:pPr>
          </w:p>
        </w:tc>
        <w:tc>
          <w:tcPr>
            <w:tcW w:w="574" w:type="pct"/>
            <w:tcBorders>
              <w:top w:val="nil"/>
              <w:left w:val="nil"/>
              <w:bottom w:val="single" w:sz="8" w:space="0" w:color="auto"/>
              <w:right w:val="single" w:sz="4" w:space="0" w:color="auto"/>
            </w:tcBorders>
            <w:shd w:val="clear" w:color="auto" w:fill="AF9CDF" w:themeFill="background2" w:themeFillTint="66"/>
            <w:vAlign w:val="center"/>
            <w:hideMark/>
          </w:tcPr>
          <w:p w14:paraId="54CB51DF" w14:textId="77777777" w:rsidR="00BA1D65" w:rsidRPr="00E96A6D" w:rsidRDefault="00BA1D65" w:rsidP="00E96A6D">
            <w:pPr>
              <w:spacing w:after="0"/>
              <w:jc w:val="center"/>
              <w:rPr>
                <w:rFonts w:eastAsia="Times New Roman" w:cs="Calibri"/>
                <w:b/>
                <w:bCs/>
                <w:color w:val="000000"/>
                <w:sz w:val="20"/>
                <w:szCs w:val="20"/>
              </w:rPr>
            </w:pPr>
            <w:r w:rsidRPr="00B82226">
              <w:rPr>
                <w:rFonts w:eastAsia="Times New Roman" w:cs="Calibri"/>
                <w:b/>
                <w:bCs/>
                <w:color w:val="000000"/>
                <w:sz w:val="20"/>
                <w:szCs w:val="20"/>
              </w:rPr>
              <w:t xml:space="preserve">AL On-Cost </w:t>
            </w:r>
            <w:r w:rsidRPr="00E96A6D">
              <w:rPr>
                <w:rFonts w:eastAsia="Times New Roman" w:cs="Calibri"/>
                <w:b/>
                <w:bCs/>
                <w:color w:val="000000"/>
                <w:sz w:val="20"/>
                <w:szCs w:val="20"/>
              </w:rPr>
              <w:t>Amount</w:t>
            </w:r>
          </w:p>
          <w:p w14:paraId="7EFB993C" w14:textId="0083ED01" w:rsidR="00E96A6D" w:rsidRPr="00B82226" w:rsidRDefault="00E96A6D" w:rsidP="0018041B">
            <w:pPr>
              <w:jc w:val="center"/>
              <w:rPr>
                <w:rFonts w:eastAsia="Times New Roman" w:cs="Calibri"/>
                <w:b/>
                <w:bCs/>
                <w:color w:val="000000"/>
                <w:sz w:val="20"/>
                <w:szCs w:val="20"/>
              </w:rPr>
            </w:pPr>
          </w:p>
        </w:tc>
        <w:tc>
          <w:tcPr>
            <w:tcW w:w="741" w:type="pct"/>
            <w:tcBorders>
              <w:top w:val="nil"/>
              <w:left w:val="nil"/>
              <w:bottom w:val="single" w:sz="8" w:space="0" w:color="auto"/>
              <w:right w:val="single" w:sz="8" w:space="0" w:color="auto"/>
            </w:tcBorders>
            <w:shd w:val="clear" w:color="auto" w:fill="AF9CDF" w:themeFill="background2" w:themeFillTint="66"/>
            <w:vAlign w:val="center"/>
            <w:hideMark/>
          </w:tcPr>
          <w:p w14:paraId="390896E5" w14:textId="77777777" w:rsidR="00EE3FFC" w:rsidRDefault="00BA1D65" w:rsidP="00EE3FFC">
            <w:pPr>
              <w:spacing w:after="0"/>
              <w:jc w:val="center"/>
              <w:rPr>
                <w:rFonts w:eastAsia="Times New Roman" w:cs="Calibri"/>
                <w:b/>
                <w:bCs/>
                <w:color w:val="000000"/>
                <w:sz w:val="20"/>
                <w:szCs w:val="20"/>
              </w:rPr>
            </w:pPr>
            <w:r w:rsidRPr="00B82226">
              <w:rPr>
                <w:rFonts w:eastAsia="Times New Roman" w:cs="Calibri"/>
                <w:b/>
                <w:bCs/>
                <w:color w:val="000000"/>
                <w:sz w:val="20"/>
                <w:szCs w:val="20"/>
              </w:rPr>
              <w:t>Total Nominal AL Liability including On-Costs</w:t>
            </w:r>
          </w:p>
          <w:p w14:paraId="15327CF9" w14:textId="45262339" w:rsidR="00BA1D65" w:rsidRPr="00EE3FFC" w:rsidRDefault="00BA1D65" w:rsidP="0018041B">
            <w:pPr>
              <w:jc w:val="center"/>
              <w:rPr>
                <w:rFonts w:eastAsia="Times New Roman" w:cs="Calibri"/>
                <w:b/>
                <w:bCs/>
                <w:color w:val="000000"/>
                <w:sz w:val="20"/>
                <w:szCs w:val="20"/>
              </w:rPr>
            </w:pPr>
          </w:p>
        </w:tc>
      </w:tr>
      <w:tr w:rsidR="00184A9C" w:rsidRPr="00B82226" w14:paraId="14323DE7" w14:textId="77777777" w:rsidTr="00A1772C">
        <w:trPr>
          <w:trHeight w:val="546"/>
        </w:trPr>
        <w:tc>
          <w:tcPr>
            <w:tcW w:w="731" w:type="pct"/>
            <w:tcBorders>
              <w:top w:val="nil"/>
              <w:left w:val="single" w:sz="8" w:space="0" w:color="auto"/>
              <w:bottom w:val="single" w:sz="8" w:space="0" w:color="auto"/>
              <w:right w:val="single" w:sz="4" w:space="0" w:color="auto"/>
            </w:tcBorders>
            <w:shd w:val="clear" w:color="auto" w:fill="BFBFBF" w:themeFill="background1" w:themeFillShade="BF"/>
            <w:vAlign w:val="center"/>
          </w:tcPr>
          <w:p w14:paraId="02159983" w14:textId="77777777" w:rsidR="00184A9C" w:rsidRPr="00B82226" w:rsidRDefault="00184A9C" w:rsidP="00A1772C">
            <w:pPr>
              <w:spacing w:before="80" w:after="80" w:line="240" w:lineRule="auto"/>
              <w:jc w:val="both"/>
              <w:rPr>
                <w:rFonts w:eastAsia="Times New Roman" w:cs="Calibri"/>
                <w:b/>
                <w:bCs/>
                <w:color w:val="000000"/>
                <w:sz w:val="20"/>
                <w:szCs w:val="20"/>
              </w:rPr>
            </w:pPr>
          </w:p>
        </w:tc>
        <w:tc>
          <w:tcPr>
            <w:tcW w:w="738" w:type="pct"/>
            <w:tcBorders>
              <w:top w:val="nil"/>
              <w:left w:val="nil"/>
              <w:bottom w:val="single" w:sz="8" w:space="0" w:color="auto"/>
              <w:right w:val="single" w:sz="4" w:space="0" w:color="auto"/>
            </w:tcBorders>
            <w:shd w:val="clear" w:color="auto" w:fill="BFBFBF" w:themeFill="background1" w:themeFillShade="BF"/>
            <w:vAlign w:val="center"/>
          </w:tcPr>
          <w:p w14:paraId="11AED52A" w14:textId="77777777" w:rsidR="00184A9C" w:rsidRPr="00B82226" w:rsidRDefault="00184A9C" w:rsidP="00A1772C">
            <w:pPr>
              <w:spacing w:before="80" w:after="80" w:line="240" w:lineRule="auto"/>
              <w:jc w:val="center"/>
              <w:rPr>
                <w:rFonts w:eastAsia="Times New Roman" w:cs="Calibri"/>
                <w:b/>
                <w:bCs/>
                <w:color w:val="000000"/>
                <w:sz w:val="20"/>
                <w:szCs w:val="20"/>
              </w:rPr>
            </w:pPr>
          </w:p>
        </w:tc>
        <w:tc>
          <w:tcPr>
            <w:tcW w:w="411" w:type="pct"/>
            <w:tcBorders>
              <w:top w:val="nil"/>
              <w:left w:val="nil"/>
              <w:bottom w:val="single" w:sz="8" w:space="0" w:color="auto"/>
              <w:right w:val="single" w:sz="4" w:space="0" w:color="auto"/>
            </w:tcBorders>
            <w:shd w:val="clear" w:color="auto" w:fill="BFBFBF" w:themeFill="background1" w:themeFillShade="BF"/>
            <w:vAlign w:val="center"/>
          </w:tcPr>
          <w:p w14:paraId="7B3463EE" w14:textId="77777777" w:rsidR="00184A9C" w:rsidRPr="00B82226" w:rsidRDefault="00184A9C" w:rsidP="00A1772C">
            <w:pPr>
              <w:spacing w:before="80" w:after="80" w:line="240" w:lineRule="auto"/>
              <w:jc w:val="center"/>
              <w:rPr>
                <w:rFonts w:eastAsia="Times New Roman" w:cs="Calibri"/>
                <w:b/>
                <w:bCs/>
                <w:color w:val="000000"/>
                <w:sz w:val="20"/>
                <w:szCs w:val="20"/>
              </w:rPr>
            </w:pPr>
          </w:p>
        </w:tc>
        <w:tc>
          <w:tcPr>
            <w:tcW w:w="574" w:type="pct"/>
            <w:tcBorders>
              <w:top w:val="nil"/>
              <w:left w:val="nil"/>
              <w:bottom w:val="single" w:sz="8" w:space="0" w:color="auto"/>
              <w:right w:val="single" w:sz="4" w:space="0" w:color="auto"/>
            </w:tcBorders>
            <w:shd w:val="clear" w:color="auto" w:fill="BFBFBF" w:themeFill="background1" w:themeFillShade="BF"/>
            <w:vAlign w:val="center"/>
          </w:tcPr>
          <w:p w14:paraId="23EA90BB" w14:textId="77777777" w:rsidR="00184A9C" w:rsidRPr="00B82226" w:rsidRDefault="00184A9C" w:rsidP="00A1772C">
            <w:pPr>
              <w:spacing w:before="80" w:after="80" w:line="240" w:lineRule="auto"/>
              <w:jc w:val="center"/>
              <w:rPr>
                <w:rFonts w:eastAsia="Times New Roman" w:cs="Calibri"/>
                <w:b/>
                <w:bCs/>
                <w:color w:val="000000"/>
                <w:sz w:val="20"/>
                <w:szCs w:val="20"/>
              </w:rPr>
            </w:pPr>
          </w:p>
        </w:tc>
        <w:tc>
          <w:tcPr>
            <w:tcW w:w="574" w:type="pct"/>
            <w:tcBorders>
              <w:top w:val="nil"/>
              <w:left w:val="nil"/>
              <w:bottom w:val="single" w:sz="8" w:space="0" w:color="auto"/>
              <w:right w:val="single" w:sz="4" w:space="0" w:color="auto"/>
            </w:tcBorders>
            <w:shd w:val="clear" w:color="auto" w:fill="BFBFBF" w:themeFill="background1" w:themeFillShade="BF"/>
            <w:vAlign w:val="center"/>
          </w:tcPr>
          <w:p w14:paraId="78BF25BB" w14:textId="77777777" w:rsidR="00184A9C" w:rsidRPr="00B82226" w:rsidRDefault="00184A9C" w:rsidP="00A1772C">
            <w:pPr>
              <w:spacing w:before="80" w:after="80" w:line="240" w:lineRule="auto"/>
              <w:jc w:val="center"/>
              <w:rPr>
                <w:rFonts w:eastAsia="Times New Roman" w:cs="Calibri"/>
                <w:b/>
                <w:bCs/>
                <w:color w:val="000000"/>
                <w:sz w:val="20"/>
                <w:szCs w:val="20"/>
              </w:rPr>
            </w:pPr>
          </w:p>
        </w:tc>
        <w:tc>
          <w:tcPr>
            <w:tcW w:w="657" w:type="pct"/>
            <w:tcBorders>
              <w:top w:val="nil"/>
              <w:left w:val="nil"/>
              <w:bottom w:val="single" w:sz="8" w:space="0" w:color="auto"/>
              <w:right w:val="single" w:sz="4" w:space="0" w:color="auto"/>
            </w:tcBorders>
            <w:shd w:val="clear" w:color="auto" w:fill="BFBFBF" w:themeFill="background1" w:themeFillShade="BF"/>
            <w:vAlign w:val="center"/>
          </w:tcPr>
          <w:p w14:paraId="581761EE" w14:textId="7F0756CA" w:rsidR="00184A9C" w:rsidRPr="00B82226" w:rsidRDefault="00184A9C" w:rsidP="00A1772C">
            <w:pPr>
              <w:spacing w:before="80" w:after="80" w:line="240" w:lineRule="auto"/>
              <w:jc w:val="center"/>
              <w:rPr>
                <w:rFonts w:eastAsia="Times New Roman" w:cs="Calibri"/>
                <w:b/>
                <w:bCs/>
                <w:color w:val="000000"/>
                <w:sz w:val="20"/>
                <w:szCs w:val="20"/>
              </w:rPr>
            </w:pPr>
            <w:r w:rsidRPr="00E96A6D">
              <w:rPr>
                <w:sz w:val="20"/>
                <w:szCs w:val="20"/>
                <w:lang w:val="en-US"/>
              </w:rPr>
              <w:t>(C + D + E) x 90% = F</w:t>
            </w:r>
          </w:p>
        </w:tc>
        <w:tc>
          <w:tcPr>
            <w:tcW w:w="574" w:type="pct"/>
            <w:tcBorders>
              <w:top w:val="nil"/>
              <w:left w:val="nil"/>
              <w:bottom w:val="single" w:sz="8" w:space="0" w:color="auto"/>
              <w:right w:val="single" w:sz="4" w:space="0" w:color="auto"/>
            </w:tcBorders>
            <w:shd w:val="clear" w:color="auto" w:fill="BFBFBF" w:themeFill="background1" w:themeFillShade="BF"/>
            <w:vAlign w:val="center"/>
          </w:tcPr>
          <w:p w14:paraId="1414CFFD" w14:textId="6E39B3BC" w:rsidR="00184A9C" w:rsidRPr="00B82226" w:rsidRDefault="00184A9C" w:rsidP="00A1772C">
            <w:pPr>
              <w:spacing w:before="80" w:after="80" w:line="240" w:lineRule="auto"/>
              <w:jc w:val="center"/>
              <w:rPr>
                <w:rFonts w:eastAsia="Times New Roman" w:cs="Calibri"/>
                <w:b/>
                <w:bCs/>
                <w:color w:val="000000"/>
                <w:sz w:val="20"/>
                <w:szCs w:val="20"/>
              </w:rPr>
            </w:pPr>
            <w:r w:rsidRPr="00E96A6D">
              <w:rPr>
                <w:sz w:val="20"/>
                <w:szCs w:val="20"/>
                <w:lang w:val="en-US"/>
              </w:rPr>
              <w:t>B x F = G</w:t>
            </w:r>
          </w:p>
        </w:tc>
        <w:tc>
          <w:tcPr>
            <w:tcW w:w="741" w:type="pct"/>
            <w:tcBorders>
              <w:top w:val="nil"/>
              <w:left w:val="nil"/>
              <w:bottom w:val="single" w:sz="8" w:space="0" w:color="auto"/>
              <w:right w:val="single" w:sz="8" w:space="0" w:color="auto"/>
            </w:tcBorders>
            <w:shd w:val="clear" w:color="auto" w:fill="BFBFBF" w:themeFill="background1" w:themeFillShade="BF"/>
            <w:vAlign w:val="center"/>
          </w:tcPr>
          <w:p w14:paraId="7D7BDF4B" w14:textId="4F7D1667" w:rsidR="00184A9C" w:rsidRPr="00B82226" w:rsidRDefault="00184A9C" w:rsidP="00A1772C">
            <w:pPr>
              <w:spacing w:before="80" w:after="80" w:line="240" w:lineRule="auto"/>
              <w:jc w:val="center"/>
              <w:rPr>
                <w:rFonts w:eastAsia="Times New Roman" w:cs="Calibri"/>
                <w:b/>
                <w:bCs/>
                <w:color w:val="000000"/>
                <w:sz w:val="20"/>
                <w:szCs w:val="20"/>
              </w:rPr>
            </w:pPr>
            <w:r w:rsidRPr="00EE3FFC">
              <w:rPr>
                <w:sz w:val="20"/>
                <w:szCs w:val="20"/>
                <w:lang w:val="en-US"/>
              </w:rPr>
              <w:t>B + G = H</w:t>
            </w:r>
          </w:p>
        </w:tc>
      </w:tr>
      <w:tr w:rsidR="00D00ECE" w:rsidRPr="00B82226" w14:paraId="76D3EA3F" w14:textId="77777777" w:rsidTr="00BC7895">
        <w:trPr>
          <w:trHeight w:val="288"/>
        </w:trPr>
        <w:tc>
          <w:tcPr>
            <w:tcW w:w="731" w:type="pct"/>
            <w:tcBorders>
              <w:top w:val="nil"/>
              <w:left w:val="single" w:sz="8" w:space="0" w:color="auto"/>
              <w:bottom w:val="single" w:sz="4" w:space="0" w:color="auto"/>
              <w:right w:val="single" w:sz="4" w:space="0" w:color="auto"/>
            </w:tcBorders>
            <w:shd w:val="clear" w:color="auto" w:fill="auto"/>
            <w:vAlign w:val="center"/>
            <w:hideMark/>
          </w:tcPr>
          <w:p w14:paraId="59363BE3" w14:textId="77777777" w:rsidR="00D00ECE" w:rsidRPr="00B82226" w:rsidRDefault="00D00ECE" w:rsidP="00A1772C">
            <w:pPr>
              <w:spacing w:before="80" w:after="80" w:line="240" w:lineRule="auto"/>
              <w:jc w:val="center"/>
              <w:rPr>
                <w:rFonts w:eastAsia="Times New Roman" w:cs="Calibri"/>
                <w:color w:val="000000"/>
                <w:sz w:val="20"/>
                <w:szCs w:val="20"/>
              </w:rPr>
            </w:pPr>
            <w:r w:rsidRPr="00B82226">
              <w:rPr>
                <w:rFonts w:eastAsia="Times New Roman" w:cs="Calibri"/>
                <w:color w:val="000000"/>
                <w:sz w:val="20"/>
                <w:szCs w:val="20"/>
              </w:rPr>
              <w:t>A1</w:t>
            </w:r>
          </w:p>
        </w:tc>
        <w:tc>
          <w:tcPr>
            <w:tcW w:w="738" w:type="pct"/>
            <w:tcBorders>
              <w:top w:val="nil"/>
              <w:left w:val="nil"/>
              <w:bottom w:val="single" w:sz="4" w:space="0" w:color="auto"/>
              <w:right w:val="single" w:sz="4" w:space="0" w:color="auto"/>
            </w:tcBorders>
            <w:shd w:val="clear" w:color="auto" w:fill="auto"/>
            <w:vAlign w:val="center"/>
            <w:hideMark/>
          </w:tcPr>
          <w:p w14:paraId="10A468E1" w14:textId="77777777" w:rsidR="00D00ECE" w:rsidRPr="00B82226" w:rsidRDefault="00D00ECE" w:rsidP="00A1772C">
            <w:pPr>
              <w:spacing w:before="80" w:after="80" w:line="240" w:lineRule="auto"/>
              <w:jc w:val="right"/>
              <w:rPr>
                <w:rFonts w:eastAsia="Times New Roman" w:cs="Calibri"/>
                <w:color w:val="000000"/>
                <w:sz w:val="20"/>
                <w:szCs w:val="20"/>
              </w:rPr>
            </w:pPr>
            <w:r w:rsidRPr="00B82226">
              <w:rPr>
                <w:rFonts w:eastAsia="Times New Roman" w:cs="Calibri"/>
                <w:color w:val="000000"/>
                <w:sz w:val="20"/>
                <w:szCs w:val="20"/>
              </w:rPr>
              <w:t>$5,300</w:t>
            </w:r>
          </w:p>
        </w:tc>
        <w:tc>
          <w:tcPr>
            <w:tcW w:w="411" w:type="pct"/>
            <w:tcBorders>
              <w:top w:val="nil"/>
              <w:left w:val="nil"/>
              <w:bottom w:val="single" w:sz="4" w:space="0" w:color="auto"/>
              <w:right w:val="single" w:sz="4" w:space="0" w:color="auto"/>
            </w:tcBorders>
            <w:shd w:val="clear" w:color="auto" w:fill="auto"/>
            <w:noWrap/>
            <w:vAlign w:val="bottom"/>
            <w:hideMark/>
          </w:tcPr>
          <w:p w14:paraId="0E584B6B" w14:textId="77777777" w:rsidR="00D00ECE" w:rsidRPr="002E4A9B" w:rsidRDefault="00D00ECE"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0.115</w:t>
            </w:r>
          </w:p>
        </w:tc>
        <w:tc>
          <w:tcPr>
            <w:tcW w:w="574" w:type="pct"/>
            <w:tcBorders>
              <w:top w:val="nil"/>
              <w:left w:val="nil"/>
              <w:bottom w:val="single" w:sz="4" w:space="0" w:color="auto"/>
              <w:right w:val="single" w:sz="4" w:space="0" w:color="auto"/>
            </w:tcBorders>
            <w:shd w:val="clear" w:color="auto" w:fill="auto"/>
            <w:vAlign w:val="center"/>
            <w:hideMark/>
          </w:tcPr>
          <w:p w14:paraId="6C520CE1" w14:textId="583AABAF" w:rsidR="00D00ECE" w:rsidRPr="002E4A9B" w:rsidRDefault="00D00ECE"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0.02464</w:t>
            </w:r>
          </w:p>
        </w:tc>
        <w:tc>
          <w:tcPr>
            <w:tcW w:w="574" w:type="pct"/>
            <w:tcBorders>
              <w:top w:val="nil"/>
              <w:left w:val="nil"/>
              <w:bottom w:val="single" w:sz="4" w:space="0" w:color="auto"/>
              <w:right w:val="single" w:sz="4" w:space="0" w:color="auto"/>
            </w:tcBorders>
            <w:shd w:val="clear" w:color="auto" w:fill="auto"/>
            <w:vAlign w:val="center"/>
            <w:hideMark/>
          </w:tcPr>
          <w:p w14:paraId="22C4F8BE" w14:textId="44E30F2B" w:rsidR="00D00ECE" w:rsidRPr="002E4A9B" w:rsidRDefault="00D00ECE"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0.07668</w:t>
            </w:r>
          </w:p>
        </w:tc>
        <w:tc>
          <w:tcPr>
            <w:tcW w:w="657" w:type="pct"/>
            <w:tcBorders>
              <w:top w:val="nil"/>
              <w:left w:val="nil"/>
              <w:bottom w:val="single" w:sz="4" w:space="0" w:color="auto"/>
              <w:right w:val="single" w:sz="4" w:space="0" w:color="auto"/>
            </w:tcBorders>
            <w:shd w:val="clear" w:color="auto" w:fill="auto"/>
            <w:noWrap/>
            <w:vAlign w:val="center"/>
          </w:tcPr>
          <w:p w14:paraId="7987652A" w14:textId="237CDE93" w:rsidR="00D00ECE" w:rsidRPr="002E4A9B" w:rsidRDefault="00D00ECE" w:rsidP="00A1772C">
            <w:pPr>
              <w:spacing w:before="80" w:after="80" w:line="240" w:lineRule="auto"/>
              <w:jc w:val="right"/>
              <w:rPr>
                <w:rFonts w:eastAsia="Times New Roman" w:cs="Calibri"/>
                <w:color w:val="000000"/>
                <w:sz w:val="20"/>
                <w:szCs w:val="20"/>
              </w:rPr>
            </w:pPr>
            <w:r w:rsidRPr="002E4A9B">
              <w:rPr>
                <w:rFonts w:ascii="Calibri" w:hAnsi="Calibri" w:cs="Calibri"/>
                <w:color w:val="000000"/>
                <w:sz w:val="20"/>
                <w:szCs w:val="20"/>
              </w:rPr>
              <w:t>0.19469</w:t>
            </w:r>
          </w:p>
        </w:tc>
        <w:tc>
          <w:tcPr>
            <w:tcW w:w="574" w:type="pct"/>
            <w:tcBorders>
              <w:top w:val="nil"/>
              <w:left w:val="nil"/>
              <w:bottom w:val="single" w:sz="4" w:space="0" w:color="auto"/>
              <w:right w:val="single" w:sz="4" w:space="0" w:color="auto"/>
            </w:tcBorders>
            <w:shd w:val="clear" w:color="auto" w:fill="auto"/>
            <w:vAlign w:val="center"/>
            <w:hideMark/>
          </w:tcPr>
          <w:p w14:paraId="5A40FBC9" w14:textId="690BB09B" w:rsidR="00D00ECE" w:rsidRPr="002E4A9B" w:rsidRDefault="00D00ECE"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$1,032</w:t>
            </w:r>
          </w:p>
        </w:tc>
        <w:tc>
          <w:tcPr>
            <w:tcW w:w="741" w:type="pct"/>
            <w:tcBorders>
              <w:top w:val="nil"/>
              <w:left w:val="nil"/>
              <w:bottom w:val="single" w:sz="4" w:space="0" w:color="auto"/>
              <w:right w:val="single" w:sz="8" w:space="0" w:color="auto"/>
            </w:tcBorders>
            <w:shd w:val="clear" w:color="auto" w:fill="auto"/>
            <w:noWrap/>
            <w:vAlign w:val="bottom"/>
            <w:hideMark/>
          </w:tcPr>
          <w:p w14:paraId="0A082DDB" w14:textId="542C0ABD" w:rsidR="00D00ECE" w:rsidRPr="002E4A9B" w:rsidRDefault="00D00ECE" w:rsidP="00A1772C">
            <w:pPr>
              <w:spacing w:before="80" w:after="80" w:line="240" w:lineRule="auto"/>
              <w:jc w:val="right"/>
              <w:rPr>
                <w:rFonts w:eastAsia="Times New Roman" w:cs="Calibri"/>
                <w:color w:val="000000"/>
              </w:rPr>
            </w:pPr>
            <w:r w:rsidRPr="002E4A9B">
              <w:rPr>
                <w:rFonts w:eastAsia="Times New Roman" w:cs="Calibri"/>
                <w:color w:val="000000"/>
              </w:rPr>
              <w:t>$6,332</w:t>
            </w:r>
          </w:p>
        </w:tc>
      </w:tr>
      <w:tr w:rsidR="00BC7895" w:rsidRPr="00B82226" w14:paraId="318CF57D" w14:textId="77777777" w:rsidTr="00A1772C">
        <w:trPr>
          <w:trHeight w:val="288"/>
        </w:trPr>
        <w:tc>
          <w:tcPr>
            <w:tcW w:w="731" w:type="pct"/>
            <w:tcBorders>
              <w:top w:val="nil"/>
              <w:left w:val="single" w:sz="8" w:space="0" w:color="auto"/>
              <w:bottom w:val="single" w:sz="4" w:space="0" w:color="auto"/>
              <w:right w:val="single" w:sz="4" w:space="0" w:color="auto"/>
            </w:tcBorders>
            <w:shd w:val="clear" w:color="auto" w:fill="auto"/>
            <w:vAlign w:val="center"/>
            <w:hideMark/>
          </w:tcPr>
          <w:p w14:paraId="3ACE5BDD" w14:textId="77777777" w:rsidR="00BC7895" w:rsidRPr="00B82226" w:rsidRDefault="00BC7895" w:rsidP="00A1772C">
            <w:pPr>
              <w:spacing w:before="80" w:after="80" w:line="240" w:lineRule="auto"/>
              <w:jc w:val="center"/>
              <w:rPr>
                <w:rFonts w:eastAsia="Times New Roman" w:cs="Calibri"/>
                <w:color w:val="000000"/>
                <w:sz w:val="20"/>
                <w:szCs w:val="20"/>
              </w:rPr>
            </w:pPr>
            <w:r w:rsidRPr="00B82226">
              <w:rPr>
                <w:rFonts w:eastAsia="Times New Roman" w:cs="Calibri"/>
                <w:color w:val="000000"/>
                <w:sz w:val="20"/>
                <w:szCs w:val="20"/>
              </w:rPr>
              <w:t>B1</w:t>
            </w:r>
          </w:p>
        </w:tc>
        <w:tc>
          <w:tcPr>
            <w:tcW w:w="738" w:type="pct"/>
            <w:tcBorders>
              <w:top w:val="nil"/>
              <w:left w:val="nil"/>
              <w:bottom w:val="single" w:sz="4" w:space="0" w:color="auto"/>
              <w:right w:val="single" w:sz="4" w:space="0" w:color="auto"/>
            </w:tcBorders>
            <w:shd w:val="clear" w:color="auto" w:fill="auto"/>
            <w:vAlign w:val="center"/>
            <w:hideMark/>
          </w:tcPr>
          <w:p w14:paraId="19A6F332" w14:textId="77777777" w:rsidR="00BC7895" w:rsidRPr="00B82226" w:rsidRDefault="00BC7895" w:rsidP="00A1772C">
            <w:pPr>
              <w:spacing w:before="80" w:after="80" w:line="240" w:lineRule="auto"/>
              <w:jc w:val="right"/>
              <w:rPr>
                <w:rFonts w:eastAsia="Times New Roman" w:cs="Calibri"/>
                <w:color w:val="000000"/>
                <w:sz w:val="20"/>
                <w:szCs w:val="20"/>
              </w:rPr>
            </w:pPr>
            <w:r w:rsidRPr="00B82226">
              <w:rPr>
                <w:rFonts w:eastAsia="Times New Roman" w:cs="Calibri"/>
                <w:color w:val="000000"/>
                <w:sz w:val="20"/>
                <w:szCs w:val="20"/>
              </w:rPr>
              <w:t>$2,000</w:t>
            </w:r>
          </w:p>
        </w:tc>
        <w:tc>
          <w:tcPr>
            <w:tcW w:w="411" w:type="pct"/>
            <w:tcBorders>
              <w:top w:val="nil"/>
              <w:left w:val="nil"/>
              <w:bottom w:val="single" w:sz="4" w:space="0" w:color="auto"/>
              <w:right w:val="single" w:sz="4" w:space="0" w:color="auto"/>
            </w:tcBorders>
            <w:shd w:val="clear" w:color="auto" w:fill="auto"/>
            <w:noWrap/>
            <w:vAlign w:val="bottom"/>
            <w:hideMark/>
          </w:tcPr>
          <w:p w14:paraId="34CC8AB3" w14:textId="331C7FE7" w:rsidR="00BC7895" w:rsidRPr="002E4A9B" w:rsidRDefault="00BC7895"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w:t>
            </w:r>
            <w:r w:rsidRPr="00A1772C">
              <w:rPr>
                <w:rFonts w:eastAsia="Times New Roman" w:cs="Calibri"/>
                <w:color w:val="000000"/>
                <w:sz w:val="20"/>
                <w:szCs w:val="20"/>
              </w:rPr>
              <w:t>31</w:t>
            </w:r>
            <w:r w:rsidRPr="002E4A9B">
              <w:rPr>
                <w:rFonts w:eastAsia="Times New Roman" w:cs="Calibri"/>
                <w:color w:val="000000"/>
                <w:sz w:val="20"/>
                <w:szCs w:val="20"/>
              </w:rPr>
              <w:t>5</w:t>
            </w:r>
          </w:p>
        </w:tc>
        <w:tc>
          <w:tcPr>
            <w:tcW w:w="574" w:type="pct"/>
            <w:tcBorders>
              <w:top w:val="nil"/>
              <w:left w:val="nil"/>
              <w:bottom w:val="single" w:sz="4" w:space="0" w:color="auto"/>
              <w:right w:val="single" w:sz="4" w:space="0" w:color="auto"/>
            </w:tcBorders>
            <w:shd w:val="clear" w:color="auto" w:fill="auto"/>
            <w:vAlign w:val="center"/>
            <w:hideMark/>
          </w:tcPr>
          <w:p w14:paraId="25F1BE16" w14:textId="54411F7A" w:rsidR="00BC7895" w:rsidRPr="002E4A9B" w:rsidRDefault="00BC7895"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0.02464</w:t>
            </w:r>
          </w:p>
        </w:tc>
        <w:tc>
          <w:tcPr>
            <w:tcW w:w="574" w:type="pct"/>
            <w:tcBorders>
              <w:top w:val="nil"/>
              <w:left w:val="nil"/>
              <w:bottom w:val="single" w:sz="4" w:space="0" w:color="auto"/>
              <w:right w:val="single" w:sz="4" w:space="0" w:color="auto"/>
            </w:tcBorders>
            <w:shd w:val="clear" w:color="auto" w:fill="auto"/>
            <w:vAlign w:val="center"/>
            <w:hideMark/>
          </w:tcPr>
          <w:p w14:paraId="4616094A" w14:textId="3E7C4BD0" w:rsidR="00BC7895" w:rsidRPr="002E4A9B" w:rsidRDefault="00BC7895"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0.07668</w:t>
            </w:r>
          </w:p>
        </w:tc>
        <w:tc>
          <w:tcPr>
            <w:tcW w:w="657" w:type="pct"/>
            <w:tcBorders>
              <w:top w:val="nil"/>
              <w:left w:val="nil"/>
              <w:bottom w:val="single" w:sz="4" w:space="0" w:color="auto"/>
              <w:right w:val="single" w:sz="4" w:space="0" w:color="auto"/>
            </w:tcBorders>
            <w:shd w:val="clear" w:color="auto" w:fill="auto"/>
            <w:noWrap/>
            <w:vAlign w:val="center"/>
          </w:tcPr>
          <w:p w14:paraId="566F37AB" w14:textId="6EBD42B8" w:rsidR="00BC7895" w:rsidRPr="002E4A9B" w:rsidRDefault="00BC7895" w:rsidP="00A1772C">
            <w:pPr>
              <w:spacing w:before="80" w:after="80" w:line="240" w:lineRule="auto"/>
              <w:jc w:val="right"/>
              <w:rPr>
                <w:rFonts w:eastAsia="Times New Roman" w:cs="Calibri"/>
                <w:color w:val="000000"/>
                <w:sz w:val="20"/>
                <w:szCs w:val="20"/>
              </w:rPr>
            </w:pPr>
            <w:r w:rsidRPr="002E4A9B">
              <w:rPr>
                <w:rFonts w:ascii="Calibri" w:hAnsi="Calibri" w:cs="Calibri"/>
                <w:color w:val="000000"/>
                <w:sz w:val="20"/>
                <w:szCs w:val="20"/>
              </w:rPr>
              <w:t>0.37469</w:t>
            </w:r>
          </w:p>
        </w:tc>
        <w:tc>
          <w:tcPr>
            <w:tcW w:w="574" w:type="pct"/>
            <w:tcBorders>
              <w:top w:val="nil"/>
              <w:left w:val="nil"/>
              <w:bottom w:val="single" w:sz="4" w:space="0" w:color="auto"/>
              <w:right w:val="single" w:sz="4" w:space="0" w:color="auto"/>
            </w:tcBorders>
            <w:shd w:val="clear" w:color="auto" w:fill="auto"/>
            <w:vAlign w:val="center"/>
            <w:hideMark/>
          </w:tcPr>
          <w:p w14:paraId="03B78885" w14:textId="08129FA6" w:rsidR="00BC7895" w:rsidRPr="002E4A9B" w:rsidRDefault="00BC7895" w:rsidP="00A1772C">
            <w:pPr>
              <w:spacing w:before="80" w:after="80" w:line="240" w:lineRule="auto"/>
              <w:jc w:val="right"/>
              <w:rPr>
                <w:rFonts w:eastAsia="Times New Roman" w:cs="Calibri"/>
                <w:color w:val="000000"/>
                <w:sz w:val="20"/>
                <w:szCs w:val="20"/>
              </w:rPr>
            </w:pPr>
            <w:r w:rsidRPr="002E4A9B">
              <w:rPr>
                <w:rFonts w:ascii="Calibri" w:hAnsi="Calibri" w:cs="Calibri"/>
                <w:color w:val="000000"/>
                <w:sz w:val="20"/>
                <w:szCs w:val="20"/>
              </w:rPr>
              <w:t>$749</w:t>
            </w:r>
          </w:p>
        </w:tc>
        <w:tc>
          <w:tcPr>
            <w:tcW w:w="741" w:type="pct"/>
            <w:tcBorders>
              <w:top w:val="nil"/>
              <w:left w:val="nil"/>
              <w:bottom w:val="single" w:sz="4" w:space="0" w:color="auto"/>
              <w:right w:val="single" w:sz="8" w:space="0" w:color="auto"/>
            </w:tcBorders>
            <w:shd w:val="clear" w:color="auto" w:fill="auto"/>
            <w:noWrap/>
            <w:vAlign w:val="center"/>
            <w:hideMark/>
          </w:tcPr>
          <w:p w14:paraId="32FD1149" w14:textId="5BFABFF7" w:rsidR="00BC7895" w:rsidRPr="002E4A9B" w:rsidRDefault="00BC7895" w:rsidP="00A1772C">
            <w:pPr>
              <w:spacing w:before="80" w:after="80" w:line="240" w:lineRule="auto"/>
              <w:jc w:val="right"/>
              <w:rPr>
                <w:rFonts w:eastAsia="Times New Roman" w:cs="Calibri"/>
                <w:color w:val="000000"/>
              </w:rPr>
            </w:pPr>
            <w:r w:rsidRPr="002E4A9B">
              <w:rPr>
                <w:rFonts w:ascii="Calibri" w:hAnsi="Calibri" w:cs="Calibri"/>
                <w:color w:val="000000"/>
              </w:rPr>
              <w:t>$2,749</w:t>
            </w:r>
          </w:p>
        </w:tc>
      </w:tr>
      <w:tr w:rsidR="00BC7895" w:rsidRPr="00B82226" w14:paraId="344EC4B7" w14:textId="77777777" w:rsidTr="00A1772C">
        <w:trPr>
          <w:trHeight w:val="288"/>
        </w:trPr>
        <w:tc>
          <w:tcPr>
            <w:tcW w:w="731" w:type="pct"/>
            <w:tcBorders>
              <w:top w:val="nil"/>
              <w:left w:val="single" w:sz="8" w:space="0" w:color="auto"/>
              <w:bottom w:val="single" w:sz="4" w:space="0" w:color="auto"/>
              <w:right w:val="single" w:sz="4" w:space="0" w:color="auto"/>
            </w:tcBorders>
            <w:shd w:val="clear" w:color="auto" w:fill="auto"/>
            <w:vAlign w:val="center"/>
            <w:hideMark/>
          </w:tcPr>
          <w:p w14:paraId="07B27955" w14:textId="77777777" w:rsidR="00BC7895" w:rsidRPr="00B82226" w:rsidRDefault="00BC7895" w:rsidP="00A1772C">
            <w:pPr>
              <w:spacing w:before="80" w:after="80" w:line="240" w:lineRule="auto"/>
              <w:jc w:val="center"/>
              <w:rPr>
                <w:rFonts w:eastAsia="Times New Roman" w:cs="Calibri"/>
                <w:color w:val="000000"/>
                <w:sz w:val="20"/>
                <w:szCs w:val="20"/>
              </w:rPr>
            </w:pPr>
            <w:r w:rsidRPr="00B82226">
              <w:rPr>
                <w:rFonts w:eastAsia="Times New Roman" w:cs="Calibri"/>
                <w:color w:val="000000"/>
                <w:sz w:val="20"/>
                <w:szCs w:val="20"/>
              </w:rPr>
              <w:t>C1</w:t>
            </w:r>
          </w:p>
        </w:tc>
        <w:tc>
          <w:tcPr>
            <w:tcW w:w="738" w:type="pct"/>
            <w:tcBorders>
              <w:top w:val="nil"/>
              <w:left w:val="nil"/>
              <w:bottom w:val="single" w:sz="4" w:space="0" w:color="auto"/>
              <w:right w:val="single" w:sz="4" w:space="0" w:color="auto"/>
            </w:tcBorders>
            <w:shd w:val="clear" w:color="auto" w:fill="auto"/>
            <w:vAlign w:val="center"/>
            <w:hideMark/>
          </w:tcPr>
          <w:p w14:paraId="64E558D7" w14:textId="77777777" w:rsidR="00BC7895" w:rsidRPr="00B82226" w:rsidRDefault="00BC7895" w:rsidP="00A1772C">
            <w:pPr>
              <w:spacing w:before="80" w:after="80" w:line="240" w:lineRule="auto"/>
              <w:jc w:val="right"/>
              <w:rPr>
                <w:rFonts w:eastAsia="Times New Roman" w:cs="Calibri"/>
                <w:color w:val="000000"/>
                <w:sz w:val="20"/>
                <w:szCs w:val="20"/>
              </w:rPr>
            </w:pPr>
            <w:r w:rsidRPr="00B82226">
              <w:rPr>
                <w:rFonts w:eastAsia="Times New Roman" w:cs="Calibri"/>
                <w:color w:val="000000"/>
                <w:sz w:val="20"/>
                <w:szCs w:val="20"/>
              </w:rPr>
              <w:t>$8,000</w:t>
            </w:r>
          </w:p>
        </w:tc>
        <w:tc>
          <w:tcPr>
            <w:tcW w:w="411" w:type="pct"/>
            <w:tcBorders>
              <w:top w:val="nil"/>
              <w:left w:val="nil"/>
              <w:bottom w:val="single" w:sz="4" w:space="0" w:color="auto"/>
              <w:right w:val="single" w:sz="4" w:space="0" w:color="auto"/>
            </w:tcBorders>
            <w:shd w:val="clear" w:color="auto" w:fill="auto"/>
            <w:noWrap/>
            <w:vAlign w:val="bottom"/>
            <w:hideMark/>
          </w:tcPr>
          <w:p w14:paraId="4D8E1B54" w14:textId="3F097666" w:rsidR="00BC7895" w:rsidRPr="002E4A9B" w:rsidRDefault="00BC7895"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0.180</w:t>
            </w:r>
          </w:p>
        </w:tc>
        <w:tc>
          <w:tcPr>
            <w:tcW w:w="574" w:type="pct"/>
            <w:tcBorders>
              <w:top w:val="nil"/>
              <w:left w:val="nil"/>
              <w:bottom w:val="single" w:sz="4" w:space="0" w:color="auto"/>
              <w:right w:val="single" w:sz="4" w:space="0" w:color="auto"/>
            </w:tcBorders>
            <w:shd w:val="clear" w:color="auto" w:fill="auto"/>
            <w:vAlign w:val="center"/>
            <w:hideMark/>
          </w:tcPr>
          <w:p w14:paraId="5FBB3C95" w14:textId="37690936" w:rsidR="00BC7895" w:rsidRPr="002E4A9B" w:rsidRDefault="00BC7895"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0.02464</w:t>
            </w:r>
          </w:p>
        </w:tc>
        <w:tc>
          <w:tcPr>
            <w:tcW w:w="574" w:type="pct"/>
            <w:tcBorders>
              <w:top w:val="nil"/>
              <w:left w:val="nil"/>
              <w:bottom w:val="single" w:sz="4" w:space="0" w:color="auto"/>
              <w:right w:val="single" w:sz="4" w:space="0" w:color="auto"/>
            </w:tcBorders>
            <w:shd w:val="clear" w:color="auto" w:fill="auto"/>
            <w:vAlign w:val="center"/>
            <w:hideMark/>
          </w:tcPr>
          <w:p w14:paraId="2D0FFC84" w14:textId="3CF71FD0" w:rsidR="00BC7895" w:rsidRPr="002E4A9B" w:rsidRDefault="00BC7895"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0.07668</w:t>
            </w:r>
          </w:p>
        </w:tc>
        <w:tc>
          <w:tcPr>
            <w:tcW w:w="657" w:type="pct"/>
            <w:tcBorders>
              <w:top w:val="nil"/>
              <w:left w:val="nil"/>
              <w:bottom w:val="single" w:sz="4" w:space="0" w:color="auto"/>
              <w:right w:val="single" w:sz="4" w:space="0" w:color="auto"/>
            </w:tcBorders>
            <w:shd w:val="clear" w:color="auto" w:fill="auto"/>
            <w:noWrap/>
            <w:vAlign w:val="center"/>
          </w:tcPr>
          <w:p w14:paraId="59572C5E" w14:textId="72115E4D" w:rsidR="00BC7895" w:rsidRPr="002E4A9B" w:rsidRDefault="00BC7895" w:rsidP="00A1772C">
            <w:pPr>
              <w:spacing w:before="80" w:after="80" w:line="240" w:lineRule="auto"/>
              <w:jc w:val="right"/>
              <w:rPr>
                <w:rFonts w:eastAsia="Times New Roman" w:cs="Calibri"/>
                <w:color w:val="000000"/>
                <w:sz w:val="20"/>
                <w:szCs w:val="20"/>
              </w:rPr>
            </w:pPr>
            <w:r w:rsidRPr="002E4A9B">
              <w:rPr>
                <w:rFonts w:ascii="Calibri" w:hAnsi="Calibri" w:cs="Calibri"/>
                <w:color w:val="000000"/>
                <w:sz w:val="20"/>
                <w:szCs w:val="20"/>
              </w:rPr>
              <w:t>0.25319</w:t>
            </w:r>
          </w:p>
        </w:tc>
        <w:tc>
          <w:tcPr>
            <w:tcW w:w="574" w:type="pct"/>
            <w:tcBorders>
              <w:top w:val="nil"/>
              <w:left w:val="nil"/>
              <w:bottom w:val="single" w:sz="4" w:space="0" w:color="auto"/>
              <w:right w:val="single" w:sz="4" w:space="0" w:color="auto"/>
            </w:tcBorders>
            <w:shd w:val="clear" w:color="auto" w:fill="auto"/>
            <w:vAlign w:val="center"/>
            <w:hideMark/>
          </w:tcPr>
          <w:p w14:paraId="004DF8E1" w14:textId="5C604FB8" w:rsidR="00BC7895" w:rsidRPr="002E4A9B" w:rsidRDefault="00BC7895" w:rsidP="00A1772C">
            <w:pPr>
              <w:spacing w:before="80" w:after="80" w:line="240" w:lineRule="auto"/>
              <w:jc w:val="right"/>
              <w:rPr>
                <w:rFonts w:eastAsia="Times New Roman" w:cs="Calibri"/>
                <w:color w:val="000000"/>
                <w:sz w:val="20"/>
                <w:szCs w:val="20"/>
              </w:rPr>
            </w:pPr>
            <w:r w:rsidRPr="002E4A9B">
              <w:rPr>
                <w:rFonts w:ascii="Calibri" w:hAnsi="Calibri" w:cs="Calibri"/>
                <w:color w:val="000000"/>
                <w:sz w:val="20"/>
                <w:szCs w:val="20"/>
              </w:rPr>
              <w:t>$2,026</w:t>
            </w:r>
          </w:p>
        </w:tc>
        <w:tc>
          <w:tcPr>
            <w:tcW w:w="741" w:type="pct"/>
            <w:tcBorders>
              <w:top w:val="nil"/>
              <w:left w:val="nil"/>
              <w:bottom w:val="single" w:sz="4" w:space="0" w:color="auto"/>
              <w:right w:val="single" w:sz="8" w:space="0" w:color="auto"/>
            </w:tcBorders>
            <w:shd w:val="clear" w:color="auto" w:fill="auto"/>
            <w:noWrap/>
            <w:vAlign w:val="center"/>
            <w:hideMark/>
          </w:tcPr>
          <w:p w14:paraId="4A518456" w14:textId="6AB2CF09" w:rsidR="00BC7895" w:rsidRPr="002E4A9B" w:rsidRDefault="00BC7895" w:rsidP="00A1772C">
            <w:pPr>
              <w:spacing w:before="80" w:after="80" w:line="240" w:lineRule="auto"/>
              <w:jc w:val="right"/>
              <w:rPr>
                <w:rFonts w:eastAsia="Times New Roman" w:cs="Calibri"/>
                <w:color w:val="000000"/>
              </w:rPr>
            </w:pPr>
            <w:r w:rsidRPr="002E4A9B">
              <w:rPr>
                <w:rFonts w:ascii="Calibri" w:hAnsi="Calibri" w:cs="Calibri"/>
                <w:color w:val="000000"/>
              </w:rPr>
              <w:t>$10,026</w:t>
            </w:r>
          </w:p>
        </w:tc>
      </w:tr>
      <w:tr w:rsidR="00D00ECE" w:rsidRPr="00B82226" w14:paraId="02F5E1C0" w14:textId="77777777" w:rsidTr="00BC7895">
        <w:trPr>
          <w:trHeight w:val="288"/>
        </w:trPr>
        <w:tc>
          <w:tcPr>
            <w:tcW w:w="731" w:type="pct"/>
            <w:tcBorders>
              <w:top w:val="nil"/>
              <w:left w:val="single" w:sz="8" w:space="0" w:color="auto"/>
              <w:bottom w:val="single" w:sz="4" w:space="0" w:color="auto"/>
              <w:right w:val="single" w:sz="4" w:space="0" w:color="auto"/>
            </w:tcBorders>
            <w:shd w:val="clear" w:color="auto" w:fill="auto"/>
            <w:vAlign w:val="center"/>
            <w:hideMark/>
          </w:tcPr>
          <w:p w14:paraId="4CDD70CE" w14:textId="77777777" w:rsidR="00D00ECE" w:rsidRPr="00B82226" w:rsidRDefault="00D00ECE" w:rsidP="00A1772C">
            <w:pPr>
              <w:spacing w:before="80" w:after="80" w:line="240" w:lineRule="auto"/>
              <w:jc w:val="center"/>
              <w:rPr>
                <w:rFonts w:eastAsia="Times New Roman" w:cs="Calibri"/>
                <w:color w:val="000000"/>
                <w:sz w:val="20"/>
                <w:szCs w:val="20"/>
              </w:rPr>
            </w:pPr>
            <w:r w:rsidRPr="00B82226">
              <w:rPr>
                <w:rFonts w:eastAsia="Times New Roman" w:cs="Calibri"/>
                <w:color w:val="000000"/>
                <w:sz w:val="20"/>
                <w:szCs w:val="20"/>
              </w:rPr>
              <w:t>D1</w:t>
            </w:r>
          </w:p>
        </w:tc>
        <w:tc>
          <w:tcPr>
            <w:tcW w:w="738" w:type="pct"/>
            <w:tcBorders>
              <w:top w:val="nil"/>
              <w:left w:val="nil"/>
              <w:bottom w:val="single" w:sz="4" w:space="0" w:color="auto"/>
              <w:right w:val="single" w:sz="4" w:space="0" w:color="auto"/>
            </w:tcBorders>
            <w:shd w:val="clear" w:color="auto" w:fill="auto"/>
            <w:vAlign w:val="center"/>
            <w:hideMark/>
          </w:tcPr>
          <w:p w14:paraId="663D5DE2" w14:textId="77777777" w:rsidR="00D00ECE" w:rsidRPr="00B82226" w:rsidRDefault="00D00ECE" w:rsidP="00A1772C">
            <w:pPr>
              <w:spacing w:before="80" w:after="80" w:line="240" w:lineRule="auto"/>
              <w:jc w:val="right"/>
              <w:rPr>
                <w:rFonts w:eastAsia="Times New Roman" w:cs="Calibri"/>
                <w:color w:val="000000"/>
                <w:sz w:val="20"/>
                <w:szCs w:val="20"/>
              </w:rPr>
            </w:pPr>
            <w:r w:rsidRPr="00B82226">
              <w:rPr>
                <w:rFonts w:eastAsia="Times New Roman" w:cs="Calibri"/>
                <w:color w:val="000000"/>
                <w:sz w:val="20"/>
                <w:szCs w:val="20"/>
              </w:rPr>
              <w:t>$10,250</w:t>
            </w:r>
          </w:p>
        </w:tc>
        <w:tc>
          <w:tcPr>
            <w:tcW w:w="411" w:type="pct"/>
            <w:tcBorders>
              <w:top w:val="nil"/>
              <w:left w:val="nil"/>
              <w:bottom w:val="single" w:sz="4" w:space="0" w:color="auto"/>
              <w:right w:val="single" w:sz="4" w:space="0" w:color="auto"/>
            </w:tcBorders>
            <w:shd w:val="clear" w:color="auto" w:fill="auto"/>
            <w:noWrap/>
            <w:vAlign w:val="bottom"/>
            <w:hideMark/>
          </w:tcPr>
          <w:p w14:paraId="5B479924" w14:textId="77777777" w:rsidR="00D00ECE" w:rsidRPr="002E4A9B" w:rsidRDefault="00D00ECE"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0.154</w:t>
            </w:r>
          </w:p>
        </w:tc>
        <w:tc>
          <w:tcPr>
            <w:tcW w:w="574" w:type="pct"/>
            <w:tcBorders>
              <w:top w:val="nil"/>
              <w:left w:val="nil"/>
              <w:bottom w:val="single" w:sz="4" w:space="0" w:color="auto"/>
              <w:right w:val="single" w:sz="4" w:space="0" w:color="auto"/>
            </w:tcBorders>
            <w:shd w:val="clear" w:color="auto" w:fill="auto"/>
            <w:vAlign w:val="center"/>
            <w:hideMark/>
          </w:tcPr>
          <w:p w14:paraId="64CAE573" w14:textId="209728EF" w:rsidR="00D00ECE" w:rsidRPr="002E4A9B" w:rsidRDefault="00D00ECE"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0.02464</w:t>
            </w:r>
          </w:p>
        </w:tc>
        <w:tc>
          <w:tcPr>
            <w:tcW w:w="574" w:type="pct"/>
            <w:tcBorders>
              <w:top w:val="nil"/>
              <w:left w:val="nil"/>
              <w:bottom w:val="single" w:sz="4" w:space="0" w:color="auto"/>
              <w:right w:val="single" w:sz="4" w:space="0" w:color="auto"/>
            </w:tcBorders>
            <w:shd w:val="clear" w:color="auto" w:fill="auto"/>
            <w:vAlign w:val="center"/>
            <w:hideMark/>
          </w:tcPr>
          <w:p w14:paraId="56D151C8" w14:textId="09655DE8" w:rsidR="00D00ECE" w:rsidRPr="002E4A9B" w:rsidRDefault="00D00ECE"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0.07668</w:t>
            </w:r>
          </w:p>
        </w:tc>
        <w:tc>
          <w:tcPr>
            <w:tcW w:w="657" w:type="pct"/>
            <w:tcBorders>
              <w:top w:val="nil"/>
              <w:left w:val="nil"/>
              <w:bottom w:val="single" w:sz="4" w:space="0" w:color="auto"/>
              <w:right w:val="single" w:sz="4" w:space="0" w:color="auto"/>
            </w:tcBorders>
            <w:shd w:val="clear" w:color="auto" w:fill="auto"/>
            <w:noWrap/>
            <w:vAlign w:val="center"/>
          </w:tcPr>
          <w:p w14:paraId="373B39CD" w14:textId="56D36130" w:rsidR="00D00ECE" w:rsidRPr="002E4A9B" w:rsidRDefault="00D00ECE" w:rsidP="00A1772C">
            <w:pPr>
              <w:spacing w:before="80" w:after="80" w:line="240" w:lineRule="auto"/>
              <w:jc w:val="right"/>
              <w:rPr>
                <w:rFonts w:eastAsia="Times New Roman" w:cs="Calibri"/>
                <w:color w:val="000000"/>
                <w:sz w:val="20"/>
                <w:szCs w:val="20"/>
              </w:rPr>
            </w:pPr>
            <w:r w:rsidRPr="002E4A9B">
              <w:rPr>
                <w:rFonts w:ascii="Calibri" w:hAnsi="Calibri" w:cs="Calibri"/>
                <w:color w:val="000000"/>
                <w:sz w:val="20"/>
                <w:szCs w:val="20"/>
              </w:rPr>
              <w:t>0.22979</w:t>
            </w:r>
          </w:p>
        </w:tc>
        <w:tc>
          <w:tcPr>
            <w:tcW w:w="574" w:type="pct"/>
            <w:tcBorders>
              <w:top w:val="nil"/>
              <w:left w:val="nil"/>
              <w:bottom w:val="single" w:sz="4" w:space="0" w:color="auto"/>
              <w:right w:val="single" w:sz="4" w:space="0" w:color="auto"/>
            </w:tcBorders>
            <w:shd w:val="clear" w:color="auto" w:fill="auto"/>
            <w:vAlign w:val="center"/>
            <w:hideMark/>
          </w:tcPr>
          <w:p w14:paraId="762546A2" w14:textId="7AF6BEFA" w:rsidR="00D00ECE" w:rsidRPr="002E4A9B" w:rsidRDefault="00D00ECE"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$2,355</w:t>
            </w:r>
          </w:p>
        </w:tc>
        <w:tc>
          <w:tcPr>
            <w:tcW w:w="741" w:type="pct"/>
            <w:tcBorders>
              <w:top w:val="nil"/>
              <w:left w:val="nil"/>
              <w:bottom w:val="single" w:sz="4" w:space="0" w:color="auto"/>
              <w:right w:val="single" w:sz="8" w:space="0" w:color="auto"/>
            </w:tcBorders>
            <w:shd w:val="clear" w:color="auto" w:fill="auto"/>
            <w:noWrap/>
            <w:vAlign w:val="bottom"/>
            <w:hideMark/>
          </w:tcPr>
          <w:p w14:paraId="0F13BAE7" w14:textId="63B69587" w:rsidR="00D00ECE" w:rsidRPr="002E4A9B" w:rsidRDefault="00D00ECE" w:rsidP="00A1772C">
            <w:pPr>
              <w:spacing w:before="80" w:after="80" w:line="240" w:lineRule="auto"/>
              <w:jc w:val="right"/>
              <w:rPr>
                <w:rFonts w:eastAsia="Times New Roman" w:cs="Calibri"/>
                <w:color w:val="000000"/>
              </w:rPr>
            </w:pPr>
            <w:r w:rsidRPr="002E4A9B">
              <w:rPr>
                <w:rFonts w:eastAsia="Times New Roman" w:cs="Calibri"/>
                <w:color w:val="000000"/>
              </w:rPr>
              <w:t>$12,605</w:t>
            </w:r>
          </w:p>
        </w:tc>
      </w:tr>
      <w:tr w:rsidR="00BC7895" w:rsidRPr="00B82226" w14:paraId="30B92E63" w14:textId="77777777" w:rsidTr="00A1772C">
        <w:trPr>
          <w:trHeight w:val="288"/>
        </w:trPr>
        <w:tc>
          <w:tcPr>
            <w:tcW w:w="731" w:type="pct"/>
            <w:tcBorders>
              <w:top w:val="nil"/>
              <w:left w:val="single" w:sz="8" w:space="0" w:color="auto"/>
              <w:bottom w:val="single" w:sz="4" w:space="0" w:color="auto"/>
              <w:right w:val="single" w:sz="4" w:space="0" w:color="auto"/>
            </w:tcBorders>
            <w:shd w:val="clear" w:color="auto" w:fill="auto"/>
            <w:vAlign w:val="center"/>
            <w:hideMark/>
          </w:tcPr>
          <w:p w14:paraId="2DE22E36" w14:textId="77777777" w:rsidR="00BC7895" w:rsidRPr="00B82226" w:rsidRDefault="00BC7895" w:rsidP="00A1772C">
            <w:pPr>
              <w:spacing w:before="80" w:after="80" w:line="240" w:lineRule="auto"/>
              <w:jc w:val="center"/>
              <w:rPr>
                <w:rFonts w:eastAsia="Times New Roman" w:cs="Calibri"/>
                <w:color w:val="000000"/>
                <w:sz w:val="20"/>
                <w:szCs w:val="20"/>
              </w:rPr>
            </w:pPr>
            <w:r w:rsidRPr="00B82226">
              <w:rPr>
                <w:rFonts w:eastAsia="Times New Roman" w:cs="Calibri"/>
                <w:color w:val="000000"/>
                <w:sz w:val="20"/>
                <w:szCs w:val="20"/>
              </w:rPr>
              <w:t>E1</w:t>
            </w:r>
          </w:p>
        </w:tc>
        <w:tc>
          <w:tcPr>
            <w:tcW w:w="738" w:type="pct"/>
            <w:tcBorders>
              <w:top w:val="nil"/>
              <w:left w:val="nil"/>
              <w:bottom w:val="single" w:sz="4" w:space="0" w:color="auto"/>
              <w:right w:val="single" w:sz="4" w:space="0" w:color="auto"/>
            </w:tcBorders>
            <w:shd w:val="clear" w:color="auto" w:fill="auto"/>
            <w:vAlign w:val="center"/>
            <w:hideMark/>
          </w:tcPr>
          <w:p w14:paraId="59138E95" w14:textId="77777777" w:rsidR="00BC7895" w:rsidRPr="00B82226" w:rsidRDefault="00BC7895" w:rsidP="00A1772C">
            <w:pPr>
              <w:spacing w:before="80" w:after="80" w:line="240" w:lineRule="auto"/>
              <w:jc w:val="right"/>
              <w:rPr>
                <w:rFonts w:eastAsia="Times New Roman" w:cs="Calibri"/>
                <w:color w:val="000000"/>
                <w:sz w:val="20"/>
                <w:szCs w:val="20"/>
              </w:rPr>
            </w:pPr>
            <w:r w:rsidRPr="00B82226">
              <w:rPr>
                <w:rFonts w:eastAsia="Times New Roman" w:cs="Calibri"/>
                <w:color w:val="000000"/>
                <w:sz w:val="20"/>
                <w:szCs w:val="20"/>
              </w:rPr>
              <w:t>$1,100</w:t>
            </w:r>
          </w:p>
        </w:tc>
        <w:tc>
          <w:tcPr>
            <w:tcW w:w="411" w:type="pct"/>
            <w:tcBorders>
              <w:top w:val="nil"/>
              <w:left w:val="nil"/>
              <w:bottom w:val="single" w:sz="4" w:space="0" w:color="auto"/>
              <w:right w:val="single" w:sz="4" w:space="0" w:color="auto"/>
            </w:tcBorders>
            <w:shd w:val="clear" w:color="auto" w:fill="auto"/>
            <w:noWrap/>
            <w:vAlign w:val="bottom"/>
            <w:hideMark/>
          </w:tcPr>
          <w:p w14:paraId="5E51C71D" w14:textId="30809259" w:rsidR="00BC7895" w:rsidRPr="002E4A9B" w:rsidRDefault="00BC7895"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w:t>
            </w:r>
            <w:r w:rsidRPr="00A1772C">
              <w:rPr>
                <w:rFonts w:eastAsia="Times New Roman" w:cs="Calibri"/>
                <w:color w:val="000000"/>
                <w:sz w:val="20"/>
                <w:szCs w:val="20"/>
              </w:rPr>
              <w:t>31</w:t>
            </w:r>
            <w:r w:rsidRPr="002E4A9B">
              <w:rPr>
                <w:rFonts w:eastAsia="Times New Roman" w:cs="Calibri"/>
                <w:color w:val="000000"/>
                <w:sz w:val="20"/>
                <w:szCs w:val="20"/>
              </w:rPr>
              <w:t>5</w:t>
            </w:r>
          </w:p>
        </w:tc>
        <w:tc>
          <w:tcPr>
            <w:tcW w:w="574" w:type="pct"/>
            <w:tcBorders>
              <w:top w:val="nil"/>
              <w:left w:val="nil"/>
              <w:bottom w:val="single" w:sz="4" w:space="0" w:color="auto"/>
              <w:right w:val="single" w:sz="4" w:space="0" w:color="auto"/>
            </w:tcBorders>
            <w:shd w:val="clear" w:color="auto" w:fill="auto"/>
            <w:vAlign w:val="center"/>
            <w:hideMark/>
          </w:tcPr>
          <w:p w14:paraId="02508D57" w14:textId="727C26ED" w:rsidR="00BC7895" w:rsidRPr="002E4A9B" w:rsidRDefault="00BC7895"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0.02464</w:t>
            </w:r>
          </w:p>
        </w:tc>
        <w:tc>
          <w:tcPr>
            <w:tcW w:w="574" w:type="pct"/>
            <w:tcBorders>
              <w:top w:val="nil"/>
              <w:left w:val="nil"/>
              <w:bottom w:val="single" w:sz="4" w:space="0" w:color="auto"/>
              <w:right w:val="single" w:sz="4" w:space="0" w:color="auto"/>
            </w:tcBorders>
            <w:shd w:val="clear" w:color="auto" w:fill="auto"/>
            <w:vAlign w:val="center"/>
            <w:hideMark/>
          </w:tcPr>
          <w:p w14:paraId="674AE200" w14:textId="460FA9DD" w:rsidR="00BC7895" w:rsidRPr="002E4A9B" w:rsidRDefault="00BC7895"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0.07668</w:t>
            </w:r>
          </w:p>
        </w:tc>
        <w:tc>
          <w:tcPr>
            <w:tcW w:w="657" w:type="pct"/>
            <w:tcBorders>
              <w:top w:val="nil"/>
              <w:left w:val="nil"/>
              <w:bottom w:val="single" w:sz="4" w:space="0" w:color="auto"/>
              <w:right w:val="single" w:sz="4" w:space="0" w:color="auto"/>
            </w:tcBorders>
            <w:shd w:val="clear" w:color="auto" w:fill="auto"/>
            <w:noWrap/>
            <w:vAlign w:val="center"/>
          </w:tcPr>
          <w:p w14:paraId="3ECCF7F6" w14:textId="32E3CF73" w:rsidR="00BC7895" w:rsidRPr="002E4A9B" w:rsidRDefault="00BC7895" w:rsidP="00A1772C">
            <w:pPr>
              <w:spacing w:before="80" w:after="80" w:line="240" w:lineRule="auto"/>
              <w:jc w:val="right"/>
              <w:rPr>
                <w:rFonts w:eastAsia="Times New Roman" w:cs="Calibri"/>
                <w:color w:val="000000"/>
                <w:sz w:val="20"/>
                <w:szCs w:val="20"/>
              </w:rPr>
            </w:pPr>
            <w:r w:rsidRPr="002E4A9B">
              <w:rPr>
                <w:rFonts w:ascii="Calibri" w:hAnsi="Calibri" w:cs="Calibri"/>
                <w:color w:val="000000"/>
                <w:sz w:val="20"/>
                <w:szCs w:val="20"/>
              </w:rPr>
              <w:t>0.37469</w:t>
            </w:r>
          </w:p>
        </w:tc>
        <w:tc>
          <w:tcPr>
            <w:tcW w:w="574" w:type="pct"/>
            <w:tcBorders>
              <w:top w:val="nil"/>
              <w:left w:val="nil"/>
              <w:bottom w:val="single" w:sz="4" w:space="0" w:color="auto"/>
              <w:right w:val="single" w:sz="4" w:space="0" w:color="auto"/>
            </w:tcBorders>
            <w:shd w:val="clear" w:color="auto" w:fill="auto"/>
            <w:vAlign w:val="center"/>
            <w:hideMark/>
          </w:tcPr>
          <w:p w14:paraId="585180AB" w14:textId="03573B70" w:rsidR="00BC7895" w:rsidRPr="002E4A9B" w:rsidRDefault="00BC7895" w:rsidP="00A1772C">
            <w:pPr>
              <w:spacing w:before="80" w:after="80" w:line="240" w:lineRule="auto"/>
              <w:jc w:val="right"/>
              <w:rPr>
                <w:rFonts w:eastAsia="Times New Roman" w:cs="Calibri"/>
                <w:color w:val="000000"/>
                <w:sz w:val="20"/>
                <w:szCs w:val="20"/>
              </w:rPr>
            </w:pPr>
            <w:r w:rsidRPr="002E4A9B">
              <w:rPr>
                <w:rFonts w:ascii="Calibri" w:hAnsi="Calibri" w:cs="Calibri"/>
                <w:color w:val="000000"/>
                <w:sz w:val="20"/>
                <w:szCs w:val="20"/>
              </w:rPr>
              <w:t>$412</w:t>
            </w:r>
          </w:p>
        </w:tc>
        <w:tc>
          <w:tcPr>
            <w:tcW w:w="741" w:type="pct"/>
            <w:tcBorders>
              <w:top w:val="nil"/>
              <w:left w:val="nil"/>
              <w:bottom w:val="single" w:sz="4" w:space="0" w:color="auto"/>
              <w:right w:val="single" w:sz="8" w:space="0" w:color="auto"/>
            </w:tcBorders>
            <w:shd w:val="clear" w:color="auto" w:fill="auto"/>
            <w:noWrap/>
            <w:vAlign w:val="center"/>
            <w:hideMark/>
          </w:tcPr>
          <w:p w14:paraId="49C1F3F7" w14:textId="4260A3B1" w:rsidR="00BC7895" w:rsidRPr="002E4A9B" w:rsidRDefault="00BC7895" w:rsidP="00A1772C">
            <w:pPr>
              <w:spacing w:before="80" w:after="80" w:line="240" w:lineRule="auto"/>
              <w:jc w:val="right"/>
              <w:rPr>
                <w:rFonts w:eastAsia="Times New Roman" w:cs="Calibri"/>
                <w:color w:val="000000"/>
              </w:rPr>
            </w:pPr>
            <w:r w:rsidRPr="002E4A9B">
              <w:rPr>
                <w:rFonts w:ascii="Calibri" w:hAnsi="Calibri" w:cs="Calibri"/>
                <w:color w:val="000000"/>
              </w:rPr>
              <w:t>$1,512</w:t>
            </w:r>
          </w:p>
        </w:tc>
      </w:tr>
      <w:tr w:rsidR="00D00ECE" w:rsidRPr="00B82226" w14:paraId="417B823E" w14:textId="77777777" w:rsidTr="00BC7895">
        <w:trPr>
          <w:trHeight w:val="288"/>
        </w:trPr>
        <w:tc>
          <w:tcPr>
            <w:tcW w:w="731" w:type="pct"/>
            <w:tcBorders>
              <w:top w:val="nil"/>
              <w:left w:val="single" w:sz="8" w:space="0" w:color="auto"/>
              <w:bottom w:val="single" w:sz="4" w:space="0" w:color="auto"/>
              <w:right w:val="single" w:sz="4" w:space="0" w:color="auto"/>
            </w:tcBorders>
            <w:shd w:val="clear" w:color="auto" w:fill="auto"/>
            <w:vAlign w:val="center"/>
            <w:hideMark/>
          </w:tcPr>
          <w:p w14:paraId="4B3555C5" w14:textId="77777777" w:rsidR="00D00ECE" w:rsidRPr="00B82226" w:rsidRDefault="00D00ECE" w:rsidP="00A1772C">
            <w:pPr>
              <w:spacing w:before="80" w:after="80" w:line="240" w:lineRule="auto"/>
              <w:jc w:val="center"/>
              <w:rPr>
                <w:rFonts w:eastAsia="Times New Roman" w:cs="Calibri"/>
                <w:color w:val="000000"/>
                <w:sz w:val="20"/>
                <w:szCs w:val="20"/>
              </w:rPr>
            </w:pPr>
            <w:r w:rsidRPr="00B82226">
              <w:rPr>
                <w:rFonts w:eastAsia="Times New Roman" w:cs="Calibri"/>
                <w:color w:val="000000"/>
                <w:sz w:val="20"/>
                <w:szCs w:val="20"/>
              </w:rPr>
              <w:t>F1</w:t>
            </w:r>
          </w:p>
        </w:tc>
        <w:tc>
          <w:tcPr>
            <w:tcW w:w="738" w:type="pct"/>
            <w:tcBorders>
              <w:top w:val="nil"/>
              <w:left w:val="nil"/>
              <w:bottom w:val="single" w:sz="4" w:space="0" w:color="auto"/>
              <w:right w:val="single" w:sz="4" w:space="0" w:color="auto"/>
            </w:tcBorders>
            <w:shd w:val="clear" w:color="auto" w:fill="auto"/>
            <w:vAlign w:val="center"/>
            <w:hideMark/>
          </w:tcPr>
          <w:p w14:paraId="58283D2F" w14:textId="77777777" w:rsidR="00D00ECE" w:rsidRPr="00B82226" w:rsidRDefault="00D00ECE" w:rsidP="00A1772C">
            <w:pPr>
              <w:spacing w:before="80" w:after="80" w:line="240" w:lineRule="auto"/>
              <w:jc w:val="right"/>
              <w:rPr>
                <w:rFonts w:eastAsia="Times New Roman" w:cs="Calibri"/>
                <w:color w:val="000000"/>
                <w:sz w:val="20"/>
                <w:szCs w:val="20"/>
              </w:rPr>
            </w:pPr>
            <w:r w:rsidRPr="00B82226">
              <w:rPr>
                <w:rFonts w:eastAsia="Times New Roman" w:cs="Calibri"/>
                <w:color w:val="000000"/>
                <w:sz w:val="20"/>
                <w:szCs w:val="20"/>
              </w:rPr>
              <w:t>$4,750</w:t>
            </w:r>
          </w:p>
        </w:tc>
        <w:tc>
          <w:tcPr>
            <w:tcW w:w="411" w:type="pct"/>
            <w:tcBorders>
              <w:top w:val="nil"/>
              <w:left w:val="nil"/>
              <w:bottom w:val="single" w:sz="4" w:space="0" w:color="auto"/>
              <w:right w:val="single" w:sz="4" w:space="0" w:color="auto"/>
            </w:tcBorders>
            <w:shd w:val="clear" w:color="auto" w:fill="auto"/>
            <w:noWrap/>
            <w:vAlign w:val="bottom"/>
            <w:hideMark/>
          </w:tcPr>
          <w:p w14:paraId="1AC00D04" w14:textId="77777777" w:rsidR="00D00ECE" w:rsidRPr="002E4A9B" w:rsidRDefault="00D00ECE"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0.115</w:t>
            </w:r>
          </w:p>
        </w:tc>
        <w:tc>
          <w:tcPr>
            <w:tcW w:w="574" w:type="pct"/>
            <w:tcBorders>
              <w:top w:val="nil"/>
              <w:left w:val="nil"/>
              <w:bottom w:val="single" w:sz="4" w:space="0" w:color="auto"/>
              <w:right w:val="single" w:sz="4" w:space="0" w:color="auto"/>
            </w:tcBorders>
            <w:shd w:val="clear" w:color="auto" w:fill="auto"/>
            <w:vAlign w:val="center"/>
            <w:hideMark/>
          </w:tcPr>
          <w:p w14:paraId="54C01D3B" w14:textId="2A973C74" w:rsidR="00D00ECE" w:rsidRPr="002E4A9B" w:rsidRDefault="00D00ECE"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0.02464</w:t>
            </w:r>
          </w:p>
        </w:tc>
        <w:tc>
          <w:tcPr>
            <w:tcW w:w="574" w:type="pct"/>
            <w:tcBorders>
              <w:top w:val="nil"/>
              <w:left w:val="nil"/>
              <w:bottom w:val="single" w:sz="4" w:space="0" w:color="auto"/>
              <w:right w:val="single" w:sz="4" w:space="0" w:color="auto"/>
            </w:tcBorders>
            <w:shd w:val="clear" w:color="auto" w:fill="auto"/>
            <w:vAlign w:val="center"/>
            <w:hideMark/>
          </w:tcPr>
          <w:p w14:paraId="692E44E9" w14:textId="6ADF48F5" w:rsidR="00D00ECE" w:rsidRPr="002E4A9B" w:rsidRDefault="00D00ECE"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0.07668</w:t>
            </w:r>
          </w:p>
        </w:tc>
        <w:tc>
          <w:tcPr>
            <w:tcW w:w="657" w:type="pct"/>
            <w:tcBorders>
              <w:top w:val="nil"/>
              <w:left w:val="nil"/>
              <w:bottom w:val="single" w:sz="4" w:space="0" w:color="auto"/>
              <w:right w:val="single" w:sz="4" w:space="0" w:color="auto"/>
            </w:tcBorders>
            <w:shd w:val="clear" w:color="auto" w:fill="auto"/>
            <w:noWrap/>
            <w:vAlign w:val="center"/>
          </w:tcPr>
          <w:p w14:paraId="2F168EBD" w14:textId="652C5F75" w:rsidR="00D00ECE" w:rsidRPr="002E4A9B" w:rsidRDefault="00D00ECE" w:rsidP="00A1772C">
            <w:pPr>
              <w:spacing w:before="80" w:after="80" w:line="240" w:lineRule="auto"/>
              <w:jc w:val="right"/>
              <w:rPr>
                <w:rFonts w:eastAsia="Times New Roman" w:cs="Calibri"/>
                <w:color w:val="000000"/>
                <w:sz w:val="20"/>
                <w:szCs w:val="20"/>
              </w:rPr>
            </w:pPr>
            <w:r w:rsidRPr="002E4A9B">
              <w:rPr>
                <w:rFonts w:ascii="Calibri" w:hAnsi="Calibri" w:cs="Calibri"/>
                <w:color w:val="000000"/>
                <w:sz w:val="20"/>
                <w:szCs w:val="20"/>
              </w:rPr>
              <w:t>0.19469</w:t>
            </w:r>
          </w:p>
        </w:tc>
        <w:tc>
          <w:tcPr>
            <w:tcW w:w="574" w:type="pct"/>
            <w:tcBorders>
              <w:top w:val="nil"/>
              <w:left w:val="nil"/>
              <w:bottom w:val="single" w:sz="4" w:space="0" w:color="auto"/>
              <w:right w:val="single" w:sz="4" w:space="0" w:color="auto"/>
            </w:tcBorders>
            <w:shd w:val="clear" w:color="auto" w:fill="auto"/>
            <w:vAlign w:val="center"/>
            <w:hideMark/>
          </w:tcPr>
          <w:p w14:paraId="0F6EB850" w14:textId="29F9CD84" w:rsidR="00D00ECE" w:rsidRPr="002E4A9B" w:rsidRDefault="00D00ECE"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$925</w:t>
            </w:r>
          </w:p>
        </w:tc>
        <w:tc>
          <w:tcPr>
            <w:tcW w:w="741" w:type="pct"/>
            <w:tcBorders>
              <w:top w:val="nil"/>
              <w:left w:val="nil"/>
              <w:bottom w:val="single" w:sz="4" w:space="0" w:color="auto"/>
              <w:right w:val="single" w:sz="8" w:space="0" w:color="auto"/>
            </w:tcBorders>
            <w:shd w:val="clear" w:color="auto" w:fill="auto"/>
            <w:noWrap/>
            <w:vAlign w:val="bottom"/>
            <w:hideMark/>
          </w:tcPr>
          <w:p w14:paraId="25A18BC3" w14:textId="5E996607" w:rsidR="00D00ECE" w:rsidRPr="002E4A9B" w:rsidRDefault="00D00ECE" w:rsidP="00A1772C">
            <w:pPr>
              <w:spacing w:before="80" w:after="80" w:line="240" w:lineRule="auto"/>
              <w:jc w:val="right"/>
              <w:rPr>
                <w:rFonts w:eastAsia="Times New Roman" w:cs="Calibri"/>
                <w:color w:val="000000"/>
              </w:rPr>
            </w:pPr>
            <w:r w:rsidRPr="002E4A9B">
              <w:rPr>
                <w:rFonts w:eastAsia="Times New Roman" w:cs="Calibri"/>
                <w:color w:val="000000"/>
              </w:rPr>
              <w:t>$5,675</w:t>
            </w:r>
          </w:p>
        </w:tc>
      </w:tr>
      <w:tr w:rsidR="00D00ECE" w:rsidRPr="00B82226" w14:paraId="6E0F3CB3" w14:textId="77777777" w:rsidTr="00BC7895">
        <w:trPr>
          <w:trHeight w:val="288"/>
        </w:trPr>
        <w:tc>
          <w:tcPr>
            <w:tcW w:w="731" w:type="pct"/>
            <w:tcBorders>
              <w:top w:val="nil"/>
              <w:left w:val="single" w:sz="8" w:space="0" w:color="auto"/>
              <w:bottom w:val="single" w:sz="4" w:space="0" w:color="auto"/>
              <w:right w:val="single" w:sz="4" w:space="0" w:color="auto"/>
            </w:tcBorders>
            <w:shd w:val="clear" w:color="auto" w:fill="auto"/>
            <w:vAlign w:val="center"/>
            <w:hideMark/>
          </w:tcPr>
          <w:p w14:paraId="3A406C86" w14:textId="77777777" w:rsidR="00D00ECE" w:rsidRPr="00B82226" w:rsidRDefault="00D00ECE" w:rsidP="00A1772C">
            <w:pPr>
              <w:spacing w:before="80" w:after="80" w:line="240" w:lineRule="auto"/>
              <w:jc w:val="center"/>
              <w:rPr>
                <w:rFonts w:eastAsia="Times New Roman" w:cs="Calibri"/>
                <w:color w:val="000000"/>
                <w:sz w:val="20"/>
                <w:szCs w:val="20"/>
              </w:rPr>
            </w:pPr>
            <w:r w:rsidRPr="00B82226">
              <w:rPr>
                <w:rFonts w:eastAsia="Times New Roman" w:cs="Calibri"/>
                <w:color w:val="000000"/>
                <w:sz w:val="20"/>
                <w:szCs w:val="20"/>
              </w:rPr>
              <w:t>G1</w:t>
            </w:r>
          </w:p>
        </w:tc>
        <w:tc>
          <w:tcPr>
            <w:tcW w:w="738" w:type="pct"/>
            <w:tcBorders>
              <w:top w:val="nil"/>
              <w:left w:val="nil"/>
              <w:bottom w:val="single" w:sz="4" w:space="0" w:color="auto"/>
              <w:right w:val="single" w:sz="4" w:space="0" w:color="auto"/>
            </w:tcBorders>
            <w:shd w:val="clear" w:color="auto" w:fill="auto"/>
            <w:vAlign w:val="center"/>
            <w:hideMark/>
          </w:tcPr>
          <w:p w14:paraId="54902F03" w14:textId="77777777" w:rsidR="00D00ECE" w:rsidRPr="00B82226" w:rsidRDefault="00D00ECE" w:rsidP="00A1772C">
            <w:pPr>
              <w:spacing w:before="80" w:after="80" w:line="240" w:lineRule="auto"/>
              <w:jc w:val="right"/>
              <w:rPr>
                <w:rFonts w:eastAsia="Times New Roman" w:cs="Calibri"/>
                <w:color w:val="000000"/>
                <w:sz w:val="20"/>
                <w:szCs w:val="20"/>
              </w:rPr>
            </w:pPr>
            <w:r w:rsidRPr="00B82226">
              <w:rPr>
                <w:rFonts w:eastAsia="Times New Roman" w:cs="Calibri"/>
                <w:color w:val="000000"/>
                <w:sz w:val="20"/>
                <w:szCs w:val="20"/>
              </w:rPr>
              <w:t>$1,375</w:t>
            </w:r>
          </w:p>
        </w:tc>
        <w:tc>
          <w:tcPr>
            <w:tcW w:w="411" w:type="pct"/>
            <w:tcBorders>
              <w:top w:val="nil"/>
              <w:left w:val="nil"/>
              <w:bottom w:val="single" w:sz="4" w:space="0" w:color="auto"/>
              <w:right w:val="single" w:sz="4" w:space="0" w:color="auto"/>
            </w:tcBorders>
            <w:shd w:val="clear" w:color="auto" w:fill="auto"/>
            <w:noWrap/>
            <w:vAlign w:val="bottom"/>
            <w:hideMark/>
          </w:tcPr>
          <w:p w14:paraId="3A687A3B" w14:textId="77777777" w:rsidR="00D00ECE" w:rsidRPr="002E4A9B" w:rsidRDefault="00D00ECE"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0.115</w:t>
            </w:r>
          </w:p>
        </w:tc>
        <w:tc>
          <w:tcPr>
            <w:tcW w:w="574" w:type="pct"/>
            <w:tcBorders>
              <w:top w:val="nil"/>
              <w:left w:val="nil"/>
              <w:bottom w:val="single" w:sz="4" w:space="0" w:color="auto"/>
              <w:right w:val="single" w:sz="4" w:space="0" w:color="auto"/>
            </w:tcBorders>
            <w:shd w:val="clear" w:color="auto" w:fill="auto"/>
            <w:vAlign w:val="center"/>
            <w:hideMark/>
          </w:tcPr>
          <w:p w14:paraId="5525F1BD" w14:textId="44739AD4" w:rsidR="00D00ECE" w:rsidRPr="002E4A9B" w:rsidRDefault="00D00ECE"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0.02464</w:t>
            </w:r>
          </w:p>
        </w:tc>
        <w:tc>
          <w:tcPr>
            <w:tcW w:w="574" w:type="pct"/>
            <w:tcBorders>
              <w:top w:val="nil"/>
              <w:left w:val="nil"/>
              <w:bottom w:val="single" w:sz="4" w:space="0" w:color="auto"/>
              <w:right w:val="single" w:sz="4" w:space="0" w:color="auto"/>
            </w:tcBorders>
            <w:shd w:val="clear" w:color="auto" w:fill="auto"/>
            <w:vAlign w:val="center"/>
            <w:hideMark/>
          </w:tcPr>
          <w:p w14:paraId="2BB7C45E" w14:textId="07C0D831" w:rsidR="00D00ECE" w:rsidRPr="002E4A9B" w:rsidRDefault="00D00ECE"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0.07668</w:t>
            </w:r>
          </w:p>
        </w:tc>
        <w:tc>
          <w:tcPr>
            <w:tcW w:w="657" w:type="pct"/>
            <w:tcBorders>
              <w:top w:val="nil"/>
              <w:left w:val="nil"/>
              <w:bottom w:val="single" w:sz="4" w:space="0" w:color="auto"/>
              <w:right w:val="single" w:sz="4" w:space="0" w:color="auto"/>
            </w:tcBorders>
            <w:shd w:val="clear" w:color="auto" w:fill="auto"/>
            <w:noWrap/>
            <w:vAlign w:val="center"/>
          </w:tcPr>
          <w:p w14:paraId="43F5026B" w14:textId="0AD170D5" w:rsidR="00D00ECE" w:rsidRPr="002E4A9B" w:rsidRDefault="00D00ECE" w:rsidP="00A1772C">
            <w:pPr>
              <w:spacing w:before="80" w:after="80" w:line="240" w:lineRule="auto"/>
              <w:jc w:val="right"/>
              <w:rPr>
                <w:rFonts w:eastAsia="Times New Roman" w:cs="Calibri"/>
                <w:color w:val="000000"/>
                <w:sz w:val="20"/>
                <w:szCs w:val="20"/>
              </w:rPr>
            </w:pPr>
            <w:r w:rsidRPr="002E4A9B">
              <w:rPr>
                <w:rFonts w:ascii="Calibri" w:hAnsi="Calibri" w:cs="Calibri"/>
                <w:color w:val="000000"/>
                <w:sz w:val="20"/>
                <w:szCs w:val="20"/>
              </w:rPr>
              <w:t>0.19469</w:t>
            </w:r>
          </w:p>
        </w:tc>
        <w:tc>
          <w:tcPr>
            <w:tcW w:w="574" w:type="pct"/>
            <w:tcBorders>
              <w:top w:val="nil"/>
              <w:left w:val="nil"/>
              <w:bottom w:val="single" w:sz="4" w:space="0" w:color="auto"/>
              <w:right w:val="single" w:sz="4" w:space="0" w:color="auto"/>
            </w:tcBorders>
            <w:shd w:val="clear" w:color="auto" w:fill="auto"/>
            <w:vAlign w:val="center"/>
            <w:hideMark/>
          </w:tcPr>
          <w:p w14:paraId="296AAC86" w14:textId="1DE8E327" w:rsidR="00D00ECE" w:rsidRPr="002E4A9B" w:rsidRDefault="00D00ECE"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$268</w:t>
            </w:r>
          </w:p>
        </w:tc>
        <w:tc>
          <w:tcPr>
            <w:tcW w:w="741" w:type="pct"/>
            <w:tcBorders>
              <w:top w:val="nil"/>
              <w:left w:val="nil"/>
              <w:bottom w:val="single" w:sz="4" w:space="0" w:color="auto"/>
              <w:right w:val="single" w:sz="8" w:space="0" w:color="auto"/>
            </w:tcBorders>
            <w:shd w:val="clear" w:color="auto" w:fill="auto"/>
            <w:noWrap/>
            <w:vAlign w:val="bottom"/>
            <w:hideMark/>
          </w:tcPr>
          <w:p w14:paraId="7C69487F" w14:textId="2180D477" w:rsidR="00D00ECE" w:rsidRPr="002E4A9B" w:rsidRDefault="00D00ECE" w:rsidP="00A1772C">
            <w:pPr>
              <w:spacing w:before="80" w:after="80" w:line="240" w:lineRule="auto"/>
              <w:jc w:val="right"/>
              <w:rPr>
                <w:rFonts w:eastAsia="Times New Roman" w:cs="Calibri"/>
                <w:color w:val="000000"/>
              </w:rPr>
            </w:pPr>
            <w:r w:rsidRPr="002E4A9B">
              <w:rPr>
                <w:rFonts w:eastAsia="Times New Roman" w:cs="Calibri"/>
                <w:color w:val="000000"/>
              </w:rPr>
              <w:t>$1,643</w:t>
            </w:r>
          </w:p>
        </w:tc>
      </w:tr>
      <w:tr w:rsidR="00BC7895" w:rsidRPr="00B82226" w14:paraId="0BF40E87" w14:textId="77777777" w:rsidTr="00A1772C">
        <w:trPr>
          <w:trHeight w:val="300"/>
        </w:trPr>
        <w:tc>
          <w:tcPr>
            <w:tcW w:w="731" w:type="pct"/>
            <w:tcBorders>
              <w:top w:val="nil"/>
              <w:left w:val="single" w:sz="8" w:space="0" w:color="auto"/>
              <w:bottom w:val="single" w:sz="4" w:space="0" w:color="auto"/>
              <w:right w:val="single" w:sz="4" w:space="0" w:color="auto"/>
            </w:tcBorders>
            <w:shd w:val="clear" w:color="auto" w:fill="auto"/>
            <w:vAlign w:val="center"/>
            <w:hideMark/>
          </w:tcPr>
          <w:p w14:paraId="599895F0" w14:textId="77777777" w:rsidR="00BC7895" w:rsidRPr="00B82226" w:rsidRDefault="00BC7895" w:rsidP="00A1772C">
            <w:pPr>
              <w:spacing w:before="80" w:after="80" w:line="240" w:lineRule="auto"/>
              <w:jc w:val="center"/>
              <w:rPr>
                <w:rFonts w:eastAsia="Times New Roman" w:cs="Calibri"/>
                <w:color w:val="000000"/>
                <w:sz w:val="20"/>
                <w:szCs w:val="20"/>
              </w:rPr>
            </w:pPr>
            <w:r w:rsidRPr="00B82226">
              <w:rPr>
                <w:rFonts w:eastAsia="Times New Roman" w:cs="Calibri"/>
                <w:color w:val="000000"/>
                <w:sz w:val="20"/>
                <w:szCs w:val="20"/>
              </w:rPr>
              <w:t>H1</w:t>
            </w:r>
          </w:p>
        </w:tc>
        <w:tc>
          <w:tcPr>
            <w:tcW w:w="738" w:type="pct"/>
            <w:tcBorders>
              <w:top w:val="nil"/>
              <w:left w:val="nil"/>
              <w:bottom w:val="single" w:sz="8" w:space="0" w:color="auto"/>
              <w:right w:val="single" w:sz="4" w:space="0" w:color="auto"/>
            </w:tcBorders>
            <w:shd w:val="clear" w:color="auto" w:fill="auto"/>
            <w:vAlign w:val="center"/>
            <w:hideMark/>
          </w:tcPr>
          <w:p w14:paraId="4DBCFC37" w14:textId="77777777" w:rsidR="00BC7895" w:rsidRPr="00B82226" w:rsidRDefault="00BC7895" w:rsidP="00A1772C">
            <w:pPr>
              <w:spacing w:before="80" w:after="80" w:line="240" w:lineRule="auto"/>
              <w:jc w:val="right"/>
              <w:rPr>
                <w:rFonts w:eastAsia="Times New Roman" w:cs="Calibri"/>
                <w:color w:val="000000"/>
                <w:sz w:val="20"/>
                <w:szCs w:val="20"/>
              </w:rPr>
            </w:pPr>
            <w:r w:rsidRPr="00B82226">
              <w:rPr>
                <w:rFonts w:eastAsia="Times New Roman" w:cs="Calibri"/>
                <w:color w:val="000000"/>
                <w:sz w:val="20"/>
                <w:szCs w:val="20"/>
              </w:rPr>
              <w:t>$9,300</w:t>
            </w:r>
          </w:p>
        </w:tc>
        <w:tc>
          <w:tcPr>
            <w:tcW w:w="411" w:type="pct"/>
            <w:tcBorders>
              <w:top w:val="nil"/>
              <w:left w:val="nil"/>
              <w:bottom w:val="single" w:sz="4" w:space="0" w:color="auto"/>
              <w:right w:val="single" w:sz="4" w:space="0" w:color="auto"/>
            </w:tcBorders>
            <w:shd w:val="clear" w:color="auto" w:fill="auto"/>
            <w:noWrap/>
            <w:vAlign w:val="bottom"/>
            <w:hideMark/>
          </w:tcPr>
          <w:p w14:paraId="6624B6A0" w14:textId="11A94847" w:rsidR="00BC7895" w:rsidRPr="002E4A9B" w:rsidRDefault="00BC7895"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0.180</w:t>
            </w:r>
          </w:p>
        </w:tc>
        <w:tc>
          <w:tcPr>
            <w:tcW w:w="574" w:type="pct"/>
            <w:tcBorders>
              <w:top w:val="nil"/>
              <w:left w:val="nil"/>
              <w:bottom w:val="single" w:sz="4" w:space="0" w:color="auto"/>
              <w:right w:val="single" w:sz="4" w:space="0" w:color="auto"/>
            </w:tcBorders>
            <w:shd w:val="clear" w:color="auto" w:fill="auto"/>
            <w:vAlign w:val="center"/>
            <w:hideMark/>
          </w:tcPr>
          <w:p w14:paraId="297F0080" w14:textId="59A67AC2" w:rsidR="00BC7895" w:rsidRPr="002E4A9B" w:rsidRDefault="00BC7895"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0.02464</w:t>
            </w:r>
          </w:p>
        </w:tc>
        <w:tc>
          <w:tcPr>
            <w:tcW w:w="574" w:type="pct"/>
            <w:tcBorders>
              <w:top w:val="nil"/>
              <w:left w:val="nil"/>
              <w:bottom w:val="single" w:sz="4" w:space="0" w:color="auto"/>
              <w:right w:val="single" w:sz="4" w:space="0" w:color="auto"/>
            </w:tcBorders>
            <w:shd w:val="clear" w:color="auto" w:fill="auto"/>
            <w:vAlign w:val="center"/>
            <w:hideMark/>
          </w:tcPr>
          <w:p w14:paraId="08430951" w14:textId="249EC65C" w:rsidR="00BC7895" w:rsidRPr="002E4A9B" w:rsidRDefault="00BC7895" w:rsidP="00A1772C">
            <w:pPr>
              <w:spacing w:before="80" w:after="80" w:line="240" w:lineRule="auto"/>
              <w:jc w:val="right"/>
              <w:rPr>
                <w:rFonts w:eastAsia="Times New Roman" w:cs="Calibri"/>
                <w:color w:val="000000"/>
                <w:sz w:val="20"/>
                <w:szCs w:val="20"/>
              </w:rPr>
            </w:pPr>
            <w:r w:rsidRPr="002E4A9B">
              <w:rPr>
                <w:rFonts w:eastAsia="Times New Roman" w:cs="Calibri"/>
                <w:color w:val="000000"/>
                <w:sz w:val="20"/>
                <w:szCs w:val="20"/>
              </w:rPr>
              <w:t>0.07668</w:t>
            </w:r>
          </w:p>
        </w:tc>
        <w:tc>
          <w:tcPr>
            <w:tcW w:w="657" w:type="pct"/>
            <w:tcBorders>
              <w:top w:val="nil"/>
              <w:left w:val="nil"/>
              <w:bottom w:val="single" w:sz="4" w:space="0" w:color="auto"/>
              <w:right w:val="single" w:sz="4" w:space="0" w:color="auto"/>
            </w:tcBorders>
            <w:shd w:val="clear" w:color="auto" w:fill="auto"/>
            <w:noWrap/>
            <w:vAlign w:val="center"/>
          </w:tcPr>
          <w:p w14:paraId="0EC92199" w14:textId="5E0BD3CC" w:rsidR="00BC7895" w:rsidRPr="002E4A9B" w:rsidRDefault="00BC7895" w:rsidP="00A1772C">
            <w:pPr>
              <w:spacing w:before="80" w:after="80" w:line="240" w:lineRule="auto"/>
              <w:jc w:val="right"/>
              <w:rPr>
                <w:rFonts w:eastAsia="Times New Roman" w:cs="Calibri"/>
                <w:color w:val="000000"/>
                <w:sz w:val="20"/>
                <w:szCs w:val="20"/>
              </w:rPr>
            </w:pPr>
            <w:r w:rsidRPr="002E4A9B">
              <w:rPr>
                <w:rFonts w:ascii="Calibri" w:hAnsi="Calibri" w:cs="Calibri"/>
                <w:color w:val="000000"/>
                <w:sz w:val="20"/>
                <w:szCs w:val="20"/>
              </w:rPr>
              <w:t>0.25319</w:t>
            </w:r>
          </w:p>
        </w:tc>
        <w:tc>
          <w:tcPr>
            <w:tcW w:w="574" w:type="pct"/>
            <w:tcBorders>
              <w:top w:val="nil"/>
              <w:left w:val="nil"/>
              <w:bottom w:val="single" w:sz="8" w:space="0" w:color="auto"/>
              <w:right w:val="single" w:sz="4" w:space="0" w:color="auto"/>
            </w:tcBorders>
            <w:shd w:val="clear" w:color="auto" w:fill="auto"/>
            <w:vAlign w:val="center"/>
            <w:hideMark/>
          </w:tcPr>
          <w:p w14:paraId="551AB4C3" w14:textId="7776DEE3" w:rsidR="00BC7895" w:rsidRPr="002E4A9B" w:rsidRDefault="00BC7895" w:rsidP="00A1772C">
            <w:pPr>
              <w:spacing w:before="80" w:after="80" w:line="240" w:lineRule="auto"/>
              <w:jc w:val="right"/>
              <w:rPr>
                <w:rFonts w:eastAsia="Times New Roman" w:cs="Calibri"/>
                <w:color w:val="000000"/>
                <w:sz w:val="20"/>
                <w:szCs w:val="20"/>
              </w:rPr>
            </w:pPr>
            <w:r w:rsidRPr="002E4A9B">
              <w:rPr>
                <w:rFonts w:ascii="Calibri" w:hAnsi="Calibri" w:cs="Calibri"/>
                <w:color w:val="000000"/>
                <w:sz w:val="20"/>
                <w:szCs w:val="20"/>
              </w:rPr>
              <w:t>$2,355</w:t>
            </w:r>
          </w:p>
        </w:tc>
        <w:tc>
          <w:tcPr>
            <w:tcW w:w="741" w:type="pct"/>
            <w:tcBorders>
              <w:top w:val="nil"/>
              <w:left w:val="nil"/>
              <w:bottom w:val="single" w:sz="8" w:space="0" w:color="auto"/>
              <w:right w:val="single" w:sz="8" w:space="0" w:color="auto"/>
            </w:tcBorders>
            <w:shd w:val="clear" w:color="auto" w:fill="auto"/>
            <w:noWrap/>
            <w:vAlign w:val="center"/>
            <w:hideMark/>
          </w:tcPr>
          <w:p w14:paraId="7C956FEF" w14:textId="75635260" w:rsidR="00BC7895" w:rsidRPr="002E4A9B" w:rsidRDefault="00BC7895" w:rsidP="00A1772C">
            <w:pPr>
              <w:spacing w:before="80" w:after="80" w:line="240" w:lineRule="auto"/>
              <w:jc w:val="right"/>
              <w:rPr>
                <w:rFonts w:eastAsia="Times New Roman" w:cs="Calibri"/>
                <w:color w:val="000000"/>
              </w:rPr>
            </w:pPr>
            <w:r w:rsidRPr="002E4A9B">
              <w:rPr>
                <w:rFonts w:ascii="Calibri" w:hAnsi="Calibri" w:cs="Calibri"/>
                <w:color w:val="000000"/>
              </w:rPr>
              <w:t>$11,655</w:t>
            </w:r>
          </w:p>
        </w:tc>
      </w:tr>
      <w:tr w:rsidR="00BB13B6" w:rsidRPr="00B82226" w14:paraId="66DAEEA7" w14:textId="77777777" w:rsidTr="00BC7895">
        <w:trPr>
          <w:trHeight w:val="300"/>
        </w:trPr>
        <w:tc>
          <w:tcPr>
            <w:tcW w:w="731" w:type="pct"/>
            <w:tcBorders>
              <w:top w:val="nil"/>
              <w:left w:val="single" w:sz="8" w:space="0" w:color="auto"/>
              <w:bottom w:val="single" w:sz="8" w:space="0" w:color="auto"/>
              <w:right w:val="single" w:sz="4" w:space="0" w:color="auto"/>
            </w:tcBorders>
            <w:shd w:val="clear" w:color="auto" w:fill="auto"/>
            <w:vAlign w:val="center"/>
            <w:hideMark/>
          </w:tcPr>
          <w:p w14:paraId="2CDDF755" w14:textId="77777777" w:rsidR="00BA1D65" w:rsidRPr="00B82226" w:rsidRDefault="00BA1D65" w:rsidP="00A1772C">
            <w:pPr>
              <w:spacing w:before="80" w:after="80" w:line="240" w:lineRule="auto"/>
              <w:jc w:val="center"/>
              <w:rPr>
                <w:rFonts w:eastAsia="Times New Roman" w:cs="Calibri"/>
                <w:b/>
                <w:bCs/>
                <w:color w:val="000000"/>
                <w:sz w:val="20"/>
                <w:szCs w:val="20"/>
              </w:rPr>
            </w:pPr>
            <w:r w:rsidRPr="00B82226">
              <w:rPr>
                <w:rFonts w:eastAsia="Times New Roman" w:cs="Calibri"/>
                <w:b/>
                <w:bCs/>
                <w:color w:val="000000"/>
                <w:sz w:val="20"/>
                <w:szCs w:val="20"/>
              </w:rPr>
              <w:t>Totals</w:t>
            </w:r>
          </w:p>
        </w:tc>
        <w:tc>
          <w:tcPr>
            <w:tcW w:w="738" w:type="pct"/>
            <w:tcBorders>
              <w:top w:val="nil"/>
              <w:left w:val="nil"/>
              <w:bottom w:val="single" w:sz="8" w:space="0" w:color="auto"/>
              <w:right w:val="single" w:sz="4" w:space="0" w:color="auto"/>
            </w:tcBorders>
            <w:shd w:val="clear" w:color="auto" w:fill="auto"/>
            <w:noWrap/>
            <w:vAlign w:val="bottom"/>
            <w:hideMark/>
          </w:tcPr>
          <w:p w14:paraId="5A664AC0" w14:textId="77777777" w:rsidR="00BA1D65" w:rsidRPr="00B82226" w:rsidRDefault="00BA1D65" w:rsidP="00A1772C">
            <w:pPr>
              <w:spacing w:before="80" w:after="80" w:line="240" w:lineRule="auto"/>
              <w:jc w:val="right"/>
              <w:rPr>
                <w:rFonts w:eastAsia="Times New Roman" w:cs="Calibri"/>
                <w:b/>
                <w:bCs/>
                <w:color w:val="000000"/>
                <w:sz w:val="20"/>
                <w:szCs w:val="20"/>
              </w:rPr>
            </w:pPr>
            <w:r w:rsidRPr="00B82226">
              <w:rPr>
                <w:rFonts w:eastAsia="Times New Roman" w:cs="Calibri"/>
                <w:b/>
                <w:bCs/>
                <w:color w:val="000000"/>
                <w:sz w:val="20"/>
                <w:szCs w:val="20"/>
              </w:rPr>
              <w:t>$42,075</w:t>
            </w:r>
          </w:p>
        </w:tc>
        <w:tc>
          <w:tcPr>
            <w:tcW w:w="411" w:type="pct"/>
            <w:tcBorders>
              <w:top w:val="nil"/>
              <w:left w:val="nil"/>
              <w:bottom w:val="single" w:sz="8" w:space="0" w:color="auto"/>
              <w:right w:val="single" w:sz="4" w:space="0" w:color="auto"/>
            </w:tcBorders>
            <w:shd w:val="clear" w:color="auto" w:fill="auto"/>
            <w:vAlign w:val="center"/>
            <w:hideMark/>
          </w:tcPr>
          <w:p w14:paraId="214E7D8C" w14:textId="77777777" w:rsidR="00BA1D65" w:rsidRPr="002E4A9B" w:rsidRDefault="00BA1D65" w:rsidP="00A1772C">
            <w:pPr>
              <w:spacing w:before="80" w:after="80" w:line="240" w:lineRule="auto"/>
              <w:jc w:val="right"/>
              <w:rPr>
                <w:rFonts w:eastAsia="Times New Roman" w:cs="Calibri"/>
                <w:b/>
                <w:bCs/>
                <w:color w:val="000000"/>
                <w:sz w:val="20"/>
                <w:szCs w:val="20"/>
              </w:rPr>
            </w:pPr>
            <w:r w:rsidRPr="002E4A9B">
              <w:rPr>
                <w:rFonts w:eastAsia="Times New Roman" w:cs="Calibri"/>
                <w:b/>
                <w:bCs/>
                <w:color w:val="000000"/>
                <w:sz w:val="20"/>
                <w:szCs w:val="20"/>
              </w:rPr>
              <w:t> </w:t>
            </w:r>
          </w:p>
        </w:tc>
        <w:tc>
          <w:tcPr>
            <w:tcW w:w="574" w:type="pct"/>
            <w:tcBorders>
              <w:top w:val="nil"/>
              <w:left w:val="nil"/>
              <w:bottom w:val="single" w:sz="8" w:space="0" w:color="auto"/>
              <w:right w:val="single" w:sz="4" w:space="0" w:color="auto"/>
            </w:tcBorders>
            <w:shd w:val="clear" w:color="auto" w:fill="auto"/>
            <w:vAlign w:val="center"/>
            <w:hideMark/>
          </w:tcPr>
          <w:p w14:paraId="5B331682" w14:textId="77777777" w:rsidR="00BA1D65" w:rsidRPr="002E4A9B" w:rsidRDefault="00BA1D65" w:rsidP="00A1772C">
            <w:pPr>
              <w:spacing w:before="80" w:after="80" w:line="240" w:lineRule="auto"/>
              <w:jc w:val="right"/>
              <w:rPr>
                <w:rFonts w:eastAsia="Times New Roman" w:cs="Calibri"/>
                <w:b/>
                <w:bCs/>
                <w:color w:val="000000"/>
                <w:sz w:val="20"/>
                <w:szCs w:val="20"/>
              </w:rPr>
            </w:pPr>
            <w:r w:rsidRPr="002E4A9B">
              <w:rPr>
                <w:rFonts w:eastAsia="Times New Roman" w:cs="Calibri"/>
                <w:b/>
                <w:bCs/>
                <w:color w:val="000000"/>
                <w:sz w:val="20"/>
                <w:szCs w:val="20"/>
              </w:rPr>
              <w:t> </w:t>
            </w:r>
          </w:p>
        </w:tc>
        <w:tc>
          <w:tcPr>
            <w:tcW w:w="574" w:type="pct"/>
            <w:tcBorders>
              <w:top w:val="nil"/>
              <w:left w:val="nil"/>
              <w:bottom w:val="single" w:sz="8" w:space="0" w:color="auto"/>
              <w:right w:val="single" w:sz="4" w:space="0" w:color="auto"/>
            </w:tcBorders>
            <w:shd w:val="clear" w:color="auto" w:fill="auto"/>
            <w:vAlign w:val="center"/>
            <w:hideMark/>
          </w:tcPr>
          <w:p w14:paraId="51F37156" w14:textId="77777777" w:rsidR="00BA1D65" w:rsidRPr="002E4A9B" w:rsidRDefault="00BA1D65" w:rsidP="00A1772C">
            <w:pPr>
              <w:spacing w:before="80" w:after="80" w:line="240" w:lineRule="auto"/>
              <w:jc w:val="right"/>
              <w:rPr>
                <w:rFonts w:eastAsia="Times New Roman" w:cs="Calibri"/>
                <w:b/>
                <w:bCs/>
                <w:color w:val="000000"/>
                <w:sz w:val="20"/>
                <w:szCs w:val="20"/>
              </w:rPr>
            </w:pPr>
            <w:r w:rsidRPr="002E4A9B">
              <w:rPr>
                <w:rFonts w:eastAsia="Times New Roman" w:cs="Calibri"/>
                <w:b/>
                <w:bCs/>
                <w:color w:val="000000"/>
                <w:sz w:val="20"/>
                <w:szCs w:val="20"/>
              </w:rPr>
              <w:t> </w:t>
            </w:r>
          </w:p>
        </w:tc>
        <w:tc>
          <w:tcPr>
            <w:tcW w:w="657" w:type="pct"/>
            <w:tcBorders>
              <w:top w:val="nil"/>
              <w:left w:val="nil"/>
              <w:bottom w:val="single" w:sz="8" w:space="0" w:color="auto"/>
              <w:right w:val="single" w:sz="4" w:space="0" w:color="auto"/>
            </w:tcBorders>
            <w:shd w:val="clear" w:color="auto" w:fill="auto"/>
            <w:vAlign w:val="center"/>
            <w:hideMark/>
          </w:tcPr>
          <w:p w14:paraId="034FD09B" w14:textId="77777777" w:rsidR="00BA1D65" w:rsidRPr="002E4A9B" w:rsidRDefault="00BA1D65" w:rsidP="00A1772C">
            <w:pPr>
              <w:spacing w:before="80" w:after="80" w:line="240" w:lineRule="auto"/>
              <w:jc w:val="right"/>
              <w:rPr>
                <w:rFonts w:eastAsia="Times New Roman" w:cs="Calibri"/>
                <w:b/>
                <w:bCs/>
                <w:color w:val="000000"/>
                <w:sz w:val="20"/>
                <w:szCs w:val="20"/>
              </w:rPr>
            </w:pPr>
            <w:r w:rsidRPr="002E4A9B">
              <w:rPr>
                <w:rFonts w:eastAsia="Times New Roman" w:cs="Calibri"/>
                <w:b/>
                <w:bCs/>
                <w:color w:val="000000"/>
                <w:sz w:val="20"/>
                <w:szCs w:val="20"/>
              </w:rPr>
              <w:t> </w:t>
            </w:r>
          </w:p>
        </w:tc>
        <w:tc>
          <w:tcPr>
            <w:tcW w:w="574" w:type="pct"/>
            <w:tcBorders>
              <w:top w:val="nil"/>
              <w:left w:val="nil"/>
              <w:bottom w:val="single" w:sz="8" w:space="0" w:color="auto"/>
              <w:right w:val="single" w:sz="4" w:space="0" w:color="auto"/>
            </w:tcBorders>
            <w:shd w:val="clear" w:color="auto" w:fill="auto"/>
            <w:vAlign w:val="center"/>
            <w:hideMark/>
          </w:tcPr>
          <w:p w14:paraId="28026E0D" w14:textId="2CF9BFBD" w:rsidR="00BA1D65" w:rsidRPr="002E4A9B" w:rsidRDefault="00BA1D65" w:rsidP="00A1772C">
            <w:pPr>
              <w:spacing w:before="80" w:after="80" w:line="240" w:lineRule="auto"/>
              <w:jc w:val="right"/>
              <w:rPr>
                <w:rFonts w:eastAsia="Times New Roman" w:cs="Calibri"/>
                <w:b/>
                <w:bCs/>
                <w:color w:val="000000"/>
                <w:sz w:val="20"/>
                <w:szCs w:val="20"/>
              </w:rPr>
            </w:pPr>
            <w:r w:rsidRPr="002E4A9B">
              <w:rPr>
                <w:rFonts w:eastAsia="Times New Roman" w:cs="Calibri"/>
                <w:b/>
                <w:bCs/>
                <w:color w:val="000000"/>
                <w:sz w:val="20"/>
                <w:szCs w:val="20"/>
              </w:rPr>
              <w:t>$</w:t>
            </w:r>
            <w:r w:rsidR="00BC7895" w:rsidRPr="002E4A9B">
              <w:rPr>
                <w:rFonts w:eastAsia="Times New Roman" w:cs="Calibri"/>
                <w:b/>
                <w:bCs/>
                <w:color w:val="000000"/>
                <w:sz w:val="20"/>
                <w:szCs w:val="20"/>
              </w:rPr>
              <w:t>10</w:t>
            </w:r>
            <w:r w:rsidRPr="002E4A9B">
              <w:rPr>
                <w:rFonts w:eastAsia="Times New Roman" w:cs="Calibri"/>
                <w:b/>
                <w:bCs/>
                <w:color w:val="000000"/>
                <w:sz w:val="20"/>
                <w:szCs w:val="20"/>
              </w:rPr>
              <w:t>,</w:t>
            </w:r>
            <w:r w:rsidR="00BC7895" w:rsidRPr="002E4A9B">
              <w:rPr>
                <w:rFonts w:eastAsia="Times New Roman" w:cs="Calibri"/>
                <w:b/>
                <w:bCs/>
                <w:color w:val="000000"/>
                <w:sz w:val="20"/>
                <w:szCs w:val="20"/>
              </w:rPr>
              <w:t>12</w:t>
            </w:r>
            <w:r w:rsidR="002E4A9B" w:rsidRPr="002E4A9B">
              <w:rPr>
                <w:rFonts w:eastAsia="Times New Roman" w:cs="Calibri"/>
                <w:b/>
                <w:bCs/>
                <w:color w:val="000000"/>
                <w:sz w:val="20"/>
                <w:szCs w:val="20"/>
              </w:rPr>
              <w:t>2</w:t>
            </w:r>
          </w:p>
        </w:tc>
        <w:tc>
          <w:tcPr>
            <w:tcW w:w="741" w:type="pct"/>
            <w:tcBorders>
              <w:top w:val="nil"/>
              <w:left w:val="nil"/>
              <w:bottom w:val="single" w:sz="8" w:space="0" w:color="auto"/>
              <w:right w:val="single" w:sz="8" w:space="0" w:color="auto"/>
            </w:tcBorders>
            <w:shd w:val="clear" w:color="auto" w:fill="auto"/>
            <w:vAlign w:val="center"/>
            <w:hideMark/>
          </w:tcPr>
          <w:p w14:paraId="0044B4DB" w14:textId="2A24265B" w:rsidR="00BA1D65" w:rsidRPr="002E4A9B" w:rsidRDefault="00BA1D65" w:rsidP="00A1772C">
            <w:pPr>
              <w:spacing w:before="80" w:after="80" w:line="240" w:lineRule="auto"/>
              <w:jc w:val="right"/>
              <w:rPr>
                <w:rFonts w:eastAsia="Times New Roman" w:cs="Calibri"/>
                <w:b/>
                <w:bCs/>
                <w:color w:val="000000"/>
                <w:sz w:val="20"/>
                <w:szCs w:val="20"/>
              </w:rPr>
            </w:pPr>
            <w:r w:rsidRPr="002E4A9B">
              <w:rPr>
                <w:rFonts w:eastAsia="Times New Roman" w:cs="Calibri"/>
                <w:b/>
                <w:bCs/>
                <w:color w:val="000000"/>
                <w:sz w:val="20"/>
                <w:szCs w:val="20"/>
              </w:rPr>
              <w:t>$5</w:t>
            </w:r>
            <w:r w:rsidR="00BC7895" w:rsidRPr="00A1772C">
              <w:rPr>
                <w:rFonts w:eastAsia="Times New Roman" w:cs="Calibri"/>
                <w:b/>
                <w:bCs/>
                <w:color w:val="000000"/>
                <w:sz w:val="20"/>
                <w:szCs w:val="20"/>
              </w:rPr>
              <w:t>2</w:t>
            </w:r>
            <w:r w:rsidRPr="002E4A9B">
              <w:rPr>
                <w:rFonts w:eastAsia="Times New Roman" w:cs="Calibri"/>
                <w:b/>
                <w:bCs/>
                <w:color w:val="000000"/>
                <w:sz w:val="20"/>
                <w:szCs w:val="20"/>
              </w:rPr>
              <w:t>,</w:t>
            </w:r>
            <w:r w:rsidR="00BC7895" w:rsidRPr="002E4A9B">
              <w:rPr>
                <w:rFonts w:eastAsia="Times New Roman" w:cs="Calibri"/>
                <w:b/>
                <w:bCs/>
                <w:color w:val="000000"/>
                <w:sz w:val="20"/>
                <w:szCs w:val="20"/>
              </w:rPr>
              <w:t>197</w:t>
            </w:r>
          </w:p>
        </w:tc>
      </w:tr>
    </w:tbl>
    <w:p w14:paraId="7802663E" w14:textId="77777777" w:rsidR="00BA1D65" w:rsidRPr="00A1772C" w:rsidRDefault="00BA1D65" w:rsidP="007505A0">
      <w:pPr>
        <w:spacing w:before="240" w:after="120" w:line="276" w:lineRule="auto"/>
        <w:jc w:val="both"/>
        <w:rPr>
          <w:bCs/>
          <w:i/>
          <w:iCs/>
          <w:sz w:val="22"/>
          <w:szCs w:val="22"/>
          <w:lang w:val="en-US"/>
        </w:rPr>
      </w:pPr>
      <w:r w:rsidRPr="00A1772C">
        <w:rPr>
          <w:bCs/>
          <w:i/>
          <w:iCs/>
          <w:sz w:val="22"/>
          <w:szCs w:val="22"/>
          <w:lang w:val="en-US"/>
        </w:rPr>
        <w:t>Calculations in the Table 2 (above)</w:t>
      </w:r>
    </w:p>
    <w:p w14:paraId="0F193E21" w14:textId="6A1B187E" w:rsidR="00BA1D65" w:rsidRPr="007505A0" w:rsidRDefault="00BA1D65" w:rsidP="007505A0">
      <w:pPr>
        <w:numPr>
          <w:ilvl w:val="0"/>
          <w:numId w:val="14"/>
        </w:numPr>
        <w:spacing w:after="120" w:line="276" w:lineRule="auto"/>
        <w:jc w:val="both"/>
        <w:rPr>
          <w:sz w:val="22"/>
          <w:szCs w:val="22"/>
          <w:lang w:val="en-US"/>
        </w:rPr>
      </w:pPr>
      <w:r w:rsidRPr="007505A0">
        <w:rPr>
          <w:sz w:val="22"/>
          <w:szCs w:val="22"/>
          <w:lang w:val="en-US"/>
        </w:rPr>
        <w:t>Super On-cost Rate (Column C) + LSL On-Cost Rate (Column D) + AL On-Cost Rate (Column E) x % AL Expected to be taken in-service</w:t>
      </w:r>
      <w:r w:rsidR="00FF5AA2">
        <w:rPr>
          <w:sz w:val="22"/>
          <w:szCs w:val="22"/>
          <w:lang w:val="en-US"/>
        </w:rPr>
        <w:t xml:space="preserve"> </w:t>
      </w:r>
      <w:r w:rsidRPr="00097E22">
        <w:rPr>
          <w:sz w:val="22"/>
          <w:szCs w:val="22"/>
          <w:lang w:val="en-US"/>
        </w:rPr>
        <w:t>(</w:t>
      </w:r>
      <w:r w:rsidR="00E96A6D">
        <w:rPr>
          <w:sz w:val="22"/>
          <w:szCs w:val="22"/>
          <w:lang w:val="en-US"/>
        </w:rPr>
        <w:t xml:space="preserve">90% based on the </w:t>
      </w:r>
      <w:r w:rsidRPr="007505A0">
        <w:rPr>
          <w:sz w:val="22"/>
          <w:szCs w:val="22"/>
          <w:lang w:val="en-US"/>
        </w:rPr>
        <w:t xml:space="preserve">AGA report </w:t>
      </w:r>
      <w:r w:rsidR="00E96A6D" w:rsidRPr="007505A0">
        <w:rPr>
          <w:sz w:val="22"/>
          <w:szCs w:val="22"/>
          <w:lang w:val="en-US"/>
        </w:rPr>
        <w:t>June</w:t>
      </w:r>
      <w:r w:rsidR="00BC4C26" w:rsidRPr="007505A0">
        <w:rPr>
          <w:sz w:val="22"/>
          <w:szCs w:val="22"/>
          <w:lang w:val="en-US"/>
        </w:rPr>
        <w:t xml:space="preserve"> 2022</w:t>
      </w:r>
      <w:r w:rsidRPr="007505A0">
        <w:rPr>
          <w:sz w:val="22"/>
          <w:szCs w:val="22"/>
          <w:lang w:val="en-US"/>
        </w:rPr>
        <w:t>) = % of Total On-Cost (Column F).    Formula: (C + D + E) x 90% = F</w:t>
      </w:r>
    </w:p>
    <w:p w14:paraId="56713727" w14:textId="77777777" w:rsidR="00BA1D65" w:rsidRPr="007505A0" w:rsidRDefault="00BA1D65" w:rsidP="007505A0">
      <w:pPr>
        <w:numPr>
          <w:ilvl w:val="0"/>
          <w:numId w:val="14"/>
        </w:numPr>
        <w:tabs>
          <w:tab w:val="num" w:pos="284"/>
        </w:tabs>
        <w:spacing w:after="120" w:line="276" w:lineRule="auto"/>
        <w:jc w:val="both"/>
        <w:rPr>
          <w:sz w:val="22"/>
          <w:szCs w:val="22"/>
          <w:lang w:val="en-US"/>
        </w:rPr>
      </w:pPr>
      <w:r w:rsidRPr="007505A0">
        <w:rPr>
          <w:sz w:val="22"/>
          <w:szCs w:val="22"/>
          <w:lang w:val="en-US"/>
        </w:rPr>
        <w:lastRenderedPageBreak/>
        <w:t>Unadjusted AL Liability (Column B) x % of Total On-Cost (Column F) = AL On-Cost Amount (Column G).   Formula: B x F = G</w:t>
      </w:r>
    </w:p>
    <w:p w14:paraId="505DB1BA" w14:textId="0BAD6980" w:rsidR="00BA1D65" w:rsidRPr="00FF5AA2" w:rsidRDefault="00BA1D65" w:rsidP="007505A0">
      <w:pPr>
        <w:numPr>
          <w:ilvl w:val="0"/>
          <w:numId w:val="14"/>
        </w:numPr>
        <w:tabs>
          <w:tab w:val="num" w:pos="284"/>
        </w:tabs>
        <w:spacing w:after="120" w:line="276" w:lineRule="auto"/>
        <w:jc w:val="both"/>
        <w:rPr>
          <w:sz w:val="22"/>
          <w:szCs w:val="22"/>
          <w:lang w:val="en-US"/>
        </w:rPr>
      </w:pPr>
      <w:r w:rsidRPr="007505A0">
        <w:rPr>
          <w:sz w:val="22"/>
          <w:szCs w:val="22"/>
          <w:lang w:val="en-US"/>
        </w:rPr>
        <w:t xml:space="preserve">Unadjusted AL Liability (Column B) + AL On-Cost Amount (Column G) = Total </w:t>
      </w:r>
      <w:r w:rsidR="00EE3FFC">
        <w:rPr>
          <w:sz w:val="22"/>
          <w:szCs w:val="22"/>
          <w:lang w:val="en-US"/>
        </w:rPr>
        <w:t>N</w:t>
      </w:r>
      <w:r w:rsidRPr="007505A0">
        <w:rPr>
          <w:sz w:val="22"/>
          <w:szCs w:val="22"/>
          <w:lang w:val="en-US"/>
        </w:rPr>
        <w:t xml:space="preserve">ominal </w:t>
      </w:r>
      <w:r w:rsidR="00EE3FFC">
        <w:rPr>
          <w:sz w:val="22"/>
          <w:szCs w:val="22"/>
          <w:lang w:val="en-US"/>
        </w:rPr>
        <w:t>AL</w:t>
      </w:r>
      <w:r w:rsidRPr="00FF5AA2">
        <w:rPr>
          <w:sz w:val="22"/>
          <w:szCs w:val="22"/>
          <w:lang w:val="en-US"/>
        </w:rPr>
        <w:t xml:space="preserve"> Liability including On-Costs (Column H).   Formula: B + G = H</w:t>
      </w:r>
    </w:p>
    <w:p w14:paraId="59EDEC8E" w14:textId="77777777" w:rsidR="00BA1D65" w:rsidRPr="00A1772C" w:rsidRDefault="00BA1D65" w:rsidP="00FF5AA2">
      <w:pPr>
        <w:spacing w:before="240" w:after="60" w:line="276" w:lineRule="auto"/>
        <w:rPr>
          <w:sz w:val="22"/>
          <w:szCs w:val="22"/>
          <w:u w:val="single"/>
          <w:lang w:val="en-US"/>
        </w:rPr>
      </w:pPr>
      <w:r w:rsidRPr="00A1772C">
        <w:rPr>
          <w:sz w:val="22"/>
          <w:szCs w:val="22"/>
          <w:u w:val="single"/>
          <w:lang w:val="en-US"/>
        </w:rPr>
        <w:t>Step 2 – Apply Present Value Factor to get Adjusted Annual Leave liability including on-costs</w:t>
      </w:r>
    </w:p>
    <w:p w14:paraId="1798E96B" w14:textId="77777777" w:rsidR="00BA1D65" w:rsidRPr="007505A0" w:rsidRDefault="00BA1D65" w:rsidP="007505A0">
      <w:pPr>
        <w:spacing w:after="120" w:line="276" w:lineRule="auto"/>
        <w:jc w:val="both"/>
        <w:rPr>
          <w:sz w:val="22"/>
          <w:szCs w:val="22"/>
          <w:lang w:val="en-US"/>
        </w:rPr>
      </w:pPr>
      <w:r w:rsidRPr="007505A0">
        <w:rPr>
          <w:sz w:val="22"/>
          <w:szCs w:val="22"/>
          <w:lang w:val="en-US"/>
        </w:rPr>
        <w:t>Formula to calculate the Adjusted Annual Leave Liability is:</w:t>
      </w:r>
    </w:p>
    <w:p w14:paraId="603F5B93" w14:textId="46DED61B" w:rsidR="00BA1D65" w:rsidRPr="007505A0" w:rsidRDefault="00BA1D65" w:rsidP="007505A0">
      <w:pPr>
        <w:spacing w:after="120" w:line="276" w:lineRule="auto"/>
        <w:jc w:val="both"/>
        <w:rPr>
          <w:sz w:val="22"/>
          <w:szCs w:val="22"/>
          <w:lang w:val="en-US"/>
        </w:rPr>
      </w:pPr>
      <w:r w:rsidRPr="007505A0">
        <w:rPr>
          <w:sz w:val="22"/>
          <w:szCs w:val="22"/>
          <w:lang w:val="en-US"/>
        </w:rPr>
        <w:t>Annual leave liability including On-costs (column H) x Annual Leave Present Value Factor 101.</w:t>
      </w:r>
      <w:r w:rsidR="00BC7895">
        <w:rPr>
          <w:sz w:val="22"/>
          <w:szCs w:val="22"/>
          <w:lang w:val="en-US"/>
        </w:rPr>
        <w:t>1</w:t>
      </w:r>
      <w:r w:rsidRPr="007505A0">
        <w:rPr>
          <w:sz w:val="22"/>
          <w:szCs w:val="22"/>
          <w:lang w:val="en-US"/>
        </w:rPr>
        <w:t xml:space="preserve">% </w:t>
      </w:r>
      <w:r w:rsidR="00FF5AA2">
        <w:rPr>
          <w:sz w:val="22"/>
          <w:szCs w:val="22"/>
          <w:lang w:val="en-US"/>
        </w:rPr>
        <w:t>(</w:t>
      </w:r>
      <w:proofErr w:type="gramStart"/>
      <w:r w:rsidR="00FF5AA2">
        <w:rPr>
          <w:sz w:val="22"/>
          <w:szCs w:val="22"/>
          <w:lang w:val="en-US"/>
        </w:rPr>
        <w:t>at</w:t>
      </w:r>
      <w:proofErr w:type="gramEnd"/>
      <w:r w:rsidR="00FF5AA2">
        <w:rPr>
          <w:sz w:val="22"/>
          <w:szCs w:val="22"/>
          <w:lang w:val="en-US"/>
        </w:rPr>
        <w:t xml:space="preserve"> </w:t>
      </w:r>
      <w:r w:rsidR="00823687">
        <w:rPr>
          <w:sz w:val="22"/>
          <w:szCs w:val="22"/>
          <w:lang w:val="en-US"/>
        </w:rPr>
        <w:t>December</w:t>
      </w:r>
      <w:r w:rsidR="00FF5AA2">
        <w:rPr>
          <w:sz w:val="22"/>
          <w:szCs w:val="22"/>
          <w:lang w:val="en-US"/>
        </w:rPr>
        <w:t xml:space="preserve"> 2022 </w:t>
      </w:r>
      <w:r w:rsidR="00005888">
        <w:rPr>
          <w:sz w:val="22"/>
          <w:szCs w:val="22"/>
          <w:lang w:val="en-US"/>
        </w:rPr>
        <w:t xml:space="preserve">based on </w:t>
      </w:r>
      <w:r w:rsidR="00FF5AA2">
        <w:rPr>
          <w:sz w:val="22"/>
          <w:szCs w:val="22"/>
          <w:lang w:val="en-US"/>
        </w:rPr>
        <w:t>A</w:t>
      </w:r>
      <w:r w:rsidR="00FF5AA2" w:rsidRPr="00097E22">
        <w:rPr>
          <w:sz w:val="22"/>
          <w:szCs w:val="22"/>
          <w:lang w:val="en-US"/>
        </w:rPr>
        <w:t>L</w:t>
      </w:r>
      <w:r w:rsidR="00FF5AA2">
        <w:rPr>
          <w:sz w:val="22"/>
          <w:szCs w:val="22"/>
          <w:lang w:val="en-US"/>
        </w:rPr>
        <w:t xml:space="preserve"> </w:t>
      </w:r>
      <w:r w:rsidR="00FF5AA2" w:rsidRPr="00097E22">
        <w:rPr>
          <w:sz w:val="22"/>
          <w:szCs w:val="22"/>
          <w:lang w:val="en-US"/>
        </w:rPr>
        <w:t>PVF% issued by the FRF Branch June and December</w:t>
      </w:r>
      <w:r w:rsidRPr="007505A0">
        <w:rPr>
          <w:sz w:val="22"/>
          <w:szCs w:val="22"/>
          <w:lang w:val="en-US"/>
        </w:rPr>
        <w:t xml:space="preserve">) = Adjusted Annual Leave Liability.  </w:t>
      </w:r>
    </w:p>
    <w:p w14:paraId="65AFD72B" w14:textId="289DC6BD" w:rsidR="00BA1D65" w:rsidRPr="007505A0" w:rsidRDefault="00BA1D65" w:rsidP="007505A0">
      <w:pPr>
        <w:spacing w:after="120" w:line="276" w:lineRule="auto"/>
        <w:jc w:val="both"/>
        <w:rPr>
          <w:sz w:val="22"/>
          <w:szCs w:val="22"/>
          <w:lang w:val="en-US"/>
        </w:rPr>
      </w:pPr>
      <w:r w:rsidRPr="007505A0">
        <w:rPr>
          <w:sz w:val="22"/>
          <w:szCs w:val="22"/>
          <w:lang w:val="en-US"/>
        </w:rPr>
        <w:t>Calculation</w:t>
      </w:r>
      <w:r w:rsidRPr="00BC7895">
        <w:rPr>
          <w:sz w:val="22"/>
          <w:szCs w:val="22"/>
          <w:lang w:val="en-US"/>
        </w:rPr>
        <w:t>: $5</w:t>
      </w:r>
      <w:r w:rsidR="00BC7895" w:rsidRPr="00A1772C">
        <w:rPr>
          <w:sz w:val="22"/>
          <w:szCs w:val="22"/>
          <w:lang w:val="en-US"/>
        </w:rPr>
        <w:t>2</w:t>
      </w:r>
      <w:r w:rsidRPr="00BC7895">
        <w:rPr>
          <w:sz w:val="22"/>
          <w:szCs w:val="22"/>
          <w:lang w:val="en-US"/>
        </w:rPr>
        <w:t>,</w:t>
      </w:r>
      <w:r w:rsidR="00BC7895" w:rsidRPr="00BC7895">
        <w:rPr>
          <w:sz w:val="22"/>
          <w:szCs w:val="22"/>
          <w:lang w:val="en-US"/>
        </w:rPr>
        <w:t>19</w:t>
      </w:r>
      <w:r w:rsidR="00BC7895">
        <w:rPr>
          <w:sz w:val="22"/>
          <w:szCs w:val="22"/>
          <w:lang w:val="en-US"/>
        </w:rPr>
        <w:t>7</w:t>
      </w:r>
      <w:r w:rsidRPr="00BC7895">
        <w:rPr>
          <w:sz w:val="22"/>
          <w:szCs w:val="22"/>
          <w:lang w:val="en-US"/>
        </w:rPr>
        <w:t xml:space="preserve"> x 101.</w:t>
      </w:r>
      <w:r w:rsidR="00BC7895" w:rsidRPr="00BC7895">
        <w:rPr>
          <w:sz w:val="22"/>
          <w:szCs w:val="22"/>
          <w:lang w:val="en-US"/>
        </w:rPr>
        <w:t>1</w:t>
      </w:r>
      <w:r w:rsidRPr="00BC7895">
        <w:rPr>
          <w:sz w:val="22"/>
          <w:szCs w:val="22"/>
          <w:lang w:val="en-US"/>
        </w:rPr>
        <w:t xml:space="preserve">% = </w:t>
      </w:r>
      <w:r w:rsidR="00005888" w:rsidRPr="00BC7895">
        <w:rPr>
          <w:sz w:val="22"/>
          <w:szCs w:val="22"/>
          <w:lang w:val="en-US"/>
        </w:rPr>
        <w:t>$52,7</w:t>
      </w:r>
      <w:r w:rsidR="00BC7895" w:rsidRPr="00BC7895">
        <w:rPr>
          <w:sz w:val="22"/>
          <w:szCs w:val="22"/>
          <w:lang w:val="en-US"/>
        </w:rPr>
        <w:t>7</w:t>
      </w:r>
      <w:r w:rsidR="00BC7895">
        <w:rPr>
          <w:sz w:val="22"/>
          <w:szCs w:val="22"/>
          <w:lang w:val="en-US"/>
        </w:rPr>
        <w:t>1</w:t>
      </w:r>
      <w:r w:rsidRPr="00FF5AA2">
        <w:rPr>
          <w:sz w:val="22"/>
          <w:szCs w:val="22"/>
          <w:lang w:val="en-US"/>
        </w:rPr>
        <w:t xml:space="preserve"> Adjusted Annual Leave Liability</w:t>
      </w:r>
    </w:p>
    <w:p w14:paraId="512B72EB" w14:textId="01D90D90" w:rsidR="007505A0" w:rsidRDefault="00BA1D65" w:rsidP="007505A0">
      <w:pPr>
        <w:spacing w:after="120" w:line="276" w:lineRule="auto"/>
        <w:jc w:val="both"/>
        <w:rPr>
          <w:sz w:val="22"/>
          <w:szCs w:val="22"/>
          <w:lang w:val="en-US"/>
        </w:rPr>
      </w:pPr>
      <w:r w:rsidRPr="00A1772C">
        <w:rPr>
          <w:bCs/>
          <w:sz w:val="22"/>
          <w:szCs w:val="22"/>
          <w:lang w:val="en-US"/>
        </w:rPr>
        <w:t>Note</w:t>
      </w:r>
      <w:r w:rsidRPr="007505A0">
        <w:rPr>
          <w:b/>
          <w:sz w:val="22"/>
          <w:szCs w:val="22"/>
          <w:lang w:val="en-US"/>
        </w:rPr>
        <w:t>:</w:t>
      </w:r>
      <w:r w:rsidRPr="007505A0">
        <w:rPr>
          <w:sz w:val="22"/>
          <w:szCs w:val="22"/>
          <w:lang w:val="en-US"/>
        </w:rPr>
        <w:t xml:space="preserve"> Financial Reporting and Framework (FRF) advise</w:t>
      </w:r>
      <w:r w:rsidR="00FF5AA2">
        <w:rPr>
          <w:sz w:val="22"/>
          <w:szCs w:val="22"/>
          <w:lang w:val="en-US"/>
        </w:rPr>
        <w:t>s</w:t>
      </w:r>
      <w:r w:rsidRPr="007505A0">
        <w:rPr>
          <w:sz w:val="22"/>
          <w:szCs w:val="22"/>
          <w:lang w:val="en-US"/>
        </w:rPr>
        <w:t xml:space="preserve"> the actual annual leave present value factor in early January and July each year for Not-For-Profit and For-Profit agencies.</w:t>
      </w:r>
    </w:p>
    <w:p w14:paraId="27F69DA2" w14:textId="77777777" w:rsidR="00BA1D65" w:rsidRPr="00A1772C" w:rsidRDefault="00BA1D65" w:rsidP="00FF5AA2">
      <w:pPr>
        <w:spacing w:before="240" w:after="60" w:line="276" w:lineRule="auto"/>
        <w:jc w:val="both"/>
        <w:rPr>
          <w:sz w:val="22"/>
          <w:szCs w:val="22"/>
          <w:u w:val="single"/>
          <w:lang w:val="en-US"/>
        </w:rPr>
      </w:pPr>
      <w:r w:rsidRPr="00A1772C">
        <w:rPr>
          <w:sz w:val="22"/>
          <w:szCs w:val="22"/>
          <w:u w:val="single"/>
          <w:lang w:val="en-US"/>
        </w:rPr>
        <w:t>Step 3 – Calculate Annual Leave Expense for 20X1-X2</w:t>
      </w:r>
    </w:p>
    <w:p w14:paraId="3B0A0557" w14:textId="77777777" w:rsidR="00BA1D65" w:rsidRPr="007505A0" w:rsidRDefault="00BA1D65" w:rsidP="007505A0">
      <w:pPr>
        <w:spacing w:after="120" w:line="276" w:lineRule="auto"/>
        <w:jc w:val="both"/>
        <w:rPr>
          <w:sz w:val="22"/>
          <w:szCs w:val="22"/>
          <w:lang w:val="en-US"/>
        </w:rPr>
      </w:pPr>
      <w:r w:rsidRPr="007505A0">
        <w:rPr>
          <w:sz w:val="22"/>
          <w:szCs w:val="22"/>
          <w:lang w:val="en-US"/>
        </w:rPr>
        <w:t xml:space="preserve">Determine the difference between the 20X1-X2 and the 20X0-X1 annual leave liabilities (example $40,000 20X0-20X1 Financial Statements).  This then becomes the amount of annual leave expense for the 20X1-X2 financial year. </w:t>
      </w:r>
    </w:p>
    <w:p w14:paraId="4876E796" w14:textId="77777777" w:rsidR="00BA1D65" w:rsidRPr="007505A0" w:rsidRDefault="00BA1D65" w:rsidP="007505A0">
      <w:pPr>
        <w:spacing w:after="120" w:line="276" w:lineRule="auto"/>
        <w:jc w:val="both"/>
        <w:rPr>
          <w:sz w:val="22"/>
          <w:szCs w:val="22"/>
          <w:lang w:val="en-US"/>
        </w:rPr>
      </w:pPr>
      <w:r w:rsidRPr="007505A0">
        <w:rPr>
          <w:sz w:val="22"/>
          <w:szCs w:val="22"/>
          <w:lang w:val="en-US"/>
        </w:rPr>
        <w:t>Calculation annual leave liability is:</w:t>
      </w:r>
    </w:p>
    <w:p w14:paraId="149F34FE" w14:textId="16536B96" w:rsidR="00BA1D65" w:rsidRPr="00BC7895" w:rsidRDefault="00BA1D65" w:rsidP="007505A0">
      <w:pPr>
        <w:spacing w:after="120" w:line="276" w:lineRule="auto"/>
        <w:jc w:val="both"/>
        <w:rPr>
          <w:sz w:val="22"/>
          <w:szCs w:val="22"/>
          <w:lang w:val="en-US"/>
        </w:rPr>
      </w:pPr>
      <w:r w:rsidRPr="00BC7895">
        <w:rPr>
          <w:sz w:val="22"/>
          <w:szCs w:val="22"/>
          <w:lang w:val="en-US"/>
        </w:rPr>
        <w:t>AL 20X1</w:t>
      </w:r>
      <w:r w:rsidRPr="00BC7895">
        <w:rPr>
          <w:sz w:val="22"/>
          <w:szCs w:val="22"/>
          <w:lang w:val="en-US"/>
        </w:rPr>
        <w:noBreakHyphen/>
        <w:t xml:space="preserve">X2 </w:t>
      </w:r>
      <w:r w:rsidRPr="00BC7895">
        <w:rPr>
          <w:sz w:val="22"/>
          <w:szCs w:val="22"/>
          <w:lang w:val="en-US"/>
        </w:rPr>
        <w:tab/>
        <w:t xml:space="preserve">= </w:t>
      </w:r>
      <w:r w:rsidR="00005888" w:rsidRPr="00BC7895">
        <w:rPr>
          <w:sz w:val="22"/>
          <w:szCs w:val="22"/>
          <w:lang w:val="en-US"/>
        </w:rPr>
        <w:t>$52,</w:t>
      </w:r>
      <w:r w:rsidR="00BC7895" w:rsidRPr="00BC7895">
        <w:rPr>
          <w:sz w:val="22"/>
          <w:szCs w:val="22"/>
          <w:lang w:val="en-US"/>
        </w:rPr>
        <w:t>77</w:t>
      </w:r>
      <w:r w:rsidR="002E4A9B">
        <w:rPr>
          <w:sz w:val="22"/>
          <w:szCs w:val="22"/>
          <w:lang w:val="en-US"/>
        </w:rPr>
        <w:t>1</w:t>
      </w:r>
      <w:r w:rsidRPr="00BC7895">
        <w:rPr>
          <w:sz w:val="22"/>
          <w:szCs w:val="22"/>
          <w:lang w:val="en-US"/>
        </w:rPr>
        <w:t xml:space="preserve"> </w:t>
      </w:r>
    </w:p>
    <w:p w14:paraId="3AC0C366" w14:textId="77777777" w:rsidR="00BA1D65" w:rsidRPr="00BC7895" w:rsidRDefault="00BA1D65" w:rsidP="007505A0">
      <w:pPr>
        <w:spacing w:after="120" w:line="276" w:lineRule="auto"/>
        <w:jc w:val="both"/>
        <w:rPr>
          <w:sz w:val="22"/>
          <w:szCs w:val="22"/>
          <w:lang w:val="en-US"/>
        </w:rPr>
      </w:pPr>
      <w:r w:rsidRPr="00BC7895">
        <w:rPr>
          <w:sz w:val="22"/>
          <w:szCs w:val="22"/>
          <w:lang w:val="en-US"/>
        </w:rPr>
        <w:t>Less AL 20X0</w:t>
      </w:r>
      <w:r w:rsidRPr="00BC7895">
        <w:rPr>
          <w:sz w:val="22"/>
          <w:szCs w:val="22"/>
          <w:lang w:val="en-US"/>
        </w:rPr>
        <w:noBreakHyphen/>
        <w:t xml:space="preserve">X1= $40,000 </w:t>
      </w:r>
    </w:p>
    <w:p w14:paraId="1014F2B4" w14:textId="0E30F5E5" w:rsidR="00BA1D65" w:rsidRPr="00BC7895" w:rsidRDefault="00BA1D65" w:rsidP="007505A0">
      <w:pPr>
        <w:spacing w:after="120" w:line="276" w:lineRule="auto"/>
        <w:jc w:val="both"/>
        <w:rPr>
          <w:sz w:val="22"/>
          <w:szCs w:val="22"/>
          <w:lang w:val="en-US"/>
        </w:rPr>
      </w:pPr>
      <w:r w:rsidRPr="00BC7895">
        <w:rPr>
          <w:sz w:val="22"/>
          <w:szCs w:val="22"/>
          <w:lang w:val="en-US"/>
        </w:rPr>
        <w:t>AL Expense</w:t>
      </w:r>
      <w:r w:rsidRPr="00BC7895">
        <w:rPr>
          <w:sz w:val="22"/>
          <w:szCs w:val="22"/>
          <w:lang w:val="en-US"/>
        </w:rPr>
        <w:tab/>
        <w:t xml:space="preserve">= </w:t>
      </w:r>
      <w:r w:rsidR="00005888" w:rsidRPr="00BC7895">
        <w:rPr>
          <w:sz w:val="22"/>
          <w:szCs w:val="22"/>
          <w:lang w:val="en-US"/>
        </w:rPr>
        <w:t>$12,</w:t>
      </w:r>
      <w:r w:rsidR="00BC7895" w:rsidRPr="00A1772C">
        <w:rPr>
          <w:sz w:val="22"/>
          <w:szCs w:val="22"/>
          <w:lang w:val="en-US"/>
        </w:rPr>
        <w:t>77</w:t>
      </w:r>
      <w:r w:rsidR="002E4A9B">
        <w:rPr>
          <w:sz w:val="22"/>
          <w:szCs w:val="22"/>
          <w:lang w:val="en-US"/>
        </w:rPr>
        <w:t>1</w:t>
      </w:r>
      <w:r w:rsidRPr="00BC7895">
        <w:rPr>
          <w:sz w:val="22"/>
          <w:szCs w:val="22"/>
          <w:lang w:val="en-US"/>
        </w:rPr>
        <w:t xml:space="preserve"> </w:t>
      </w:r>
    </w:p>
    <w:p w14:paraId="033E1D2D" w14:textId="77777777" w:rsidR="00BA1D65" w:rsidRPr="00BC7895" w:rsidRDefault="00BA1D65" w:rsidP="00372AB3">
      <w:pPr>
        <w:spacing w:before="360" w:after="60" w:line="276" w:lineRule="auto"/>
        <w:jc w:val="both"/>
        <w:rPr>
          <w:sz w:val="22"/>
          <w:szCs w:val="22"/>
          <w:lang w:val="en-US"/>
        </w:rPr>
      </w:pPr>
      <w:r w:rsidRPr="00BC7895">
        <w:rPr>
          <w:sz w:val="22"/>
          <w:szCs w:val="22"/>
          <w:lang w:val="en-US"/>
        </w:rPr>
        <w:t>Example journal:</w:t>
      </w:r>
    </w:p>
    <w:p w14:paraId="00F1F19D" w14:textId="6FECA4B1" w:rsidR="00BA1D65" w:rsidRPr="00BC7895" w:rsidRDefault="00BA1D65" w:rsidP="007505A0">
      <w:pPr>
        <w:spacing w:after="120" w:line="276" w:lineRule="auto"/>
        <w:jc w:val="both"/>
        <w:rPr>
          <w:sz w:val="22"/>
          <w:szCs w:val="22"/>
          <w:lang w:val="en-US"/>
        </w:rPr>
      </w:pPr>
      <w:r w:rsidRPr="00BC7895">
        <w:rPr>
          <w:sz w:val="22"/>
          <w:szCs w:val="22"/>
          <w:lang w:val="en-US"/>
        </w:rPr>
        <w:t xml:space="preserve">Debit - Annual Leave Expense </w:t>
      </w:r>
      <w:r w:rsidR="00005888" w:rsidRPr="00BC7895">
        <w:rPr>
          <w:sz w:val="22"/>
          <w:szCs w:val="22"/>
          <w:lang w:val="en-US"/>
        </w:rPr>
        <w:tab/>
      </w:r>
      <w:r w:rsidR="00005888" w:rsidRPr="00BC7895">
        <w:rPr>
          <w:sz w:val="22"/>
          <w:szCs w:val="22"/>
          <w:lang w:val="en-US"/>
        </w:rPr>
        <w:tab/>
        <w:t>$12,</w:t>
      </w:r>
      <w:r w:rsidR="00BC7895" w:rsidRPr="00BC7895">
        <w:rPr>
          <w:sz w:val="22"/>
          <w:szCs w:val="22"/>
          <w:lang w:val="en-US"/>
        </w:rPr>
        <w:t>77</w:t>
      </w:r>
      <w:r w:rsidR="002E4A9B">
        <w:rPr>
          <w:sz w:val="22"/>
          <w:szCs w:val="22"/>
          <w:lang w:val="en-US"/>
        </w:rPr>
        <w:t>1</w:t>
      </w:r>
    </w:p>
    <w:p w14:paraId="5CCEB23B" w14:textId="056A732E" w:rsidR="00BA1D65" w:rsidRPr="007505A0" w:rsidRDefault="00BA1D65" w:rsidP="007505A0">
      <w:pPr>
        <w:spacing w:after="120" w:line="276" w:lineRule="auto"/>
        <w:jc w:val="both"/>
        <w:rPr>
          <w:sz w:val="22"/>
          <w:szCs w:val="22"/>
          <w:lang w:val="en-US"/>
        </w:rPr>
      </w:pPr>
      <w:r w:rsidRPr="00BC7895">
        <w:rPr>
          <w:sz w:val="22"/>
          <w:szCs w:val="22"/>
          <w:lang w:val="en-US"/>
        </w:rPr>
        <w:t xml:space="preserve">Credit - Annual Leave Liability </w:t>
      </w:r>
      <w:r w:rsidRPr="00BC7895">
        <w:rPr>
          <w:sz w:val="22"/>
          <w:szCs w:val="22"/>
          <w:lang w:val="en-US"/>
        </w:rPr>
        <w:tab/>
      </w:r>
      <w:r w:rsidRPr="00BC7895">
        <w:rPr>
          <w:sz w:val="22"/>
          <w:szCs w:val="22"/>
          <w:lang w:val="en-US"/>
        </w:rPr>
        <w:tab/>
      </w:r>
      <w:r w:rsidR="00005888" w:rsidRPr="00BC7895">
        <w:rPr>
          <w:sz w:val="22"/>
          <w:szCs w:val="22"/>
          <w:lang w:val="en-US"/>
        </w:rPr>
        <w:tab/>
      </w:r>
      <w:r w:rsidR="00005888" w:rsidRPr="00BC7895">
        <w:rPr>
          <w:sz w:val="22"/>
          <w:szCs w:val="22"/>
          <w:lang w:val="en-US"/>
        </w:rPr>
        <w:tab/>
        <w:t>$12,7</w:t>
      </w:r>
      <w:r w:rsidR="00BC7895" w:rsidRPr="00BC7895">
        <w:rPr>
          <w:sz w:val="22"/>
          <w:szCs w:val="22"/>
          <w:lang w:val="en-US"/>
        </w:rPr>
        <w:t>7</w:t>
      </w:r>
      <w:r w:rsidR="002E4A9B">
        <w:rPr>
          <w:sz w:val="22"/>
          <w:szCs w:val="22"/>
          <w:lang w:val="en-US"/>
        </w:rPr>
        <w:t>1</w:t>
      </w:r>
    </w:p>
    <w:p w14:paraId="009879FE" w14:textId="77777777" w:rsidR="00BA1D65" w:rsidRPr="00CB1038" w:rsidRDefault="00BA1D65" w:rsidP="00BA1D65">
      <w:pPr>
        <w:rPr>
          <w:lang w:val="en-US"/>
        </w:rPr>
      </w:pPr>
    </w:p>
    <w:p w14:paraId="748CAF9B" w14:textId="0FB1A786" w:rsidR="00BA1D65" w:rsidRPr="00745B7F" w:rsidRDefault="00745B7F" w:rsidP="00BA1D65">
      <w:pPr>
        <w:pStyle w:val="Heading2"/>
        <w:rPr>
          <w:lang w:val="en-US"/>
        </w:rPr>
      </w:pPr>
      <w:bookmarkStart w:id="112" w:name="_Toc79159899"/>
      <w:bookmarkStart w:id="113" w:name="_Toc137036645"/>
      <w:r>
        <w:rPr>
          <w:lang w:val="en-US"/>
        </w:rPr>
        <w:t>B</w:t>
      </w:r>
      <w:r w:rsidR="00BA1D65" w:rsidRPr="00745B7F">
        <w:rPr>
          <w:lang w:val="en-US"/>
        </w:rPr>
        <w:t>2. Disclosure</w:t>
      </w:r>
      <w:bookmarkEnd w:id="112"/>
      <w:bookmarkEnd w:id="113"/>
    </w:p>
    <w:p w14:paraId="5439BF33" w14:textId="77777777" w:rsidR="00BA1D65" w:rsidRPr="00A1772C" w:rsidRDefault="00BA1D65" w:rsidP="007505A0">
      <w:pPr>
        <w:spacing w:after="120" w:line="276" w:lineRule="auto"/>
        <w:jc w:val="both"/>
        <w:rPr>
          <w:bCs/>
          <w:sz w:val="22"/>
          <w:szCs w:val="22"/>
          <w:u w:val="single"/>
          <w:lang w:val="en-US"/>
        </w:rPr>
      </w:pPr>
      <w:r w:rsidRPr="00A1772C">
        <w:rPr>
          <w:bCs/>
          <w:sz w:val="22"/>
          <w:szCs w:val="22"/>
          <w:u w:val="single"/>
          <w:lang w:val="en-US"/>
        </w:rPr>
        <w:t xml:space="preserve">Step 4 – Current / Non-Current Split for Annual Leave Liability </w:t>
      </w:r>
    </w:p>
    <w:p w14:paraId="42DF4AB2" w14:textId="66193844" w:rsidR="00BA1D65" w:rsidRPr="007505A0" w:rsidRDefault="00BA1D65" w:rsidP="007505A0">
      <w:pPr>
        <w:spacing w:after="120" w:line="276" w:lineRule="auto"/>
        <w:jc w:val="both"/>
        <w:rPr>
          <w:sz w:val="22"/>
          <w:szCs w:val="22"/>
          <w:lang w:val="en-US"/>
        </w:rPr>
      </w:pPr>
      <w:r w:rsidRPr="007505A0">
        <w:rPr>
          <w:sz w:val="22"/>
          <w:szCs w:val="22"/>
          <w:lang w:val="en-US"/>
        </w:rPr>
        <w:t xml:space="preserve">All annual leave is disclosed as current. </w:t>
      </w:r>
    </w:p>
    <w:p w14:paraId="0B417399" w14:textId="77777777" w:rsidR="00BA1D65" w:rsidRPr="007505A0" w:rsidRDefault="00BA1D65" w:rsidP="007505A0">
      <w:pPr>
        <w:spacing w:after="120" w:line="276" w:lineRule="auto"/>
        <w:jc w:val="both"/>
        <w:rPr>
          <w:b/>
          <w:bCs/>
          <w:sz w:val="22"/>
          <w:szCs w:val="22"/>
          <w:lang w:val="en-US"/>
        </w:rPr>
      </w:pPr>
      <w:r w:rsidRPr="007505A0">
        <w:rPr>
          <w:bCs/>
          <w:sz w:val="22"/>
          <w:szCs w:val="22"/>
          <w:lang w:val="en-US"/>
        </w:rPr>
        <w:t>Further information on Financial Statement Disclosures for Employee Benefits is included in the ACT Model Financial Statements available on</w:t>
      </w:r>
      <w:r w:rsidRPr="007505A0">
        <w:rPr>
          <w:b/>
          <w:sz w:val="22"/>
          <w:szCs w:val="22"/>
          <w:lang w:val="en-US"/>
        </w:rPr>
        <w:t xml:space="preserve"> </w:t>
      </w:r>
      <w:hyperlink r:id="rId21" w:history="1">
        <w:r w:rsidRPr="007505A0">
          <w:rPr>
            <w:rStyle w:val="Hyperlink"/>
            <w:b/>
            <w:bCs/>
            <w:sz w:val="22"/>
            <w:szCs w:val="22"/>
          </w:rPr>
          <w:t>Accounting in the ACT Government - Treasury</w:t>
        </w:r>
      </w:hyperlink>
    </w:p>
    <w:p w14:paraId="68FC5B65" w14:textId="77777777" w:rsidR="00BA1D65" w:rsidRDefault="00BA1D65" w:rsidP="00BA1D65">
      <w:pPr>
        <w:rPr>
          <w:lang w:val="en-US"/>
        </w:rPr>
      </w:pPr>
    </w:p>
    <w:p w14:paraId="344B0EFA" w14:textId="77777777" w:rsidR="00BA1D65" w:rsidRPr="00B542AB" w:rsidRDefault="00BA1D65" w:rsidP="00BA1D65">
      <w:pPr>
        <w:rPr>
          <w:lang w:val="en-US"/>
        </w:rPr>
        <w:sectPr w:rsidR="00BA1D65" w:rsidRPr="00B542AB" w:rsidSect="004A3008">
          <w:pgSz w:w="11907" w:h="16840" w:code="9"/>
          <w:pgMar w:top="1440" w:right="1559" w:bottom="1440" w:left="1797" w:header="720" w:footer="720" w:gutter="0"/>
          <w:cols w:space="720"/>
          <w:noEndnote/>
        </w:sectPr>
      </w:pPr>
    </w:p>
    <w:p w14:paraId="3E8A6C21" w14:textId="18986ED8" w:rsidR="00BA1D65" w:rsidRPr="00CB1038" w:rsidRDefault="00BA1D65" w:rsidP="00924E6D">
      <w:pPr>
        <w:pStyle w:val="Heading1"/>
        <w:numPr>
          <w:ilvl w:val="0"/>
          <w:numId w:val="0"/>
        </w:numPr>
        <w:rPr>
          <w:lang w:val="en-US"/>
        </w:rPr>
      </w:pPr>
      <w:bookmarkStart w:id="114" w:name="_Toc79159900"/>
      <w:bookmarkStart w:id="115" w:name="_Toc137036646"/>
      <w:r w:rsidRPr="00CB1038">
        <w:rPr>
          <w:lang w:val="en-US"/>
        </w:rPr>
        <w:lastRenderedPageBreak/>
        <w:t xml:space="preserve">ATTACHMENT C – Transfer of Employee Benefit Liabilities to/From ACT </w:t>
      </w:r>
      <w:r w:rsidR="00BF6DC4">
        <w:rPr>
          <w:lang w:val="en-US"/>
        </w:rPr>
        <w:t>AGENCIES</w:t>
      </w:r>
      <w:bookmarkEnd w:id="114"/>
      <w:bookmarkEnd w:id="115"/>
    </w:p>
    <w:p w14:paraId="292323B4" w14:textId="77777777" w:rsidR="00BA1D65" w:rsidRPr="00AC6DDE" w:rsidRDefault="00BA1D65" w:rsidP="00A1772C">
      <w:pPr>
        <w:pStyle w:val="Heading2"/>
        <w:spacing w:before="360" w:line="240" w:lineRule="auto"/>
      </w:pPr>
      <w:bookmarkStart w:id="116" w:name="_Toc79159901"/>
      <w:bookmarkStart w:id="117" w:name="_Toc137036647"/>
      <w:r w:rsidRPr="00AC6DDE">
        <w:t>C1. Background</w:t>
      </w:r>
      <w:bookmarkEnd w:id="116"/>
      <w:bookmarkEnd w:id="117"/>
    </w:p>
    <w:p w14:paraId="441D87AF" w14:textId="77777777" w:rsidR="00BA1D65" w:rsidRPr="00924E6D" w:rsidRDefault="00BA1D65" w:rsidP="00924E6D">
      <w:pPr>
        <w:spacing w:after="120" w:line="276" w:lineRule="auto"/>
        <w:jc w:val="both"/>
        <w:rPr>
          <w:sz w:val="22"/>
          <w:szCs w:val="22"/>
        </w:rPr>
      </w:pPr>
      <w:r w:rsidRPr="00924E6D">
        <w:rPr>
          <w:sz w:val="22"/>
          <w:szCs w:val="22"/>
        </w:rPr>
        <w:t>It is ACT Accounting Policy that when an employee transfers between ACT Government agencies, the employees’ leave entitlements will transfer with them. However, there is no requirement to pay the gaining agency the leave entitlements that would otherwise be paid to the employee.</w:t>
      </w:r>
    </w:p>
    <w:p w14:paraId="43BE93EA" w14:textId="63D857FC" w:rsidR="00BA1D65" w:rsidRPr="00924E6D" w:rsidRDefault="00333A49" w:rsidP="00924E6D">
      <w:pPr>
        <w:spacing w:after="120" w:line="276" w:lineRule="auto"/>
        <w:jc w:val="both"/>
        <w:rPr>
          <w:sz w:val="22"/>
          <w:szCs w:val="22"/>
        </w:rPr>
      </w:pPr>
      <w:r>
        <w:rPr>
          <w:sz w:val="22"/>
          <w:szCs w:val="22"/>
        </w:rPr>
        <w:t xml:space="preserve">Where the gaining agency is a </w:t>
      </w:r>
      <w:r w:rsidR="00BA1D65" w:rsidRPr="00924E6D">
        <w:rPr>
          <w:sz w:val="22"/>
          <w:szCs w:val="22"/>
        </w:rPr>
        <w:t xml:space="preserve">small </w:t>
      </w:r>
      <w:r w:rsidR="00CD2587">
        <w:rPr>
          <w:sz w:val="22"/>
          <w:szCs w:val="22"/>
        </w:rPr>
        <w:t xml:space="preserve">ACT Government </w:t>
      </w:r>
      <w:r w:rsidR="00BA1D65" w:rsidRPr="00924E6D">
        <w:rPr>
          <w:sz w:val="22"/>
          <w:szCs w:val="22"/>
        </w:rPr>
        <w:t>agenc</w:t>
      </w:r>
      <w:r>
        <w:rPr>
          <w:sz w:val="22"/>
          <w:szCs w:val="22"/>
        </w:rPr>
        <w:t>y</w:t>
      </w:r>
      <w:r w:rsidR="00BA1D65" w:rsidRPr="00924E6D">
        <w:rPr>
          <w:sz w:val="22"/>
          <w:szCs w:val="22"/>
        </w:rPr>
        <w:t xml:space="preserve"> that </w:t>
      </w:r>
      <w:r w:rsidR="000616E5">
        <w:rPr>
          <w:sz w:val="22"/>
          <w:szCs w:val="22"/>
        </w:rPr>
        <w:t>receive</w:t>
      </w:r>
      <w:r>
        <w:rPr>
          <w:sz w:val="22"/>
          <w:szCs w:val="22"/>
        </w:rPr>
        <w:t>s</w:t>
      </w:r>
      <w:r w:rsidR="000616E5">
        <w:rPr>
          <w:sz w:val="22"/>
          <w:szCs w:val="22"/>
        </w:rPr>
        <w:t xml:space="preserve"> no or minimal </w:t>
      </w:r>
      <w:r w:rsidR="00BA1D65" w:rsidRPr="00924E6D">
        <w:rPr>
          <w:sz w:val="22"/>
          <w:szCs w:val="22"/>
        </w:rPr>
        <w:t>appropriation</w:t>
      </w:r>
      <w:r w:rsidR="000616E5">
        <w:rPr>
          <w:sz w:val="22"/>
          <w:szCs w:val="22"/>
        </w:rPr>
        <w:t xml:space="preserve">, it is suggested that </w:t>
      </w:r>
      <w:r w:rsidR="000771A2">
        <w:rPr>
          <w:sz w:val="22"/>
          <w:szCs w:val="22"/>
        </w:rPr>
        <w:t xml:space="preserve">the transferring </w:t>
      </w:r>
      <w:r w:rsidR="00CD2587" w:rsidRPr="00924E6D">
        <w:rPr>
          <w:sz w:val="22"/>
          <w:szCs w:val="22"/>
        </w:rPr>
        <w:t xml:space="preserve">ACT Government </w:t>
      </w:r>
      <w:r w:rsidR="00CD2587">
        <w:rPr>
          <w:sz w:val="22"/>
          <w:szCs w:val="22"/>
        </w:rPr>
        <w:t>directorate</w:t>
      </w:r>
      <w:r w:rsidR="000771A2">
        <w:rPr>
          <w:sz w:val="22"/>
          <w:szCs w:val="22"/>
        </w:rPr>
        <w:t xml:space="preserve"> pay </w:t>
      </w:r>
      <w:r>
        <w:rPr>
          <w:sz w:val="22"/>
          <w:szCs w:val="22"/>
        </w:rPr>
        <w:t xml:space="preserve">cash to </w:t>
      </w:r>
      <w:r w:rsidR="000771A2">
        <w:rPr>
          <w:sz w:val="22"/>
          <w:szCs w:val="22"/>
        </w:rPr>
        <w:t xml:space="preserve">the </w:t>
      </w:r>
      <w:r>
        <w:rPr>
          <w:sz w:val="22"/>
          <w:szCs w:val="22"/>
        </w:rPr>
        <w:t>gaining</w:t>
      </w:r>
      <w:r w:rsidR="00CD2587">
        <w:rPr>
          <w:sz w:val="22"/>
          <w:szCs w:val="22"/>
        </w:rPr>
        <w:t xml:space="preserve"> smaller agency</w:t>
      </w:r>
      <w:r>
        <w:rPr>
          <w:sz w:val="22"/>
          <w:szCs w:val="22"/>
        </w:rPr>
        <w:t xml:space="preserve"> </w:t>
      </w:r>
      <w:proofErr w:type="gramStart"/>
      <w:r>
        <w:rPr>
          <w:sz w:val="22"/>
          <w:szCs w:val="22"/>
        </w:rPr>
        <w:t>for the amount of</w:t>
      </w:r>
      <w:proofErr w:type="gramEnd"/>
      <w:r>
        <w:rPr>
          <w:sz w:val="22"/>
          <w:szCs w:val="22"/>
        </w:rPr>
        <w:t xml:space="preserve"> the employee entitlements being transferred </w:t>
      </w:r>
      <w:r w:rsidR="00BA1D65" w:rsidRPr="00924E6D">
        <w:rPr>
          <w:sz w:val="22"/>
          <w:szCs w:val="22"/>
        </w:rPr>
        <w:t>to ensure the gaining agency does not experience significant budgetary problems.</w:t>
      </w:r>
    </w:p>
    <w:p w14:paraId="2A934B52" w14:textId="5B8033C3" w:rsidR="00BA1D65" w:rsidRPr="00924E6D" w:rsidRDefault="00BA1D65" w:rsidP="00924E6D">
      <w:pPr>
        <w:spacing w:after="120" w:line="276" w:lineRule="auto"/>
        <w:jc w:val="both"/>
        <w:rPr>
          <w:sz w:val="22"/>
          <w:szCs w:val="22"/>
        </w:rPr>
      </w:pPr>
      <w:r w:rsidRPr="00924E6D">
        <w:rPr>
          <w:sz w:val="22"/>
          <w:szCs w:val="22"/>
        </w:rPr>
        <w:t xml:space="preserve">Detailed below </w:t>
      </w:r>
      <w:r w:rsidR="00CD2587" w:rsidRPr="00924E6D">
        <w:rPr>
          <w:sz w:val="22"/>
          <w:szCs w:val="22"/>
        </w:rPr>
        <w:t>are</w:t>
      </w:r>
      <w:r w:rsidRPr="00924E6D">
        <w:rPr>
          <w:sz w:val="22"/>
          <w:szCs w:val="22"/>
        </w:rPr>
        <w:t xml:space="preserve"> how employee leave entitlements are to be </w:t>
      </w:r>
      <w:r w:rsidR="00CD2587">
        <w:rPr>
          <w:sz w:val="22"/>
          <w:szCs w:val="22"/>
        </w:rPr>
        <w:t>treated</w:t>
      </w:r>
      <w:r w:rsidRPr="00924E6D">
        <w:rPr>
          <w:sz w:val="22"/>
          <w:szCs w:val="22"/>
        </w:rPr>
        <w:t xml:space="preserve"> by </w:t>
      </w:r>
      <w:r w:rsidR="00333A49">
        <w:rPr>
          <w:sz w:val="22"/>
          <w:szCs w:val="22"/>
        </w:rPr>
        <w:t xml:space="preserve">smaller agencies </w:t>
      </w:r>
      <w:r w:rsidRPr="00924E6D">
        <w:rPr>
          <w:sz w:val="22"/>
          <w:szCs w:val="22"/>
        </w:rPr>
        <w:t>and ACT Government Directorates.</w:t>
      </w:r>
    </w:p>
    <w:p w14:paraId="4EEAFE42" w14:textId="5BBD45E1" w:rsidR="00BA1D65" w:rsidRPr="00CB1038" w:rsidRDefault="00745B7F" w:rsidP="00AC6DDE">
      <w:pPr>
        <w:pStyle w:val="Heading2"/>
        <w:spacing w:before="360" w:line="276" w:lineRule="auto"/>
      </w:pPr>
      <w:bookmarkStart w:id="118" w:name="_Toc79159902"/>
      <w:bookmarkStart w:id="119" w:name="_Toc137036648"/>
      <w:r>
        <w:t>C</w:t>
      </w:r>
      <w:r w:rsidR="00BA1D65">
        <w:t xml:space="preserve">2. </w:t>
      </w:r>
      <w:r w:rsidR="00BA1D65" w:rsidRPr="00CB1038">
        <w:t xml:space="preserve">Transfers </w:t>
      </w:r>
      <w:r w:rsidR="00333A49">
        <w:t xml:space="preserve">Between </w:t>
      </w:r>
      <w:r w:rsidR="00BA1D65" w:rsidRPr="00CB1038">
        <w:t>ACT Government Agencies</w:t>
      </w:r>
      <w:bookmarkEnd w:id="118"/>
      <w:bookmarkEnd w:id="119"/>
    </w:p>
    <w:p w14:paraId="2828FE1F" w14:textId="581E9C7F" w:rsidR="00BA1D65" w:rsidRPr="00924E6D" w:rsidRDefault="00BA1D65" w:rsidP="00924E6D">
      <w:pPr>
        <w:spacing w:after="120" w:line="276" w:lineRule="auto"/>
        <w:jc w:val="both"/>
        <w:rPr>
          <w:sz w:val="22"/>
          <w:szCs w:val="22"/>
        </w:rPr>
      </w:pPr>
      <w:r w:rsidRPr="00924E6D">
        <w:rPr>
          <w:sz w:val="22"/>
          <w:szCs w:val="22"/>
        </w:rPr>
        <w:t>When an employee transfers from a</w:t>
      </w:r>
      <w:r w:rsidR="00CD2587">
        <w:rPr>
          <w:sz w:val="22"/>
          <w:szCs w:val="22"/>
        </w:rPr>
        <w:t xml:space="preserve"> d</w:t>
      </w:r>
      <w:r w:rsidRPr="00924E6D">
        <w:rPr>
          <w:sz w:val="22"/>
          <w:szCs w:val="22"/>
        </w:rPr>
        <w:t xml:space="preserve">irectorate to a </w:t>
      </w:r>
      <w:r w:rsidR="00333A49">
        <w:rPr>
          <w:sz w:val="22"/>
          <w:szCs w:val="22"/>
        </w:rPr>
        <w:t xml:space="preserve">smaller agency </w:t>
      </w:r>
      <w:r w:rsidR="00333A49" w:rsidRPr="00924E6D">
        <w:rPr>
          <w:sz w:val="22"/>
          <w:szCs w:val="22"/>
        </w:rPr>
        <w:t xml:space="preserve">that </w:t>
      </w:r>
      <w:r w:rsidR="00333A49">
        <w:rPr>
          <w:sz w:val="22"/>
          <w:szCs w:val="22"/>
        </w:rPr>
        <w:t xml:space="preserve">receives no or minimal </w:t>
      </w:r>
      <w:r w:rsidR="00333A49" w:rsidRPr="00924E6D">
        <w:rPr>
          <w:sz w:val="22"/>
          <w:szCs w:val="22"/>
        </w:rPr>
        <w:t>appropriation</w:t>
      </w:r>
      <w:r w:rsidRPr="00924E6D">
        <w:rPr>
          <w:sz w:val="22"/>
          <w:szCs w:val="22"/>
        </w:rPr>
        <w:t xml:space="preserve">, the </w:t>
      </w:r>
      <w:r w:rsidR="00333A49">
        <w:rPr>
          <w:sz w:val="22"/>
          <w:szCs w:val="22"/>
        </w:rPr>
        <w:t>smaller agency</w:t>
      </w:r>
      <w:r w:rsidRPr="00924E6D">
        <w:rPr>
          <w:sz w:val="22"/>
          <w:szCs w:val="22"/>
        </w:rPr>
        <w:t xml:space="preserve"> will recognise the employee’s leave entitlements. As </w:t>
      </w:r>
      <w:r w:rsidR="00333A49">
        <w:rPr>
          <w:sz w:val="22"/>
          <w:szCs w:val="22"/>
        </w:rPr>
        <w:t>smaller agenc</w:t>
      </w:r>
      <w:r w:rsidR="00CD2587">
        <w:rPr>
          <w:sz w:val="22"/>
          <w:szCs w:val="22"/>
        </w:rPr>
        <w:t>ies</w:t>
      </w:r>
      <w:r w:rsidR="00333A49">
        <w:rPr>
          <w:sz w:val="22"/>
          <w:szCs w:val="22"/>
        </w:rPr>
        <w:t xml:space="preserve"> with no or minimal </w:t>
      </w:r>
      <w:r w:rsidR="00333A49" w:rsidRPr="00924E6D">
        <w:rPr>
          <w:sz w:val="22"/>
          <w:szCs w:val="22"/>
        </w:rPr>
        <w:t>appropriation</w:t>
      </w:r>
      <w:r w:rsidRPr="00924E6D">
        <w:rPr>
          <w:sz w:val="22"/>
          <w:szCs w:val="22"/>
        </w:rPr>
        <w:t xml:space="preserve"> do not normally </w:t>
      </w:r>
      <w:proofErr w:type="gramStart"/>
      <w:r w:rsidR="00333A49">
        <w:rPr>
          <w:sz w:val="22"/>
          <w:szCs w:val="22"/>
        </w:rPr>
        <w:t>h</w:t>
      </w:r>
      <w:r w:rsidRPr="00924E6D">
        <w:rPr>
          <w:sz w:val="22"/>
          <w:szCs w:val="22"/>
        </w:rPr>
        <w:t xml:space="preserve">ave </w:t>
      </w:r>
      <w:r w:rsidR="00333A49">
        <w:rPr>
          <w:sz w:val="22"/>
          <w:szCs w:val="22"/>
        </w:rPr>
        <w:t xml:space="preserve">the </w:t>
      </w:r>
      <w:r w:rsidRPr="00924E6D">
        <w:rPr>
          <w:sz w:val="22"/>
          <w:szCs w:val="22"/>
        </w:rPr>
        <w:t>ability to</w:t>
      </w:r>
      <w:proofErr w:type="gramEnd"/>
      <w:r w:rsidRPr="00924E6D">
        <w:rPr>
          <w:sz w:val="22"/>
          <w:szCs w:val="22"/>
        </w:rPr>
        <w:t xml:space="preserve"> fund liabilities which have accrued in an employee’s past, </w:t>
      </w:r>
      <w:r w:rsidR="00333A49">
        <w:rPr>
          <w:sz w:val="22"/>
          <w:szCs w:val="22"/>
        </w:rPr>
        <w:t>smaller agenc</w:t>
      </w:r>
      <w:r w:rsidR="00CD2587">
        <w:rPr>
          <w:sz w:val="22"/>
          <w:szCs w:val="22"/>
        </w:rPr>
        <w:t>ies</w:t>
      </w:r>
      <w:r w:rsidR="00333A49">
        <w:rPr>
          <w:sz w:val="22"/>
          <w:szCs w:val="22"/>
        </w:rPr>
        <w:t xml:space="preserve"> can request that the directorate pay them for the amount of the employee entitlement.  Where this is agreed to, the smaller agency shall</w:t>
      </w:r>
      <w:r w:rsidRPr="00924E6D">
        <w:rPr>
          <w:sz w:val="22"/>
          <w:szCs w:val="22"/>
        </w:rPr>
        <w:t xml:space="preserve"> invoice the </w:t>
      </w:r>
      <w:r w:rsidR="00333A49">
        <w:rPr>
          <w:sz w:val="22"/>
          <w:szCs w:val="22"/>
        </w:rPr>
        <w:t>directorate</w:t>
      </w:r>
      <w:r w:rsidRPr="00924E6D">
        <w:rPr>
          <w:sz w:val="22"/>
          <w:szCs w:val="22"/>
        </w:rPr>
        <w:t xml:space="preserve"> when the employee commences with the </w:t>
      </w:r>
      <w:r w:rsidR="00333A49">
        <w:rPr>
          <w:sz w:val="22"/>
          <w:szCs w:val="22"/>
        </w:rPr>
        <w:t>smaller agency</w:t>
      </w:r>
      <w:r w:rsidRPr="00924E6D">
        <w:rPr>
          <w:sz w:val="22"/>
          <w:szCs w:val="22"/>
        </w:rPr>
        <w:t>. This process is detailed below.</w:t>
      </w:r>
    </w:p>
    <w:p w14:paraId="3C8A6430" w14:textId="77777777" w:rsidR="009978CE" w:rsidRDefault="00BA1D65" w:rsidP="00924E6D">
      <w:pPr>
        <w:pStyle w:val="Heading3"/>
        <w:spacing w:line="276" w:lineRule="auto"/>
      </w:pPr>
      <w:bookmarkStart w:id="120" w:name="_Toc79159903"/>
      <w:bookmarkStart w:id="121" w:name="_Toc137036649"/>
      <w:r w:rsidRPr="00CB1038">
        <w:t>C.2.1</w:t>
      </w:r>
      <w:r w:rsidRPr="00CB1038">
        <w:tab/>
        <w:t>Process</w:t>
      </w:r>
      <w:bookmarkEnd w:id="120"/>
      <w:bookmarkEnd w:id="121"/>
    </w:p>
    <w:p w14:paraId="56E16948" w14:textId="58566F5F" w:rsidR="00BA1D65" w:rsidRPr="00A1772C" w:rsidRDefault="00BA1D65" w:rsidP="00924E6D">
      <w:pPr>
        <w:spacing w:after="120" w:line="276" w:lineRule="auto"/>
        <w:jc w:val="both"/>
        <w:rPr>
          <w:bCs/>
          <w:iCs/>
          <w:sz w:val="22"/>
          <w:szCs w:val="22"/>
          <w:u w:val="single"/>
          <w:lang w:val="en-US"/>
        </w:rPr>
      </w:pPr>
      <w:r w:rsidRPr="00A1772C">
        <w:rPr>
          <w:bCs/>
          <w:iCs/>
          <w:sz w:val="22"/>
          <w:szCs w:val="22"/>
          <w:u w:val="single"/>
          <w:lang w:val="en-US"/>
        </w:rPr>
        <w:t xml:space="preserve">Step 1 - Agency provides information to the </w:t>
      </w:r>
      <w:r w:rsidR="00333A49">
        <w:rPr>
          <w:bCs/>
          <w:iCs/>
          <w:sz w:val="22"/>
          <w:szCs w:val="22"/>
          <w:u w:val="single"/>
          <w:lang w:val="en-US"/>
        </w:rPr>
        <w:t>Smaller Agency</w:t>
      </w:r>
    </w:p>
    <w:p w14:paraId="430A6C8C" w14:textId="2A82862A" w:rsidR="009B4418" w:rsidRPr="00A1772C" w:rsidRDefault="009B4418" w:rsidP="00CD2587">
      <w:pPr>
        <w:spacing w:after="0" w:line="276" w:lineRule="auto"/>
        <w:jc w:val="both"/>
        <w:rPr>
          <w:bCs/>
          <w:i/>
          <w:iCs/>
          <w:sz w:val="22"/>
          <w:szCs w:val="22"/>
        </w:rPr>
      </w:pPr>
      <w:r w:rsidRPr="00A1772C">
        <w:rPr>
          <w:bCs/>
          <w:i/>
          <w:iCs/>
          <w:sz w:val="22"/>
          <w:szCs w:val="22"/>
        </w:rPr>
        <w:t xml:space="preserve">Permanent Employee Transfer </w:t>
      </w:r>
    </w:p>
    <w:p w14:paraId="2090C746" w14:textId="4ACEC571" w:rsidR="00BA1D65" w:rsidRPr="00924E6D" w:rsidRDefault="00BA1D65" w:rsidP="00924E6D">
      <w:pPr>
        <w:spacing w:after="120" w:line="276" w:lineRule="auto"/>
        <w:jc w:val="both"/>
        <w:rPr>
          <w:sz w:val="22"/>
          <w:szCs w:val="22"/>
        </w:rPr>
      </w:pPr>
      <w:r w:rsidRPr="00924E6D">
        <w:rPr>
          <w:sz w:val="22"/>
          <w:szCs w:val="22"/>
        </w:rPr>
        <w:t xml:space="preserve">When a </w:t>
      </w:r>
      <w:r w:rsidR="00333A49">
        <w:rPr>
          <w:sz w:val="22"/>
          <w:szCs w:val="22"/>
        </w:rPr>
        <w:t>directorate</w:t>
      </w:r>
      <w:r w:rsidRPr="00924E6D">
        <w:rPr>
          <w:sz w:val="22"/>
          <w:szCs w:val="22"/>
        </w:rPr>
        <w:t xml:space="preserve"> has a permanent or long-term contract employee transfer to a </w:t>
      </w:r>
      <w:r w:rsidR="00333A49">
        <w:rPr>
          <w:sz w:val="22"/>
          <w:szCs w:val="22"/>
        </w:rPr>
        <w:t>smaller agency</w:t>
      </w:r>
      <w:r w:rsidRPr="00924E6D">
        <w:rPr>
          <w:sz w:val="22"/>
          <w:szCs w:val="22"/>
        </w:rPr>
        <w:t xml:space="preserve">, the following information shall be provided as at the date the employee ceased employment with the </w:t>
      </w:r>
      <w:r w:rsidR="00333A49">
        <w:rPr>
          <w:sz w:val="22"/>
          <w:szCs w:val="22"/>
        </w:rPr>
        <w:t>directorate</w:t>
      </w:r>
      <w:r w:rsidRPr="00924E6D">
        <w:rPr>
          <w:sz w:val="22"/>
          <w:szCs w:val="22"/>
        </w:rPr>
        <w:t>:</w:t>
      </w:r>
    </w:p>
    <w:p w14:paraId="6D399348" w14:textId="77777777" w:rsidR="00BA1D65" w:rsidRPr="00924E6D" w:rsidRDefault="00BA1D65" w:rsidP="00924E6D">
      <w:pPr>
        <w:numPr>
          <w:ilvl w:val="0"/>
          <w:numId w:val="15"/>
        </w:numPr>
        <w:spacing w:after="120" w:line="276" w:lineRule="auto"/>
        <w:jc w:val="both"/>
        <w:rPr>
          <w:sz w:val="22"/>
          <w:szCs w:val="22"/>
        </w:rPr>
      </w:pPr>
      <w:r w:rsidRPr="00924E6D">
        <w:rPr>
          <w:sz w:val="22"/>
          <w:szCs w:val="22"/>
        </w:rPr>
        <w:t>the nominal value of any accrued long service leave (which includes the nominal value of any in-service on-cost</w:t>
      </w:r>
      <w:proofErr w:type="gramStart"/>
      <w:r w:rsidRPr="00924E6D">
        <w:rPr>
          <w:sz w:val="22"/>
          <w:szCs w:val="22"/>
        </w:rPr>
        <w:t>);</w:t>
      </w:r>
      <w:proofErr w:type="gramEnd"/>
      <w:r w:rsidRPr="00924E6D">
        <w:rPr>
          <w:sz w:val="22"/>
          <w:szCs w:val="22"/>
        </w:rPr>
        <w:t xml:space="preserve"> </w:t>
      </w:r>
    </w:p>
    <w:p w14:paraId="54D41C9A" w14:textId="4087D213" w:rsidR="00BA1D65" w:rsidRPr="00924E6D" w:rsidRDefault="00BA1D65" w:rsidP="00924E6D">
      <w:pPr>
        <w:numPr>
          <w:ilvl w:val="0"/>
          <w:numId w:val="15"/>
        </w:numPr>
        <w:spacing w:after="120" w:line="276" w:lineRule="auto"/>
        <w:jc w:val="both"/>
        <w:rPr>
          <w:sz w:val="22"/>
          <w:szCs w:val="22"/>
        </w:rPr>
      </w:pPr>
      <w:r w:rsidRPr="00924E6D">
        <w:rPr>
          <w:sz w:val="22"/>
          <w:szCs w:val="22"/>
        </w:rPr>
        <w:t xml:space="preserve">the </w:t>
      </w:r>
      <w:r w:rsidR="00094B21">
        <w:rPr>
          <w:sz w:val="22"/>
          <w:szCs w:val="22"/>
        </w:rPr>
        <w:t>nominal</w:t>
      </w:r>
      <w:r w:rsidRPr="00924E6D">
        <w:rPr>
          <w:sz w:val="22"/>
          <w:szCs w:val="22"/>
        </w:rPr>
        <w:t xml:space="preserve"> value of any accrued annual </w:t>
      </w:r>
      <w:proofErr w:type="gramStart"/>
      <w:r w:rsidRPr="00924E6D">
        <w:rPr>
          <w:sz w:val="22"/>
          <w:szCs w:val="22"/>
        </w:rPr>
        <w:t>leave;</w:t>
      </w:r>
      <w:proofErr w:type="gramEnd"/>
    </w:p>
    <w:p w14:paraId="685A2C11" w14:textId="77777777" w:rsidR="00BA1D65" w:rsidRPr="00924E6D" w:rsidRDefault="00BA1D65" w:rsidP="00924E6D">
      <w:pPr>
        <w:numPr>
          <w:ilvl w:val="0"/>
          <w:numId w:val="15"/>
        </w:numPr>
        <w:spacing w:after="120" w:line="276" w:lineRule="auto"/>
        <w:jc w:val="both"/>
        <w:rPr>
          <w:sz w:val="22"/>
          <w:szCs w:val="22"/>
        </w:rPr>
      </w:pPr>
      <w:r w:rsidRPr="00924E6D">
        <w:rPr>
          <w:sz w:val="22"/>
          <w:szCs w:val="22"/>
        </w:rPr>
        <w:t>the book value of any leave loading applicable to outstanding annual leave; and</w:t>
      </w:r>
    </w:p>
    <w:p w14:paraId="66596622" w14:textId="77777777" w:rsidR="00BA1D65" w:rsidRPr="00924E6D" w:rsidRDefault="00BA1D65" w:rsidP="00924E6D">
      <w:pPr>
        <w:numPr>
          <w:ilvl w:val="0"/>
          <w:numId w:val="15"/>
        </w:numPr>
        <w:spacing w:after="120" w:line="276" w:lineRule="auto"/>
        <w:jc w:val="both"/>
        <w:rPr>
          <w:sz w:val="22"/>
          <w:szCs w:val="22"/>
        </w:rPr>
      </w:pPr>
      <w:r w:rsidRPr="00924E6D">
        <w:rPr>
          <w:sz w:val="22"/>
          <w:szCs w:val="22"/>
        </w:rPr>
        <w:t>the period of service with the ACT Government.</w:t>
      </w:r>
    </w:p>
    <w:p w14:paraId="157C3601" w14:textId="76A72321" w:rsidR="00BA1D65" w:rsidRDefault="00BA1D65" w:rsidP="00BB26D6">
      <w:pPr>
        <w:spacing w:after="120" w:line="276" w:lineRule="auto"/>
        <w:jc w:val="both"/>
        <w:rPr>
          <w:sz w:val="22"/>
          <w:szCs w:val="22"/>
        </w:rPr>
      </w:pPr>
      <w:r w:rsidRPr="00A1772C">
        <w:rPr>
          <w:bCs/>
          <w:i/>
          <w:iCs/>
          <w:sz w:val="22"/>
          <w:szCs w:val="22"/>
        </w:rPr>
        <w:t>Attachment D</w:t>
      </w:r>
      <w:r w:rsidRPr="00924E6D">
        <w:rPr>
          <w:sz w:val="22"/>
          <w:szCs w:val="22"/>
        </w:rPr>
        <w:t xml:space="preserve"> provides a sample template for </w:t>
      </w:r>
      <w:r w:rsidR="00333A49">
        <w:rPr>
          <w:sz w:val="22"/>
          <w:szCs w:val="22"/>
        </w:rPr>
        <w:t>directorates</w:t>
      </w:r>
      <w:r w:rsidRPr="00924E6D">
        <w:rPr>
          <w:sz w:val="22"/>
          <w:szCs w:val="22"/>
        </w:rPr>
        <w:t xml:space="preserve"> to complete and provide to the receiving </w:t>
      </w:r>
      <w:r w:rsidR="00333A49">
        <w:rPr>
          <w:sz w:val="22"/>
          <w:szCs w:val="22"/>
        </w:rPr>
        <w:t>smaller agency</w:t>
      </w:r>
      <w:r w:rsidRPr="00924E6D">
        <w:rPr>
          <w:sz w:val="22"/>
          <w:szCs w:val="22"/>
        </w:rPr>
        <w:t>.</w:t>
      </w:r>
    </w:p>
    <w:p w14:paraId="57BA2321" w14:textId="77777777" w:rsidR="00BA1D65" w:rsidRPr="00A1772C" w:rsidRDefault="00BA1D65" w:rsidP="00CD2587">
      <w:pPr>
        <w:spacing w:after="0" w:line="276" w:lineRule="auto"/>
        <w:jc w:val="both"/>
        <w:rPr>
          <w:bCs/>
          <w:i/>
          <w:iCs/>
          <w:sz w:val="22"/>
          <w:szCs w:val="22"/>
        </w:rPr>
      </w:pPr>
      <w:r w:rsidRPr="00A1772C">
        <w:rPr>
          <w:bCs/>
          <w:i/>
          <w:iCs/>
          <w:sz w:val="22"/>
          <w:szCs w:val="22"/>
        </w:rPr>
        <w:t xml:space="preserve">Non – Permanent Employee Transfer </w:t>
      </w:r>
    </w:p>
    <w:p w14:paraId="024E27D3" w14:textId="43168D6B" w:rsidR="00BA1D65" w:rsidRPr="007505A0" w:rsidRDefault="00BA1D65" w:rsidP="007505A0">
      <w:pPr>
        <w:spacing w:after="120" w:line="276" w:lineRule="auto"/>
        <w:jc w:val="both"/>
        <w:rPr>
          <w:sz w:val="22"/>
          <w:szCs w:val="22"/>
        </w:rPr>
      </w:pPr>
      <w:r w:rsidRPr="007505A0">
        <w:rPr>
          <w:sz w:val="22"/>
          <w:szCs w:val="22"/>
        </w:rPr>
        <w:t xml:space="preserve">For the purposes of this policy, an employee accepting a ‘temporary’ or short-term contract position is not considered to have transferred permanently to </w:t>
      </w:r>
      <w:r w:rsidR="00CD2587">
        <w:rPr>
          <w:sz w:val="22"/>
          <w:szCs w:val="22"/>
        </w:rPr>
        <w:t>the</w:t>
      </w:r>
      <w:r w:rsidRPr="007505A0">
        <w:rPr>
          <w:sz w:val="22"/>
          <w:szCs w:val="22"/>
        </w:rPr>
        <w:t xml:space="preserve"> </w:t>
      </w:r>
      <w:r w:rsidR="00333A49">
        <w:rPr>
          <w:sz w:val="22"/>
          <w:szCs w:val="22"/>
        </w:rPr>
        <w:t>smaller agency</w:t>
      </w:r>
      <w:r w:rsidRPr="007505A0">
        <w:rPr>
          <w:sz w:val="22"/>
          <w:szCs w:val="22"/>
        </w:rPr>
        <w:t xml:space="preserve">.  </w:t>
      </w:r>
    </w:p>
    <w:p w14:paraId="29BE69D2" w14:textId="11AACB7C" w:rsidR="00BA1D65" w:rsidRPr="007505A0" w:rsidRDefault="00BA1D65" w:rsidP="007505A0">
      <w:pPr>
        <w:spacing w:after="120" w:line="276" w:lineRule="auto"/>
        <w:jc w:val="both"/>
        <w:rPr>
          <w:sz w:val="22"/>
          <w:szCs w:val="22"/>
        </w:rPr>
      </w:pPr>
      <w:r w:rsidRPr="007505A0">
        <w:rPr>
          <w:sz w:val="22"/>
          <w:szCs w:val="22"/>
        </w:rPr>
        <w:lastRenderedPageBreak/>
        <w:t xml:space="preserve">If the employee wishes to use their employee entitlements during this period, relating to the employee’s service prior to their transfer to the </w:t>
      </w:r>
      <w:r w:rsidR="00333A49">
        <w:rPr>
          <w:sz w:val="22"/>
          <w:szCs w:val="22"/>
        </w:rPr>
        <w:t>smaller agency</w:t>
      </w:r>
      <w:r w:rsidRPr="007505A0">
        <w:rPr>
          <w:sz w:val="22"/>
          <w:szCs w:val="22"/>
        </w:rPr>
        <w:t xml:space="preserve">, an invoice will be provided to the </w:t>
      </w:r>
      <w:r w:rsidR="00333A49">
        <w:rPr>
          <w:sz w:val="22"/>
          <w:szCs w:val="22"/>
        </w:rPr>
        <w:t xml:space="preserve">directorate </w:t>
      </w:r>
      <w:r w:rsidRPr="007505A0">
        <w:rPr>
          <w:sz w:val="22"/>
          <w:szCs w:val="22"/>
        </w:rPr>
        <w:t xml:space="preserve">by the </w:t>
      </w:r>
      <w:r w:rsidR="00333A49">
        <w:rPr>
          <w:sz w:val="22"/>
          <w:szCs w:val="22"/>
        </w:rPr>
        <w:t xml:space="preserve">smaller agency </w:t>
      </w:r>
      <w:r w:rsidRPr="007505A0">
        <w:rPr>
          <w:sz w:val="22"/>
          <w:szCs w:val="22"/>
        </w:rPr>
        <w:t>to cover the costs incurred by the employee whilst on temporary transfer (at the rate applicable to the employee’s permanent position).</w:t>
      </w:r>
    </w:p>
    <w:p w14:paraId="08EE5960" w14:textId="2F89C2CD" w:rsidR="00BA1D65" w:rsidRPr="00A1772C" w:rsidRDefault="00BA1D65" w:rsidP="007505A0">
      <w:pPr>
        <w:spacing w:after="120" w:line="276" w:lineRule="auto"/>
        <w:jc w:val="both"/>
        <w:rPr>
          <w:bCs/>
          <w:iCs/>
          <w:sz w:val="22"/>
          <w:szCs w:val="22"/>
          <w:u w:val="single"/>
          <w:lang w:val="en-US"/>
        </w:rPr>
      </w:pPr>
      <w:r w:rsidRPr="00A1772C">
        <w:rPr>
          <w:bCs/>
          <w:iCs/>
          <w:sz w:val="22"/>
          <w:szCs w:val="22"/>
          <w:u w:val="single"/>
          <w:lang w:val="en-US"/>
        </w:rPr>
        <w:t xml:space="preserve">Step 2: The </w:t>
      </w:r>
      <w:r w:rsidR="00333A49">
        <w:rPr>
          <w:bCs/>
          <w:iCs/>
          <w:sz w:val="22"/>
          <w:szCs w:val="22"/>
          <w:u w:val="single"/>
          <w:lang w:val="en-US"/>
        </w:rPr>
        <w:t>Smaller Agency I</w:t>
      </w:r>
      <w:r w:rsidRPr="00A1772C">
        <w:rPr>
          <w:bCs/>
          <w:iCs/>
          <w:sz w:val="22"/>
          <w:szCs w:val="22"/>
          <w:u w:val="single"/>
          <w:lang w:val="en-US"/>
        </w:rPr>
        <w:t xml:space="preserve">nvoices the </w:t>
      </w:r>
      <w:r w:rsidR="00333A49">
        <w:rPr>
          <w:bCs/>
          <w:iCs/>
          <w:sz w:val="22"/>
          <w:szCs w:val="22"/>
          <w:u w:val="single"/>
          <w:lang w:val="en-US"/>
        </w:rPr>
        <w:t>Directorate</w:t>
      </w:r>
    </w:p>
    <w:p w14:paraId="3AE77607" w14:textId="3EEEFC16" w:rsidR="00BA1D65" w:rsidRPr="007505A0" w:rsidRDefault="00BA1D65" w:rsidP="007505A0">
      <w:pPr>
        <w:spacing w:after="120" w:line="276" w:lineRule="auto"/>
        <w:jc w:val="both"/>
        <w:rPr>
          <w:sz w:val="22"/>
          <w:szCs w:val="22"/>
        </w:rPr>
      </w:pPr>
      <w:r w:rsidRPr="007505A0">
        <w:rPr>
          <w:sz w:val="22"/>
          <w:szCs w:val="22"/>
        </w:rPr>
        <w:t xml:space="preserve">When the employee commences permanent employment with the </w:t>
      </w:r>
      <w:r w:rsidR="00333A49">
        <w:rPr>
          <w:sz w:val="22"/>
          <w:szCs w:val="22"/>
        </w:rPr>
        <w:t>smaller agency</w:t>
      </w:r>
      <w:r w:rsidRPr="007505A0">
        <w:rPr>
          <w:sz w:val="22"/>
          <w:szCs w:val="22"/>
        </w:rPr>
        <w:t xml:space="preserve">, the </w:t>
      </w:r>
      <w:r w:rsidR="00333A49">
        <w:rPr>
          <w:sz w:val="22"/>
          <w:szCs w:val="22"/>
        </w:rPr>
        <w:t>agency</w:t>
      </w:r>
      <w:r w:rsidRPr="007505A0">
        <w:rPr>
          <w:sz w:val="22"/>
          <w:szCs w:val="22"/>
        </w:rPr>
        <w:t xml:space="preserve"> must invoice the </w:t>
      </w:r>
      <w:r w:rsidR="00333A49">
        <w:rPr>
          <w:sz w:val="22"/>
          <w:szCs w:val="22"/>
        </w:rPr>
        <w:t>directorate</w:t>
      </w:r>
      <w:r w:rsidRPr="007505A0">
        <w:rPr>
          <w:sz w:val="22"/>
          <w:szCs w:val="22"/>
        </w:rPr>
        <w:t xml:space="preserve"> concerned </w:t>
      </w:r>
      <w:r w:rsidR="009B4418">
        <w:rPr>
          <w:sz w:val="22"/>
          <w:szCs w:val="22"/>
        </w:rPr>
        <w:t xml:space="preserve">for </w:t>
      </w:r>
      <w:r w:rsidRPr="007505A0">
        <w:rPr>
          <w:sz w:val="22"/>
          <w:szCs w:val="22"/>
        </w:rPr>
        <w:t xml:space="preserve">the employee’s unpaid employee </w:t>
      </w:r>
      <w:r w:rsidR="00CD2587">
        <w:rPr>
          <w:sz w:val="22"/>
          <w:szCs w:val="22"/>
        </w:rPr>
        <w:t>entitlements</w:t>
      </w:r>
      <w:r w:rsidRPr="007505A0">
        <w:rPr>
          <w:sz w:val="22"/>
          <w:szCs w:val="22"/>
        </w:rPr>
        <w:t xml:space="preserve">. The form received by the </w:t>
      </w:r>
      <w:r w:rsidR="00333A49">
        <w:rPr>
          <w:sz w:val="22"/>
          <w:szCs w:val="22"/>
        </w:rPr>
        <w:t xml:space="preserve">smaller agency </w:t>
      </w:r>
      <w:r w:rsidRPr="007505A0">
        <w:rPr>
          <w:sz w:val="22"/>
          <w:szCs w:val="22"/>
        </w:rPr>
        <w:t xml:space="preserve">(as in step 1 above) will provide the </w:t>
      </w:r>
      <w:r w:rsidR="00333A49">
        <w:rPr>
          <w:sz w:val="22"/>
          <w:szCs w:val="22"/>
        </w:rPr>
        <w:t xml:space="preserve">smaller agency </w:t>
      </w:r>
      <w:r w:rsidRPr="007505A0">
        <w:rPr>
          <w:sz w:val="22"/>
          <w:szCs w:val="22"/>
        </w:rPr>
        <w:t>with the information needed to generate an appropriate invoice.</w:t>
      </w:r>
    </w:p>
    <w:p w14:paraId="5CA7CAF0" w14:textId="5F51BB12" w:rsidR="00BA1D65" w:rsidRPr="007505A0" w:rsidRDefault="00BA1D65" w:rsidP="007505A0">
      <w:pPr>
        <w:spacing w:after="120" w:line="276" w:lineRule="auto"/>
        <w:jc w:val="both"/>
        <w:rPr>
          <w:sz w:val="22"/>
          <w:szCs w:val="22"/>
        </w:rPr>
      </w:pPr>
      <w:r w:rsidRPr="007505A0">
        <w:rPr>
          <w:sz w:val="22"/>
          <w:szCs w:val="22"/>
        </w:rPr>
        <w:t>In raising the invoice, the following journal would be made</w:t>
      </w:r>
      <w:r w:rsidR="00E678E6" w:rsidRPr="00E678E6">
        <w:rPr>
          <w:sz w:val="22"/>
          <w:szCs w:val="22"/>
        </w:rPr>
        <w:t xml:space="preserve"> </w:t>
      </w:r>
      <w:r w:rsidR="00E678E6">
        <w:rPr>
          <w:sz w:val="22"/>
          <w:szCs w:val="22"/>
        </w:rPr>
        <w:t>by the</w:t>
      </w:r>
      <w:r w:rsidR="00E678E6" w:rsidRPr="00A1772C">
        <w:rPr>
          <w:bCs/>
          <w:iCs/>
          <w:sz w:val="22"/>
          <w:szCs w:val="22"/>
          <w:lang w:val="en-US"/>
        </w:rPr>
        <w:t xml:space="preserve"> </w:t>
      </w:r>
      <w:r w:rsidR="00333A49">
        <w:rPr>
          <w:bCs/>
          <w:iCs/>
          <w:sz w:val="22"/>
          <w:szCs w:val="22"/>
          <w:lang w:val="en-US"/>
        </w:rPr>
        <w:t>smaller agency</w:t>
      </w:r>
      <w:r w:rsidRPr="007505A0">
        <w:rPr>
          <w:sz w:val="22"/>
          <w:szCs w:val="22"/>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49"/>
        <w:gridCol w:w="1276"/>
        <w:gridCol w:w="1275"/>
      </w:tblGrid>
      <w:tr w:rsidR="00BA1D65" w:rsidRPr="009B4418" w14:paraId="382ED598" w14:textId="77777777" w:rsidTr="007505A0">
        <w:trPr>
          <w:trHeight w:val="340"/>
        </w:trPr>
        <w:tc>
          <w:tcPr>
            <w:tcW w:w="6516" w:type="dxa"/>
            <w:gridSpan w:val="2"/>
            <w:tcBorders>
              <w:top w:val="nil"/>
              <w:left w:val="nil"/>
              <w:bottom w:val="nil"/>
              <w:right w:val="nil"/>
            </w:tcBorders>
          </w:tcPr>
          <w:p w14:paraId="2C2139FF" w14:textId="77777777" w:rsidR="00BA1D65" w:rsidRPr="007505A0" w:rsidRDefault="00BA1D65" w:rsidP="007505A0">
            <w:pPr>
              <w:spacing w:after="120" w:line="276" w:lineRule="auto"/>
              <w:jc w:val="both"/>
              <w:rPr>
                <w:sz w:val="22"/>
                <w:szCs w:val="22"/>
              </w:rPr>
            </w:pPr>
            <w:r w:rsidRPr="007505A0">
              <w:rPr>
                <w:sz w:val="22"/>
                <w:szCs w:val="22"/>
              </w:rPr>
              <w:t>DR Accounts Receivable</w:t>
            </w:r>
          </w:p>
        </w:tc>
        <w:tc>
          <w:tcPr>
            <w:tcW w:w="1276" w:type="dxa"/>
            <w:tcBorders>
              <w:top w:val="nil"/>
              <w:left w:val="nil"/>
              <w:bottom w:val="nil"/>
              <w:right w:val="nil"/>
            </w:tcBorders>
          </w:tcPr>
          <w:p w14:paraId="11BAB931" w14:textId="77B1F128" w:rsidR="00BA1D65" w:rsidRPr="007505A0" w:rsidRDefault="00BA1D65" w:rsidP="007505A0">
            <w:pPr>
              <w:spacing w:after="120" w:line="276" w:lineRule="auto"/>
              <w:jc w:val="center"/>
              <w:rPr>
                <w:sz w:val="22"/>
                <w:szCs w:val="22"/>
              </w:rPr>
            </w:pPr>
            <w:r w:rsidRPr="007505A0">
              <w:rPr>
                <w:sz w:val="22"/>
                <w:szCs w:val="22"/>
              </w:rPr>
              <w:t>X</w:t>
            </w:r>
            <w:r w:rsidR="009B4418">
              <w:rPr>
                <w:sz w:val="22"/>
                <w:szCs w:val="22"/>
              </w:rPr>
              <w:t>XX</w:t>
            </w:r>
          </w:p>
        </w:tc>
        <w:tc>
          <w:tcPr>
            <w:tcW w:w="1275" w:type="dxa"/>
            <w:tcBorders>
              <w:top w:val="nil"/>
              <w:left w:val="nil"/>
              <w:bottom w:val="nil"/>
              <w:right w:val="nil"/>
            </w:tcBorders>
          </w:tcPr>
          <w:p w14:paraId="435F4034" w14:textId="77777777" w:rsidR="00BA1D65" w:rsidRPr="007505A0" w:rsidRDefault="00BA1D65" w:rsidP="007505A0">
            <w:pPr>
              <w:spacing w:after="120" w:line="276" w:lineRule="auto"/>
              <w:jc w:val="center"/>
              <w:rPr>
                <w:sz w:val="22"/>
                <w:szCs w:val="22"/>
              </w:rPr>
            </w:pPr>
          </w:p>
        </w:tc>
      </w:tr>
      <w:tr w:rsidR="00984D76" w:rsidRPr="009B4418" w14:paraId="5F9A2A17" w14:textId="77777777" w:rsidTr="008C4F0E">
        <w:trPr>
          <w:trHeight w:val="340"/>
        </w:trPr>
        <w:tc>
          <w:tcPr>
            <w:tcW w:w="567" w:type="dxa"/>
            <w:tcBorders>
              <w:top w:val="nil"/>
              <w:left w:val="nil"/>
              <w:bottom w:val="nil"/>
              <w:right w:val="nil"/>
            </w:tcBorders>
          </w:tcPr>
          <w:p w14:paraId="15163DBF" w14:textId="77777777" w:rsidR="00984D76" w:rsidRPr="007505A0" w:rsidRDefault="00984D76" w:rsidP="007505A0">
            <w:pPr>
              <w:spacing w:after="120" w:line="276" w:lineRule="auto"/>
              <w:jc w:val="both"/>
              <w:rPr>
                <w:sz w:val="22"/>
                <w:szCs w:val="22"/>
              </w:rPr>
            </w:pPr>
          </w:p>
        </w:tc>
        <w:tc>
          <w:tcPr>
            <w:tcW w:w="5949" w:type="dxa"/>
            <w:tcBorders>
              <w:top w:val="nil"/>
              <w:left w:val="nil"/>
              <w:bottom w:val="nil"/>
              <w:right w:val="nil"/>
            </w:tcBorders>
          </w:tcPr>
          <w:p w14:paraId="584AA836" w14:textId="466D0C75" w:rsidR="00984D76" w:rsidRPr="007505A0" w:rsidRDefault="00984D76" w:rsidP="007505A0">
            <w:pPr>
              <w:spacing w:after="120" w:line="276" w:lineRule="auto"/>
              <w:jc w:val="both"/>
              <w:rPr>
                <w:sz w:val="22"/>
                <w:szCs w:val="22"/>
              </w:rPr>
            </w:pPr>
            <w:r>
              <w:rPr>
                <w:sz w:val="22"/>
                <w:szCs w:val="22"/>
              </w:rPr>
              <w:t xml:space="preserve">CR </w:t>
            </w:r>
            <w:r w:rsidR="008C4F0E">
              <w:rPr>
                <w:sz w:val="22"/>
                <w:szCs w:val="22"/>
              </w:rPr>
              <w:t>Revenue from the Recovery of Employee Benefit Liabilities Transferred</w:t>
            </w:r>
          </w:p>
        </w:tc>
        <w:tc>
          <w:tcPr>
            <w:tcW w:w="1276" w:type="dxa"/>
            <w:tcBorders>
              <w:top w:val="nil"/>
              <w:left w:val="nil"/>
              <w:bottom w:val="nil"/>
              <w:right w:val="nil"/>
            </w:tcBorders>
          </w:tcPr>
          <w:p w14:paraId="43240D16" w14:textId="77777777" w:rsidR="00984D76" w:rsidRPr="007505A0" w:rsidRDefault="00984D76" w:rsidP="007505A0">
            <w:pPr>
              <w:spacing w:after="120" w:line="276" w:lineRule="auto"/>
              <w:jc w:val="center"/>
              <w:rPr>
                <w:sz w:val="22"/>
                <w:szCs w:val="22"/>
              </w:rPr>
            </w:pPr>
          </w:p>
        </w:tc>
        <w:tc>
          <w:tcPr>
            <w:tcW w:w="1275" w:type="dxa"/>
            <w:tcBorders>
              <w:top w:val="nil"/>
              <w:left w:val="nil"/>
              <w:bottom w:val="nil"/>
              <w:right w:val="nil"/>
            </w:tcBorders>
          </w:tcPr>
          <w:p w14:paraId="5916ED4B" w14:textId="4007DD4C" w:rsidR="00984D76" w:rsidRPr="007505A0" w:rsidRDefault="008C4F0E" w:rsidP="007505A0">
            <w:pPr>
              <w:spacing w:after="120" w:line="276" w:lineRule="auto"/>
              <w:jc w:val="center"/>
              <w:rPr>
                <w:sz w:val="22"/>
                <w:szCs w:val="22"/>
              </w:rPr>
            </w:pPr>
            <w:r>
              <w:rPr>
                <w:sz w:val="22"/>
                <w:szCs w:val="22"/>
              </w:rPr>
              <w:t>XXX</w:t>
            </w:r>
          </w:p>
        </w:tc>
      </w:tr>
      <w:tr w:rsidR="00984D76" w:rsidRPr="009B4418" w14:paraId="1F2970B5" w14:textId="77777777" w:rsidTr="00554EEF">
        <w:trPr>
          <w:trHeight w:val="340"/>
        </w:trPr>
        <w:tc>
          <w:tcPr>
            <w:tcW w:w="9067" w:type="dxa"/>
            <w:gridSpan w:val="4"/>
            <w:tcBorders>
              <w:top w:val="nil"/>
              <w:left w:val="nil"/>
              <w:bottom w:val="nil"/>
              <w:right w:val="nil"/>
            </w:tcBorders>
          </w:tcPr>
          <w:p w14:paraId="67AE2760" w14:textId="0594E63D" w:rsidR="00984D76" w:rsidRPr="007505A0" w:rsidRDefault="00C05030" w:rsidP="008C4F0E">
            <w:pPr>
              <w:spacing w:after="120" w:line="276" w:lineRule="auto"/>
              <w:rPr>
                <w:sz w:val="22"/>
                <w:szCs w:val="22"/>
              </w:rPr>
            </w:pPr>
            <w:r>
              <w:rPr>
                <w:sz w:val="22"/>
                <w:szCs w:val="22"/>
              </w:rPr>
              <w:t xml:space="preserve">To recognise the revenue for the recovery of the transferred employee benefit liability.  </w:t>
            </w:r>
          </w:p>
        </w:tc>
      </w:tr>
      <w:tr w:rsidR="00C05030" w:rsidRPr="009B4418" w14:paraId="324F4208" w14:textId="77777777" w:rsidTr="00554EEF">
        <w:trPr>
          <w:trHeight w:val="340"/>
        </w:trPr>
        <w:tc>
          <w:tcPr>
            <w:tcW w:w="9067" w:type="dxa"/>
            <w:gridSpan w:val="4"/>
            <w:tcBorders>
              <w:top w:val="nil"/>
              <w:left w:val="nil"/>
              <w:bottom w:val="nil"/>
              <w:right w:val="nil"/>
            </w:tcBorders>
          </w:tcPr>
          <w:p w14:paraId="44F97D78" w14:textId="77777777" w:rsidR="00C05030" w:rsidRDefault="00C05030" w:rsidP="00C05030">
            <w:pPr>
              <w:spacing w:after="0" w:line="240" w:lineRule="auto"/>
              <w:rPr>
                <w:sz w:val="22"/>
                <w:szCs w:val="22"/>
              </w:rPr>
            </w:pPr>
          </w:p>
        </w:tc>
      </w:tr>
      <w:tr w:rsidR="00984D76" w:rsidRPr="009B4418" w14:paraId="21CB5275" w14:textId="77777777" w:rsidTr="007505A0">
        <w:trPr>
          <w:trHeight w:val="340"/>
        </w:trPr>
        <w:tc>
          <w:tcPr>
            <w:tcW w:w="6516" w:type="dxa"/>
            <w:gridSpan w:val="2"/>
            <w:tcBorders>
              <w:top w:val="nil"/>
              <w:left w:val="nil"/>
              <w:bottom w:val="nil"/>
              <w:right w:val="nil"/>
            </w:tcBorders>
          </w:tcPr>
          <w:p w14:paraId="1A572737" w14:textId="53AFDF41" w:rsidR="00984D76" w:rsidRPr="007505A0" w:rsidRDefault="00984D76" w:rsidP="007505A0">
            <w:pPr>
              <w:spacing w:after="120" w:line="276" w:lineRule="auto"/>
              <w:jc w:val="both"/>
              <w:rPr>
                <w:sz w:val="22"/>
                <w:szCs w:val="22"/>
              </w:rPr>
            </w:pPr>
            <w:r>
              <w:rPr>
                <w:sz w:val="22"/>
                <w:szCs w:val="22"/>
              </w:rPr>
              <w:t xml:space="preserve">DR </w:t>
            </w:r>
            <w:r w:rsidRPr="007505A0">
              <w:rPr>
                <w:sz w:val="22"/>
                <w:szCs w:val="22"/>
              </w:rPr>
              <w:t>Annual Leave</w:t>
            </w:r>
            <w:r>
              <w:rPr>
                <w:sz w:val="22"/>
                <w:szCs w:val="22"/>
              </w:rPr>
              <w:t xml:space="preserve"> Expense</w:t>
            </w:r>
          </w:p>
        </w:tc>
        <w:tc>
          <w:tcPr>
            <w:tcW w:w="1276" w:type="dxa"/>
            <w:tcBorders>
              <w:top w:val="nil"/>
              <w:left w:val="nil"/>
              <w:bottom w:val="nil"/>
              <w:right w:val="nil"/>
            </w:tcBorders>
          </w:tcPr>
          <w:p w14:paraId="1C883602" w14:textId="672BA285" w:rsidR="00984D76" w:rsidRPr="007505A0" w:rsidRDefault="008C4F0E" w:rsidP="007505A0">
            <w:pPr>
              <w:spacing w:after="120" w:line="276" w:lineRule="auto"/>
              <w:jc w:val="center"/>
              <w:rPr>
                <w:sz w:val="22"/>
                <w:szCs w:val="22"/>
              </w:rPr>
            </w:pPr>
            <w:r>
              <w:rPr>
                <w:sz w:val="22"/>
                <w:szCs w:val="22"/>
              </w:rPr>
              <w:t>XXX</w:t>
            </w:r>
          </w:p>
        </w:tc>
        <w:tc>
          <w:tcPr>
            <w:tcW w:w="1275" w:type="dxa"/>
            <w:tcBorders>
              <w:top w:val="nil"/>
              <w:left w:val="nil"/>
              <w:bottom w:val="nil"/>
              <w:right w:val="nil"/>
            </w:tcBorders>
          </w:tcPr>
          <w:p w14:paraId="308CBA14" w14:textId="77777777" w:rsidR="00984D76" w:rsidRPr="007505A0" w:rsidRDefault="00984D76" w:rsidP="007505A0">
            <w:pPr>
              <w:spacing w:after="120" w:line="276" w:lineRule="auto"/>
              <w:jc w:val="center"/>
              <w:rPr>
                <w:sz w:val="22"/>
                <w:szCs w:val="22"/>
              </w:rPr>
            </w:pPr>
          </w:p>
        </w:tc>
      </w:tr>
      <w:tr w:rsidR="00C05030" w:rsidRPr="009B4418" w14:paraId="43CDBFAC" w14:textId="77777777" w:rsidTr="007505A0">
        <w:trPr>
          <w:trHeight w:val="340"/>
        </w:trPr>
        <w:tc>
          <w:tcPr>
            <w:tcW w:w="6516" w:type="dxa"/>
            <w:gridSpan w:val="2"/>
            <w:tcBorders>
              <w:top w:val="nil"/>
              <w:left w:val="nil"/>
              <w:bottom w:val="nil"/>
              <w:right w:val="nil"/>
            </w:tcBorders>
          </w:tcPr>
          <w:p w14:paraId="54E8EBC4" w14:textId="706DFE45" w:rsidR="00C05030" w:rsidRDefault="00C05030" w:rsidP="007505A0">
            <w:pPr>
              <w:spacing w:after="120" w:line="276" w:lineRule="auto"/>
              <w:jc w:val="both"/>
              <w:rPr>
                <w:sz w:val="22"/>
                <w:szCs w:val="22"/>
              </w:rPr>
            </w:pPr>
            <w:r>
              <w:rPr>
                <w:sz w:val="22"/>
                <w:szCs w:val="22"/>
              </w:rPr>
              <w:t>DR</w:t>
            </w:r>
            <w:r w:rsidRPr="007505A0">
              <w:rPr>
                <w:sz w:val="22"/>
                <w:szCs w:val="22"/>
              </w:rPr>
              <w:t xml:space="preserve"> Long Service Leave</w:t>
            </w:r>
            <w:r>
              <w:rPr>
                <w:sz w:val="22"/>
                <w:szCs w:val="22"/>
              </w:rPr>
              <w:t xml:space="preserve"> Expense</w:t>
            </w:r>
          </w:p>
        </w:tc>
        <w:tc>
          <w:tcPr>
            <w:tcW w:w="1276" w:type="dxa"/>
            <w:tcBorders>
              <w:top w:val="nil"/>
              <w:left w:val="nil"/>
              <w:bottom w:val="nil"/>
              <w:right w:val="nil"/>
            </w:tcBorders>
          </w:tcPr>
          <w:p w14:paraId="06A9A396" w14:textId="758F3120" w:rsidR="00C05030" w:rsidRDefault="00C05030" w:rsidP="007505A0">
            <w:pPr>
              <w:spacing w:after="120" w:line="276" w:lineRule="auto"/>
              <w:jc w:val="center"/>
              <w:rPr>
                <w:sz w:val="22"/>
                <w:szCs w:val="22"/>
              </w:rPr>
            </w:pPr>
            <w:r>
              <w:rPr>
                <w:sz w:val="22"/>
                <w:szCs w:val="22"/>
              </w:rPr>
              <w:t>XXX</w:t>
            </w:r>
          </w:p>
        </w:tc>
        <w:tc>
          <w:tcPr>
            <w:tcW w:w="1275" w:type="dxa"/>
            <w:tcBorders>
              <w:top w:val="nil"/>
              <w:left w:val="nil"/>
              <w:bottom w:val="nil"/>
              <w:right w:val="nil"/>
            </w:tcBorders>
          </w:tcPr>
          <w:p w14:paraId="34F55BC1" w14:textId="77777777" w:rsidR="00C05030" w:rsidRPr="007505A0" w:rsidRDefault="00C05030" w:rsidP="007505A0">
            <w:pPr>
              <w:spacing w:after="120" w:line="276" w:lineRule="auto"/>
              <w:jc w:val="center"/>
              <w:rPr>
                <w:sz w:val="22"/>
                <w:szCs w:val="22"/>
              </w:rPr>
            </w:pPr>
          </w:p>
        </w:tc>
      </w:tr>
      <w:tr w:rsidR="00C05030" w:rsidRPr="009B4418" w14:paraId="76030EAE" w14:textId="77777777" w:rsidTr="007505A0">
        <w:trPr>
          <w:trHeight w:val="340"/>
        </w:trPr>
        <w:tc>
          <w:tcPr>
            <w:tcW w:w="6516" w:type="dxa"/>
            <w:gridSpan w:val="2"/>
            <w:tcBorders>
              <w:top w:val="nil"/>
              <w:left w:val="nil"/>
              <w:bottom w:val="nil"/>
              <w:right w:val="nil"/>
            </w:tcBorders>
          </w:tcPr>
          <w:p w14:paraId="1CE68FE8" w14:textId="1B936970" w:rsidR="00C05030" w:rsidRDefault="00C05030" w:rsidP="007505A0">
            <w:pPr>
              <w:spacing w:after="120" w:line="276" w:lineRule="auto"/>
              <w:jc w:val="both"/>
              <w:rPr>
                <w:sz w:val="22"/>
                <w:szCs w:val="22"/>
              </w:rPr>
            </w:pPr>
            <w:r>
              <w:rPr>
                <w:sz w:val="22"/>
                <w:szCs w:val="22"/>
              </w:rPr>
              <w:t>DR</w:t>
            </w:r>
            <w:r w:rsidRPr="007505A0">
              <w:rPr>
                <w:sz w:val="22"/>
                <w:szCs w:val="22"/>
              </w:rPr>
              <w:t xml:space="preserve"> Other Employee</w:t>
            </w:r>
            <w:r>
              <w:rPr>
                <w:sz w:val="22"/>
                <w:szCs w:val="22"/>
              </w:rPr>
              <w:t xml:space="preserve"> Expense</w:t>
            </w:r>
          </w:p>
        </w:tc>
        <w:tc>
          <w:tcPr>
            <w:tcW w:w="1276" w:type="dxa"/>
            <w:tcBorders>
              <w:top w:val="nil"/>
              <w:left w:val="nil"/>
              <w:bottom w:val="nil"/>
              <w:right w:val="nil"/>
            </w:tcBorders>
          </w:tcPr>
          <w:p w14:paraId="542B7612" w14:textId="69AFA3E7" w:rsidR="00C05030" w:rsidRDefault="00C05030" w:rsidP="007505A0">
            <w:pPr>
              <w:spacing w:after="120" w:line="276" w:lineRule="auto"/>
              <w:jc w:val="center"/>
              <w:rPr>
                <w:sz w:val="22"/>
                <w:szCs w:val="22"/>
              </w:rPr>
            </w:pPr>
            <w:r>
              <w:rPr>
                <w:sz w:val="22"/>
                <w:szCs w:val="22"/>
              </w:rPr>
              <w:t>XXX</w:t>
            </w:r>
          </w:p>
        </w:tc>
        <w:tc>
          <w:tcPr>
            <w:tcW w:w="1275" w:type="dxa"/>
            <w:tcBorders>
              <w:top w:val="nil"/>
              <w:left w:val="nil"/>
              <w:bottom w:val="nil"/>
              <w:right w:val="nil"/>
            </w:tcBorders>
          </w:tcPr>
          <w:p w14:paraId="225D729F" w14:textId="77777777" w:rsidR="00C05030" w:rsidRPr="007505A0" w:rsidRDefault="00C05030" w:rsidP="007505A0">
            <w:pPr>
              <w:spacing w:after="120" w:line="276" w:lineRule="auto"/>
              <w:jc w:val="center"/>
              <w:rPr>
                <w:sz w:val="22"/>
                <w:szCs w:val="22"/>
              </w:rPr>
            </w:pPr>
          </w:p>
        </w:tc>
      </w:tr>
      <w:tr w:rsidR="00BA1D65" w:rsidRPr="009B4418" w14:paraId="106EA8EB" w14:textId="77777777" w:rsidTr="00A1772C">
        <w:trPr>
          <w:trHeight w:val="340"/>
        </w:trPr>
        <w:tc>
          <w:tcPr>
            <w:tcW w:w="567" w:type="dxa"/>
            <w:tcBorders>
              <w:top w:val="nil"/>
              <w:left w:val="nil"/>
              <w:bottom w:val="nil"/>
              <w:right w:val="nil"/>
            </w:tcBorders>
          </w:tcPr>
          <w:p w14:paraId="77C505BA" w14:textId="77777777" w:rsidR="00BA1D65" w:rsidRPr="007505A0" w:rsidRDefault="00BA1D65" w:rsidP="007505A0">
            <w:pPr>
              <w:spacing w:after="120" w:line="276" w:lineRule="auto"/>
              <w:jc w:val="both"/>
              <w:rPr>
                <w:sz w:val="22"/>
                <w:szCs w:val="22"/>
              </w:rPr>
            </w:pPr>
          </w:p>
        </w:tc>
        <w:tc>
          <w:tcPr>
            <w:tcW w:w="5949" w:type="dxa"/>
            <w:tcBorders>
              <w:top w:val="nil"/>
              <w:left w:val="nil"/>
              <w:bottom w:val="nil"/>
              <w:right w:val="nil"/>
            </w:tcBorders>
          </w:tcPr>
          <w:p w14:paraId="5C79A4C8" w14:textId="77777777" w:rsidR="00BA1D65" w:rsidRPr="007505A0" w:rsidRDefault="00BA1D65" w:rsidP="007505A0">
            <w:pPr>
              <w:spacing w:after="120" w:line="276" w:lineRule="auto"/>
              <w:jc w:val="both"/>
              <w:rPr>
                <w:sz w:val="22"/>
                <w:szCs w:val="22"/>
              </w:rPr>
            </w:pPr>
            <w:r w:rsidRPr="007505A0">
              <w:rPr>
                <w:sz w:val="22"/>
                <w:szCs w:val="22"/>
              </w:rPr>
              <w:t>CR Annual Leave Provision</w:t>
            </w:r>
          </w:p>
        </w:tc>
        <w:tc>
          <w:tcPr>
            <w:tcW w:w="1276" w:type="dxa"/>
            <w:tcBorders>
              <w:top w:val="nil"/>
              <w:left w:val="nil"/>
              <w:bottom w:val="nil"/>
              <w:right w:val="nil"/>
            </w:tcBorders>
          </w:tcPr>
          <w:p w14:paraId="41B3825E" w14:textId="77777777" w:rsidR="00BA1D65" w:rsidRPr="007505A0" w:rsidRDefault="00BA1D65" w:rsidP="007505A0">
            <w:pPr>
              <w:spacing w:after="120" w:line="276" w:lineRule="auto"/>
              <w:jc w:val="center"/>
              <w:rPr>
                <w:sz w:val="22"/>
                <w:szCs w:val="22"/>
              </w:rPr>
            </w:pPr>
          </w:p>
        </w:tc>
        <w:tc>
          <w:tcPr>
            <w:tcW w:w="1275" w:type="dxa"/>
            <w:tcBorders>
              <w:top w:val="nil"/>
              <w:left w:val="nil"/>
              <w:bottom w:val="nil"/>
              <w:right w:val="nil"/>
            </w:tcBorders>
          </w:tcPr>
          <w:p w14:paraId="1E9D37B4" w14:textId="19DD66F0" w:rsidR="00BA1D65" w:rsidRPr="007505A0" w:rsidRDefault="00BA1D65" w:rsidP="007505A0">
            <w:pPr>
              <w:spacing w:after="120" w:line="276" w:lineRule="auto"/>
              <w:jc w:val="center"/>
              <w:rPr>
                <w:sz w:val="22"/>
                <w:szCs w:val="22"/>
              </w:rPr>
            </w:pPr>
            <w:r w:rsidRPr="007505A0">
              <w:rPr>
                <w:sz w:val="22"/>
                <w:szCs w:val="22"/>
              </w:rPr>
              <w:t>X</w:t>
            </w:r>
            <w:r w:rsidR="009B4418">
              <w:rPr>
                <w:sz w:val="22"/>
                <w:szCs w:val="22"/>
              </w:rPr>
              <w:t>XX</w:t>
            </w:r>
          </w:p>
        </w:tc>
      </w:tr>
      <w:tr w:rsidR="00BA1D65" w:rsidRPr="009B4418" w14:paraId="45B7996A" w14:textId="77777777" w:rsidTr="00A1772C">
        <w:trPr>
          <w:trHeight w:val="340"/>
        </w:trPr>
        <w:tc>
          <w:tcPr>
            <w:tcW w:w="567" w:type="dxa"/>
            <w:tcBorders>
              <w:top w:val="nil"/>
              <w:left w:val="nil"/>
              <w:bottom w:val="nil"/>
              <w:right w:val="nil"/>
            </w:tcBorders>
          </w:tcPr>
          <w:p w14:paraId="0052FF84" w14:textId="77777777" w:rsidR="00BA1D65" w:rsidRPr="007505A0" w:rsidRDefault="00BA1D65" w:rsidP="007505A0">
            <w:pPr>
              <w:spacing w:after="120" w:line="276" w:lineRule="auto"/>
              <w:jc w:val="both"/>
              <w:rPr>
                <w:sz w:val="22"/>
                <w:szCs w:val="22"/>
              </w:rPr>
            </w:pPr>
          </w:p>
        </w:tc>
        <w:tc>
          <w:tcPr>
            <w:tcW w:w="5949" w:type="dxa"/>
            <w:tcBorders>
              <w:top w:val="nil"/>
              <w:left w:val="nil"/>
              <w:bottom w:val="nil"/>
              <w:right w:val="nil"/>
            </w:tcBorders>
          </w:tcPr>
          <w:p w14:paraId="0B210AA7" w14:textId="77777777" w:rsidR="00BA1D65" w:rsidRPr="007505A0" w:rsidRDefault="00BA1D65" w:rsidP="007505A0">
            <w:pPr>
              <w:spacing w:after="120" w:line="276" w:lineRule="auto"/>
              <w:jc w:val="both"/>
              <w:rPr>
                <w:sz w:val="22"/>
                <w:szCs w:val="22"/>
              </w:rPr>
            </w:pPr>
            <w:r w:rsidRPr="007505A0">
              <w:rPr>
                <w:sz w:val="22"/>
                <w:szCs w:val="22"/>
              </w:rPr>
              <w:t>CR Long Service Leave Provision</w:t>
            </w:r>
          </w:p>
        </w:tc>
        <w:tc>
          <w:tcPr>
            <w:tcW w:w="1276" w:type="dxa"/>
            <w:tcBorders>
              <w:top w:val="nil"/>
              <w:left w:val="nil"/>
              <w:bottom w:val="nil"/>
              <w:right w:val="nil"/>
            </w:tcBorders>
          </w:tcPr>
          <w:p w14:paraId="0DA255C8" w14:textId="77777777" w:rsidR="00BA1D65" w:rsidRPr="007505A0" w:rsidRDefault="00BA1D65" w:rsidP="007505A0">
            <w:pPr>
              <w:spacing w:after="120" w:line="276" w:lineRule="auto"/>
              <w:jc w:val="center"/>
              <w:rPr>
                <w:sz w:val="22"/>
                <w:szCs w:val="22"/>
              </w:rPr>
            </w:pPr>
          </w:p>
        </w:tc>
        <w:tc>
          <w:tcPr>
            <w:tcW w:w="1275" w:type="dxa"/>
            <w:tcBorders>
              <w:top w:val="nil"/>
              <w:left w:val="nil"/>
              <w:bottom w:val="nil"/>
              <w:right w:val="nil"/>
            </w:tcBorders>
          </w:tcPr>
          <w:p w14:paraId="27C1827C" w14:textId="214F500D" w:rsidR="00BA1D65" w:rsidRPr="007505A0" w:rsidRDefault="00BA1D65" w:rsidP="007505A0">
            <w:pPr>
              <w:spacing w:after="120" w:line="276" w:lineRule="auto"/>
              <w:jc w:val="center"/>
              <w:rPr>
                <w:sz w:val="22"/>
                <w:szCs w:val="22"/>
              </w:rPr>
            </w:pPr>
            <w:r w:rsidRPr="007505A0">
              <w:rPr>
                <w:sz w:val="22"/>
                <w:szCs w:val="22"/>
              </w:rPr>
              <w:t>X</w:t>
            </w:r>
            <w:r w:rsidR="009B4418">
              <w:rPr>
                <w:sz w:val="22"/>
                <w:szCs w:val="22"/>
              </w:rPr>
              <w:t>XX</w:t>
            </w:r>
          </w:p>
        </w:tc>
      </w:tr>
      <w:tr w:rsidR="00BA1D65" w:rsidRPr="009B4418" w14:paraId="0D90E2E1" w14:textId="77777777" w:rsidTr="00A1772C">
        <w:trPr>
          <w:trHeight w:val="340"/>
        </w:trPr>
        <w:tc>
          <w:tcPr>
            <w:tcW w:w="567" w:type="dxa"/>
            <w:tcBorders>
              <w:top w:val="nil"/>
              <w:left w:val="nil"/>
              <w:bottom w:val="nil"/>
              <w:right w:val="nil"/>
            </w:tcBorders>
          </w:tcPr>
          <w:p w14:paraId="2F8548D8" w14:textId="77777777" w:rsidR="00BA1D65" w:rsidRPr="007505A0" w:rsidRDefault="00BA1D65" w:rsidP="007505A0">
            <w:pPr>
              <w:spacing w:after="120" w:line="276" w:lineRule="auto"/>
              <w:jc w:val="both"/>
              <w:rPr>
                <w:sz w:val="22"/>
                <w:szCs w:val="22"/>
              </w:rPr>
            </w:pPr>
          </w:p>
        </w:tc>
        <w:tc>
          <w:tcPr>
            <w:tcW w:w="5949" w:type="dxa"/>
            <w:tcBorders>
              <w:top w:val="nil"/>
              <w:left w:val="nil"/>
              <w:bottom w:val="nil"/>
              <w:right w:val="nil"/>
            </w:tcBorders>
          </w:tcPr>
          <w:p w14:paraId="274853A6" w14:textId="77777777" w:rsidR="00BA1D65" w:rsidRPr="007505A0" w:rsidRDefault="00BA1D65" w:rsidP="007505A0">
            <w:pPr>
              <w:spacing w:after="120" w:line="276" w:lineRule="auto"/>
              <w:jc w:val="both"/>
              <w:rPr>
                <w:sz w:val="22"/>
                <w:szCs w:val="22"/>
              </w:rPr>
            </w:pPr>
            <w:r w:rsidRPr="007505A0">
              <w:rPr>
                <w:sz w:val="22"/>
                <w:szCs w:val="22"/>
              </w:rPr>
              <w:t>CR Other Employee benefits</w:t>
            </w:r>
          </w:p>
        </w:tc>
        <w:tc>
          <w:tcPr>
            <w:tcW w:w="1276" w:type="dxa"/>
            <w:tcBorders>
              <w:top w:val="nil"/>
              <w:left w:val="nil"/>
              <w:bottom w:val="nil"/>
              <w:right w:val="nil"/>
            </w:tcBorders>
          </w:tcPr>
          <w:p w14:paraId="1CBDBE3B" w14:textId="77777777" w:rsidR="00BA1D65" w:rsidRPr="007505A0" w:rsidRDefault="00BA1D65" w:rsidP="007505A0">
            <w:pPr>
              <w:spacing w:after="120" w:line="276" w:lineRule="auto"/>
              <w:jc w:val="center"/>
              <w:rPr>
                <w:sz w:val="22"/>
                <w:szCs w:val="22"/>
              </w:rPr>
            </w:pPr>
          </w:p>
        </w:tc>
        <w:tc>
          <w:tcPr>
            <w:tcW w:w="1275" w:type="dxa"/>
            <w:tcBorders>
              <w:top w:val="nil"/>
              <w:left w:val="nil"/>
              <w:bottom w:val="nil"/>
              <w:right w:val="nil"/>
            </w:tcBorders>
          </w:tcPr>
          <w:p w14:paraId="36379661" w14:textId="1F354833" w:rsidR="00BA1D65" w:rsidRPr="007505A0" w:rsidRDefault="00BA1D65" w:rsidP="007505A0">
            <w:pPr>
              <w:spacing w:after="120" w:line="276" w:lineRule="auto"/>
              <w:jc w:val="center"/>
              <w:rPr>
                <w:sz w:val="22"/>
                <w:szCs w:val="22"/>
              </w:rPr>
            </w:pPr>
            <w:r w:rsidRPr="007505A0">
              <w:rPr>
                <w:sz w:val="22"/>
                <w:szCs w:val="22"/>
              </w:rPr>
              <w:t>X</w:t>
            </w:r>
            <w:r w:rsidR="009B4418">
              <w:rPr>
                <w:sz w:val="22"/>
                <w:szCs w:val="22"/>
              </w:rPr>
              <w:t>XX</w:t>
            </w:r>
          </w:p>
        </w:tc>
      </w:tr>
      <w:tr w:rsidR="00BA1D65" w:rsidRPr="009B4418" w14:paraId="1B46F6F5" w14:textId="77777777" w:rsidTr="007505A0">
        <w:trPr>
          <w:trHeight w:val="340"/>
        </w:trPr>
        <w:tc>
          <w:tcPr>
            <w:tcW w:w="9067" w:type="dxa"/>
            <w:gridSpan w:val="4"/>
            <w:tcBorders>
              <w:top w:val="nil"/>
              <w:left w:val="nil"/>
              <w:bottom w:val="nil"/>
              <w:right w:val="nil"/>
            </w:tcBorders>
          </w:tcPr>
          <w:p w14:paraId="0A5C8AD6" w14:textId="3257ED0C" w:rsidR="00BA1D65" w:rsidRPr="007505A0" w:rsidRDefault="00BA1D65" w:rsidP="007505A0">
            <w:pPr>
              <w:spacing w:after="120" w:line="276" w:lineRule="auto"/>
              <w:jc w:val="both"/>
              <w:rPr>
                <w:sz w:val="22"/>
                <w:szCs w:val="22"/>
              </w:rPr>
            </w:pPr>
            <w:r w:rsidRPr="007505A0">
              <w:rPr>
                <w:sz w:val="22"/>
                <w:szCs w:val="22"/>
              </w:rPr>
              <w:t>To recognise the take-up of a new employee’s past service employee benefits</w:t>
            </w:r>
            <w:r w:rsidR="00C05030">
              <w:rPr>
                <w:sz w:val="22"/>
                <w:szCs w:val="22"/>
              </w:rPr>
              <w:t>.</w:t>
            </w:r>
          </w:p>
        </w:tc>
      </w:tr>
    </w:tbl>
    <w:p w14:paraId="29BF4CE2" w14:textId="77777777" w:rsidR="00BA1D65" w:rsidRPr="00A1772C" w:rsidRDefault="00BA1D65" w:rsidP="007505A0">
      <w:pPr>
        <w:spacing w:before="120" w:after="120" w:line="276" w:lineRule="auto"/>
        <w:jc w:val="both"/>
        <w:rPr>
          <w:bCs/>
          <w:sz w:val="22"/>
          <w:szCs w:val="22"/>
          <w:u w:val="single"/>
        </w:rPr>
      </w:pPr>
      <w:r w:rsidRPr="00A1772C">
        <w:rPr>
          <w:bCs/>
          <w:sz w:val="22"/>
          <w:szCs w:val="22"/>
          <w:u w:val="single"/>
        </w:rPr>
        <w:t>GST and Transfer Payments</w:t>
      </w:r>
    </w:p>
    <w:p w14:paraId="2AF54A47" w14:textId="77777777" w:rsidR="00BA1D65" w:rsidRPr="007505A0" w:rsidRDefault="00BA1D65" w:rsidP="007505A0">
      <w:pPr>
        <w:spacing w:after="120" w:line="276" w:lineRule="auto"/>
        <w:jc w:val="both"/>
        <w:rPr>
          <w:sz w:val="22"/>
          <w:szCs w:val="22"/>
        </w:rPr>
      </w:pPr>
      <w:r w:rsidRPr="007505A0">
        <w:rPr>
          <w:sz w:val="22"/>
          <w:szCs w:val="22"/>
        </w:rPr>
        <w:t xml:space="preserve">The transfer of employee entitlements will not give rise to a taxable supply under the </w:t>
      </w:r>
      <w:r w:rsidRPr="007505A0">
        <w:rPr>
          <w:i/>
          <w:sz w:val="22"/>
          <w:szCs w:val="22"/>
        </w:rPr>
        <w:t>A New Tax System (Goods and Services Tax) Act 1999</w:t>
      </w:r>
      <w:r w:rsidRPr="007505A0">
        <w:rPr>
          <w:sz w:val="22"/>
          <w:szCs w:val="22"/>
        </w:rPr>
        <w:t>. When an invoice is raised between the two entities, GST is not to be applied to the transaction.</w:t>
      </w:r>
    </w:p>
    <w:p w14:paraId="73C00633" w14:textId="77777777" w:rsidR="00BA1D65" w:rsidRPr="00CB1038" w:rsidRDefault="00BA1D65" w:rsidP="007505A0">
      <w:pPr>
        <w:pStyle w:val="Heading3"/>
        <w:spacing w:line="276" w:lineRule="auto"/>
      </w:pPr>
      <w:bookmarkStart w:id="122" w:name="_Toc79159904"/>
      <w:bookmarkStart w:id="123" w:name="_Toc137036650"/>
      <w:r w:rsidRPr="00CB1038">
        <w:t>C.2.2</w:t>
      </w:r>
      <w:r w:rsidRPr="00CB1038">
        <w:tab/>
        <w:t>Amount to be transferred</w:t>
      </w:r>
      <w:bookmarkEnd w:id="122"/>
      <w:bookmarkEnd w:id="123"/>
    </w:p>
    <w:p w14:paraId="1EF746EE" w14:textId="456540C6" w:rsidR="00BA1D65" w:rsidRPr="007505A0" w:rsidRDefault="00BA1D65" w:rsidP="007505A0">
      <w:pPr>
        <w:spacing w:after="120" w:line="276" w:lineRule="auto"/>
        <w:jc w:val="both"/>
        <w:rPr>
          <w:sz w:val="22"/>
          <w:szCs w:val="22"/>
        </w:rPr>
      </w:pPr>
      <w:r w:rsidRPr="007505A0">
        <w:rPr>
          <w:sz w:val="22"/>
          <w:szCs w:val="22"/>
        </w:rPr>
        <w:t xml:space="preserve">The amount to be transferred is a culmination of an employee’s annual leave entitlement and long service leave entitlement as reflected in the </w:t>
      </w:r>
      <w:r w:rsidR="00333A49">
        <w:rPr>
          <w:sz w:val="22"/>
          <w:szCs w:val="22"/>
        </w:rPr>
        <w:t>directorate’s</w:t>
      </w:r>
      <w:r w:rsidRPr="007505A0">
        <w:rPr>
          <w:sz w:val="22"/>
          <w:szCs w:val="22"/>
        </w:rPr>
        <w:t xml:space="preserve"> books on the employees last date of service with that </w:t>
      </w:r>
      <w:r w:rsidR="00333A49">
        <w:rPr>
          <w:sz w:val="22"/>
          <w:szCs w:val="22"/>
        </w:rPr>
        <w:t>directorate</w:t>
      </w:r>
      <w:r w:rsidRPr="007505A0">
        <w:rPr>
          <w:sz w:val="22"/>
          <w:szCs w:val="22"/>
        </w:rPr>
        <w:t>.</w:t>
      </w:r>
    </w:p>
    <w:p w14:paraId="4302A0BF" w14:textId="226EBE1D" w:rsidR="00BA1D65" w:rsidRPr="007505A0" w:rsidRDefault="00BA1D65" w:rsidP="007505A0">
      <w:pPr>
        <w:spacing w:after="120" w:line="276" w:lineRule="auto"/>
        <w:jc w:val="both"/>
        <w:rPr>
          <w:sz w:val="22"/>
          <w:szCs w:val="22"/>
        </w:rPr>
      </w:pPr>
      <w:r w:rsidRPr="007505A0">
        <w:rPr>
          <w:sz w:val="22"/>
          <w:szCs w:val="22"/>
        </w:rPr>
        <w:t xml:space="preserve">In relation to the annual leave, all applicable on-costs should also be included. Please refer to </w:t>
      </w:r>
      <w:r w:rsidRPr="00A1772C">
        <w:rPr>
          <w:bCs/>
          <w:i/>
          <w:iCs/>
          <w:sz w:val="22"/>
          <w:szCs w:val="22"/>
        </w:rPr>
        <w:t>Attachment B</w:t>
      </w:r>
      <w:r w:rsidRPr="007505A0">
        <w:rPr>
          <w:sz w:val="22"/>
          <w:szCs w:val="22"/>
        </w:rPr>
        <w:t xml:space="preserve"> annual leave liability table. The amount to be passed onto the </w:t>
      </w:r>
      <w:r w:rsidR="00333A49">
        <w:rPr>
          <w:sz w:val="22"/>
          <w:szCs w:val="22"/>
        </w:rPr>
        <w:t xml:space="preserve">smaller agency </w:t>
      </w:r>
      <w:r w:rsidRPr="007505A0">
        <w:rPr>
          <w:sz w:val="22"/>
          <w:szCs w:val="22"/>
        </w:rPr>
        <w:t>would be the amount appearing in column H.</w:t>
      </w:r>
    </w:p>
    <w:p w14:paraId="56DD9C4C" w14:textId="1B00EB29" w:rsidR="00BA1D65" w:rsidRPr="007505A0" w:rsidRDefault="00BA1D65" w:rsidP="007505A0">
      <w:pPr>
        <w:spacing w:after="120" w:line="276" w:lineRule="auto"/>
        <w:jc w:val="both"/>
        <w:rPr>
          <w:sz w:val="22"/>
          <w:szCs w:val="22"/>
        </w:rPr>
      </w:pPr>
      <w:r w:rsidRPr="007505A0">
        <w:rPr>
          <w:sz w:val="22"/>
          <w:szCs w:val="22"/>
        </w:rPr>
        <w:t xml:space="preserve">In relation to long service leave component, all applicable probabilities and on-costs should also be included. Please refer to </w:t>
      </w:r>
      <w:r w:rsidRPr="00A1772C">
        <w:rPr>
          <w:bCs/>
          <w:i/>
          <w:iCs/>
          <w:sz w:val="22"/>
          <w:szCs w:val="22"/>
        </w:rPr>
        <w:t>Attachment A</w:t>
      </w:r>
      <w:r w:rsidRPr="007505A0">
        <w:rPr>
          <w:sz w:val="22"/>
          <w:szCs w:val="22"/>
        </w:rPr>
        <w:t xml:space="preserve"> long service leave table.  The amount to be passed onto the </w:t>
      </w:r>
      <w:r w:rsidR="00333A49">
        <w:rPr>
          <w:sz w:val="22"/>
          <w:szCs w:val="22"/>
        </w:rPr>
        <w:t>smaller agency</w:t>
      </w:r>
      <w:r w:rsidRPr="007505A0">
        <w:rPr>
          <w:sz w:val="22"/>
          <w:szCs w:val="22"/>
        </w:rPr>
        <w:t xml:space="preserve"> would be the amount as appearing in column L. The long service leave component is payable for all employees, including those with less than 6 years of service (as these figures are adjusted for the probability of whether the employee will stay on until long service leave vests).</w:t>
      </w:r>
    </w:p>
    <w:p w14:paraId="417EA2EE" w14:textId="77777777" w:rsidR="00BA1D65" w:rsidRPr="00CB1038" w:rsidRDefault="00BA1D65" w:rsidP="007505A0">
      <w:pPr>
        <w:pStyle w:val="Heading3"/>
        <w:spacing w:line="276" w:lineRule="auto"/>
      </w:pPr>
      <w:bookmarkStart w:id="124" w:name="_Toc79159905"/>
      <w:bookmarkStart w:id="125" w:name="_Toc137036651"/>
      <w:r w:rsidRPr="00CB1038">
        <w:lastRenderedPageBreak/>
        <w:t>C.2.3</w:t>
      </w:r>
      <w:r w:rsidRPr="00CB1038">
        <w:tab/>
        <w:t>Timing and Method of Payment</w:t>
      </w:r>
      <w:bookmarkEnd w:id="124"/>
      <w:bookmarkEnd w:id="125"/>
    </w:p>
    <w:p w14:paraId="323D620C" w14:textId="57A6CDB7" w:rsidR="00BA1D65" w:rsidRDefault="00BA1D65" w:rsidP="00094B21">
      <w:pPr>
        <w:spacing w:after="120" w:line="276" w:lineRule="auto"/>
        <w:jc w:val="both"/>
        <w:rPr>
          <w:sz w:val="22"/>
          <w:szCs w:val="22"/>
        </w:rPr>
      </w:pPr>
      <w:r w:rsidRPr="007505A0">
        <w:rPr>
          <w:sz w:val="22"/>
          <w:szCs w:val="22"/>
        </w:rPr>
        <w:t xml:space="preserve">Upon an employee becoming a permanent employee within a </w:t>
      </w:r>
      <w:r w:rsidR="00333A49">
        <w:rPr>
          <w:sz w:val="22"/>
          <w:szCs w:val="22"/>
        </w:rPr>
        <w:t>smaller agency</w:t>
      </w:r>
      <w:r w:rsidRPr="007505A0">
        <w:rPr>
          <w:sz w:val="22"/>
          <w:szCs w:val="22"/>
        </w:rPr>
        <w:t xml:space="preserve">, the </w:t>
      </w:r>
      <w:r w:rsidR="00333A49">
        <w:rPr>
          <w:sz w:val="22"/>
          <w:szCs w:val="22"/>
        </w:rPr>
        <w:t>smaller agency</w:t>
      </w:r>
      <w:r w:rsidRPr="007505A0">
        <w:rPr>
          <w:sz w:val="22"/>
          <w:szCs w:val="22"/>
        </w:rPr>
        <w:t xml:space="preserve"> shall issue a tax invoice to the </w:t>
      </w:r>
      <w:r w:rsidR="00333A49">
        <w:rPr>
          <w:sz w:val="22"/>
          <w:szCs w:val="22"/>
        </w:rPr>
        <w:t>directorate</w:t>
      </w:r>
      <w:r w:rsidRPr="007505A0">
        <w:rPr>
          <w:sz w:val="22"/>
          <w:szCs w:val="22"/>
        </w:rPr>
        <w:t>. This invoice shall be paid promptly in accordance with ACT Government policy.</w:t>
      </w:r>
    </w:p>
    <w:p w14:paraId="626FDF6D" w14:textId="508D1C60" w:rsidR="007505A0" w:rsidRDefault="007505A0" w:rsidP="00094B21">
      <w:pPr>
        <w:spacing w:after="120" w:line="276" w:lineRule="auto"/>
        <w:jc w:val="both"/>
        <w:rPr>
          <w:sz w:val="22"/>
          <w:szCs w:val="22"/>
        </w:rPr>
      </w:pPr>
    </w:p>
    <w:p w14:paraId="5086712E" w14:textId="3253D5E1" w:rsidR="007505A0" w:rsidRDefault="007505A0" w:rsidP="00094B21">
      <w:pPr>
        <w:spacing w:after="120" w:line="276" w:lineRule="auto"/>
        <w:jc w:val="both"/>
        <w:rPr>
          <w:sz w:val="22"/>
          <w:szCs w:val="22"/>
        </w:rPr>
      </w:pPr>
    </w:p>
    <w:p w14:paraId="5540E637" w14:textId="3E089E1A" w:rsidR="007505A0" w:rsidRDefault="007505A0" w:rsidP="00094B21">
      <w:pPr>
        <w:spacing w:after="120" w:line="276" w:lineRule="auto"/>
        <w:jc w:val="both"/>
        <w:rPr>
          <w:sz w:val="22"/>
          <w:szCs w:val="22"/>
        </w:rPr>
      </w:pPr>
    </w:p>
    <w:p w14:paraId="6BA60F07" w14:textId="64567C82" w:rsidR="007505A0" w:rsidRDefault="007505A0" w:rsidP="00094B21">
      <w:pPr>
        <w:spacing w:after="120" w:line="276" w:lineRule="auto"/>
        <w:jc w:val="both"/>
        <w:rPr>
          <w:sz w:val="22"/>
          <w:szCs w:val="22"/>
        </w:rPr>
      </w:pPr>
    </w:p>
    <w:p w14:paraId="67FD20CC" w14:textId="77777777" w:rsidR="007505A0" w:rsidRDefault="007505A0" w:rsidP="00094B21">
      <w:pPr>
        <w:spacing w:after="120" w:line="276" w:lineRule="auto"/>
        <w:jc w:val="both"/>
        <w:rPr>
          <w:sz w:val="22"/>
          <w:szCs w:val="22"/>
        </w:rPr>
        <w:sectPr w:rsidR="007505A0" w:rsidSect="000715C4">
          <w:headerReference w:type="default" r:id="rId22"/>
          <w:footerReference w:type="default" r:id="rId23"/>
          <w:pgSz w:w="11906" w:h="16838" w:code="9"/>
          <w:pgMar w:top="1276" w:right="1418" w:bottom="993" w:left="1418" w:header="567" w:footer="184" w:gutter="0"/>
          <w:cols w:space="708"/>
          <w:docGrid w:linePitch="360"/>
        </w:sectPr>
      </w:pPr>
    </w:p>
    <w:p w14:paraId="7B250703" w14:textId="7AED7F40" w:rsidR="00BA1D65" w:rsidRPr="00CB1038" w:rsidRDefault="00BA1D65" w:rsidP="007505A0">
      <w:pPr>
        <w:pStyle w:val="Heading1"/>
        <w:numPr>
          <w:ilvl w:val="0"/>
          <w:numId w:val="0"/>
        </w:numPr>
        <w:jc w:val="both"/>
        <w:rPr>
          <w:lang w:val="en-US"/>
        </w:rPr>
      </w:pPr>
      <w:bookmarkStart w:id="126" w:name="_Toc79159906"/>
      <w:bookmarkStart w:id="127" w:name="_Toc137036652"/>
      <w:r w:rsidRPr="007505A0">
        <w:rPr>
          <w:lang w:val="en-US"/>
        </w:rPr>
        <w:lastRenderedPageBreak/>
        <w:t>ATTACHMENT D – Sample form Transfer of Employee benefits to</w:t>
      </w:r>
      <w:r w:rsidR="00333A49">
        <w:rPr>
          <w:lang w:val="en-US"/>
        </w:rPr>
        <w:t xml:space="preserve"> </w:t>
      </w:r>
      <w:r w:rsidRPr="007505A0">
        <w:rPr>
          <w:lang w:val="en-US"/>
        </w:rPr>
        <w:t xml:space="preserve">a </w:t>
      </w:r>
      <w:r w:rsidR="00333A49">
        <w:rPr>
          <w:lang w:val="en-US"/>
        </w:rPr>
        <w:t>Smaller Agency</w:t>
      </w:r>
      <w:bookmarkEnd w:id="126"/>
      <w:bookmarkEnd w:id="127"/>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
        <w:gridCol w:w="2813"/>
        <w:gridCol w:w="1205"/>
        <w:gridCol w:w="709"/>
        <w:gridCol w:w="1275"/>
        <w:gridCol w:w="48"/>
        <w:gridCol w:w="803"/>
        <w:gridCol w:w="850"/>
      </w:tblGrid>
      <w:tr w:rsidR="00BA1D65" w:rsidRPr="00CB1038" w14:paraId="40B70FCE" w14:textId="77777777" w:rsidTr="0018041B">
        <w:tc>
          <w:tcPr>
            <w:tcW w:w="9526" w:type="dxa"/>
            <w:gridSpan w:val="9"/>
            <w:shd w:val="clear" w:color="auto" w:fill="auto"/>
          </w:tcPr>
          <w:p w14:paraId="2F35DEF4" w14:textId="77777777" w:rsidR="00BA1D65" w:rsidRPr="00DE3D40" w:rsidRDefault="00BA1D65" w:rsidP="0018041B">
            <w:pPr>
              <w:rPr>
                <w:b/>
                <w:sz w:val="24"/>
                <w:szCs w:val="24"/>
              </w:rPr>
            </w:pPr>
            <w:r w:rsidRPr="00DE3D40">
              <w:rPr>
                <w:b/>
                <w:sz w:val="24"/>
                <w:szCs w:val="24"/>
              </w:rPr>
              <w:t>Part A – LOSING MANAGER TO COMPLETE</w:t>
            </w:r>
          </w:p>
        </w:tc>
      </w:tr>
      <w:tr w:rsidR="00BA1D65" w:rsidRPr="00CB1038" w14:paraId="73FD682F" w14:textId="77777777" w:rsidTr="0018041B">
        <w:trPr>
          <w:trHeight w:val="361"/>
        </w:trPr>
        <w:tc>
          <w:tcPr>
            <w:tcW w:w="1809" w:type="dxa"/>
          </w:tcPr>
          <w:p w14:paraId="49E63185" w14:textId="77777777" w:rsidR="00BA1D65" w:rsidRPr="00CB1038" w:rsidRDefault="00BA1D65" w:rsidP="0018041B">
            <w:r w:rsidRPr="00CB1038">
              <w:rPr>
                <w:b/>
                <w:bCs/>
              </w:rPr>
              <w:t>Employee name:</w:t>
            </w:r>
          </w:p>
        </w:tc>
        <w:tc>
          <w:tcPr>
            <w:tcW w:w="2827" w:type="dxa"/>
            <w:gridSpan w:val="2"/>
          </w:tcPr>
          <w:p w14:paraId="1F06936F" w14:textId="77777777" w:rsidR="00BA1D65" w:rsidRPr="00CB1038" w:rsidRDefault="00BA1D65" w:rsidP="0018041B">
            <w:r w:rsidRPr="00CB1038">
              <w:fldChar w:fldCharType="begin">
                <w:ffData>
                  <w:name w:val="Text57"/>
                  <w:enabled/>
                  <w:calcOnExit w:val="0"/>
                  <w:textInput/>
                </w:ffData>
              </w:fldChar>
            </w:r>
            <w:bookmarkStart w:id="128" w:name="Text57"/>
            <w:r w:rsidRPr="00CB1038">
              <w:instrText xml:space="preserve"> FORMTEXT </w:instrText>
            </w:r>
            <w:r w:rsidRPr="00CB1038">
              <w:fldChar w:fldCharType="separate"/>
            </w:r>
            <w:r w:rsidRPr="00CB1038">
              <w:t> </w:t>
            </w:r>
            <w:r w:rsidRPr="00CB1038">
              <w:t> </w:t>
            </w:r>
            <w:r w:rsidRPr="00CB1038">
              <w:t> </w:t>
            </w:r>
            <w:r w:rsidRPr="00CB1038">
              <w:t> </w:t>
            </w:r>
            <w:r w:rsidRPr="00CB1038">
              <w:t> </w:t>
            </w:r>
            <w:r w:rsidRPr="00CB1038">
              <w:fldChar w:fldCharType="end"/>
            </w:r>
            <w:bookmarkEnd w:id="128"/>
          </w:p>
        </w:tc>
        <w:tc>
          <w:tcPr>
            <w:tcW w:w="1914" w:type="dxa"/>
            <w:gridSpan w:val="2"/>
          </w:tcPr>
          <w:p w14:paraId="5A52D42D" w14:textId="77777777" w:rsidR="00BA1D65" w:rsidRPr="00CB1038" w:rsidRDefault="00BA1D65" w:rsidP="0018041B">
            <w:r w:rsidRPr="00CB1038">
              <w:rPr>
                <w:b/>
              </w:rPr>
              <w:t>From Pos</w:t>
            </w:r>
            <w:r>
              <w:rPr>
                <w:b/>
              </w:rPr>
              <w:t>ition</w:t>
            </w:r>
            <w:r w:rsidRPr="00CB1038">
              <w:rPr>
                <w:b/>
              </w:rPr>
              <w:t xml:space="preserve"> No:</w:t>
            </w:r>
          </w:p>
        </w:tc>
        <w:tc>
          <w:tcPr>
            <w:tcW w:w="1323" w:type="dxa"/>
            <w:gridSpan w:val="2"/>
          </w:tcPr>
          <w:p w14:paraId="36A2ADCC" w14:textId="77777777" w:rsidR="00BA1D65" w:rsidRPr="00CB1038" w:rsidRDefault="00BA1D65" w:rsidP="0018041B">
            <w:r w:rsidRPr="00CB1038">
              <w:fldChar w:fldCharType="begin">
                <w:ffData>
                  <w:name w:val="Text61"/>
                  <w:enabled/>
                  <w:calcOnExit w:val="0"/>
                  <w:textInput/>
                </w:ffData>
              </w:fldChar>
            </w:r>
            <w:bookmarkStart w:id="129" w:name="Text61"/>
            <w:r w:rsidRPr="00CB1038">
              <w:instrText xml:space="preserve"> FORMTEXT </w:instrText>
            </w:r>
            <w:r w:rsidRPr="00CB1038">
              <w:fldChar w:fldCharType="separate"/>
            </w:r>
            <w:r w:rsidRPr="00CB1038">
              <w:t> </w:t>
            </w:r>
            <w:r w:rsidRPr="00CB1038">
              <w:t> </w:t>
            </w:r>
            <w:r w:rsidRPr="00CB1038">
              <w:t> </w:t>
            </w:r>
            <w:r w:rsidRPr="00CB1038">
              <w:t> </w:t>
            </w:r>
            <w:r w:rsidRPr="00CB1038">
              <w:t> </w:t>
            </w:r>
            <w:r w:rsidRPr="00CB1038">
              <w:fldChar w:fldCharType="end"/>
            </w:r>
            <w:bookmarkEnd w:id="129"/>
          </w:p>
        </w:tc>
        <w:tc>
          <w:tcPr>
            <w:tcW w:w="803" w:type="dxa"/>
            <w:shd w:val="clear" w:color="auto" w:fill="auto"/>
          </w:tcPr>
          <w:p w14:paraId="19F230B8" w14:textId="77777777" w:rsidR="00BA1D65" w:rsidRPr="00CB1038" w:rsidRDefault="00BA1D65" w:rsidP="0018041B">
            <w:r w:rsidRPr="00CB1038">
              <w:rPr>
                <w:b/>
                <w:bCs/>
              </w:rPr>
              <w:t>Hours per week:</w:t>
            </w:r>
            <w:r w:rsidRPr="00CB1038">
              <w:t xml:space="preserve"> </w:t>
            </w:r>
          </w:p>
        </w:tc>
        <w:tc>
          <w:tcPr>
            <w:tcW w:w="850" w:type="dxa"/>
          </w:tcPr>
          <w:p w14:paraId="7B43D2DD" w14:textId="77777777" w:rsidR="00BA1D65" w:rsidRPr="00CB1038" w:rsidRDefault="00BA1D65" w:rsidP="0018041B">
            <w:r w:rsidRPr="00CB1038">
              <w:fldChar w:fldCharType="begin">
                <w:ffData>
                  <w:name w:val="Text61"/>
                  <w:enabled/>
                  <w:calcOnExit w:val="0"/>
                  <w:textInput/>
                </w:ffData>
              </w:fldChar>
            </w:r>
            <w:r w:rsidRPr="00CB1038">
              <w:instrText xml:space="preserve"> FORMTEXT </w:instrText>
            </w:r>
            <w:r w:rsidRPr="00CB1038">
              <w:fldChar w:fldCharType="separate"/>
            </w:r>
            <w:r w:rsidRPr="00CB1038">
              <w:t> </w:t>
            </w:r>
            <w:r w:rsidRPr="00CB1038">
              <w:t> </w:t>
            </w:r>
            <w:r w:rsidRPr="00CB1038">
              <w:t> </w:t>
            </w:r>
            <w:r w:rsidRPr="00CB1038">
              <w:t> </w:t>
            </w:r>
            <w:r w:rsidRPr="00CB1038">
              <w:t> </w:t>
            </w:r>
            <w:r w:rsidRPr="00CB1038">
              <w:fldChar w:fldCharType="end"/>
            </w:r>
          </w:p>
        </w:tc>
      </w:tr>
      <w:tr w:rsidR="00BA1D65" w:rsidRPr="00CB1038" w14:paraId="01FB98C1" w14:textId="77777777" w:rsidTr="0018041B">
        <w:trPr>
          <w:cantSplit/>
        </w:trPr>
        <w:tc>
          <w:tcPr>
            <w:tcW w:w="1809" w:type="dxa"/>
          </w:tcPr>
          <w:p w14:paraId="5B92D5AC" w14:textId="77777777" w:rsidR="00BA1D65" w:rsidRPr="00CB1038" w:rsidRDefault="00BA1D65" w:rsidP="0018041B">
            <w:r w:rsidRPr="00CB1038">
              <w:rPr>
                <w:b/>
              </w:rPr>
              <w:t>Classification:</w:t>
            </w:r>
          </w:p>
        </w:tc>
        <w:tc>
          <w:tcPr>
            <w:tcW w:w="2827" w:type="dxa"/>
            <w:gridSpan w:val="2"/>
          </w:tcPr>
          <w:p w14:paraId="2B1C1867" w14:textId="77777777" w:rsidR="00BA1D65" w:rsidRPr="00CB1038" w:rsidRDefault="00BA1D65" w:rsidP="0018041B">
            <w:r w:rsidRPr="00CB1038">
              <w:fldChar w:fldCharType="begin">
                <w:ffData>
                  <w:name w:val="Text58"/>
                  <w:enabled/>
                  <w:calcOnExit w:val="0"/>
                  <w:textInput/>
                </w:ffData>
              </w:fldChar>
            </w:r>
            <w:bookmarkStart w:id="130" w:name="Text58"/>
            <w:r w:rsidRPr="00CB1038">
              <w:instrText xml:space="preserve"> FORMTEXT </w:instrText>
            </w:r>
            <w:r w:rsidRPr="00CB1038">
              <w:fldChar w:fldCharType="separate"/>
            </w:r>
            <w:r w:rsidRPr="00CB1038">
              <w:t> </w:t>
            </w:r>
            <w:r w:rsidRPr="00CB1038">
              <w:t> </w:t>
            </w:r>
            <w:r w:rsidRPr="00CB1038">
              <w:t> </w:t>
            </w:r>
            <w:r w:rsidRPr="00CB1038">
              <w:t> </w:t>
            </w:r>
            <w:r w:rsidRPr="00CB1038">
              <w:t> </w:t>
            </w:r>
            <w:r w:rsidRPr="00CB1038">
              <w:fldChar w:fldCharType="end"/>
            </w:r>
            <w:bookmarkEnd w:id="130"/>
          </w:p>
        </w:tc>
        <w:tc>
          <w:tcPr>
            <w:tcW w:w="1914" w:type="dxa"/>
            <w:gridSpan w:val="2"/>
          </w:tcPr>
          <w:p w14:paraId="6FE0F6FD" w14:textId="77777777" w:rsidR="00BA1D65" w:rsidRPr="00CB1038" w:rsidRDefault="00BA1D65" w:rsidP="0018041B">
            <w:r w:rsidRPr="00CB1038">
              <w:rPr>
                <w:b/>
              </w:rPr>
              <w:t>Division:</w:t>
            </w:r>
          </w:p>
        </w:tc>
        <w:tc>
          <w:tcPr>
            <w:tcW w:w="2976" w:type="dxa"/>
            <w:gridSpan w:val="4"/>
          </w:tcPr>
          <w:p w14:paraId="2470445E" w14:textId="77777777" w:rsidR="00BA1D65" w:rsidRPr="00CB1038" w:rsidRDefault="00BA1D65" w:rsidP="0018041B">
            <w:r w:rsidRPr="00CB1038">
              <w:fldChar w:fldCharType="begin">
                <w:ffData>
                  <w:name w:val="Text65"/>
                  <w:enabled/>
                  <w:calcOnExit w:val="0"/>
                  <w:textInput/>
                </w:ffData>
              </w:fldChar>
            </w:r>
            <w:bookmarkStart w:id="131" w:name="Text65"/>
            <w:r w:rsidRPr="00CB1038">
              <w:instrText xml:space="preserve"> FORMTEXT </w:instrText>
            </w:r>
            <w:r w:rsidRPr="00CB1038">
              <w:fldChar w:fldCharType="separate"/>
            </w:r>
            <w:r w:rsidRPr="00CB1038">
              <w:t> </w:t>
            </w:r>
            <w:r w:rsidRPr="00CB1038">
              <w:t> </w:t>
            </w:r>
            <w:r w:rsidRPr="00CB1038">
              <w:t> </w:t>
            </w:r>
            <w:r w:rsidRPr="00CB1038">
              <w:t> </w:t>
            </w:r>
            <w:r w:rsidRPr="00CB1038">
              <w:t> </w:t>
            </w:r>
            <w:r w:rsidRPr="00CB1038">
              <w:fldChar w:fldCharType="end"/>
            </w:r>
            <w:bookmarkEnd w:id="131"/>
          </w:p>
        </w:tc>
      </w:tr>
      <w:tr w:rsidR="00BA1D65" w:rsidRPr="00CB1038" w14:paraId="053C5AB3" w14:textId="77777777" w:rsidTr="0018041B">
        <w:trPr>
          <w:cantSplit/>
          <w:trHeight w:val="377"/>
        </w:trPr>
        <w:tc>
          <w:tcPr>
            <w:tcW w:w="1809" w:type="dxa"/>
          </w:tcPr>
          <w:p w14:paraId="2C1FC5FB" w14:textId="77777777" w:rsidR="00BA1D65" w:rsidRPr="00CB1038" w:rsidRDefault="00BA1D65" w:rsidP="0018041B">
            <w:r w:rsidRPr="00CB1038">
              <w:rPr>
                <w:b/>
              </w:rPr>
              <w:t>Branch:</w:t>
            </w:r>
          </w:p>
        </w:tc>
        <w:tc>
          <w:tcPr>
            <w:tcW w:w="2827" w:type="dxa"/>
            <w:gridSpan w:val="2"/>
          </w:tcPr>
          <w:p w14:paraId="59FB0BEC" w14:textId="77777777" w:rsidR="00BA1D65" w:rsidRPr="00CB1038" w:rsidRDefault="00BA1D65" w:rsidP="0018041B">
            <w:r w:rsidRPr="00CB1038">
              <w:fldChar w:fldCharType="begin">
                <w:ffData>
                  <w:name w:val="Text65"/>
                  <w:enabled/>
                  <w:calcOnExit w:val="0"/>
                  <w:textInput/>
                </w:ffData>
              </w:fldChar>
            </w:r>
            <w:r w:rsidRPr="00CB1038">
              <w:instrText xml:space="preserve"> FORMTEXT </w:instrText>
            </w:r>
            <w:r w:rsidRPr="00CB1038">
              <w:fldChar w:fldCharType="separate"/>
            </w:r>
            <w:r w:rsidRPr="00CB1038">
              <w:t> </w:t>
            </w:r>
            <w:r w:rsidRPr="00CB1038">
              <w:t> </w:t>
            </w:r>
            <w:r w:rsidRPr="00CB1038">
              <w:t> </w:t>
            </w:r>
            <w:r w:rsidRPr="00CB1038">
              <w:t> </w:t>
            </w:r>
            <w:r w:rsidRPr="00CB1038">
              <w:t> </w:t>
            </w:r>
            <w:r w:rsidRPr="00CB1038">
              <w:fldChar w:fldCharType="end"/>
            </w:r>
          </w:p>
        </w:tc>
        <w:tc>
          <w:tcPr>
            <w:tcW w:w="1914" w:type="dxa"/>
            <w:gridSpan w:val="2"/>
          </w:tcPr>
          <w:p w14:paraId="0F053022" w14:textId="77777777" w:rsidR="00BA1D65" w:rsidRPr="00CB1038" w:rsidRDefault="00BA1D65" w:rsidP="0018041B">
            <w:r w:rsidRPr="00CB1038">
              <w:rPr>
                <w:b/>
              </w:rPr>
              <w:t>Directorate:</w:t>
            </w:r>
          </w:p>
        </w:tc>
        <w:tc>
          <w:tcPr>
            <w:tcW w:w="2976" w:type="dxa"/>
            <w:gridSpan w:val="4"/>
          </w:tcPr>
          <w:p w14:paraId="55144232" w14:textId="77777777" w:rsidR="00BA1D65" w:rsidRPr="00CB1038" w:rsidRDefault="00BA1D65" w:rsidP="0018041B">
            <w:r w:rsidRPr="00CB1038">
              <w:fldChar w:fldCharType="begin">
                <w:ffData>
                  <w:name w:val="Text65"/>
                  <w:enabled/>
                  <w:calcOnExit w:val="0"/>
                  <w:textInput/>
                </w:ffData>
              </w:fldChar>
            </w:r>
            <w:r w:rsidRPr="00CB1038">
              <w:instrText xml:space="preserve"> FORMTEXT </w:instrText>
            </w:r>
            <w:r w:rsidRPr="00CB1038">
              <w:fldChar w:fldCharType="separate"/>
            </w:r>
            <w:r w:rsidRPr="00CB1038">
              <w:t> </w:t>
            </w:r>
            <w:r w:rsidRPr="00CB1038">
              <w:t> </w:t>
            </w:r>
            <w:r w:rsidRPr="00CB1038">
              <w:t> </w:t>
            </w:r>
            <w:r w:rsidRPr="00CB1038">
              <w:t> </w:t>
            </w:r>
            <w:r w:rsidRPr="00CB1038">
              <w:t> </w:t>
            </w:r>
            <w:r w:rsidRPr="00CB1038">
              <w:fldChar w:fldCharType="end"/>
            </w:r>
          </w:p>
        </w:tc>
      </w:tr>
      <w:tr w:rsidR="00BA1D65" w:rsidRPr="00CB1038" w14:paraId="31D2F537" w14:textId="77777777" w:rsidTr="0018041B">
        <w:trPr>
          <w:cantSplit/>
          <w:trHeight w:val="925"/>
        </w:trPr>
        <w:tc>
          <w:tcPr>
            <w:tcW w:w="9526" w:type="dxa"/>
            <w:gridSpan w:val="9"/>
            <w:tcBorders>
              <w:bottom w:val="single" w:sz="4" w:space="0" w:color="auto"/>
            </w:tcBorders>
          </w:tcPr>
          <w:p w14:paraId="77703308" w14:textId="26C4650E" w:rsidR="00BA1D65" w:rsidRPr="00CB1038" w:rsidRDefault="00BA1D65" w:rsidP="0018041B">
            <w:r w:rsidRPr="00CB1038">
              <w:br/>
            </w:r>
            <w:r w:rsidRPr="00CB1038">
              <w:fldChar w:fldCharType="begin">
                <w:ffData>
                  <w:name w:val="Check1"/>
                  <w:enabled/>
                  <w:calcOnExit w:val="0"/>
                  <w:checkBox>
                    <w:sizeAuto/>
                    <w:default w:val="0"/>
                  </w:checkBox>
                </w:ffData>
              </w:fldChar>
            </w:r>
            <w:bookmarkStart w:id="132" w:name="Check1"/>
            <w:r w:rsidRPr="00CB1038">
              <w:instrText xml:space="preserve"> FORMCHECKBOX </w:instrText>
            </w:r>
            <w:r w:rsidR="006C77E2">
              <w:fldChar w:fldCharType="separate"/>
            </w:r>
            <w:r w:rsidRPr="00CB1038">
              <w:fldChar w:fldCharType="end"/>
            </w:r>
            <w:bookmarkEnd w:id="132"/>
            <w:r w:rsidRPr="00CB1038">
              <w:t xml:space="preserve">  I authorise payroll to provide the employee benefits accrued to _____________ (insert final date of employment)</w:t>
            </w:r>
            <w:r>
              <w:t xml:space="preserve"> </w:t>
            </w:r>
            <w:r w:rsidRPr="00CB1038">
              <w:t xml:space="preserve">to _________________________________ (insert </w:t>
            </w:r>
            <w:r w:rsidR="00333A49">
              <w:t>smaller agency name</w:t>
            </w:r>
            <w:r>
              <w:t>).</w:t>
            </w:r>
            <w:r w:rsidRPr="00CB1038">
              <w:br/>
            </w:r>
            <w:r>
              <w:rPr>
                <w:b/>
              </w:rPr>
              <w:t>AND/OR</w:t>
            </w:r>
            <w:r w:rsidRPr="00CB1038">
              <w:br/>
            </w:r>
            <w:r w:rsidRPr="00CB1038">
              <w:fldChar w:fldCharType="begin">
                <w:ffData>
                  <w:name w:val="Check1"/>
                  <w:enabled/>
                  <w:calcOnExit w:val="0"/>
                  <w:checkBox>
                    <w:sizeAuto/>
                    <w:default w:val="0"/>
                  </w:checkBox>
                </w:ffData>
              </w:fldChar>
            </w:r>
            <w:r w:rsidRPr="00CB1038">
              <w:instrText xml:space="preserve"> FORMCHECKBOX </w:instrText>
            </w:r>
            <w:r w:rsidR="006C77E2">
              <w:fldChar w:fldCharType="separate"/>
            </w:r>
            <w:r w:rsidRPr="00CB1038">
              <w:fldChar w:fldCharType="end"/>
            </w:r>
            <w:r w:rsidRPr="00CB1038">
              <w:t xml:space="preserve">  Please provide the employee benefits accrued to _____________ (i</w:t>
            </w:r>
            <w:r>
              <w:t xml:space="preserve">nsert final date of employment) </w:t>
            </w:r>
            <w:r w:rsidRPr="00CB1038">
              <w:t xml:space="preserve">to _________________________________ (insert name/position of person in current </w:t>
            </w:r>
            <w:r w:rsidR="00333A49">
              <w:t>Directorate</w:t>
            </w:r>
            <w:r w:rsidRPr="00CB1038">
              <w:t>).</w:t>
            </w:r>
          </w:p>
          <w:p w14:paraId="2662A7FA" w14:textId="77777777" w:rsidR="00BA1D65" w:rsidRPr="00CB1038" w:rsidRDefault="00BA1D65" w:rsidP="0018041B"/>
        </w:tc>
      </w:tr>
      <w:tr w:rsidR="00BA1D65" w:rsidRPr="00CB1038" w14:paraId="6BBBDD4F" w14:textId="77777777" w:rsidTr="0018041B">
        <w:trPr>
          <w:cantSplit/>
          <w:trHeight w:val="925"/>
        </w:trPr>
        <w:tc>
          <w:tcPr>
            <w:tcW w:w="1809" w:type="dxa"/>
            <w:tcBorders>
              <w:bottom w:val="single" w:sz="4" w:space="0" w:color="auto"/>
            </w:tcBorders>
          </w:tcPr>
          <w:p w14:paraId="05161F31" w14:textId="77777777" w:rsidR="00BA1D65" w:rsidRPr="00CB1038" w:rsidRDefault="00BA1D65" w:rsidP="0018041B">
            <w:pPr>
              <w:rPr>
                <w:b/>
                <w:bCs/>
              </w:rPr>
            </w:pPr>
            <w:r w:rsidRPr="00CB1038">
              <w:rPr>
                <w:b/>
                <w:bCs/>
              </w:rPr>
              <w:t>Losing manager’s name:</w:t>
            </w:r>
          </w:p>
        </w:tc>
        <w:tc>
          <w:tcPr>
            <w:tcW w:w="2827" w:type="dxa"/>
            <w:gridSpan w:val="2"/>
            <w:tcBorders>
              <w:bottom w:val="single" w:sz="4" w:space="0" w:color="auto"/>
            </w:tcBorders>
          </w:tcPr>
          <w:p w14:paraId="3CB756F8" w14:textId="77777777" w:rsidR="00BA1D65" w:rsidRPr="00CB1038" w:rsidRDefault="00BA1D65" w:rsidP="0018041B"/>
        </w:tc>
        <w:tc>
          <w:tcPr>
            <w:tcW w:w="1914" w:type="dxa"/>
            <w:gridSpan w:val="2"/>
            <w:tcBorders>
              <w:bottom w:val="single" w:sz="4" w:space="0" w:color="auto"/>
            </w:tcBorders>
          </w:tcPr>
          <w:p w14:paraId="60903C76" w14:textId="77777777" w:rsidR="00BA1D65" w:rsidRPr="00CB1038" w:rsidRDefault="00BA1D65" w:rsidP="0018041B">
            <w:pPr>
              <w:rPr>
                <w:b/>
                <w:bCs/>
              </w:rPr>
            </w:pPr>
            <w:r w:rsidRPr="00CB1038">
              <w:rPr>
                <w:b/>
                <w:bCs/>
              </w:rPr>
              <w:t>Losing manager’s signature:</w:t>
            </w:r>
          </w:p>
          <w:p w14:paraId="186C68F1" w14:textId="77777777" w:rsidR="00BA1D65" w:rsidRPr="00CB1038" w:rsidRDefault="00BA1D65" w:rsidP="0018041B">
            <w:pPr>
              <w:rPr>
                <w:b/>
                <w:bCs/>
              </w:rPr>
            </w:pPr>
            <w:r w:rsidRPr="00CB1038">
              <w:rPr>
                <w:b/>
                <w:bCs/>
              </w:rPr>
              <w:t>Date:</w:t>
            </w:r>
          </w:p>
        </w:tc>
        <w:tc>
          <w:tcPr>
            <w:tcW w:w="2976" w:type="dxa"/>
            <w:gridSpan w:val="4"/>
            <w:tcBorders>
              <w:bottom w:val="single" w:sz="4" w:space="0" w:color="auto"/>
            </w:tcBorders>
          </w:tcPr>
          <w:p w14:paraId="12029283" w14:textId="77777777" w:rsidR="00BA1D65" w:rsidRPr="00CB1038" w:rsidRDefault="00BA1D65" w:rsidP="0018041B"/>
          <w:p w14:paraId="07BB5E78" w14:textId="77777777" w:rsidR="00BA1D65" w:rsidRPr="00CB1038" w:rsidRDefault="00BA1D65" w:rsidP="0018041B"/>
          <w:p w14:paraId="3A23E1E2" w14:textId="77777777" w:rsidR="00BA1D65" w:rsidRPr="00CB1038" w:rsidRDefault="00BA1D65" w:rsidP="0018041B"/>
          <w:p w14:paraId="0D9D6F19" w14:textId="77777777" w:rsidR="00BA1D65" w:rsidRPr="00CB1038" w:rsidRDefault="00BA1D65" w:rsidP="0018041B">
            <w:r w:rsidRPr="00CB1038">
              <w:fldChar w:fldCharType="begin">
                <w:ffData>
                  <w:name w:val="Text55"/>
                  <w:enabled/>
                  <w:calcOnExit w:val="0"/>
                  <w:textInput>
                    <w:type w:val="number"/>
                    <w:maxLength w:val="2"/>
                  </w:textInput>
                </w:ffData>
              </w:fldChar>
            </w:r>
            <w:r w:rsidRPr="00CB1038">
              <w:instrText xml:space="preserve"> FORMTEXT </w:instrText>
            </w:r>
            <w:r w:rsidRPr="00CB1038">
              <w:fldChar w:fldCharType="separate"/>
            </w:r>
            <w:r w:rsidRPr="00CB1038">
              <w:t> </w:t>
            </w:r>
            <w:r w:rsidRPr="00CB1038">
              <w:t> </w:t>
            </w:r>
            <w:r w:rsidRPr="00CB1038">
              <w:fldChar w:fldCharType="end"/>
            </w:r>
            <w:r w:rsidRPr="00CB1038">
              <w:t xml:space="preserve">  /  </w:t>
            </w:r>
            <w:r w:rsidRPr="00CB1038">
              <w:fldChar w:fldCharType="begin">
                <w:ffData>
                  <w:name w:val="Text55"/>
                  <w:enabled/>
                  <w:calcOnExit w:val="0"/>
                  <w:textInput>
                    <w:type w:val="number"/>
                    <w:maxLength w:val="2"/>
                  </w:textInput>
                </w:ffData>
              </w:fldChar>
            </w:r>
            <w:r w:rsidRPr="00CB1038">
              <w:instrText xml:space="preserve"> FORMTEXT </w:instrText>
            </w:r>
            <w:r w:rsidRPr="00CB1038">
              <w:fldChar w:fldCharType="separate"/>
            </w:r>
            <w:r w:rsidRPr="00CB1038">
              <w:t> </w:t>
            </w:r>
            <w:r w:rsidRPr="00CB1038">
              <w:t> </w:t>
            </w:r>
            <w:r w:rsidRPr="00CB1038">
              <w:fldChar w:fldCharType="end"/>
            </w:r>
            <w:r w:rsidRPr="00CB1038">
              <w:t xml:space="preserve">  /  </w:t>
            </w:r>
            <w:r w:rsidRPr="00CB1038">
              <w:fldChar w:fldCharType="begin">
                <w:ffData>
                  <w:name w:val=""/>
                  <w:enabled/>
                  <w:calcOnExit w:val="0"/>
                  <w:textInput>
                    <w:maxLength w:val="2"/>
                  </w:textInput>
                </w:ffData>
              </w:fldChar>
            </w:r>
            <w:r w:rsidRPr="00CB1038">
              <w:instrText xml:space="preserve"> FORMTEXT </w:instrText>
            </w:r>
            <w:r w:rsidRPr="00CB1038">
              <w:fldChar w:fldCharType="separate"/>
            </w:r>
            <w:r w:rsidRPr="00CB1038">
              <w:t> </w:t>
            </w:r>
            <w:r w:rsidRPr="00CB1038">
              <w:t> </w:t>
            </w:r>
            <w:r w:rsidRPr="00CB1038">
              <w:fldChar w:fldCharType="end"/>
            </w:r>
          </w:p>
        </w:tc>
      </w:tr>
      <w:tr w:rsidR="00BA1D65" w:rsidRPr="00CB1038" w14:paraId="4AFF5C91" w14:textId="77777777" w:rsidTr="0018041B">
        <w:tc>
          <w:tcPr>
            <w:tcW w:w="9526" w:type="dxa"/>
            <w:gridSpan w:val="9"/>
            <w:shd w:val="clear" w:color="auto" w:fill="auto"/>
          </w:tcPr>
          <w:p w14:paraId="212607A1" w14:textId="77777777" w:rsidR="00BA1D65" w:rsidRPr="00350ED9" w:rsidRDefault="00BA1D65" w:rsidP="0018041B">
            <w:pPr>
              <w:rPr>
                <w:b/>
                <w:sz w:val="24"/>
                <w:szCs w:val="24"/>
              </w:rPr>
            </w:pPr>
            <w:r w:rsidRPr="00350ED9">
              <w:rPr>
                <w:b/>
                <w:sz w:val="24"/>
                <w:szCs w:val="24"/>
              </w:rPr>
              <w:t xml:space="preserve">Part B </w:t>
            </w:r>
            <w:r>
              <w:rPr>
                <w:b/>
                <w:sz w:val="24"/>
                <w:szCs w:val="24"/>
              </w:rPr>
              <w:t>–</w:t>
            </w:r>
            <w:r w:rsidRPr="00350ED9">
              <w:rPr>
                <w:b/>
                <w:sz w:val="24"/>
                <w:szCs w:val="24"/>
              </w:rPr>
              <w:t xml:space="preserve"> A</w:t>
            </w:r>
            <w:r>
              <w:rPr>
                <w:b/>
                <w:sz w:val="24"/>
                <w:szCs w:val="24"/>
              </w:rPr>
              <w:t>NNUAL LEAVE</w:t>
            </w:r>
          </w:p>
        </w:tc>
      </w:tr>
      <w:tr w:rsidR="00BA1D65" w:rsidRPr="00CB1038" w14:paraId="0B9DE6AC" w14:textId="77777777" w:rsidTr="0018041B">
        <w:trPr>
          <w:trHeight w:val="570"/>
        </w:trPr>
        <w:tc>
          <w:tcPr>
            <w:tcW w:w="1823" w:type="dxa"/>
            <w:gridSpan w:val="2"/>
            <w:vAlign w:val="center"/>
          </w:tcPr>
          <w:p w14:paraId="418EFF8A" w14:textId="77777777" w:rsidR="00BA1D65" w:rsidRPr="00CB1038" w:rsidRDefault="00BA1D65" w:rsidP="0018041B">
            <w:r w:rsidRPr="00CB1038">
              <w:rPr>
                <w:b/>
              </w:rPr>
              <w:t>Hours Available</w:t>
            </w:r>
          </w:p>
        </w:tc>
        <w:tc>
          <w:tcPr>
            <w:tcW w:w="2813" w:type="dxa"/>
            <w:vAlign w:val="center"/>
          </w:tcPr>
          <w:p w14:paraId="25EE3B4F" w14:textId="77777777" w:rsidR="00BA1D65" w:rsidRPr="00CB1038" w:rsidRDefault="00BA1D65" w:rsidP="0018041B">
            <w:r w:rsidRPr="00CB1038">
              <w:fldChar w:fldCharType="begin">
                <w:ffData>
                  <w:name w:val="Text57"/>
                  <w:enabled/>
                  <w:calcOnExit w:val="0"/>
                  <w:textInput/>
                </w:ffData>
              </w:fldChar>
            </w:r>
            <w:r w:rsidRPr="00CB1038">
              <w:instrText xml:space="preserve"> FORMTEXT </w:instrText>
            </w:r>
            <w:r w:rsidRPr="00CB1038">
              <w:fldChar w:fldCharType="separate"/>
            </w:r>
            <w:r w:rsidRPr="00CB1038">
              <w:t> </w:t>
            </w:r>
            <w:r w:rsidRPr="00CB1038">
              <w:t> </w:t>
            </w:r>
            <w:r w:rsidRPr="00CB1038">
              <w:t> </w:t>
            </w:r>
            <w:r w:rsidRPr="00CB1038">
              <w:t> </w:t>
            </w:r>
            <w:r w:rsidRPr="00CB1038">
              <w:t> </w:t>
            </w:r>
            <w:r w:rsidRPr="00CB1038">
              <w:fldChar w:fldCharType="end"/>
            </w:r>
          </w:p>
        </w:tc>
        <w:tc>
          <w:tcPr>
            <w:tcW w:w="1914" w:type="dxa"/>
            <w:gridSpan w:val="2"/>
            <w:vAlign w:val="center"/>
          </w:tcPr>
          <w:p w14:paraId="3F6607F0" w14:textId="77777777" w:rsidR="00BA1D65" w:rsidRPr="00CB1038" w:rsidRDefault="00BA1D65" w:rsidP="0018041B">
            <w:r w:rsidRPr="00CB1038">
              <w:rPr>
                <w:b/>
                <w:bCs/>
              </w:rPr>
              <w:t>Total $</w:t>
            </w:r>
          </w:p>
        </w:tc>
        <w:tc>
          <w:tcPr>
            <w:tcW w:w="2976" w:type="dxa"/>
            <w:gridSpan w:val="4"/>
            <w:vAlign w:val="center"/>
          </w:tcPr>
          <w:p w14:paraId="484B4B8B" w14:textId="77777777" w:rsidR="00BA1D65" w:rsidRPr="00CB1038" w:rsidRDefault="00BA1D65" w:rsidP="0018041B">
            <w:r w:rsidRPr="00CB1038">
              <w:fldChar w:fldCharType="begin">
                <w:ffData>
                  <w:name w:val="Text65"/>
                  <w:enabled/>
                  <w:calcOnExit w:val="0"/>
                  <w:textInput/>
                </w:ffData>
              </w:fldChar>
            </w:r>
            <w:r w:rsidRPr="00CB1038">
              <w:instrText xml:space="preserve"> FORMTEXT </w:instrText>
            </w:r>
            <w:r w:rsidRPr="00CB1038">
              <w:fldChar w:fldCharType="separate"/>
            </w:r>
            <w:r w:rsidRPr="00CB1038">
              <w:t> </w:t>
            </w:r>
            <w:r w:rsidRPr="00CB1038">
              <w:t> </w:t>
            </w:r>
            <w:r w:rsidRPr="00CB1038">
              <w:t> </w:t>
            </w:r>
            <w:r w:rsidRPr="00CB1038">
              <w:t> </w:t>
            </w:r>
            <w:r w:rsidRPr="00CB1038">
              <w:t> </w:t>
            </w:r>
            <w:r w:rsidRPr="00CB1038">
              <w:fldChar w:fldCharType="end"/>
            </w:r>
          </w:p>
        </w:tc>
      </w:tr>
      <w:tr w:rsidR="00BA1D65" w:rsidRPr="00CB1038" w14:paraId="13C572E6" w14:textId="77777777" w:rsidTr="0018041B">
        <w:trPr>
          <w:trHeight w:val="409"/>
        </w:trPr>
        <w:tc>
          <w:tcPr>
            <w:tcW w:w="1823" w:type="dxa"/>
            <w:gridSpan w:val="2"/>
            <w:tcBorders>
              <w:bottom w:val="single" w:sz="4" w:space="0" w:color="auto"/>
            </w:tcBorders>
            <w:vAlign w:val="center"/>
          </w:tcPr>
          <w:p w14:paraId="43A6F96D" w14:textId="77777777" w:rsidR="00BA1D65" w:rsidRPr="00CB1038" w:rsidRDefault="00BA1D65" w:rsidP="0018041B">
            <w:r w:rsidRPr="00CB1038">
              <w:rPr>
                <w:b/>
              </w:rPr>
              <w:t>Loading hours Available</w:t>
            </w:r>
          </w:p>
        </w:tc>
        <w:tc>
          <w:tcPr>
            <w:tcW w:w="2813" w:type="dxa"/>
            <w:tcBorders>
              <w:bottom w:val="single" w:sz="4" w:space="0" w:color="auto"/>
            </w:tcBorders>
            <w:vAlign w:val="center"/>
          </w:tcPr>
          <w:p w14:paraId="77BB9320" w14:textId="77777777" w:rsidR="00BA1D65" w:rsidRPr="00CB1038" w:rsidRDefault="00BA1D65" w:rsidP="0018041B">
            <w:r w:rsidRPr="00CB1038">
              <w:fldChar w:fldCharType="begin">
                <w:ffData>
                  <w:name w:val="Text65"/>
                  <w:enabled/>
                  <w:calcOnExit w:val="0"/>
                  <w:textInput/>
                </w:ffData>
              </w:fldChar>
            </w:r>
            <w:r w:rsidRPr="00CB1038">
              <w:instrText xml:space="preserve"> FORMTEXT </w:instrText>
            </w:r>
            <w:r w:rsidRPr="00CB1038">
              <w:fldChar w:fldCharType="separate"/>
            </w:r>
            <w:r w:rsidRPr="00CB1038">
              <w:t> </w:t>
            </w:r>
            <w:r w:rsidRPr="00CB1038">
              <w:t> </w:t>
            </w:r>
            <w:r w:rsidRPr="00CB1038">
              <w:t> </w:t>
            </w:r>
            <w:r w:rsidRPr="00CB1038">
              <w:t> </w:t>
            </w:r>
            <w:r w:rsidRPr="00CB1038">
              <w:t> </w:t>
            </w:r>
            <w:r w:rsidRPr="00CB1038">
              <w:fldChar w:fldCharType="end"/>
            </w:r>
          </w:p>
        </w:tc>
        <w:tc>
          <w:tcPr>
            <w:tcW w:w="1914" w:type="dxa"/>
            <w:gridSpan w:val="2"/>
            <w:vAlign w:val="center"/>
          </w:tcPr>
          <w:p w14:paraId="72082C3B" w14:textId="77777777" w:rsidR="00BA1D65" w:rsidRPr="00CB1038" w:rsidRDefault="00BA1D65" w:rsidP="0018041B">
            <w:r w:rsidRPr="00CB1038">
              <w:rPr>
                <w:b/>
                <w:bCs/>
              </w:rPr>
              <w:t>Total $</w:t>
            </w:r>
          </w:p>
        </w:tc>
        <w:tc>
          <w:tcPr>
            <w:tcW w:w="2976" w:type="dxa"/>
            <w:gridSpan w:val="4"/>
            <w:vAlign w:val="center"/>
          </w:tcPr>
          <w:p w14:paraId="3E95CC25" w14:textId="77777777" w:rsidR="00BA1D65" w:rsidRPr="00CB1038" w:rsidRDefault="00BA1D65" w:rsidP="0018041B">
            <w:r w:rsidRPr="00CB1038">
              <w:fldChar w:fldCharType="begin">
                <w:ffData>
                  <w:name w:val="Text65"/>
                  <w:enabled/>
                  <w:calcOnExit w:val="0"/>
                  <w:textInput/>
                </w:ffData>
              </w:fldChar>
            </w:r>
            <w:r w:rsidRPr="00CB1038">
              <w:instrText xml:space="preserve"> FORMTEXT </w:instrText>
            </w:r>
            <w:r w:rsidRPr="00CB1038">
              <w:fldChar w:fldCharType="separate"/>
            </w:r>
            <w:r w:rsidRPr="00CB1038">
              <w:t> </w:t>
            </w:r>
            <w:r w:rsidRPr="00CB1038">
              <w:t> </w:t>
            </w:r>
            <w:r w:rsidRPr="00CB1038">
              <w:t> </w:t>
            </w:r>
            <w:r w:rsidRPr="00CB1038">
              <w:t> </w:t>
            </w:r>
            <w:r w:rsidRPr="00CB1038">
              <w:t> </w:t>
            </w:r>
            <w:r w:rsidRPr="00CB1038">
              <w:fldChar w:fldCharType="end"/>
            </w:r>
          </w:p>
        </w:tc>
      </w:tr>
      <w:tr w:rsidR="00BA1D65" w:rsidRPr="00CB1038" w14:paraId="106356B4" w14:textId="77777777" w:rsidTr="0018041B">
        <w:trPr>
          <w:trHeight w:val="408"/>
        </w:trPr>
        <w:tc>
          <w:tcPr>
            <w:tcW w:w="1823" w:type="dxa"/>
            <w:gridSpan w:val="2"/>
            <w:tcBorders>
              <w:right w:val="nil"/>
            </w:tcBorders>
            <w:shd w:val="clear" w:color="auto" w:fill="auto"/>
          </w:tcPr>
          <w:p w14:paraId="18D591A9" w14:textId="77777777" w:rsidR="00BA1D65" w:rsidRPr="00CB1038" w:rsidRDefault="00BA1D65" w:rsidP="0018041B">
            <w:pPr>
              <w:rPr>
                <w:b/>
              </w:rPr>
            </w:pPr>
          </w:p>
        </w:tc>
        <w:tc>
          <w:tcPr>
            <w:tcW w:w="2813" w:type="dxa"/>
            <w:tcBorders>
              <w:left w:val="nil"/>
            </w:tcBorders>
            <w:shd w:val="clear" w:color="auto" w:fill="auto"/>
            <w:vAlign w:val="center"/>
          </w:tcPr>
          <w:p w14:paraId="5441CB66" w14:textId="77777777" w:rsidR="00BA1D65" w:rsidRPr="00CB1038" w:rsidRDefault="00BA1D65" w:rsidP="0018041B"/>
        </w:tc>
        <w:tc>
          <w:tcPr>
            <w:tcW w:w="1914" w:type="dxa"/>
            <w:gridSpan w:val="2"/>
          </w:tcPr>
          <w:p w14:paraId="7B24DB12" w14:textId="77777777" w:rsidR="00BA1D65" w:rsidRPr="00CB1038" w:rsidRDefault="00BA1D65" w:rsidP="0018041B">
            <w:pPr>
              <w:rPr>
                <w:b/>
              </w:rPr>
            </w:pPr>
            <w:r w:rsidRPr="00CB1038">
              <w:rPr>
                <w:b/>
                <w:bCs/>
              </w:rPr>
              <w:t>Total Annual Leave &amp; Loading $</w:t>
            </w:r>
          </w:p>
        </w:tc>
        <w:tc>
          <w:tcPr>
            <w:tcW w:w="2976" w:type="dxa"/>
            <w:gridSpan w:val="4"/>
            <w:vAlign w:val="center"/>
          </w:tcPr>
          <w:p w14:paraId="4FF54BA2" w14:textId="77777777" w:rsidR="00BA1D65" w:rsidRPr="00CB1038" w:rsidRDefault="00BA1D65" w:rsidP="0018041B"/>
        </w:tc>
      </w:tr>
      <w:tr w:rsidR="00BA1D65" w:rsidRPr="00CB1038" w14:paraId="3A8DB8F8" w14:textId="77777777" w:rsidTr="0018041B">
        <w:tc>
          <w:tcPr>
            <w:tcW w:w="9526" w:type="dxa"/>
            <w:gridSpan w:val="9"/>
            <w:shd w:val="clear" w:color="auto" w:fill="auto"/>
          </w:tcPr>
          <w:p w14:paraId="4E01EA7E" w14:textId="77777777" w:rsidR="00BA1D65" w:rsidRPr="00DE3D40" w:rsidRDefault="00BA1D65" w:rsidP="0018041B">
            <w:pPr>
              <w:rPr>
                <w:b/>
                <w:sz w:val="24"/>
                <w:szCs w:val="24"/>
              </w:rPr>
            </w:pPr>
            <w:r w:rsidRPr="00DE3D40">
              <w:rPr>
                <w:b/>
                <w:sz w:val="24"/>
                <w:szCs w:val="24"/>
              </w:rPr>
              <w:t>Part C – LONG SERVICE LEAVE</w:t>
            </w:r>
          </w:p>
        </w:tc>
      </w:tr>
      <w:tr w:rsidR="00BA1D65" w:rsidRPr="00CB1038" w14:paraId="5EC59727" w14:textId="77777777" w:rsidTr="0018041B">
        <w:trPr>
          <w:trHeight w:val="570"/>
        </w:trPr>
        <w:tc>
          <w:tcPr>
            <w:tcW w:w="1823" w:type="dxa"/>
            <w:gridSpan w:val="2"/>
            <w:tcBorders>
              <w:bottom w:val="single" w:sz="4" w:space="0" w:color="auto"/>
            </w:tcBorders>
            <w:vAlign w:val="center"/>
          </w:tcPr>
          <w:p w14:paraId="69FDC9B9" w14:textId="77777777" w:rsidR="00BA1D65" w:rsidRPr="00CB1038" w:rsidRDefault="00BA1D65" w:rsidP="0018041B">
            <w:r w:rsidRPr="00CB1038">
              <w:rPr>
                <w:b/>
              </w:rPr>
              <w:t>Hours Available</w:t>
            </w:r>
          </w:p>
        </w:tc>
        <w:tc>
          <w:tcPr>
            <w:tcW w:w="2813" w:type="dxa"/>
            <w:tcBorders>
              <w:bottom w:val="single" w:sz="4" w:space="0" w:color="auto"/>
            </w:tcBorders>
            <w:vAlign w:val="center"/>
          </w:tcPr>
          <w:p w14:paraId="4830B0EC" w14:textId="77777777" w:rsidR="00BA1D65" w:rsidRPr="00CB1038" w:rsidRDefault="00BA1D65" w:rsidP="0018041B">
            <w:r w:rsidRPr="00CB1038">
              <w:fldChar w:fldCharType="begin">
                <w:ffData>
                  <w:name w:val="Text57"/>
                  <w:enabled/>
                  <w:calcOnExit w:val="0"/>
                  <w:textInput/>
                </w:ffData>
              </w:fldChar>
            </w:r>
            <w:r w:rsidRPr="00CB1038">
              <w:instrText xml:space="preserve"> FORMTEXT </w:instrText>
            </w:r>
            <w:r w:rsidRPr="00CB1038">
              <w:fldChar w:fldCharType="separate"/>
            </w:r>
            <w:r w:rsidRPr="00CB1038">
              <w:t> </w:t>
            </w:r>
            <w:r w:rsidRPr="00CB1038">
              <w:t> </w:t>
            </w:r>
            <w:r w:rsidRPr="00CB1038">
              <w:t> </w:t>
            </w:r>
            <w:r w:rsidRPr="00CB1038">
              <w:t> </w:t>
            </w:r>
            <w:r w:rsidRPr="00CB1038">
              <w:t> </w:t>
            </w:r>
            <w:r w:rsidRPr="00CB1038">
              <w:fldChar w:fldCharType="end"/>
            </w:r>
          </w:p>
        </w:tc>
        <w:tc>
          <w:tcPr>
            <w:tcW w:w="1914" w:type="dxa"/>
            <w:gridSpan w:val="2"/>
            <w:vAlign w:val="center"/>
          </w:tcPr>
          <w:p w14:paraId="0F002B19" w14:textId="77777777" w:rsidR="00BA1D65" w:rsidRPr="00CB1038" w:rsidRDefault="00BA1D65" w:rsidP="0018041B">
            <w:r w:rsidRPr="00CB1038">
              <w:rPr>
                <w:b/>
                <w:bCs/>
              </w:rPr>
              <w:t>Total $</w:t>
            </w:r>
          </w:p>
        </w:tc>
        <w:tc>
          <w:tcPr>
            <w:tcW w:w="2976" w:type="dxa"/>
            <w:gridSpan w:val="4"/>
            <w:vAlign w:val="center"/>
          </w:tcPr>
          <w:p w14:paraId="14821E00" w14:textId="77777777" w:rsidR="00BA1D65" w:rsidRPr="00CB1038" w:rsidRDefault="00BA1D65" w:rsidP="0018041B">
            <w:r w:rsidRPr="00CB1038">
              <w:fldChar w:fldCharType="begin">
                <w:ffData>
                  <w:name w:val="Text65"/>
                  <w:enabled/>
                  <w:calcOnExit w:val="0"/>
                  <w:textInput/>
                </w:ffData>
              </w:fldChar>
            </w:r>
            <w:r w:rsidRPr="00CB1038">
              <w:instrText xml:space="preserve"> FORMTEXT </w:instrText>
            </w:r>
            <w:r w:rsidRPr="00CB1038">
              <w:fldChar w:fldCharType="separate"/>
            </w:r>
            <w:r w:rsidRPr="00CB1038">
              <w:t> </w:t>
            </w:r>
            <w:r w:rsidRPr="00CB1038">
              <w:t> </w:t>
            </w:r>
            <w:r w:rsidRPr="00CB1038">
              <w:t> </w:t>
            </w:r>
            <w:r w:rsidRPr="00CB1038">
              <w:t> </w:t>
            </w:r>
            <w:r w:rsidRPr="00CB1038">
              <w:t> </w:t>
            </w:r>
            <w:r w:rsidRPr="00CB1038">
              <w:fldChar w:fldCharType="end"/>
            </w:r>
          </w:p>
        </w:tc>
      </w:tr>
      <w:tr w:rsidR="00BA1D65" w:rsidRPr="00CB1038" w14:paraId="3D8A88DA" w14:textId="77777777" w:rsidTr="0018041B">
        <w:trPr>
          <w:trHeight w:val="408"/>
        </w:trPr>
        <w:tc>
          <w:tcPr>
            <w:tcW w:w="1823" w:type="dxa"/>
            <w:gridSpan w:val="2"/>
            <w:shd w:val="clear" w:color="auto" w:fill="auto"/>
          </w:tcPr>
          <w:p w14:paraId="5D449300" w14:textId="77777777" w:rsidR="00BA1D65" w:rsidRPr="00CB1038" w:rsidRDefault="00BA1D65" w:rsidP="0018041B">
            <w:pPr>
              <w:rPr>
                <w:b/>
              </w:rPr>
            </w:pPr>
            <w:r w:rsidRPr="00CB1038">
              <w:rPr>
                <w:b/>
              </w:rPr>
              <w:t>Other Information Required</w:t>
            </w:r>
          </w:p>
        </w:tc>
        <w:tc>
          <w:tcPr>
            <w:tcW w:w="7703" w:type="dxa"/>
            <w:gridSpan w:val="7"/>
            <w:shd w:val="clear" w:color="auto" w:fill="auto"/>
            <w:vAlign w:val="center"/>
          </w:tcPr>
          <w:p w14:paraId="2AC84D0E" w14:textId="77777777" w:rsidR="00BA1D65" w:rsidRPr="00CB1038" w:rsidRDefault="00BA1D65" w:rsidP="0018041B"/>
          <w:p w14:paraId="6140D4B2" w14:textId="77777777" w:rsidR="00BA1D65" w:rsidRPr="00CB1038" w:rsidRDefault="00BA1D65" w:rsidP="0018041B"/>
          <w:p w14:paraId="0F2C9CDD" w14:textId="77777777" w:rsidR="00BA1D65" w:rsidRPr="00CB1038" w:rsidRDefault="00BA1D65" w:rsidP="0018041B"/>
        </w:tc>
      </w:tr>
      <w:tr w:rsidR="00BA1D65" w:rsidRPr="00CB1038" w14:paraId="4A9C79CC" w14:textId="77777777" w:rsidTr="0018041B">
        <w:tc>
          <w:tcPr>
            <w:tcW w:w="9526" w:type="dxa"/>
            <w:gridSpan w:val="9"/>
            <w:shd w:val="clear" w:color="auto" w:fill="auto"/>
          </w:tcPr>
          <w:p w14:paraId="06B0E060" w14:textId="77777777" w:rsidR="00BA1D65" w:rsidRPr="00DE3D40" w:rsidRDefault="00BA1D65" w:rsidP="0018041B">
            <w:pPr>
              <w:rPr>
                <w:b/>
                <w:sz w:val="24"/>
                <w:szCs w:val="24"/>
              </w:rPr>
            </w:pPr>
            <w:r w:rsidRPr="00DE3D40">
              <w:rPr>
                <w:b/>
                <w:sz w:val="24"/>
                <w:szCs w:val="24"/>
              </w:rPr>
              <w:t>Part D – OTHER TRANSFERABLE EMPLOYEE BENEFITS</w:t>
            </w:r>
          </w:p>
        </w:tc>
      </w:tr>
      <w:tr w:rsidR="00BA1D65" w:rsidRPr="00CB1038" w14:paraId="12F20DEA" w14:textId="77777777" w:rsidTr="0018041B">
        <w:trPr>
          <w:trHeight w:val="570"/>
        </w:trPr>
        <w:tc>
          <w:tcPr>
            <w:tcW w:w="1823" w:type="dxa"/>
            <w:gridSpan w:val="2"/>
            <w:vAlign w:val="center"/>
          </w:tcPr>
          <w:p w14:paraId="6FF9666A" w14:textId="5C367194" w:rsidR="00BA1D65" w:rsidRPr="00CB1038" w:rsidRDefault="00BA1D65" w:rsidP="0018041B">
            <w:r w:rsidRPr="00CB1038">
              <w:rPr>
                <w:b/>
              </w:rPr>
              <w:t>Hours Available</w:t>
            </w:r>
          </w:p>
        </w:tc>
        <w:tc>
          <w:tcPr>
            <w:tcW w:w="2813" w:type="dxa"/>
            <w:vAlign w:val="center"/>
          </w:tcPr>
          <w:p w14:paraId="4DDAF282" w14:textId="77777777" w:rsidR="00BA1D65" w:rsidRPr="00CB1038" w:rsidRDefault="00BA1D65" w:rsidP="0018041B">
            <w:r w:rsidRPr="00CB1038">
              <w:fldChar w:fldCharType="begin">
                <w:ffData>
                  <w:name w:val="Text57"/>
                  <w:enabled/>
                  <w:calcOnExit w:val="0"/>
                  <w:textInput/>
                </w:ffData>
              </w:fldChar>
            </w:r>
            <w:r w:rsidRPr="00CB1038">
              <w:instrText xml:space="preserve"> FORMTEXT </w:instrText>
            </w:r>
            <w:r w:rsidRPr="00CB1038">
              <w:fldChar w:fldCharType="separate"/>
            </w:r>
            <w:r w:rsidRPr="00CB1038">
              <w:t> </w:t>
            </w:r>
            <w:r w:rsidRPr="00CB1038">
              <w:t> </w:t>
            </w:r>
            <w:r w:rsidRPr="00CB1038">
              <w:t> </w:t>
            </w:r>
            <w:r w:rsidRPr="00CB1038">
              <w:t> </w:t>
            </w:r>
            <w:r w:rsidRPr="00CB1038">
              <w:t> </w:t>
            </w:r>
            <w:r w:rsidRPr="00CB1038">
              <w:fldChar w:fldCharType="end"/>
            </w:r>
          </w:p>
        </w:tc>
        <w:tc>
          <w:tcPr>
            <w:tcW w:w="1914" w:type="dxa"/>
            <w:gridSpan w:val="2"/>
            <w:vAlign w:val="center"/>
          </w:tcPr>
          <w:p w14:paraId="639644C2" w14:textId="77777777" w:rsidR="00BA1D65" w:rsidRPr="00CB1038" w:rsidRDefault="00BA1D65" w:rsidP="0018041B">
            <w:r w:rsidRPr="00CB1038">
              <w:rPr>
                <w:b/>
                <w:bCs/>
              </w:rPr>
              <w:t>Total $</w:t>
            </w:r>
          </w:p>
        </w:tc>
        <w:tc>
          <w:tcPr>
            <w:tcW w:w="2976" w:type="dxa"/>
            <w:gridSpan w:val="4"/>
            <w:vAlign w:val="center"/>
          </w:tcPr>
          <w:p w14:paraId="16D8B706" w14:textId="77777777" w:rsidR="00BA1D65" w:rsidRPr="00CB1038" w:rsidRDefault="00BA1D65" w:rsidP="0018041B">
            <w:r w:rsidRPr="00CB1038">
              <w:fldChar w:fldCharType="begin">
                <w:ffData>
                  <w:name w:val="Text65"/>
                  <w:enabled/>
                  <w:calcOnExit w:val="0"/>
                  <w:textInput/>
                </w:ffData>
              </w:fldChar>
            </w:r>
            <w:r w:rsidRPr="00CB1038">
              <w:instrText xml:space="preserve"> FORMTEXT </w:instrText>
            </w:r>
            <w:r w:rsidRPr="00CB1038">
              <w:fldChar w:fldCharType="separate"/>
            </w:r>
            <w:r w:rsidRPr="00CB1038">
              <w:t> </w:t>
            </w:r>
            <w:r w:rsidRPr="00CB1038">
              <w:t> </w:t>
            </w:r>
            <w:r w:rsidRPr="00CB1038">
              <w:t> </w:t>
            </w:r>
            <w:r w:rsidRPr="00CB1038">
              <w:t> </w:t>
            </w:r>
            <w:r w:rsidRPr="00CB1038">
              <w:t> </w:t>
            </w:r>
            <w:r w:rsidRPr="00CB1038">
              <w:fldChar w:fldCharType="end"/>
            </w:r>
          </w:p>
        </w:tc>
      </w:tr>
      <w:tr w:rsidR="00BA1D65" w:rsidRPr="00CB1038" w14:paraId="5B2758D8" w14:textId="77777777" w:rsidTr="0018041B">
        <w:trPr>
          <w:trHeight w:val="409"/>
        </w:trPr>
        <w:tc>
          <w:tcPr>
            <w:tcW w:w="1823" w:type="dxa"/>
            <w:gridSpan w:val="2"/>
            <w:tcBorders>
              <w:bottom w:val="single" w:sz="4" w:space="0" w:color="auto"/>
            </w:tcBorders>
            <w:vAlign w:val="center"/>
          </w:tcPr>
          <w:p w14:paraId="6B0C8E57" w14:textId="2F2C64D8" w:rsidR="00BA1D65" w:rsidRPr="00CB1038" w:rsidRDefault="00BA1D65" w:rsidP="0018041B">
            <w:r>
              <w:rPr>
                <w:b/>
              </w:rPr>
              <w:t xml:space="preserve">Hours </w:t>
            </w:r>
            <w:r w:rsidRPr="00CB1038">
              <w:rPr>
                <w:b/>
              </w:rPr>
              <w:t>Available</w:t>
            </w:r>
          </w:p>
        </w:tc>
        <w:tc>
          <w:tcPr>
            <w:tcW w:w="2813" w:type="dxa"/>
            <w:tcBorders>
              <w:bottom w:val="single" w:sz="4" w:space="0" w:color="auto"/>
            </w:tcBorders>
            <w:vAlign w:val="center"/>
          </w:tcPr>
          <w:p w14:paraId="5BBD929E" w14:textId="77777777" w:rsidR="00BA1D65" w:rsidRPr="00CB1038" w:rsidRDefault="00BA1D65" w:rsidP="0018041B">
            <w:r w:rsidRPr="00CB1038">
              <w:fldChar w:fldCharType="begin">
                <w:ffData>
                  <w:name w:val="Text65"/>
                  <w:enabled/>
                  <w:calcOnExit w:val="0"/>
                  <w:textInput/>
                </w:ffData>
              </w:fldChar>
            </w:r>
            <w:r w:rsidRPr="00CB1038">
              <w:instrText xml:space="preserve"> FORMTEXT </w:instrText>
            </w:r>
            <w:r w:rsidRPr="00CB1038">
              <w:fldChar w:fldCharType="separate"/>
            </w:r>
            <w:r w:rsidRPr="00CB1038">
              <w:t> </w:t>
            </w:r>
            <w:r w:rsidRPr="00CB1038">
              <w:t> </w:t>
            </w:r>
            <w:r w:rsidRPr="00CB1038">
              <w:t> </w:t>
            </w:r>
            <w:r w:rsidRPr="00CB1038">
              <w:t> </w:t>
            </w:r>
            <w:r w:rsidRPr="00CB1038">
              <w:t> </w:t>
            </w:r>
            <w:r w:rsidRPr="00CB1038">
              <w:fldChar w:fldCharType="end"/>
            </w:r>
          </w:p>
        </w:tc>
        <w:tc>
          <w:tcPr>
            <w:tcW w:w="1914" w:type="dxa"/>
            <w:gridSpan w:val="2"/>
            <w:vAlign w:val="center"/>
          </w:tcPr>
          <w:p w14:paraId="12AEB0B6" w14:textId="77777777" w:rsidR="00BA1D65" w:rsidRPr="00CB1038" w:rsidRDefault="00BA1D65" w:rsidP="0018041B">
            <w:r w:rsidRPr="00CB1038">
              <w:rPr>
                <w:b/>
                <w:bCs/>
              </w:rPr>
              <w:t>Total $</w:t>
            </w:r>
          </w:p>
        </w:tc>
        <w:tc>
          <w:tcPr>
            <w:tcW w:w="2976" w:type="dxa"/>
            <w:gridSpan w:val="4"/>
            <w:vAlign w:val="center"/>
          </w:tcPr>
          <w:p w14:paraId="52BDEC84" w14:textId="77777777" w:rsidR="00BA1D65" w:rsidRPr="00CB1038" w:rsidRDefault="00BA1D65" w:rsidP="0018041B">
            <w:r w:rsidRPr="00CB1038">
              <w:fldChar w:fldCharType="begin">
                <w:ffData>
                  <w:name w:val="Text65"/>
                  <w:enabled/>
                  <w:calcOnExit w:val="0"/>
                  <w:textInput/>
                </w:ffData>
              </w:fldChar>
            </w:r>
            <w:r w:rsidRPr="00CB1038">
              <w:instrText xml:space="preserve"> FORMTEXT </w:instrText>
            </w:r>
            <w:r w:rsidRPr="00CB1038">
              <w:fldChar w:fldCharType="separate"/>
            </w:r>
            <w:r w:rsidRPr="00CB1038">
              <w:t> </w:t>
            </w:r>
            <w:r w:rsidRPr="00CB1038">
              <w:t> </w:t>
            </w:r>
            <w:r w:rsidRPr="00CB1038">
              <w:t> </w:t>
            </w:r>
            <w:r w:rsidRPr="00CB1038">
              <w:t> </w:t>
            </w:r>
            <w:r w:rsidRPr="00CB1038">
              <w:t> </w:t>
            </w:r>
            <w:r w:rsidRPr="00CB1038">
              <w:fldChar w:fldCharType="end"/>
            </w:r>
          </w:p>
        </w:tc>
      </w:tr>
      <w:tr w:rsidR="00BA1D65" w:rsidRPr="00CB1038" w14:paraId="4A515DDB" w14:textId="77777777" w:rsidTr="0018041B">
        <w:trPr>
          <w:trHeight w:val="408"/>
        </w:trPr>
        <w:tc>
          <w:tcPr>
            <w:tcW w:w="1823" w:type="dxa"/>
            <w:gridSpan w:val="2"/>
            <w:tcBorders>
              <w:right w:val="nil"/>
            </w:tcBorders>
            <w:shd w:val="clear" w:color="auto" w:fill="auto"/>
          </w:tcPr>
          <w:p w14:paraId="0F884EF5" w14:textId="77777777" w:rsidR="00BA1D65" w:rsidRPr="00CB1038" w:rsidRDefault="00BA1D65" w:rsidP="0018041B">
            <w:pPr>
              <w:rPr>
                <w:b/>
              </w:rPr>
            </w:pPr>
          </w:p>
        </w:tc>
        <w:tc>
          <w:tcPr>
            <w:tcW w:w="2813" w:type="dxa"/>
            <w:tcBorders>
              <w:left w:val="nil"/>
            </w:tcBorders>
            <w:shd w:val="clear" w:color="auto" w:fill="auto"/>
            <w:vAlign w:val="center"/>
          </w:tcPr>
          <w:p w14:paraId="7B49C379" w14:textId="77777777" w:rsidR="00BA1D65" w:rsidRPr="00CB1038" w:rsidRDefault="00BA1D65" w:rsidP="0018041B"/>
        </w:tc>
        <w:tc>
          <w:tcPr>
            <w:tcW w:w="1914" w:type="dxa"/>
            <w:gridSpan w:val="2"/>
          </w:tcPr>
          <w:p w14:paraId="57DCFB2E" w14:textId="77777777" w:rsidR="00BA1D65" w:rsidRPr="00CB1038" w:rsidRDefault="00BA1D65" w:rsidP="0018041B">
            <w:pPr>
              <w:rPr>
                <w:b/>
              </w:rPr>
            </w:pPr>
            <w:r w:rsidRPr="00CB1038">
              <w:rPr>
                <w:b/>
                <w:bCs/>
              </w:rPr>
              <w:t>Total Other Benefits $</w:t>
            </w:r>
          </w:p>
        </w:tc>
        <w:tc>
          <w:tcPr>
            <w:tcW w:w="2976" w:type="dxa"/>
            <w:gridSpan w:val="4"/>
            <w:vAlign w:val="center"/>
          </w:tcPr>
          <w:p w14:paraId="539D0839" w14:textId="77777777" w:rsidR="00BA1D65" w:rsidRPr="00CB1038" w:rsidRDefault="00BA1D65" w:rsidP="0018041B"/>
        </w:tc>
      </w:tr>
      <w:tr w:rsidR="00BA1D65" w:rsidRPr="00CB1038" w14:paraId="0F2A8F8B" w14:textId="77777777" w:rsidTr="0018041B">
        <w:tc>
          <w:tcPr>
            <w:tcW w:w="9526" w:type="dxa"/>
            <w:gridSpan w:val="9"/>
            <w:shd w:val="clear" w:color="auto" w:fill="auto"/>
            <w:vAlign w:val="center"/>
          </w:tcPr>
          <w:p w14:paraId="2E8A6AA9" w14:textId="1F9A9289" w:rsidR="00BA1D65" w:rsidRPr="00CB1038" w:rsidRDefault="00BA1D65" w:rsidP="0018041B">
            <w:pPr>
              <w:rPr>
                <w:b/>
              </w:rPr>
            </w:pPr>
            <w:r w:rsidRPr="00DE3D40">
              <w:rPr>
                <w:b/>
                <w:sz w:val="24"/>
                <w:szCs w:val="24"/>
              </w:rPr>
              <w:t>Part E – TOTAL AMOUNTS PAYABLE</w:t>
            </w:r>
            <w:r>
              <w:rPr>
                <w:b/>
              </w:rPr>
              <w:t xml:space="preserve"> </w:t>
            </w:r>
            <w:r w:rsidRPr="00CB1038">
              <w:rPr>
                <w:b/>
              </w:rPr>
              <w:t xml:space="preserve">(upon receipt of invoice) </w:t>
            </w:r>
            <w:r>
              <w:rPr>
                <w:b/>
              </w:rPr>
              <w:t>TO</w:t>
            </w:r>
            <w:r w:rsidRPr="00CB1038">
              <w:rPr>
                <w:b/>
              </w:rPr>
              <w:t xml:space="preserve"> </w:t>
            </w:r>
            <w:r w:rsidR="00333A49">
              <w:rPr>
                <w:b/>
              </w:rPr>
              <w:t>THE SMALLER AGENCY</w:t>
            </w:r>
          </w:p>
        </w:tc>
      </w:tr>
      <w:tr w:rsidR="00BA1D65" w:rsidRPr="00CB1038" w14:paraId="60706569" w14:textId="77777777" w:rsidTr="0018041B">
        <w:trPr>
          <w:cantSplit/>
          <w:trHeight w:val="367"/>
        </w:trPr>
        <w:tc>
          <w:tcPr>
            <w:tcW w:w="1823" w:type="dxa"/>
            <w:gridSpan w:val="2"/>
            <w:vAlign w:val="center"/>
          </w:tcPr>
          <w:p w14:paraId="6ED1792C" w14:textId="77777777" w:rsidR="00BA1D65" w:rsidRPr="00CB1038" w:rsidRDefault="00BA1D65" w:rsidP="0018041B">
            <w:r w:rsidRPr="00CB1038">
              <w:rPr>
                <w:b/>
              </w:rPr>
              <w:t>Total $</w:t>
            </w:r>
          </w:p>
        </w:tc>
        <w:tc>
          <w:tcPr>
            <w:tcW w:w="4727" w:type="dxa"/>
            <w:gridSpan w:val="3"/>
            <w:vAlign w:val="center"/>
          </w:tcPr>
          <w:p w14:paraId="7522773B" w14:textId="77777777" w:rsidR="00BA1D65" w:rsidRPr="00CB1038" w:rsidRDefault="00BA1D65" w:rsidP="0018041B">
            <w:r w:rsidRPr="00CB1038">
              <w:t xml:space="preserve"> Please total all categories above</w:t>
            </w:r>
          </w:p>
        </w:tc>
        <w:tc>
          <w:tcPr>
            <w:tcW w:w="2976" w:type="dxa"/>
            <w:gridSpan w:val="4"/>
            <w:vAlign w:val="center"/>
          </w:tcPr>
          <w:p w14:paraId="46450227" w14:textId="77777777" w:rsidR="00BA1D65" w:rsidRPr="00CB1038" w:rsidRDefault="00BA1D65" w:rsidP="0018041B">
            <w:r w:rsidRPr="00CB1038">
              <w:t xml:space="preserve">$ </w:t>
            </w:r>
            <w:r w:rsidRPr="00CB1038">
              <w:fldChar w:fldCharType="begin">
                <w:ffData>
                  <w:name w:val="Text65"/>
                  <w:enabled/>
                  <w:calcOnExit w:val="0"/>
                  <w:textInput/>
                </w:ffData>
              </w:fldChar>
            </w:r>
            <w:r w:rsidRPr="00CB1038">
              <w:instrText xml:space="preserve"> FORMTEXT </w:instrText>
            </w:r>
            <w:r w:rsidRPr="00CB1038">
              <w:fldChar w:fldCharType="separate"/>
            </w:r>
            <w:r w:rsidRPr="00CB1038">
              <w:t> </w:t>
            </w:r>
            <w:r w:rsidRPr="00CB1038">
              <w:t> </w:t>
            </w:r>
            <w:r w:rsidRPr="00CB1038">
              <w:t> </w:t>
            </w:r>
            <w:r w:rsidRPr="00CB1038">
              <w:t> </w:t>
            </w:r>
            <w:r w:rsidRPr="00CB1038">
              <w:t> </w:t>
            </w:r>
            <w:r w:rsidRPr="00CB1038">
              <w:fldChar w:fldCharType="end"/>
            </w:r>
          </w:p>
        </w:tc>
      </w:tr>
      <w:tr w:rsidR="00BA1D65" w:rsidRPr="00CB1038" w14:paraId="45206E11" w14:textId="77777777" w:rsidTr="0018041B">
        <w:tc>
          <w:tcPr>
            <w:tcW w:w="9526" w:type="dxa"/>
            <w:gridSpan w:val="9"/>
            <w:shd w:val="clear" w:color="auto" w:fill="auto"/>
            <w:vAlign w:val="center"/>
          </w:tcPr>
          <w:p w14:paraId="52EF65C7" w14:textId="77777777" w:rsidR="00BA1D65" w:rsidRPr="00DE3D40" w:rsidRDefault="00BA1D65" w:rsidP="0018041B">
            <w:pPr>
              <w:rPr>
                <w:b/>
                <w:sz w:val="24"/>
                <w:szCs w:val="24"/>
              </w:rPr>
            </w:pPr>
            <w:r w:rsidRPr="00DE3D40">
              <w:rPr>
                <w:b/>
                <w:sz w:val="24"/>
                <w:szCs w:val="24"/>
              </w:rPr>
              <w:t>Part F – PAYROLL TO COMPLETE</w:t>
            </w:r>
          </w:p>
        </w:tc>
      </w:tr>
      <w:tr w:rsidR="00BA1D65" w:rsidRPr="00CB1038" w14:paraId="31414117" w14:textId="77777777" w:rsidTr="0018041B">
        <w:trPr>
          <w:trHeight w:val="1020"/>
        </w:trPr>
        <w:tc>
          <w:tcPr>
            <w:tcW w:w="1823" w:type="dxa"/>
            <w:gridSpan w:val="2"/>
            <w:vAlign w:val="center"/>
          </w:tcPr>
          <w:p w14:paraId="082B55CD" w14:textId="77777777" w:rsidR="00BA1D65" w:rsidRPr="00CB1038" w:rsidRDefault="00BA1D65" w:rsidP="0018041B">
            <w:pPr>
              <w:rPr>
                <w:b/>
                <w:bCs/>
              </w:rPr>
            </w:pPr>
            <w:r w:rsidRPr="00CB1038">
              <w:rPr>
                <w:b/>
                <w:bCs/>
              </w:rPr>
              <w:t>Actioned by:</w:t>
            </w:r>
          </w:p>
        </w:tc>
        <w:tc>
          <w:tcPr>
            <w:tcW w:w="2813" w:type="dxa"/>
            <w:vAlign w:val="center"/>
          </w:tcPr>
          <w:p w14:paraId="018741DD" w14:textId="77777777" w:rsidR="00BA1D65" w:rsidRPr="00CB1038" w:rsidRDefault="00BA1D65" w:rsidP="0018041B">
            <w:r w:rsidRPr="00CB1038">
              <w:fldChar w:fldCharType="begin">
                <w:ffData>
                  <w:name w:val="Text65"/>
                  <w:enabled/>
                  <w:calcOnExit w:val="0"/>
                  <w:textInput/>
                </w:ffData>
              </w:fldChar>
            </w:r>
            <w:r w:rsidRPr="00CB1038">
              <w:instrText xml:space="preserve"> FORMTEXT </w:instrText>
            </w:r>
            <w:r w:rsidRPr="00CB1038">
              <w:fldChar w:fldCharType="separate"/>
            </w:r>
            <w:r w:rsidRPr="00CB1038">
              <w:t> </w:t>
            </w:r>
            <w:r w:rsidRPr="00CB1038">
              <w:t> </w:t>
            </w:r>
            <w:r w:rsidRPr="00CB1038">
              <w:t> </w:t>
            </w:r>
            <w:r w:rsidRPr="00CB1038">
              <w:t> </w:t>
            </w:r>
            <w:r w:rsidRPr="00CB1038">
              <w:t> </w:t>
            </w:r>
            <w:r w:rsidRPr="00CB1038">
              <w:fldChar w:fldCharType="end"/>
            </w:r>
          </w:p>
        </w:tc>
        <w:tc>
          <w:tcPr>
            <w:tcW w:w="1205" w:type="dxa"/>
            <w:vAlign w:val="center"/>
          </w:tcPr>
          <w:p w14:paraId="3CF66B17" w14:textId="77777777" w:rsidR="00BA1D65" w:rsidRPr="00CB1038" w:rsidRDefault="00BA1D65" w:rsidP="0018041B">
            <w:pPr>
              <w:rPr>
                <w:b/>
              </w:rPr>
            </w:pPr>
            <w:r w:rsidRPr="00CB1038">
              <w:rPr>
                <w:b/>
              </w:rPr>
              <w:t>Signature:</w:t>
            </w:r>
          </w:p>
        </w:tc>
        <w:tc>
          <w:tcPr>
            <w:tcW w:w="1984" w:type="dxa"/>
            <w:gridSpan w:val="2"/>
            <w:vAlign w:val="center"/>
          </w:tcPr>
          <w:p w14:paraId="547726D9" w14:textId="77777777" w:rsidR="00BA1D65" w:rsidRPr="00CB1038" w:rsidRDefault="00BA1D65" w:rsidP="0018041B"/>
        </w:tc>
        <w:tc>
          <w:tcPr>
            <w:tcW w:w="851" w:type="dxa"/>
            <w:gridSpan w:val="2"/>
            <w:vAlign w:val="center"/>
          </w:tcPr>
          <w:p w14:paraId="7A1A41CC" w14:textId="77777777" w:rsidR="00BA1D65" w:rsidRPr="00CB1038" w:rsidRDefault="00BA1D65" w:rsidP="0018041B">
            <w:r w:rsidRPr="00CB1038">
              <w:rPr>
                <w:b/>
                <w:bCs/>
              </w:rPr>
              <w:t>Date:</w:t>
            </w:r>
          </w:p>
        </w:tc>
        <w:tc>
          <w:tcPr>
            <w:tcW w:w="850" w:type="dxa"/>
            <w:vAlign w:val="center"/>
          </w:tcPr>
          <w:p w14:paraId="5C5B2FAF" w14:textId="77777777" w:rsidR="00BA1D65" w:rsidRPr="00CB1038" w:rsidRDefault="00BA1D65" w:rsidP="0018041B">
            <w:r w:rsidRPr="00CB1038">
              <w:fldChar w:fldCharType="begin">
                <w:ffData>
                  <w:name w:val="Text55"/>
                  <w:enabled/>
                  <w:calcOnExit w:val="0"/>
                  <w:textInput>
                    <w:type w:val="number"/>
                    <w:maxLength w:val="2"/>
                  </w:textInput>
                </w:ffData>
              </w:fldChar>
            </w:r>
            <w:r w:rsidRPr="00CB1038">
              <w:instrText xml:space="preserve"> FORMTEXT </w:instrText>
            </w:r>
            <w:r w:rsidRPr="00CB1038">
              <w:fldChar w:fldCharType="separate"/>
            </w:r>
            <w:r w:rsidRPr="00CB1038">
              <w:t> </w:t>
            </w:r>
            <w:r w:rsidRPr="00CB1038">
              <w:t> </w:t>
            </w:r>
            <w:r w:rsidRPr="00CB1038">
              <w:fldChar w:fldCharType="end"/>
            </w:r>
            <w:r w:rsidRPr="00CB1038">
              <w:t>/</w:t>
            </w:r>
            <w:r w:rsidRPr="00CB1038">
              <w:fldChar w:fldCharType="begin">
                <w:ffData>
                  <w:name w:val="Text55"/>
                  <w:enabled/>
                  <w:calcOnExit w:val="0"/>
                  <w:textInput>
                    <w:type w:val="number"/>
                    <w:maxLength w:val="2"/>
                  </w:textInput>
                </w:ffData>
              </w:fldChar>
            </w:r>
            <w:r w:rsidRPr="00CB1038">
              <w:instrText xml:space="preserve"> FORMTEXT </w:instrText>
            </w:r>
            <w:r w:rsidRPr="00CB1038">
              <w:fldChar w:fldCharType="separate"/>
            </w:r>
            <w:r w:rsidRPr="00CB1038">
              <w:t> </w:t>
            </w:r>
            <w:r w:rsidRPr="00CB1038">
              <w:t> </w:t>
            </w:r>
            <w:r w:rsidRPr="00CB1038">
              <w:fldChar w:fldCharType="end"/>
            </w:r>
            <w:r w:rsidRPr="00CB1038">
              <w:t>/</w:t>
            </w:r>
            <w:r w:rsidRPr="00CB1038">
              <w:fldChar w:fldCharType="begin">
                <w:ffData>
                  <w:name w:val=""/>
                  <w:enabled/>
                  <w:calcOnExit w:val="0"/>
                  <w:textInput>
                    <w:maxLength w:val="2"/>
                  </w:textInput>
                </w:ffData>
              </w:fldChar>
            </w:r>
            <w:r w:rsidRPr="00CB1038">
              <w:instrText xml:space="preserve"> FORMTEXT </w:instrText>
            </w:r>
            <w:r w:rsidRPr="00CB1038">
              <w:fldChar w:fldCharType="separate"/>
            </w:r>
            <w:r w:rsidRPr="00CB1038">
              <w:t> </w:t>
            </w:r>
            <w:r w:rsidRPr="00CB1038">
              <w:t> </w:t>
            </w:r>
            <w:r w:rsidRPr="00CB1038">
              <w:fldChar w:fldCharType="end"/>
            </w:r>
          </w:p>
        </w:tc>
      </w:tr>
    </w:tbl>
    <w:p w14:paraId="2F6AD424" w14:textId="77777777" w:rsidR="00BA1D65" w:rsidRPr="00BD5E63" w:rsidRDefault="00BA1D65" w:rsidP="00BA1D65">
      <w:pPr>
        <w:rPr>
          <w:lang w:val="en-US"/>
        </w:rPr>
      </w:pPr>
    </w:p>
    <w:p w14:paraId="730310F0" w14:textId="77777777" w:rsidR="00BA1D65" w:rsidRDefault="00BA1D65" w:rsidP="00991D7A">
      <w:pPr>
        <w:spacing w:after="120" w:line="276" w:lineRule="auto"/>
        <w:rPr>
          <w:sz w:val="22"/>
          <w:szCs w:val="22"/>
        </w:rPr>
      </w:pPr>
    </w:p>
    <w:p w14:paraId="0CE80602" w14:textId="320AD0F0" w:rsidR="00FF0FB0" w:rsidRDefault="00FF0FB0" w:rsidP="00991D7A">
      <w:pPr>
        <w:spacing w:after="120" w:line="276" w:lineRule="auto"/>
        <w:rPr>
          <w:sz w:val="22"/>
          <w:szCs w:val="22"/>
        </w:rPr>
      </w:pPr>
    </w:p>
    <w:p w14:paraId="38D844C2" w14:textId="5197813E" w:rsidR="00FF0FB0" w:rsidRDefault="00FF0FB0" w:rsidP="00991D7A">
      <w:pPr>
        <w:spacing w:after="120" w:line="276" w:lineRule="auto"/>
        <w:rPr>
          <w:sz w:val="22"/>
          <w:szCs w:val="22"/>
        </w:rPr>
      </w:pPr>
    </w:p>
    <w:p w14:paraId="3BB325B5" w14:textId="166DF6A5" w:rsidR="00556945" w:rsidRDefault="00556945">
      <w:pPr>
        <w:spacing w:line="276" w:lineRule="auto"/>
        <w:rPr>
          <w:sz w:val="22"/>
          <w:szCs w:val="22"/>
        </w:rPr>
      </w:pPr>
      <w:r>
        <w:rPr>
          <w:sz w:val="22"/>
          <w:szCs w:val="22"/>
        </w:rPr>
        <w:br w:type="page"/>
      </w:r>
    </w:p>
    <w:tbl>
      <w:tblPr>
        <w:tblStyle w:val="TableGrid"/>
        <w:tblW w:w="0" w:type="auto"/>
        <w:tblInd w:w="137" w:type="dxa"/>
        <w:tblLook w:val="04A0" w:firstRow="1" w:lastRow="0" w:firstColumn="1" w:lastColumn="0" w:noHBand="0" w:noVBand="1"/>
      </w:tblPr>
      <w:tblGrid>
        <w:gridCol w:w="1131"/>
        <w:gridCol w:w="1412"/>
        <w:gridCol w:w="4086"/>
        <w:gridCol w:w="2294"/>
      </w:tblGrid>
      <w:tr w:rsidR="004F6876" w14:paraId="00C03C2F" w14:textId="77777777" w:rsidTr="004F6876">
        <w:tc>
          <w:tcPr>
            <w:tcW w:w="1131" w:type="dxa"/>
          </w:tcPr>
          <w:p w14:paraId="1B787E48" w14:textId="77777777" w:rsidR="00AC4883" w:rsidRPr="004F6876" w:rsidRDefault="00AC4883" w:rsidP="000E0F57">
            <w:pPr>
              <w:pStyle w:val="Bullet2"/>
              <w:numPr>
                <w:ilvl w:val="0"/>
                <w:numId w:val="0"/>
              </w:numPr>
              <w:spacing w:line="276" w:lineRule="auto"/>
              <w:rPr>
                <w:b/>
                <w:bCs/>
              </w:rPr>
            </w:pPr>
            <w:r w:rsidRPr="004F6876">
              <w:rPr>
                <w:b/>
                <w:bCs/>
              </w:rPr>
              <w:lastRenderedPageBreak/>
              <w:t>Version</w:t>
            </w:r>
          </w:p>
        </w:tc>
        <w:tc>
          <w:tcPr>
            <w:tcW w:w="1412" w:type="dxa"/>
          </w:tcPr>
          <w:p w14:paraId="789160A0" w14:textId="77777777" w:rsidR="00AC4883" w:rsidRPr="004F6876" w:rsidRDefault="00AC4883" w:rsidP="000E0F57">
            <w:pPr>
              <w:pStyle w:val="Bullet2"/>
              <w:numPr>
                <w:ilvl w:val="0"/>
                <w:numId w:val="0"/>
              </w:numPr>
              <w:spacing w:line="276" w:lineRule="auto"/>
              <w:rPr>
                <w:b/>
                <w:bCs/>
              </w:rPr>
            </w:pPr>
            <w:r w:rsidRPr="004F6876">
              <w:rPr>
                <w:b/>
                <w:bCs/>
              </w:rPr>
              <w:t>Date</w:t>
            </w:r>
          </w:p>
        </w:tc>
        <w:tc>
          <w:tcPr>
            <w:tcW w:w="4086" w:type="dxa"/>
          </w:tcPr>
          <w:p w14:paraId="7C34DD79" w14:textId="77777777" w:rsidR="00AC4883" w:rsidRPr="004F6876" w:rsidRDefault="00AC4883" w:rsidP="000E0F57">
            <w:pPr>
              <w:pStyle w:val="Bullet2"/>
              <w:numPr>
                <w:ilvl w:val="0"/>
                <w:numId w:val="0"/>
              </w:numPr>
              <w:spacing w:line="276" w:lineRule="auto"/>
              <w:rPr>
                <w:b/>
                <w:bCs/>
              </w:rPr>
            </w:pPr>
            <w:r w:rsidRPr="004F6876">
              <w:rPr>
                <w:b/>
                <w:bCs/>
              </w:rPr>
              <w:t>Author</w:t>
            </w:r>
          </w:p>
        </w:tc>
        <w:tc>
          <w:tcPr>
            <w:tcW w:w="2294" w:type="dxa"/>
          </w:tcPr>
          <w:p w14:paraId="132154D5" w14:textId="77777777" w:rsidR="00AC4883" w:rsidRPr="004F6876" w:rsidRDefault="00AC4883" w:rsidP="000E0F57">
            <w:pPr>
              <w:pStyle w:val="Bullet2"/>
              <w:numPr>
                <w:ilvl w:val="0"/>
                <w:numId w:val="0"/>
              </w:numPr>
              <w:spacing w:line="276" w:lineRule="auto"/>
              <w:rPr>
                <w:b/>
                <w:bCs/>
              </w:rPr>
            </w:pPr>
            <w:r w:rsidRPr="004F6876">
              <w:rPr>
                <w:b/>
                <w:bCs/>
              </w:rPr>
              <w:t>Revision notes</w:t>
            </w:r>
          </w:p>
        </w:tc>
      </w:tr>
      <w:tr w:rsidR="00776788" w14:paraId="43CACDCA" w14:textId="77777777" w:rsidTr="004F6876">
        <w:tc>
          <w:tcPr>
            <w:tcW w:w="1131" w:type="dxa"/>
          </w:tcPr>
          <w:p w14:paraId="463F1F27" w14:textId="13DCCE3C" w:rsidR="00650CEB" w:rsidRDefault="00650CEB" w:rsidP="000E0F57">
            <w:pPr>
              <w:pStyle w:val="Bullet2"/>
              <w:numPr>
                <w:ilvl w:val="0"/>
                <w:numId w:val="0"/>
              </w:numPr>
              <w:spacing w:line="276" w:lineRule="auto"/>
            </w:pPr>
            <w:r>
              <w:t>1.0</w:t>
            </w:r>
          </w:p>
        </w:tc>
        <w:tc>
          <w:tcPr>
            <w:tcW w:w="1412" w:type="dxa"/>
          </w:tcPr>
          <w:p w14:paraId="7E9B039D" w14:textId="292BBA75" w:rsidR="00650CEB" w:rsidRDefault="00650CEB" w:rsidP="000E0F57">
            <w:pPr>
              <w:pStyle w:val="Bullet2"/>
              <w:numPr>
                <w:ilvl w:val="0"/>
                <w:numId w:val="0"/>
              </w:numPr>
              <w:spacing w:line="276" w:lineRule="auto"/>
            </w:pPr>
            <w:r>
              <w:t>June 2009</w:t>
            </w:r>
          </w:p>
        </w:tc>
        <w:tc>
          <w:tcPr>
            <w:tcW w:w="4086" w:type="dxa"/>
          </w:tcPr>
          <w:p w14:paraId="1BE6A62F" w14:textId="65FFCD4F" w:rsidR="00650CEB" w:rsidRDefault="00650CEB" w:rsidP="000E0F57">
            <w:pPr>
              <w:pStyle w:val="Bullet2"/>
              <w:numPr>
                <w:ilvl w:val="0"/>
                <w:numId w:val="0"/>
              </w:numPr>
              <w:spacing w:line="276" w:lineRule="auto"/>
            </w:pPr>
            <w:r w:rsidRPr="001D4D36">
              <w:rPr>
                <w:rFonts w:ascii="Calibri" w:hAnsi="Calibri" w:cs="Calibri"/>
              </w:rPr>
              <w:t>ACT Accounting Branch</w:t>
            </w:r>
          </w:p>
        </w:tc>
        <w:tc>
          <w:tcPr>
            <w:tcW w:w="2294" w:type="dxa"/>
          </w:tcPr>
          <w:p w14:paraId="7A820E32" w14:textId="7E474F42" w:rsidR="00650CEB" w:rsidRDefault="00650CEB" w:rsidP="000E0F57">
            <w:pPr>
              <w:pStyle w:val="Bullet2"/>
              <w:numPr>
                <w:ilvl w:val="0"/>
                <w:numId w:val="0"/>
              </w:numPr>
              <w:spacing w:line="276" w:lineRule="auto"/>
            </w:pPr>
            <w:r>
              <w:t>First release</w:t>
            </w:r>
          </w:p>
        </w:tc>
      </w:tr>
      <w:tr w:rsidR="00776788" w14:paraId="782A3954" w14:textId="77777777" w:rsidTr="004F6876">
        <w:tc>
          <w:tcPr>
            <w:tcW w:w="1131" w:type="dxa"/>
          </w:tcPr>
          <w:p w14:paraId="308D3D81" w14:textId="5B3FA083" w:rsidR="00650CEB" w:rsidRDefault="00650CEB" w:rsidP="000E0F57">
            <w:pPr>
              <w:pStyle w:val="Bullet2"/>
              <w:numPr>
                <w:ilvl w:val="0"/>
                <w:numId w:val="0"/>
              </w:numPr>
              <w:spacing w:line="276" w:lineRule="auto"/>
            </w:pPr>
            <w:r>
              <w:t>2.0</w:t>
            </w:r>
          </w:p>
        </w:tc>
        <w:tc>
          <w:tcPr>
            <w:tcW w:w="1412" w:type="dxa"/>
          </w:tcPr>
          <w:p w14:paraId="357D3CA8" w14:textId="24C4BFFC" w:rsidR="00650CEB" w:rsidRDefault="00650CEB" w:rsidP="000E0F57">
            <w:pPr>
              <w:pStyle w:val="Bullet2"/>
              <w:numPr>
                <w:ilvl w:val="0"/>
                <w:numId w:val="0"/>
              </w:numPr>
              <w:spacing w:line="276" w:lineRule="auto"/>
            </w:pPr>
            <w:r>
              <w:t>June 2012</w:t>
            </w:r>
          </w:p>
        </w:tc>
        <w:tc>
          <w:tcPr>
            <w:tcW w:w="4086" w:type="dxa"/>
          </w:tcPr>
          <w:p w14:paraId="208CCBC1" w14:textId="21744A82" w:rsidR="00650CEB" w:rsidRDefault="00650CEB" w:rsidP="000E0F57">
            <w:pPr>
              <w:pStyle w:val="Bullet2"/>
              <w:numPr>
                <w:ilvl w:val="0"/>
                <w:numId w:val="0"/>
              </w:numPr>
              <w:spacing w:line="276" w:lineRule="auto"/>
            </w:pPr>
            <w:r w:rsidRPr="001D4D36">
              <w:rPr>
                <w:rFonts w:ascii="Calibri" w:hAnsi="Calibri" w:cs="Calibri"/>
              </w:rPr>
              <w:t>ACT Accounting Branch</w:t>
            </w:r>
          </w:p>
        </w:tc>
        <w:tc>
          <w:tcPr>
            <w:tcW w:w="2294" w:type="dxa"/>
          </w:tcPr>
          <w:p w14:paraId="547172F8" w14:textId="07989D21" w:rsidR="00650CEB" w:rsidRDefault="00650CEB" w:rsidP="000E0F57">
            <w:pPr>
              <w:pStyle w:val="Bullet2"/>
              <w:numPr>
                <w:ilvl w:val="0"/>
                <w:numId w:val="0"/>
              </w:numPr>
              <w:spacing w:line="276" w:lineRule="auto"/>
            </w:pPr>
            <w:r>
              <w:t>Second release</w:t>
            </w:r>
          </w:p>
        </w:tc>
      </w:tr>
      <w:tr w:rsidR="00776788" w14:paraId="263BBFED" w14:textId="77777777" w:rsidTr="004F6876">
        <w:tc>
          <w:tcPr>
            <w:tcW w:w="1131" w:type="dxa"/>
          </w:tcPr>
          <w:p w14:paraId="45E40A17" w14:textId="0C78D58E" w:rsidR="00650CEB" w:rsidRDefault="00650CEB" w:rsidP="00650CEB">
            <w:pPr>
              <w:pStyle w:val="Bullet2"/>
              <w:numPr>
                <w:ilvl w:val="0"/>
                <w:numId w:val="0"/>
              </w:numPr>
              <w:spacing w:line="276" w:lineRule="auto"/>
            </w:pPr>
            <w:r>
              <w:t>3.0</w:t>
            </w:r>
          </w:p>
        </w:tc>
        <w:tc>
          <w:tcPr>
            <w:tcW w:w="1412" w:type="dxa"/>
          </w:tcPr>
          <w:p w14:paraId="5863E26E" w14:textId="41C2556A" w:rsidR="00650CEB" w:rsidRDefault="00650CEB" w:rsidP="00650CEB">
            <w:pPr>
              <w:pStyle w:val="Bullet2"/>
              <w:numPr>
                <w:ilvl w:val="0"/>
                <w:numId w:val="0"/>
              </w:numPr>
              <w:spacing w:line="276" w:lineRule="auto"/>
            </w:pPr>
            <w:r>
              <w:t>June 2013</w:t>
            </w:r>
          </w:p>
        </w:tc>
        <w:tc>
          <w:tcPr>
            <w:tcW w:w="4086" w:type="dxa"/>
          </w:tcPr>
          <w:p w14:paraId="0AF27A25" w14:textId="055B2BE8" w:rsidR="00650CEB" w:rsidRDefault="00650CEB" w:rsidP="00650CEB">
            <w:pPr>
              <w:pStyle w:val="Bullet2"/>
              <w:numPr>
                <w:ilvl w:val="0"/>
                <w:numId w:val="0"/>
              </w:numPr>
              <w:spacing w:line="276" w:lineRule="auto"/>
            </w:pPr>
            <w:r w:rsidRPr="001D4D36">
              <w:rPr>
                <w:rFonts w:ascii="Calibri" w:hAnsi="Calibri" w:cs="Calibri"/>
              </w:rPr>
              <w:t>ACT Accounting Branch</w:t>
            </w:r>
          </w:p>
        </w:tc>
        <w:tc>
          <w:tcPr>
            <w:tcW w:w="2294" w:type="dxa"/>
          </w:tcPr>
          <w:p w14:paraId="13448B4D" w14:textId="092D6952" w:rsidR="00650CEB" w:rsidRDefault="00650CEB" w:rsidP="00650CEB">
            <w:pPr>
              <w:pStyle w:val="Bullet2"/>
              <w:numPr>
                <w:ilvl w:val="0"/>
                <w:numId w:val="0"/>
              </w:numPr>
              <w:spacing w:line="276" w:lineRule="auto"/>
            </w:pPr>
            <w:r>
              <w:t>Third release</w:t>
            </w:r>
          </w:p>
        </w:tc>
      </w:tr>
      <w:tr w:rsidR="006C7B31" w14:paraId="4E79BCFD" w14:textId="77777777" w:rsidTr="004F6876">
        <w:tc>
          <w:tcPr>
            <w:tcW w:w="1131" w:type="dxa"/>
          </w:tcPr>
          <w:p w14:paraId="13DC7165" w14:textId="7E427EF6" w:rsidR="00650CEB" w:rsidRDefault="00650CEB" w:rsidP="00650CEB">
            <w:pPr>
              <w:pStyle w:val="Bullet2"/>
              <w:numPr>
                <w:ilvl w:val="0"/>
                <w:numId w:val="0"/>
              </w:numPr>
              <w:spacing w:line="276" w:lineRule="auto"/>
            </w:pPr>
            <w:r>
              <w:t>4.0</w:t>
            </w:r>
          </w:p>
        </w:tc>
        <w:tc>
          <w:tcPr>
            <w:tcW w:w="1412" w:type="dxa"/>
          </w:tcPr>
          <w:p w14:paraId="0AF6EC9D" w14:textId="43D8C12A" w:rsidR="00650CEB" w:rsidRDefault="00650CEB" w:rsidP="00650CEB">
            <w:pPr>
              <w:pStyle w:val="Bullet2"/>
              <w:numPr>
                <w:ilvl w:val="0"/>
                <w:numId w:val="0"/>
              </w:numPr>
              <w:spacing w:line="276" w:lineRule="auto"/>
            </w:pPr>
            <w:r>
              <w:t>June 2014</w:t>
            </w:r>
          </w:p>
        </w:tc>
        <w:tc>
          <w:tcPr>
            <w:tcW w:w="4086" w:type="dxa"/>
          </w:tcPr>
          <w:p w14:paraId="3DDFEA00" w14:textId="2F20FE44" w:rsidR="00650CEB" w:rsidRDefault="00650CEB" w:rsidP="00650CEB">
            <w:pPr>
              <w:pStyle w:val="Bullet2"/>
              <w:numPr>
                <w:ilvl w:val="0"/>
                <w:numId w:val="0"/>
              </w:numPr>
              <w:spacing w:line="276" w:lineRule="auto"/>
            </w:pPr>
            <w:r w:rsidRPr="001D4D36">
              <w:rPr>
                <w:rFonts w:ascii="Calibri" w:hAnsi="Calibri" w:cs="Calibri"/>
              </w:rPr>
              <w:t>ACT Accounting Branch</w:t>
            </w:r>
          </w:p>
        </w:tc>
        <w:tc>
          <w:tcPr>
            <w:tcW w:w="2294" w:type="dxa"/>
          </w:tcPr>
          <w:p w14:paraId="5220C6DC" w14:textId="0BA9F14C" w:rsidR="00650CEB" w:rsidRDefault="00650CEB" w:rsidP="00650CEB">
            <w:pPr>
              <w:pStyle w:val="Bullet2"/>
              <w:numPr>
                <w:ilvl w:val="0"/>
                <w:numId w:val="0"/>
              </w:numPr>
              <w:spacing w:line="276" w:lineRule="auto"/>
            </w:pPr>
            <w:r>
              <w:t>Fourth release</w:t>
            </w:r>
          </w:p>
        </w:tc>
      </w:tr>
      <w:tr w:rsidR="00776788" w14:paraId="141FF8C7" w14:textId="77777777" w:rsidTr="004F6876">
        <w:tc>
          <w:tcPr>
            <w:tcW w:w="1131" w:type="dxa"/>
          </w:tcPr>
          <w:p w14:paraId="44A1DD5B" w14:textId="2205847B" w:rsidR="00650CEB" w:rsidRDefault="00650CEB" w:rsidP="00650CEB">
            <w:pPr>
              <w:pStyle w:val="Bullet2"/>
              <w:numPr>
                <w:ilvl w:val="0"/>
                <w:numId w:val="0"/>
              </w:numPr>
              <w:spacing w:line="276" w:lineRule="auto"/>
            </w:pPr>
            <w:r>
              <w:t>4.1</w:t>
            </w:r>
          </w:p>
        </w:tc>
        <w:tc>
          <w:tcPr>
            <w:tcW w:w="1412" w:type="dxa"/>
          </w:tcPr>
          <w:p w14:paraId="10B5C3CE" w14:textId="5C0ECFE6" w:rsidR="00650CEB" w:rsidRDefault="00650CEB" w:rsidP="00650CEB">
            <w:pPr>
              <w:pStyle w:val="Bullet2"/>
              <w:numPr>
                <w:ilvl w:val="0"/>
                <w:numId w:val="0"/>
              </w:numPr>
              <w:spacing w:line="276" w:lineRule="auto"/>
            </w:pPr>
            <w:r>
              <w:t>June 2017</w:t>
            </w:r>
          </w:p>
        </w:tc>
        <w:tc>
          <w:tcPr>
            <w:tcW w:w="4086" w:type="dxa"/>
          </w:tcPr>
          <w:p w14:paraId="28255DD9" w14:textId="7F44A183" w:rsidR="00650CEB" w:rsidRDefault="00650CEB" w:rsidP="00650CEB">
            <w:pPr>
              <w:pStyle w:val="Bullet2"/>
              <w:numPr>
                <w:ilvl w:val="0"/>
                <w:numId w:val="0"/>
              </w:numPr>
              <w:spacing w:line="276" w:lineRule="auto"/>
            </w:pPr>
            <w:r>
              <w:t>Financial Reporting and Framework Branch</w:t>
            </w:r>
          </w:p>
        </w:tc>
        <w:tc>
          <w:tcPr>
            <w:tcW w:w="2294" w:type="dxa"/>
          </w:tcPr>
          <w:p w14:paraId="3C8E2786" w14:textId="5C977983" w:rsidR="00650CEB" w:rsidRDefault="00650CEB" w:rsidP="00650CEB">
            <w:pPr>
              <w:pStyle w:val="Bullet2"/>
              <w:numPr>
                <w:ilvl w:val="0"/>
                <w:numId w:val="0"/>
              </w:numPr>
              <w:spacing w:line="276" w:lineRule="auto"/>
            </w:pPr>
            <w:r>
              <w:t>Fifth release</w:t>
            </w:r>
          </w:p>
        </w:tc>
      </w:tr>
      <w:tr w:rsidR="00776788" w14:paraId="4969C8F9" w14:textId="77777777" w:rsidTr="004F6876">
        <w:tc>
          <w:tcPr>
            <w:tcW w:w="1131" w:type="dxa"/>
          </w:tcPr>
          <w:p w14:paraId="125A2148" w14:textId="5E195C4F" w:rsidR="00650CEB" w:rsidRDefault="00650CEB" w:rsidP="00650CEB">
            <w:pPr>
              <w:pStyle w:val="Bullet2"/>
              <w:numPr>
                <w:ilvl w:val="0"/>
                <w:numId w:val="0"/>
              </w:numPr>
              <w:spacing w:line="276" w:lineRule="auto"/>
            </w:pPr>
            <w:r>
              <w:t>5.0</w:t>
            </w:r>
          </w:p>
        </w:tc>
        <w:tc>
          <w:tcPr>
            <w:tcW w:w="1412" w:type="dxa"/>
          </w:tcPr>
          <w:p w14:paraId="26BB953C" w14:textId="5D92974B" w:rsidR="00650CEB" w:rsidRDefault="00650CEB" w:rsidP="00650CEB">
            <w:pPr>
              <w:pStyle w:val="Bullet2"/>
              <w:numPr>
                <w:ilvl w:val="0"/>
                <w:numId w:val="0"/>
              </w:numPr>
              <w:spacing w:line="276" w:lineRule="auto"/>
            </w:pPr>
            <w:r>
              <w:t>June 2019</w:t>
            </w:r>
          </w:p>
        </w:tc>
        <w:tc>
          <w:tcPr>
            <w:tcW w:w="4086" w:type="dxa"/>
          </w:tcPr>
          <w:p w14:paraId="0558DC9E" w14:textId="6CDD4247" w:rsidR="00650CEB" w:rsidRDefault="00650CEB" w:rsidP="00650CEB">
            <w:pPr>
              <w:pStyle w:val="Bullet2"/>
              <w:numPr>
                <w:ilvl w:val="0"/>
                <w:numId w:val="0"/>
              </w:numPr>
              <w:spacing w:line="276" w:lineRule="auto"/>
            </w:pPr>
            <w:r>
              <w:t>Financial Reporting and Framework Branch</w:t>
            </w:r>
          </w:p>
        </w:tc>
        <w:tc>
          <w:tcPr>
            <w:tcW w:w="2294" w:type="dxa"/>
          </w:tcPr>
          <w:p w14:paraId="3D144741" w14:textId="4344BA8D" w:rsidR="00650CEB" w:rsidRDefault="00650CEB" w:rsidP="00650CEB">
            <w:pPr>
              <w:pStyle w:val="Bullet2"/>
              <w:numPr>
                <w:ilvl w:val="0"/>
                <w:numId w:val="0"/>
              </w:numPr>
              <w:spacing w:line="276" w:lineRule="auto"/>
            </w:pPr>
            <w:r>
              <w:t>Sixth release</w:t>
            </w:r>
          </w:p>
        </w:tc>
      </w:tr>
      <w:tr w:rsidR="006C7B31" w14:paraId="5F3752D8" w14:textId="77777777" w:rsidTr="004F6876">
        <w:tc>
          <w:tcPr>
            <w:tcW w:w="1131" w:type="dxa"/>
          </w:tcPr>
          <w:p w14:paraId="50DDB0AE" w14:textId="5D8CFA9A" w:rsidR="00650CEB" w:rsidRDefault="00650CEB" w:rsidP="00650CEB">
            <w:pPr>
              <w:pStyle w:val="Bullet2"/>
              <w:numPr>
                <w:ilvl w:val="0"/>
                <w:numId w:val="0"/>
              </w:numPr>
              <w:spacing w:line="276" w:lineRule="auto"/>
            </w:pPr>
            <w:r>
              <w:t>6.0</w:t>
            </w:r>
          </w:p>
        </w:tc>
        <w:tc>
          <w:tcPr>
            <w:tcW w:w="1412" w:type="dxa"/>
          </w:tcPr>
          <w:p w14:paraId="63CFE238" w14:textId="154C112D" w:rsidR="00650CEB" w:rsidRDefault="00650CEB" w:rsidP="00650CEB">
            <w:pPr>
              <w:pStyle w:val="Bullet2"/>
              <w:numPr>
                <w:ilvl w:val="0"/>
                <w:numId w:val="0"/>
              </w:numPr>
              <w:spacing w:line="276" w:lineRule="auto"/>
            </w:pPr>
            <w:r>
              <w:t>June 2021</w:t>
            </w:r>
          </w:p>
        </w:tc>
        <w:tc>
          <w:tcPr>
            <w:tcW w:w="4086" w:type="dxa"/>
          </w:tcPr>
          <w:p w14:paraId="39266479" w14:textId="68DF8EDF" w:rsidR="00650CEB" w:rsidRDefault="00650CEB" w:rsidP="00650CEB">
            <w:pPr>
              <w:pStyle w:val="Bullet2"/>
              <w:numPr>
                <w:ilvl w:val="0"/>
                <w:numId w:val="0"/>
              </w:numPr>
              <w:spacing w:line="276" w:lineRule="auto"/>
            </w:pPr>
            <w:r>
              <w:t>Financial Reporting and Framework Branch</w:t>
            </w:r>
          </w:p>
        </w:tc>
        <w:tc>
          <w:tcPr>
            <w:tcW w:w="2294" w:type="dxa"/>
          </w:tcPr>
          <w:p w14:paraId="10E93F8A" w14:textId="6506C060" w:rsidR="00650CEB" w:rsidRDefault="00650CEB" w:rsidP="00650CEB">
            <w:pPr>
              <w:pStyle w:val="Bullet2"/>
              <w:numPr>
                <w:ilvl w:val="0"/>
                <w:numId w:val="0"/>
              </w:numPr>
              <w:spacing w:line="276" w:lineRule="auto"/>
            </w:pPr>
            <w:r>
              <w:t>Seventh release</w:t>
            </w:r>
          </w:p>
        </w:tc>
      </w:tr>
      <w:tr w:rsidR="006C7B31" w14:paraId="73C8AD65" w14:textId="77777777" w:rsidTr="004F6876">
        <w:tc>
          <w:tcPr>
            <w:tcW w:w="1131" w:type="dxa"/>
          </w:tcPr>
          <w:p w14:paraId="69D19184" w14:textId="1EED015F" w:rsidR="00650CEB" w:rsidRDefault="00650CEB" w:rsidP="00650CEB">
            <w:pPr>
              <w:pStyle w:val="Bullet2"/>
              <w:numPr>
                <w:ilvl w:val="0"/>
                <w:numId w:val="0"/>
              </w:numPr>
              <w:spacing w:line="276" w:lineRule="auto"/>
            </w:pPr>
            <w:r>
              <w:t>7.0</w:t>
            </w:r>
          </w:p>
        </w:tc>
        <w:tc>
          <w:tcPr>
            <w:tcW w:w="1412" w:type="dxa"/>
          </w:tcPr>
          <w:p w14:paraId="27C868DF" w14:textId="50AAB098" w:rsidR="00650CEB" w:rsidRDefault="00650CEB" w:rsidP="00650CEB">
            <w:pPr>
              <w:pStyle w:val="Bullet2"/>
              <w:numPr>
                <w:ilvl w:val="0"/>
                <w:numId w:val="0"/>
              </w:numPr>
              <w:spacing w:line="276" w:lineRule="auto"/>
            </w:pPr>
            <w:r>
              <w:t>June 2022</w:t>
            </w:r>
          </w:p>
        </w:tc>
        <w:tc>
          <w:tcPr>
            <w:tcW w:w="4086" w:type="dxa"/>
          </w:tcPr>
          <w:p w14:paraId="4E6BF1E0" w14:textId="77777777" w:rsidR="00650CEB" w:rsidRDefault="00650CEB" w:rsidP="00650CEB">
            <w:pPr>
              <w:pStyle w:val="Bullet2"/>
              <w:numPr>
                <w:ilvl w:val="0"/>
                <w:numId w:val="0"/>
              </w:numPr>
              <w:spacing w:line="276" w:lineRule="auto"/>
            </w:pPr>
            <w:r>
              <w:t>Financial Reporting and Framework Branch</w:t>
            </w:r>
          </w:p>
        </w:tc>
        <w:tc>
          <w:tcPr>
            <w:tcW w:w="2294" w:type="dxa"/>
          </w:tcPr>
          <w:p w14:paraId="1E2B076D" w14:textId="75FC4F69" w:rsidR="00650CEB" w:rsidRDefault="00650CEB" w:rsidP="00650CEB">
            <w:pPr>
              <w:pStyle w:val="Bullet2"/>
              <w:numPr>
                <w:ilvl w:val="0"/>
                <w:numId w:val="0"/>
              </w:numPr>
              <w:spacing w:line="276" w:lineRule="auto"/>
            </w:pPr>
            <w:r>
              <w:t>Eighth release</w:t>
            </w:r>
          </w:p>
        </w:tc>
      </w:tr>
      <w:tr w:rsidR="0048143D" w14:paraId="69E8892F" w14:textId="77777777" w:rsidTr="004F6876">
        <w:tc>
          <w:tcPr>
            <w:tcW w:w="1131" w:type="dxa"/>
          </w:tcPr>
          <w:p w14:paraId="63BEEDA7" w14:textId="79598E89" w:rsidR="0048143D" w:rsidRDefault="0048143D" w:rsidP="00650CEB">
            <w:pPr>
              <w:pStyle w:val="Bullet2"/>
              <w:numPr>
                <w:ilvl w:val="0"/>
                <w:numId w:val="0"/>
              </w:numPr>
              <w:spacing w:line="276" w:lineRule="auto"/>
            </w:pPr>
            <w:r>
              <w:t>8.0</w:t>
            </w:r>
          </w:p>
        </w:tc>
        <w:tc>
          <w:tcPr>
            <w:tcW w:w="1412" w:type="dxa"/>
          </w:tcPr>
          <w:p w14:paraId="2EB01070" w14:textId="62127E13" w:rsidR="0048143D" w:rsidRDefault="00A06EBD" w:rsidP="00650CEB">
            <w:pPr>
              <w:pStyle w:val="Bullet2"/>
              <w:numPr>
                <w:ilvl w:val="0"/>
                <w:numId w:val="0"/>
              </w:numPr>
              <w:spacing w:line="276" w:lineRule="auto"/>
            </w:pPr>
            <w:r>
              <w:t>June</w:t>
            </w:r>
            <w:r w:rsidR="0048143D">
              <w:t xml:space="preserve"> 2023</w:t>
            </w:r>
          </w:p>
        </w:tc>
        <w:tc>
          <w:tcPr>
            <w:tcW w:w="4086" w:type="dxa"/>
          </w:tcPr>
          <w:p w14:paraId="33735A53" w14:textId="05ECA25D" w:rsidR="0048143D" w:rsidRDefault="0036449D" w:rsidP="00650CEB">
            <w:pPr>
              <w:pStyle w:val="Bullet2"/>
              <w:numPr>
                <w:ilvl w:val="0"/>
                <w:numId w:val="0"/>
              </w:numPr>
              <w:spacing w:line="276" w:lineRule="auto"/>
            </w:pPr>
            <w:r>
              <w:t>Financial Reporting and Framework Branch</w:t>
            </w:r>
          </w:p>
        </w:tc>
        <w:tc>
          <w:tcPr>
            <w:tcW w:w="2294" w:type="dxa"/>
          </w:tcPr>
          <w:p w14:paraId="6B5D007C" w14:textId="78708C09" w:rsidR="0048143D" w:rsidRDefault="0036449D" w:rsidP="00650CEB">
            <w:pPr>
              <w:pStyle w:val="Bullet2"/>
              <w:numPr>
                <w:ilvl w:val="0"/>
                <w:numId w:val="0"/>
              </w:numPr>
              <w:spacing w:line="276" w:lineRule="auto"/>
            </w:pPr>
            <w:r>
              <w:t>Ninth release</w:t>
            </w:r>
          </w:p>
        </w:tc>
      </w:tr>
    </w:tbl>
    <w:p w14:paraId="4BABDE35" w14:textId="77777777" w:rsidR="00AC4883" w:rsidRPr="00636502" w:rsidRDefault="00AC4883" w:rsidP="00636502">
      <w:pPr>
        <w:pStyle w:val="CommentText"/>
        <w:rPr>
          <w:sz w:val="22"/>
          <w:szCs w:val="22"/>
        </w:rPr>
      </w:pPr>
    </w:p>
    <w:p w14:paraId="12E69776" w14:textId="77777777" w:rsidR="008A53B9" w:rsidRDefault="008A53B9">
      <w:pPr>
        <w:spacing w:line="276" w:lineRule="auto"/>
        <w:rPr>
          <w:sz w:val="22"/>
          <w:szCs w:val="22"/>
        </w:rPr>
      </w:pPr>
      <w:r>
        <w:rPr>
          <w:sz w:val="22"/>
          <w:szCs w:val="22"/>
        </w:rPr>
        <w:br w:type="page"/>
      </w:r>
    </w:p>
    <w:p w14:paraId="112F2189" w14:textId="4A726259" w:rsidR="000715C4" w:rsidRPr="006E6C9B" w:rsidRDefault="008A53B9" w:rsidP="00B90D82">
      <w:pPr>
        <w:spacing w:after="120" w:line="276" w:lineRule="auto"/>
      </w:pPr>
      <w:r>
        <w:rPr>
          <w:noProof/>
        </w:rPr>
        <w:lastRenderedPageBreak/>
        <w:drawing>
          <wp:anchor distT="0" distB="0" distL="114300" distR="114300" simplePos="0" relativeHeight="251656192" behindDoc="1" locked="0" layoutInCell="1" allowOverlap="1" wp14:anchorId="7375332D" wp14:editId="750310AA">
            <wp:simplePos x="0" y="0"/>
            <wp:positionH relativeFrom="page">
              <wp:posOffset>0</wp:posOffset>
            </wp:positionH>
            <wp:positionV relativeFrom="page">
              <wp:posOffset>60325</wp:posOffset>
            </wp:positionV>
            <wp:extent cx="7628255" cy="107899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7628255" cy="10789920"/>
                    </a:xfrm>
                    <a:prstGeom prst="rect">
                      <a:avLst/>
                    </a:prstGeom>
                    <a:noFill/>
                  </pic:spPr>
                </pic:pic>
              </a:graphicData>
            </a:graphic>
          </wp:anchor>
        </w:drawing>
      </w:r>
    </w:p>
    <w:p w14:paraId="4BA85778" w14:textId="77777777" w:rsidR="000715C4" w:rsidRPr="003A6F39" w:rsidRDefault="000715C4" w:rsidP="000715C4">
      <w:pPr>
        <w:spacing w:after="60"/>
        <w:rPr>
          <w:rFonts w:eastAsiaTheme="majorEastAsia" w:cstheme="majorBidi"/>
          <w:caps/>
          <w:color w:val="482D8C" w:themeColor="background2"/>
          <w:spacing w:val="-20"/>
          <w:kern w:val="36"/>
          <w:sz w:val="44"/>
          <w:szCs w:val="48"/>
        </w:rPr>
      </w:pPr>
      <w:bookmarkStart w:id="133" w:name="_Hlk70420261"/>
    </w:p>
    <w:bookmarkEnd w:id="133"/>
    <w:p w14:paraId="1B21A96C" w14:textId="38C9E5D3" w:rsidR="00101F0C" w:rsidRDefault="00101F0C" w:rsidP="00E70895">
      <w:pPr>
        <w:pStyle w:val="Bullet1"/>
        <w:numPr>
          <w:ilvl w:val="0"/>
          <w:numId w:val="0"/>
        </w:numPr>
        <w:ind w:left="360"/>
        <w:rPr>
          <w:sz w:val="21"/>
          <w:szCs w:val="21"/>
        </w:rPr>
      </w:pPr>
    </w:p>
    <w:p w14:paraId="3120A053" w14:textId="739B01A2" w:rsidR="00D53521" w:rsidRDefault="00D53521" w:rsidP="00E70895">
      <w:pPr>
        <w:pStyle w:val="Bullet1"/>
        <w:numPr>
          <w:ilvl w:val="0"/>
          <w:numId w:val="0"/>
        </w:numPr>
        <w:ind w:left="360"/>
        <w:rPr>
          <w:sz w:val="21"/>
          <w:szCs w:val="21"/>
        </w:rPr>
      </w:pPr>
    </w:p>
    <w:p w14:paraId="3AE47B5F" w14:textId="41A908E3" w:rsidR="00632F54" w:rsidRPr="00632F54" w:rsidRDefault="00515609" w:rsidP="002233F8">
      <w:pPr>
        <w:spacing w:line="276" w:lineRule="auto"/>
      </w:pPr>
      <w:r>
        <w:rPr>
          <w:b/>
          <w:noProof/>
          <w:color w:val="FF0000"/>
        </w:rPr>
        <mc:AlternateContent>
          <mc:Choice Requires="wps">
            <w:drawing>
              <wp:anchor distT="0" distB="0" distL="114300" distR="114300" simplePos="0" relativeHeight="251660288" behindDoc="0" locked="0" layoutInCell="1" allowOverlap="1" wp14:anchorId="151649BD" wp14:editId="11A34611">
                <wp:simplePos x="0" y="0"/>
                <wp:positionH relativeFrom="column">
                  <wp:posOffset>2128190</wp:posOffset>
                </wp:positionH>
                <wp:positionV relativeFrom="paragraph">
                  <wp:posOffset>4045174</wp:posOffset>
                </wp:positionV>
                <wp:extent cx="11099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109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0D3C8C"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7.55pt,318.5pt" to="176.3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BimQEAAJMDAAAOAAAAZHJzL2Uyb0RvYy54bWysU02P0zAQvSPxHyzfaZI9rNio6R52BRcE&#10;Kz5+gNcZN5ZsjzU2TfrvGbttimAlBOLi+GPem3lvJtv7xTtxAEoWwyC7TSsFBI2jDftBfvv67s1b&#10;KVJWYVQOAwzyCEne716/2s6xhxuc0I1AgklC6uc4yCnn2DdN0hN4lTYYIfCjQfIq85H2zUhqZnbv&#10;mpu2vW1mpDESakiJbx9Pj3JX+Y0BnT8ZkyALN0iuLdeV6vpc1ma3Vf2eVJysPpeh/qEKr2zgpCvV&#10;o8pKfCf7G5W3mjChyRuNvkFjrIaqgdV07S9qvkwqQtXC5qS42pT+H63+eHgIT8Q2zDH1KT5RUbEY&#10;8uXL9YmlmnVczYIlC82XXdfe3d1KoS9PzRUXKeX3gF6UzSCdDUWG6tXhQ8qci0MvIXy4Zq67fHRQ&#10;gl34DEbYseSq6DoU8OBIHBS3U2kNIXelhcxXowvMWOdWYPtn4Dm+QKEOzN+AV0TNjCGvYG8D0kvZ&#10;83Ip2ZziLw6cdBcLnnE81p5Ua7jzVeF5Ssto/Xyu8Ou/tPsBAAD//wMAUEsDBBQABgAIAAAAIQBW&#10;EnH94AAAAAsBAAAPAAAAZHJzL2Rvd25yZXYueG1sTI/RSsNAEEXfBf9hGcEXsZs2JpaYTVGh9EFF&#10;bPyAbXZMgtnZkN2kqV/vCII+zszhzrn5ZradmHDwrSMFy0UEAqlypqVawXu5vV6D8EGT0Z0jVHBC&#10;D5vi/CzXmXFHesNpH2rBIeQzraAJoc+k9FWDVvuF65H49uEGqwOPQy3NoI8cbju5iqJUWt0Sf2h0&#10;j48NVp/70SrYbR/wKTmN9Y1JduXVVD6/fL2ulbq8mO/vQAScwx8MP/qsDgU7HdxIxotOQRwnS0YV&#10;pPEtl2IiTlYpiMPvRha5/N+h+AYAAP//AwBQSwECLQAUAAYACAAAACEAtoM4kv4AAADhAQAAEwAA&#10;AAAAAAAAAAAAAAAAAAAAW0NvbnRlbnRfVHlwZXNdLnhtbFBLAQItABQABgAIAAAAIQA4/SH/1gAA&#10;AJQBAAALAAAAAAAAAAAAAAAAAC8BAABfcmVscy8ucmVsc1BLAQItABQABgAIAAAAIQCdzqBimQEA&#10;AJMDAAAOAAAAAAAAAAAAAAAAAC4CAABkcnMvZTJvRG9jLnhtbFBLAQItABQABgAIAAAAIQBWEnH9&#10;4AAAAAsBAAAPAAAAAAAAAAAAAAAAAPMDAABkcnMvZG93bnJldi54bWxQSwUGAAAAAAQABADzAAAA&#10;AAUAAAAA&#10;" strokecolor="#2f2f2f [3044]"/>
            </w:pict>
          </mc:Fallback>
        </mc:AlternateContent>
      </w:r>
      <w:r>
        <w:rPr>
          <w:b/>
          <w:noProof/>
          <w:color w:val="FF0000"/>
        </w:rPr>
        <mc:AlternateContent>
          <mc:Choice Requires="wps">
            <w:drawing>
              <wp:anchor distT="0" distB="0" distL="114300" distR="114300" simplePos="0" relativeHeight="251659264" behindDoc="0" locked="0" layoutInCell="1" allowOverlap="1" wp14:anchorId="4FCB02C1" wp14:editId="3FC3BAD7">
                <wp:simplePos x="0" y="0"/>
                <wp:positionH relativeFrom="column">
                  <wp:posOffset>1245503</wp:posOffset>
                </wp:positionH>
                <wp:positionV relativeFrom="paragraph">
                  <wp:posOffset>4024032</wp:posOffset>
                </wp:positionV>
                <wp:extent cx="8456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45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EE64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8.05pt,316.85pt" to="104.7pt,3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YkmgEAAJIDAAAOAAAAZHJzL2Uyb0RvYy54bWysU02P0zAQvSPxHyzfadIVrJao6R52BRcE&#10;K2B/gNcZN5ZsjzU2TfrvGbttigAJsdqL4495b+a9mWxuZ+/EHihZDL1cr1opIGgcbNj18vH7hzc3&#10;UqSswqAcBujlAZK83b5+tZliB1c4ohuABJOE1E2xl2POsWuapEfwKq0wQuBHg+RV5iPtmoHUxOze&#10;NVdte91MSEMk1JAS394fH+W28hsDOn8xJkEWrpdcW64r1fWprM12o7odqThafSpDPaMKr2zgpAvV&#10;vcpK/CD7B5W3mjChySuNvkFjrIaqgdWs29/UfBtVhKqFzUlxsSm9HK3+vL8LD8Q2TDF1KT5QUTEb&#10;8uXL9Ym5mnVYzII5C82XN2/fXb+XQp9fmgssUsofAb0om146G4oK1an9p5Q5FYeeQ/hwSVx3+eCg&#10;BLvwFYywA6daV3SdCbhzJPaKu6m0hpDXpYPMV6MLzFjnFmD7b+ApvkChzsv/gBdEzYwhL2BvA9Lf&#10;suf5XLI5xp8dOOouFjzhcKgtqdZw46vC05CWyfr1XOGXX2n7EwAA//8DAFBLAwQUAAYACAAAACEA&#10;DMlMbuAAAAALAQAADwAAAGRycy9kb3ducmV2LnhtbEyP3UrDQBBG7wXfYRnBG7Gb/sU2ZlNUKL2o&#10;IjY+wDY7JsHsbMhu0tSndwRBL7+Zwzdn0s1oGzFg52tHCqaTCARS4UxNpYL3fHu7AuGDJqMbR6jg&#10;jB422eVFqhPjTvSGwyGUgkvIJ1pBFUKbSOmLCq32E9ci8e7DdVYHjl0pTadPXG4bOYuiWFpdE1+o&#10;dItPFRafh94q2G0fcb889+XCLHf5zZA/v3y9rpS6vhof7kEEHMMfDD/6rA4ZOx1dT8aLhvM6njKq&#10;IJ7P70AwMYvWCxDH34nMUvn/h+wbAAD//wMAUEsBAi0AFAAGAAgAAAAhALaDOJL+AAAA4QEAABMA&#10;AAAAAAAAAAAAAAAAAAAAAFtDb250ZW50X1R5cGVzXS54bWxQSwECLQAUAAYACAAAACEAOP0h/9YA&#10;AACUAQAACwAAAAAAAAAAAAAAAAAvAQAAX3JlbHMvLnJlbHNQSwECLQAUAAYACAAAACEAzmy2JJoB&#10;AACSAwAADgAAAAAAAAAAAAAAAAAuAgAAZHJzL2Uyb0RvYy54bWxQSwECLQAUAAYACAAAACEADMlM&#10;buAAAAALAQAADwAAAAAAAAAAAAAAAAD0AwAAZHJzL2Rvd25yZXYueG1sUEsFBgAAAAAEAAQA8wAA&#10;AAEFAAAAAA==&#10;" strokecolor="#2f2f2f [3044]"/>
            </w:pict>
          </mc:Fallback>
        </mc:AlternateContent>
      </w:r>
      <w:bookmarkStart w:id="134" w:name="_Toc457377884"/>
      <w:bookmarkStart w:id="135" w:name="_Toc55814473"/>
      <w:bookmarkStart w:id="136" w:name="_Toc55815582"/>
      <w:bookmarkStart w:id="137" w:name="_Toc57269502"/>
      <w:bookmarkStart w:id="138" w:name="_Toc58395019"/>
      <w:bookmarkEnd w:id="134"/>
      <w:r w:rsidR="00496C0F">
        <w:rPr>
          <w:noProof/>
        </w:rPr>
        <w:drawing>
          <wp:anchor distT="0" distB="0" distL="114300" distR="114300" simplePos="0" relativeHeight="251632640" behindDoc="0" locked="0" layoutInCell="1" allowOverlap="1" wp14:anchorId="1961ED14" wp14:editId="52E39A94">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005115E8">
        <w:rPr>
          <w:noProof/>
        </w:rPr>
        <mc:AlternateContent>
          <mc:Choice Requires="wps">
            <w:drawing>
              <wp:anchor distT="0" distB="0" distL="114300" distR="114300" simplePos="0" relativeHeight="251635712" behindDoc="0" locked="0" layoutInCell="1" allowOverlap="1" wp14:anchorId="54B160D4" wp14:editId="00ADFCC1">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121F6" w14:textId="77777777" w:rsidR="00D4090F" w:rsidRPr="000016B9" w:rsidRDefault="00D4090F" w:rsidP="004D2EBC">
                            <w:pPr>
                              <w:pStyle w:val="Intro"/>
                              <w:rPr>
                                <w:caps/>
                                <w:color w:val="FFFFFF"/>
                              </w:rPr>
                            </w:pPr>
                            <w:r>
                              <w:rPr>
                                <w:color w:val="FFFFFF"/>
                              </w:rPr>
                              <w:t>Chief Minister, Treasury and Economic Development Directorate</w:t>
                            </w:r>
                          </w:p>
                          <w:p w14:paraId="0EF20222" w14:textId="24420267" w:rsidR="00D4090F" w:rsidRPr="003D4DBC" w:rsidRDefault="00A06EBD" w:rsidP="000016B9">
                            <w:pPr>
                              <w:pStyle w:val="Intro"/>
                              <w:rPr>
                                <w:color w:val="FFFFFF" w:themeColor="background1"/>
                              </w:rPr>
                            </w:pPr>
                            <w:r>
                              <w:rPr>
                                <w:color w:val="FFFFFF"/>
                              </w:rPr>
                              <w:t>June</w:t>
                            </w:r>
                            <w:r w:rsidR="00D659A0">
                              <w:rPr>
                                <w:color w:val="FFFFFF"/>
                              </w:rPr>
                              <w:t xml:space="preserve"> </w:t>
                            </w:r>
                            <w:r>
                              <w:rPr>
                                <w:color w:val="FFFFFF"/>
                              </w:rPr>
                              <w:t>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B160D4" id="Text Box 7" o:spid="_x0000_s1028" type="#_x0000_t202" style="position:absolute;margin-left:0;margin-top:708.75pt;width:270.85pt;height:72.2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R5QEAAKgDAAAOAAAAZHJzL2Uyb0RvYy54bWysU9tu2zAMfR+wfxD0vjhJ03Yx4hRdiwwD&#10;ugvQ7QNkWbaF2aJGKrGzrx+lXJptb8NeBJGUD885pFd3Y9+JnUGy4Ao5m0ylME5DZV1TyG9fN2/e&#10;SkFBuUp14Ewh94bk3fr1q9XgczOHFrrKoGAQR/ngC9mG4PMsI92aXtEEvHFcrAF7FTjEJqtQDYze&#10;d9l8Or3JBsDKI2hDxNnHQ1GuE35dGx0+1zWZILpCMreQTkxnGc9svVJ5g8q3Vh9pqH9g0SvruOkZ&#10;6lEFJbZo/4LqrUYgqMNEQ59BXVttkgZWM5v+oea5Vd4kLWwO+bNN9P9g9afds/+CIozvYOQBJhHk&#10;n0B/J+HgoVWuMfeIMLRGVdx4Fi3LBk/58dNoNeUUQcrhI1Q8ZLUNkIDGGvvoCusUjM4D2J9NN2MQ&#10;mpNXi6vl7fJaCs215exmuUhTyVR++tojhfcGehEvhUQeakJXuycKkY3KT09iMwcb23VpsJ37LcEP&#10;Yyaxj4QP1MNYjsJWhZxHaVFMCdWe5SAc1oXXmy8t4E8pBl6VQtKPrUIjRffBsSXL2YI5i5CCxfXt&#10;nAO8rJSXFeU0QxUySHG4PoTDPm492qblTqch3LONG5sUvrA60ud1SMKPqxv37TJOr15+sPUvAAAA&#10;//8DAFBLAwQUAAYACAAAACEAyxhcX94AAAAKAQAADwAAAGRycy9kb3ducmV2LnhtbEyPQU/DMAyF&#10;70j8h8hI3FjaiW6sazpNaBtHxqg4Z41pKxonarKu/HvMCW72e9bz94rNZHsx4hA6RwrSWQICqXam&#10;o0ZB9b5/eAIRoiaje0eo4BsDbMrbm0Lnxl3pDcdTbASHUMi1gjZGn0sZ6hatDjPnkdj7dIPVkdeh&#10;kWbQVw63vZwnyUJa3RF/aLXH5xbrr9PFKvDRH5Yvw+txu9uPSfVxqOZds1Pq/m7arkFEnOLfMfzi&#10;MzqUzHR2FzJB9Aq4SGT1MV1mINjPeAJxZilbpCuQZSH/Vyh/AAAA//8DAFBLAQItABQABgAIAAAA&#10;IQC2gziS/gAAAOEBAAATAAAAAAAAAAAAAAAAAAAAAABbQ29udGVudF9UeXBlc10ueG1sUEsBAi0A&#10;FAAGAAgAAAAhADj9If/WAAAAlAEAAAsAAAAAAAAAAAAAAAAALwEAAF9yZWxzLy5yZWxzUEsBAi0A&#10;FAAGAAgAAAAhAF3n9xHlAQAAqAMAAA4AAAAAAAAAAAAAAAAALgIAAGRycy9lMm9Eb2MueG1sUEsB&#10;Ai0AFAAGAAgAAAAhAMsYXF/eAAAACgEAAA8AAAAAAAAAAAAAAAAAPwQAAGRycy9kb3ducmV2Lnht&#10;bFBLBQYAAAAABAAEAPMAAABKBQAAAAA=&#10;" filled="f" stroked="f">
                <v:textbox style="mso-fit-shape-to-text:t">
                  <w:txbxContent>
                    <w:p w14:paraId="54D121F6" w14:textId="77777777" w:rsidR="00D4090F" w:rsidRPr="000016B9" w:rsidRDefault="00D4090F" w:rsidP="004D2EBC">
                      <w:pPr>
                        <w:pStyle w:val="Intro"/>
                        <w:rPr>
                          <w:caps/>
                          <w:color w:val="FFFFFF"/>
                        </w:rPr>
                      </w:pPr>
                      <w:r>
                        <w:rPr>
                          <w:color w:val="FFFFFF"/>
                        </w:rPr>
                        <w:t>Chief Minister, Treasury and Economic Development Directorate</w:t>
                      </w:r>
                    </w:p>
                    <w:p w14:paraId="0EF20222" w14:textId="24420267" w:rsidR="00D4090F" w:rsidRPr="003D4DBC" w:rsidRDefault="00A06EBD" w:rsidP="000016B9">
                      <w:pPr>
                        <w:pStyle w:val="Intro"/>
                        <w:rPr>
                          <w:color w:val="FFFFFF" w:themeColor="background1"/>
                        </w:rPr>
                      </w:pPr>
                      <w:r>
                        <w:rPr>
                          <w:color w:val="FFFFFF"/>
                        </w:rPr>
                        <w:t>June</w:t>
                      </w:r>
                      <w:r w:rsidR="00D659A0">
                        <w:rPr>
                          <w:color w:val="FFFFFF"/>
                        </w:rPr>
                        <w:t xml:space="preserve"> </w:t>
                      </w:r>
                      <w:r>
                        <w:rPr>
                          <w:color w:val="FFFFFF"/>
                        </w:rPr>
                        <w:t>2023</w:t>
                      </w:r>
                    </w:p>
                  </w:txbxContent>
                </v:textbox>
                <w10:wrap anchory="page"/>
              </v:shape>
            </w:pict>
          </mc:Fallback>
        </mc:AlternateContent>
      </w:r>
      <w:bookmarkEnd w:id="135"/>
      <w:bookmarkEnd w:id="136"/>
      <w:bookmarkEnd w:id="137"/>
      <w:bookmarkEnd w:id="138"/>
    </w:p>
    <w:sectPr w:rsidR="00632F54" w:rsidRPr="00632F54" w:rsidSect="000715C4">
      <w:pgSz w:w="11906" w:h="16838" w:code="9"/>
      <w:pgMar w:top="1276" w:right="1418" w:bottom="993" w:left="1418" w:header="567"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7E24" w14:textId="77777777" w:rsidR="00DF2B85" w:rsidRDefault="00DF2B85" w:rsidP="00665B9F">
      <w:pPr>
        <w:spacing w:after="0" w:line="240" w:lineRule="auto"/>
      </w:pPr>
      <w:r>
        <w:separator/>
      </w:r>
    </w:p>
  </w:endnote>
  <w:endnote w:type="continuationSeparator" w:id="0">
    <w:p w14:paraId="3ED55DC8" w14:textId="77777777" w:rsidR="00DF2B85" w:rsidRDefault="00DF2B85"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116906"/>
      <w:docPartObj>
        <w:docPartGallery w:val="Page Numbers (Bottom of Page)"/>
        <w:docPartUnique/>
      </w:docPartObj>
    </w:sdtPr>
    <w:sdtEndPr>
      <w:rPr>
        <w:noProof/>
      </w:rPr>
    </w:sdtEndPr>
    <w:sdtContent>
      <w:p w14:paraId="00531F97" w14:textId="37B65D33" w:rsidR="00BA1D65" w:rsidRDefault="00BA1D65" w:rsidP="00E70DD1">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EB36" w14:textId="77777777" w:rsidR="00BA1D65" w:rsidRDefault="006C77E2">
    <w:pPr>
      <w:pStyle w:val="Footer"/>
      <w:jc w:val="center"/>
    </w:pPr>
    <w:sdt>
      <w:sdtPr>
        <w:id w:val="1947276648"/>
        <w:docPartObj>
          <w:docPartGallery w:val="Page Numbers (Bottom of Page)"/>
          <w:docPartUnique/>
        </w:docPartObj>
      </w:sdtPr>
      <w:sdtEndPr>
        <w:rPr>
          <w:noProof/>
        </w:rPr>
      </w:sdtEndPr>
      <w:sdtContent>
        <w:r w:rsidR="00BA1D65">
          <w:fldChar w:fldCharType="begin"/>
        </w:r>
        <w:r w:rsidR="00BA1D65">
          <w:instrText xml:space="preserve"> PAGE   \* MERGEFORMAT </w:instrText>
        </w:r>
        <w:r w:rsidR="00BA1D65">
          <w:fldChar w:fldCharType="separate"/>
        </w:r>
        <w:r w:rsidR="00BA1D65">
          <w:rPr>
            <w:noProof/>
          </w:rPr>
          <w:t>2</w:t>
        </w:r>
        <w:r w:rsidR="00BA1D65">
          <w:rPr>
            <w:noProof/>
          </w:rPr>
          <w:fldChar w:fldCharType="end"/>
        </w:r>
      </w:sdtContent>
    </w:sdt>
  </w:p>
  <w:p w14:paraId="652B5793" w14:textId="77777777" w:rsidR="00BA1D65" w:rsidRDefault="00BA1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9738"/>
      <w:docPartObj>
        <w:docPartGallery w:val="Page Numbers (Bottom of Page)"/>
        <w:docPartUnique/>
      </w:docPartObj>
    </w:sdtPr>
    <w:sdtEndPr>
      <w:rPr>
        <w:noProof/>
      </w:rPr>
    </w:sdtEndPr>
    <w:sdtContent>
      <w:p w14:paraId="018A55A8" w14:textId="5AE1CE7B" w:rsidR="00FF05A4" w:rsidRDefault="00FF05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2636FD" w14:textId="7D0D47D9" w:rsidR="00D4090F" w:rsidRPr="000A6B63" w:rsidRDefault="00D4090F" w:rsidP="00B90D82">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2263" w14:textId="77777777" w:rsidR="00DF2B85" w:rsidRDefault="00DF2B85" w:rsidP="00665B9F">
      <w:pPr>
        <w:spacing w:after="0" w:line="240" w:lineRule="auto"/>
      </w:pPr>
      <w:r>
        <w:separator/>
      </w:r>
    </w:p>
  </w:footnote>
  <w:footnote w:type="continuationSeparator" w:id="0">
    <w:p w14:paraId="15EB0A42" w14:textId="77777777" w:rsidR="00DF2B85" w:rsidRDefault="00DF2B85" w:rsidP="00665B9F">
      <w:pPr>
        <w:spacing w:after="0" w:line="240" w:lineRule="auto"/>
      </w:pPr>
      <w:r>
        <w:continuationSeparator/>
      </w:r>
    </w:p>
  </w:footnote>
  <w:footnote w:id="1">
    <w:p w14:paraId="1AA5BD83" w14:textId="1FCC8924" w:rsidR="007A011D" w:rsidRDefault="007A011D">
      <w:pPr>
        <w:pStyle w:val="FootnoteText"/>
      </w:pPr>
      <w:r>
        <w:rPr>
          <w:rStyle w:val="FootnoteReference"/>
        </w:rPr>
        <w:footnoteRef/>
      </w:r>
      <w:r>
        <w:t xml:space="preserve"> The probability factors included in this example are based on all employees being under 55 years of 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D09A" w14:textId="22A4B907" w:rsidR="00BA1D65" w:rsidRPr="00215F3B" w:rsidRDefault="00E52582" w:rsidP="004A3008">
    <w:pPr>
      <w:rPr>
        <w:rFonts w:ascii="Calibri" w:hAnsi="Calibri" w:cs="Calibri"/>
        <w:b/>
        <w:bCs/>
        <w:color w:val="7030A0"/>
        <w:sz w:val="22"/>
        <w:szCs w:val="22"/>
      </w:rPr>
    </w:pPr>
    <w:bookmarkStart w:id="93" w:name="_Hlk14174026"/>
    <w:r w:rsidRPr="009D56A7">
      <w:rPr>
        <w:rFonts w:ascii="Calibri" w:hAnsi="Calibri" w:cs="Calibri"/>
        <w:b/>
        <w:bCs/>
        <w:color w:val="7030A0"/>
        <w:sz w:val="22"/>
        <w:szCs w:val="22"/>
      </w:rPr>
      <w:t>AA</w:t>
    </w:r>
    <w:r>
      <w:rPr>
        <w:rFonts w:ascii="Calibri" w:hAnsi="Calibri" w:cs="Calibri"/>
        <w:b/>
        <w:bCs/>
        <w:color w:val="7030A0"/>
        <w:sz w:val="22"/>
        <w:szCs w:val="22"/>
      </w:rPr>
      <w:t>P</w:t>
    </w:r>
    <w:r w:rsidRPr="009D56A7">
      <w:rPr>
        <w:rFonts w:ascii="Calibri" w:hAnsi="Calibri" w:cs="Calibri"/>
        <w:b/>
        <w:bCs/>
        <w:color w:val="7030A0"/>
        <w:sz w:val="22"/>
        <w:szCs w:val="22"/>
      </w:rPr>
      <w:t xml:space="preserve">P </w:t>
    </w:r>
    <w:r>
      <w:rPr>
        <w:rFonts w:ascii="Calibri" w:hAnsi="Calibri" w:cs="Calibri"/>
        <w:b/>
        <w:bCs/>
        <w:color w:val="7030A0"/>
        <w:sz w:val="22"/>
        <w:szCs w:val="22"/>
      </w:rPr>
      <w:t>110</w:t>
    </w:r>
    <w:r w:rsidRPr="009D56A7">
      <w:rPr>
        <w:rFonts w:ascii="Calibri" w:hAnsi="Calibri" w:cs="Calibri"/>
        <w:b/>
        <w:bCs/>
        <w:color w:val="7030A0"/>
        <w:sz w:val="22"/>
        <w:szCs w:val="22"/>
      </w:rPr>
      <w:t xml:space="preserve"> —</w:t>
    </w:r>
    <w:r w:rsidR="00BA1D65" w:rsidRPr="0059252D">
      <w:rPr>
        <w:bCs/>
      </w:rPr>
      <w:t xml:space="preserve"> </w:t>
    </w:r>
    <w:r w:rsidR="00BA1D65" w:rsidRPr="00215F3B">
      <w:rPr>
        <w:rFonts w:ascii="Calibri" w:hAnsi="Calibri" w:cs="Calibri"/>
        <w:b/>
        <w:bCs/>
        <w:color w:val="7030A0"/>
        <w:sz w:val="22"/>
        <w:szCs w:val="22"/>
      </w:rPr>
      <w:t>Employee Benefits</w:t>
    </w:r>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041C" w14:textId="77777777" w:rsidR="00BA1D65" w:rsidRDefault="00BA1D65" w:rsidP="003F2203">
    <w:r>
      <w:tab/>
    </w:r>
    <w:bookmarkStart w:id="94" w:name="_Hlk14174704"/>
    <w:r w:rsidRPr="00226F64">
      <w:rPr>
        <w:b/>
      </w:rPr>
      <w:t>ACT Accounting Poli</w:t>
    </w:r>
    <w:r>
      <w:rPr>
        <w:b/>
      </w:rPr>
      <w:t>cy - Employee Benefits</w:t>
    </w:r>
    <w:bookmarkEnd w:id="94"/>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5B4E" w14:textId="7D55195C" w:rsidR="00D4090F" w:rsidRPr="006046FF" w:rsidRDefault="00BB26D6" w:rsidP="002009BA">
    <w:pPr>
      <w:pStyle w:val="Intro"/>
      <w:rPr>
        <w:b/>
        <w:caps/>
        <w:color w:val="000000" w:themeColor="text1"/>
      </w:rPr>
    </w:pPr>
    <w:r w:rsidRPr="009D56A7">
      <w:rPr>
        <w:rFonts w:ascii="Calibri" w:hAnsi="Calibri" w:cs="Calibri"/>
        <w:b/>
        <w:bCs/>
        <w:color w:val="7030A0"/>
        <w:sz w:val="22"/>
        <w:szCs w:val="22"/>
      </w:rPr>
      <w:t>AA</w:t>
    </w:r>
    <w:r>
      <w:rPr>
        <w:rFonts w:ascii="Calibri" w:hAnsi="Calibri" w:cs="Calibri"/>
        <w:b/>
        <w:bCs/>
        <w:color w:val="7030A0"/>
        <w:sz w:val="22"/>
        <w:szCs w:val="22"/>
      </w:rPr>
      <w:t>P</w:t>
    </w:r>
    <w:r w:rsidRPr="009D56A7">
      <w:rPr>
        <w:rFonts w:ascii="Calibri" w:hAnsi="Calibri" w:cs="Calibri"/>
        <w:b/>
        <w:bCs/>
        <w:color w:val="7030A0"/>
        <w:sz w:val="22"/>
        <w:szCs w:val="22"/>
      </w:rPr>
      <w:t xml:space="preserve">P </w:t>
    </w:r>
    <w:r>
      <w:rPr>
        <w:rFonts w:ascii="Calibri" w:hAnsi="Calibri" w:cs="Calibri"/>
        <w:b/>
        <w:bCs/>
        <w:color w:val="7030A0"/>
        <w:sz w:val="22"/>
        <w:szCs w:val="22"/>
      </w:rPr>
      <w:t>110</w:t>
    </w:r>
    <w:r w:rsidRPr="009D56A7">
      <w:rPr>
        <w:rFonts w:ascii="Calibri" w:hAnsi="Calibri" w:cs="Calibri"/>
        <w:b/>
        <w:bCs/>
        <w:color w:val="7030A0"/>
        <w:sz w:val="22"/>
        <w:szCs w:val="22"/>
      </w:rPr>
      <w:t xml:space="preserve"> —</w:t>
    </w:r>
    <w:r w:rsidRPr="0059252D">
      <w:rPr>
        <w:bCs/>
      </w:rPr>
      <w:t xml:space="preserve"> </w:t>
    </w:r>
    <w:r w:rsidRPr="0035531A">
      <w:rPr>
        <w:rFonts w:ascii="Calibri" w:hAnsi="Calibri" w:cs="Calibri"/>
        <w:b/>
        <w:bCs/>
        <w:color w:val="7030A0"/>
        <w:sz w:val="22"/>
        <w:szCs w:val="22"/>
      </w:rPr>
      <w:t>Employee Benefits</w:t>
    </w:r>
    <w:r w:rsidRPr="006046FF">
      <w:rPr>
        <w:b/>
        <w:caps/>
        <w:noProof/>
        <w:color w:val="000000" w:themeColor="text1"/>
      </w:rPr>
      <w:t xml:space="preserve"> </w:t>
    </w:r>
    <w:r w:rsidR="00D4090F" w:rsidRPr="006046FF">
      <w:rPr>
        <w:b/>
        <w:caps/>
        <w:noProof/>
        <w:color w:val="000000" w:themeColor="text1"/>
      </w:rPr>
      <w:drawing>
        <wp:anchor distT="0" distB="0" distL="114300" distR="114300" simplePos="0" relativeHeight="251657216" behindDoc="1" locked="0" layoutInCell="1" allowOverlap="1" wp14:anchorId="084DAD62" wp14:editId="27013603">
          <wp:simplePos x="0" y="0"/>
          <wp:positionH relativeFrom="page">
            <wp:posOffset>534035</wp:posOffset>
          </wp:positionH>
          <wp:positionV relativeFrom="page">
            <wp:posOffset>-584200</wp:posOffset>
          </wp:positionV>
          <wp:extent cx="7632000" cy="903600"/>
          <wp:effectExtent l="38100" t="0" r="7620" b="640080"/>
          <wp:wrapNone/>
          <wp:docPr id="1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208F5"/>
    <w:multiLevelType w:val="hybridMultilevel"/>
    <w:tmpl w:val="BCE2D6E4"/>
    <w:lvl w:ilvl="0" w:tplc="0C090003">
      <w:start w:val="1"/>
      <w:numFmt w:val="bullet"/>
      <w:lvlText w:val="o"/>
      <w:lvlJc w:val="left"/>
      <w:pPr>
        <w:ind w:left="1004" w:hanging="360"/>
      </w:pPr>
      <w:rPr>
        <w:rFonts w:ascii="Courier New" w:hAnsi="Courier New" w:cs="Courier New"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05F23521"/>
    <w:multiLevelType w:val="hybridMultilevel"/>
    <w:tmpl w:val="A34291E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337EF2"/>
    <w:multiLevelType w:val="hybridMultilevel"/>
    <w:tmpl w:val="C23C04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6E7C29"/>
    <w:multiLevelType w:val="hybridMultilevel"/>
    <w:tmpl w:val="F56269CE"/>
    <w:lvl w:ilvl="0" w:tplc="F9C0BEBC">
      <w:start w:val="1"/>
      <w:numFmt w:val="decimal"/>
      <w:lvlText w:val="%1."/>
      <w:lvlJc w:val="left"/>
      <w:pPr>
        <w:tabs>
          <w:tab w:val="num" w:pos="501"/>
        </w:tabs>
        <w:ind w:left="501" w:hanging="360"/>
      </w:pPr>
      <w:rPr>
        <w:sz w:val="20"/>
        <w:szCs w:val="20"/>
      </w:rPr>
    </w:lvl>
    <w:lvl w:ilvl="1" w:tplc="0C090019" w:tentative="1">
      <w:start w:val="1"/>
      <w:numFmt w:val="lowerLetter"/>
      <w:lvlText w:val="%2."/>
      <w:lvlJc w:val="left"/>
      <w:pPr>
        <w:tabs>
          <w:tab w:val="num" w:pos="1581"/>
        </w:tabs>
        <w:ind w:left="1581" w:hanging="360"/>
      </w:pPr>
    </w:lvl>
    <w:lvl w:ilvl="2" w:tplc="0C09001B" w:tentative="1">
      <w:start w:val="1"/>
      <w:numFmt w:val="lowerRoman"/>
      <w:lvlText w:val="%3."/>
      <w:lvlJc w:val="right"/>
      <w:pPr>
        <w:tabs>
          <w:tab w:val="num" w:pos="2301"/>
        </w:tabs>
        <w:ind w:left="2301" w:hanging="180"/>
      </w:pPr>
    </w:lvl>
    <w:lvl w:ilvl="3" w:tplc="0C09000F" w:tentative="1">
      <w:start w:val="1"/>
      <w:numFmt w:val="decimal"/>
      <w:lvlText w:val="%4."/>
      <w:lvlJc w:val="left"/>
      <w:pPr>
        <w:tabs>
          <w:tab w:val="num" w:pos="3021"/>
        </w:tabs>
        <w:ind w:left="3021" w:hanging="360"/>
      </w:pPr>
    </w:lvl>
    <w:lvl w:ilvl="4" w:tplc="0C090019" w:tentative="1">
      <w:start w:val="1"/>
      <w:numFmt w:val="lowerLetter"/>
      <w:lvlText w:val="%5."/>
      <w:lvlJc w:val="left"/>
      <w:pPr>
        <w:tabs>
          <w:tab w:val="num" w:pos="3741"/>
        </w:tabs>
        <w:ind w:left="3741" w:hanging="360"/>
      </w:pPr>
    </w:lvl>
    <w:lvl w:ilvl="5" w:tplc="0C09001B" w:tentative="1">
      <w:start w:val="1"/>
      <w:numFmt w:val="lowerRoman"/>
      <w:lvlText w:val="%6."/>
      <w:lvlJc w:val="right"/>
      <w:pPr>
        <w:tabs>
          <w:tab w:val="num" w:pos="4461"/>
        </w:tabs>
        <w:ind w:left="4461" w:hanging="180"/>
      </w:pPr>
    </w:lvl>
    <w:lvl w:ilvl="6" w:tplc="0C09000F" w:tentative="1">
      <w:start w:val="1"/>
      <w:numFmt w:val="decimal"/>
      <w:lvlText w:val="%7."/>
      <w:lvlJc w:val="left"/>
      <w:pPr>
        <w:tabs>
          <w:tab w:val="num" w:pos="5181"/>
        </w:tabs>
        <w:ind w:left="5181" w:hanging="360"/>
      </w:pPr>
    </w:lvl>
    <w:lvl w:ilvl="7" w:tplc="0C090019" w:tentative="1">
      <w:start w:val="1"/>
      <w:numFmt w:val="lowerLetter"/>
      <w:lvlText w:val="%8."/>
      <w:lvlJc w:val="left"/>
      <w:pPr>
        <w:tabs>
          <w:tab w:val="num" w:pos="5901"/>
        </w:tabs>
        <w:ind w:left="5901" w:hanging="360"/>
      </w:pPr>
    </w:lvl>
    <w:lvl w:ilvl="8" w:tplc="0C09001B" w:tentative="1">
      <w:start w:val="1"/>
      <w:numFmt w:val="lowerRoman"/>
      <w:lvlText w:val="%9."/>
      <w:lvlJc w:val="right"/>
      <w:pPr>
        <w:tabs>
          <w:tab w:val="num" w:pos="6621"/>
        </w:tabs>
        <w:ind w:left="6621" w:hanging="180"/>
      </w:pPr>
    </w:lvl>
  </w:abstractNum>
  <w:abstractNum w:abstractNumId="5" w15:restartNumberingAfterBreak="0">
    <w:nsid w:val="1A197560"/>
    <w:multiLevelType w:val="hybridMultilevel"/>
    <w:tmpl w:val="D2267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B66A8A"/>
    <w:multiLevelType w:val="hybridMultilevel"/>
    <w:tmpl w:val="5AE4644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930A06"/>
    <w:multiLevelType w:val="hybridMultilevel"/>
    <w:tmpl w:val="9BC2E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AB33D4"/>
    <w:multiLevelType w:val="hybridMultilevel"/>
    <w:tmpl w:val="6A58485C"/>
    <w:lvl w:ilvl="0" w:tplc="0C090001">
      <w:start w:val="1"/>
      <w:numFmt w:val="bullet"/>
      <w:lvlText w:val=""/>
      <w:lvlJc w:val="left"/>
      <w:pPr>
        <w:ind w:left="360" w:hanging="360"/>
      </w:pPr>
      <w:rPr>
        <w:rFonts w:ascii="Symbol" w:hAnsi="Symbol" w:hint="default"/>
      </w:rPr>
    </w:lvl>
    <w:lvl w:ilvl="1" w:tplc="8B466FC6">
      <w:numFmt w:val="bullet"/>
      <w:lvlText w:val="•"/>
      <w:lvlJc w:val="left"/>
      <w:pPr>
        <w:ind w:left="1152" w:hanging="432"/>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FD7FFE"/>
    <w:multiLevelType w:val="hybridMultilevel"/>
    <w:tmpl w:val="0A18B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8020E9F"/>
    <w:multiLevelType w:val="multilevel"/>
    <w:tmpl w:val="572A491C"/>
    <w:lvl w:ilvl="0">
      <w:start w:val="1"/>
      <w:numFmt w:val="decimal"/>
      <w:pStyle w:val="Heading1"/>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94753F5"/>
    <w:multiLevelType w:val="hybridMultilevel"/>
    <w:tmpl w:val="DCB256C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644"/>
        </w:tabs>
        <w:ind w:left="644"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5826A0"/>
    <w:multiLevelType w:val="hybridMultilevel"/>
    <w:tmpl w:val="BDD4E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F61E4F"/>
    <w:multiLevelType w:val="hybridMultilevel"/>
    <w:tmpl w:val="CCFC8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AE6386"/>
    <w:multiLevelType w:val="hybridMultilevel"/>
    <w:tmpl w:val="85707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7C548AA"/>
    <w:multiLevelType w:val="hybridMultilevel"/>
    <w:tmpl w:val="BA0616B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39F409D2"/>
    <w:multiLevelType w:val="hybridMultilevel"/>
    <w:tmpl w:val="935499A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07"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CD6BC1"/>
    <w:multiLevelType w:val="hybridMultilevel"/>
    <w:tmpl w:val="A8E6EB3E"/>
    <w:lvl w:ilvl="0" w:tplc="390ABA9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8156BB"/>
    <w:multiLevelType w:val="hybridMultilevel"/>
    <w:tmpl w:val="AF3401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D040B40"/>
    <w:multiLevelType w:val="hybridMultilevel"/>
    <w:tmpl w:val="0256FE10"/>
    <w:lvl w:ilvl="0" w:tplc="390ABA94">
      <w:start w:val="1"/>
      <w:numFmt w:val="bullet"/>
      <w:lvlText w:val="­"/>
      <w:lvlJc w:val="left"/>
      <w:pPr>
        <w:ind w:left="786" w:hanging="360"/>
      </w:pPr>
      <w:rPr>
        <w:rFonts w:ascii="Courier New" w:hAnsi="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15:restartNumberingAfterBreak="0">
    <w:nsid w:val="3F013A45"/>
    <w:multiLevelType w:val="hybridMultilevel"/>
    <w:tmpl w:val="361AD90A"/>
    <w:lvl w:ilvl="0" w:tplc="0C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C09000F">
      <w:start w:val="1"/>
      <w:numFmt w:val="decimal"/>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507134F6"/>
    <w:multiLevelType w:val="hybridMultilevel"/>
    <w:tmpl w:val="87369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756649"/>
    <w:multiLevelType w:val="hybridMultilevel"/>
    <w:tmpl w:val="3388742C"/>
    <w:lvl w:ilvl="0" w:tplc="390ABA9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7" w15:restartNumberingAfterBreak="0">
    <w:nsid w:val="5B575DF3"/>
    <w:multiLevelType w:val="hybridMultilevel"/>
    <w:tmpl w:val="F92A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334CB9"/>
    <w:multiLevelType w:val="hybridMultilevel"/>
    <w:tmpl w:val="31DC311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211"/>
        </w:tabs>
        <w:ind w:left="1211"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8D043E6"/>
    <w:multiLevelType w:val="hybridMultilevel"/>
    <w:tmpl w:val="F584557C"/>
    <w:lvl w:ilvl="0" w:tplc="0C090001">
      <w:start w:val="1"/>
      <w:numFmt w:val="bullet"/>
      <w:lvlText w:val=""/>
      <w:lvlJc w:val="left"/>
      <w:pPr>
        <w:ind w:left="-807" w:hanging="360"/>
      </w:pPr>
      <w:rPr>
        <w:rFonts w:ascii="Symbol" w:hAnsi="Symbol" w:hint="default"/>
      </w:rPr>
    </w:lvl>
    <w:lvl w:ilvl="1" w:tplc="0C090003" w:tentative="1">
      <w:start w:val="1"/>
      <w:numFmt w:val="bullet"/>
      <w:lvlText w:val="o"/>
      <w:lvlJc w:val="left"/>
      <w:pPr>
        <w:ind w:left="-87" w:hanging="360"/>
      </w:pPr>
      <w:rPr>
        <w:rFonts w:ascii="Courier New" w:hAnsi="Courier New" w:cs="Courier New" w:hint="default"/>
      </w:rPr>
    </w:lvl>
    <w:lvl w:ilvl="2" w:tplc="0C090005" w:tentative="1">
      <w:start w:val="1"/>
      <w:numFmt w:val="bullet"/>
      <w:lvlText w:val=""/>
      <w:lvlJc w:val="left"/>
      <w:pPr>
        <w:ind w:left="633" w:hanging="360"/>
      </w:pPr>
      <w:rPr>
        <w:rFonts w:ascii="Wingdings" w:hAnsi="Wingdings" w:hint="default"/>
      </w:rPr>
    </w:lvl>
    <w:lvl w:ilvl="3" w:tplc="0C090001" w:tentative="1">
      <w:start w:val="1"/>
      <w:numFmt w:val="bullet"/>
      <w:lvlText w:val=""/>
      <w:lvlJc w:val="left"/>
      <w:pPr>
        <w:ind w:left="1353" w:hanging="360"/>
      </w:pPr>
      <w:rPr>
        <w:rFonts w:ascii="Symbol" w:hAnsi="Symbol" w:hint="default"/>
      </w:rPr>
    </w:lvl>
    <w:lvl w:ilvl="4" w:tplc="0C090003" w:tentative="1">
      <w:start w:val="1"/>
      <w:numFmt w:val="bullet"/>
      <w:lvlText w:val="o"/>
      <w:lvlJc w:val="left"/>
      <w:pPr>
        <w:ind w:left="2073" w:hanging="360"/>
      </w:pPr>
      <w:rPr>
        <w:rFonts w:ascii="Courier New" w:hAnsi="Courier New" w:cs="Courier New" w:hint="default"/>
      </w:rPr>
    </w:lvl>
    <w:lvl w:ilvl="5" w:tplc="0C090005" w:tentative="1">
      <w:start w:val="1"/>
      <w:numFmt w:val="bullet"/>
      <w:lvlText w:val=""/>
      <w:lvlJc w:val="left"/>
      <w:pPr>
        <w:ind w:left="2793" w:hanging="360"/>
      </w:pPr>
      <w:rPr>
        <w:rFonts w:ascii="Wingdings" w:hAnsi="Wingdings" w:hint="default"/>
      </w:rPr>
    </w:lvl>
    <w:lvl w:ilvl="6" w:tplc="0C090001" w:tentative="1">
      <w:start w:val="1"/>
      <w:numFmt w:val="bullet"/>
      <w:lvlText w:val=""/>
      <w:lvlJc w:val="left"/>
      <w:pPr>
        <w:ind w:left="3513" w:hanging="360"/>
      </w:pPr>
      <w:rPr>
        <w:rFonts w:ascii="Symbol" w:hAnsi="Symbol" w:hint="default"/>
      </w:rPr>
    </w:lvl>
    <w:lvl w:ilvl="7" w:tplc="0C090003" w:tentative="1">
      <w:start w:val="1"/>
      <w:numFmt w:val="bullet"/>
      <w:lvlText w:val="o"/>
      <w:lvlJc w:val="left"/>
      <w:pPr>
        <w:ind w:left="4233" w:hanging="360"/>
      </w:pPr>
      <w:rPr>
        <w:rFonts w:ascii="Courier New" w:hAnsi="Courier New" w:cs="Courier New" w:hint="default"/>
      </w:rPr>
    </w:lvl>
    <w:lvl w:ilvl="8" w:tplc="0C090005" w:tentative="1">
      <w:start w:val="1"/>
      <w:numFmt w:val="bullet"/>
      <w:lvlText w:val=""/>
      <w:lvlJc w:val="left"/>
      <w:pPr>
        <w:ind w:left="4953" w:hanging="360"/>
      </w:pPr>
      <w:rPr>
        <w:rFonts w:ascii="Wingdings" w:hAnsi="Wingdings" w:hint="default"/>
      </w:rPr>
    </w:lvl>
  </w:abstractNum>
  <w:abstractNum w:abstractNumId="31" w15:restartNumberingAfterBreak="0">
    <w:nsid w:val="6C303BD2"/>
    <w:multiLevelType w:val="hybridMultilevel"/>
    <w:tmpl w:val="53D80A6C"/>
    <w:lvl w:ilvl="0" w:tplc="8C284F4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7E3A7D"/>
    <w:multiLevelType w:val="hybridMultilevel"/>
    <w:tmpl w:val="1A92C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458F2"/>
    <w:multiLevelType w:val="hybridMultilevel"/>
    <w:tmpl w:val="E09C75AA"/>
    <w:lvl w:ilvl="0" w:tplc="1FE868EE">
      <w:start w:val="1"/>
      <w:numFmt w:val="decimal"/>
      <w:lvlText w:val="1.1.%1"/>
      <w:lvlJc w:val="right"/>
      <w:pPr>
        <w:ind w:left="2487"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A664A4"/>
    <w:multiLevelType w:val="hybridMultilevel"/>
    <w:tmpl w:val="18C0D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002CA3"/>
    <w:multiLevelType w:val="hybridMultilevel"/>
    <w:tmpl w:val="4BA08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6C411A1"/>
    <w:multiLevelType w:val="hybridMultilevel"/>
    <w:tmpl w:val="0B422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C440FAD"/>
    <w:multiLevelType w:val="hybridMultilevel"/>
    <w:tmpl w:val="08B43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CE4E4E"/>
    <w:multiLevelType w:val="hybridMultilevel"/>
    <w:tmpl w:val="00506CD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535505889">
    <w:abstractNumId w:val="29"/>
  </w:num>
  <w:num w:numId="2" w16cid:durableId="933971877">
    <w:abstractNumId w:val="26"/>
  </w:num>
  <w:num w:numId="3" w16cid:durableId="2025979935">
    <w:abstractNumId w:val="22"/>
  </w:num>
  <w:num w:numId="4" w16cid:durableId="1299796295">
    <w:abstractNumId w:val="10"/>
  </w:num>
  <w:num w:numId="5" w16cid:durableId="671757481">
    <w:abstractNumId w:val="25"/>
  </w:num>
  <w:num w:numId="6" w16cid:durableId="636687205">
    <w:abstractNumId w:val="0"/>
  </w:num>
  <w:num w:numId="7" w16cid:durableId="341250010">
    <w:abstractNumId w:val="33"/>
  </w:num>
  <w:num w:numId="8" w16cid:durableId="472873400">
    <w:abstractNumId w:val="11"/>
  </w:num>
  <w:num w:numId="9" w16cid:durableId="1766535351">
    <w:abstractNumId w:val="21"/>
  </w:num>
  <w:num w:numId="10" w16cid:durableId="251165608">
    <w:abstractNumId w:val="12"/>
  </w:num>
  <w:num w:numId="11" w16cid:durableId="1094979365">
    <w:abstractNumId w:val="2"/>
  </w:num>
  <w:num w:numId="12" w16cid:durableId="1695618580">
    <w:abstractNumId w:val="6"/>
  </w:num>
  <w:num w:numId="13" w16cid:durableId="1766144739">
    <w:abstractNumId w:val="16"/>
  </w:num>
  <w:num w:numId="14" w16cid:durableId="1483423714">
    <w:abstractNumId w:val="38"/>
  </w:num>
  <w:num w:numId="15" w16cid:durableId="1094546931">
    <w:abstractNumId w:val="31"/>
  </w:num>
  <w:num w:numId="16" w16cid:durableId="1378969410">
    <w:abstractNumId w:val="4"/>
  </w:num>
  <w:num w:numId="17" w16cid:durableId="887958952">
    <w:abstractNumId w:val="28"/>
  </w:num>
  <w:num w:numId="18" w16cid:durableId="1018893619">
    <w:abstractNumId w:val="15"/>
  </w:num>
  <w:num w:numId="19" w16cid:durableId="524827015">
    <w:abstractNumId w:val="18"/>
  </w:num>
  <w:num w:numId="20" w16cid:durableId="1338266002">
    <w:abstractNumId w:val="5"/>
  </w:num>
  <w:num w:numId="21" w16cid:durableId="750977230">
    <w:abstractNumId w:val="35"/>
  </w:num>
  <w:num w:numId="22" w16cid:durableId="900021014">
    <w:abstractNumId w:val="13"/>
  </w:num>
  <w:num w:numId="23" w16cid:durableId="1835875759">
    <w:abstractNumId w:val="20"/>
  </w:num>
  <w:num w:numId="24" w16cid:durableId="473908162">
    <w:abstractNumId w:val="24"/>
  </w:num>
  <w:num w:numId="25" w16cid:durableId="1132989266">
    <w:abstractNumId w:val="36"/>
  </w:num>
  <w:num w:numId="26" w16cid:durableId="1866365339">
    <w:abstractNumId w:val="34"/>
  </w:num>
  <w:num w:numId="27" w16cid:durableId="1537963868">
    <w:abstractNumId w:val="17"/>
  </w:num>
  <w:num w:numId="28" w16cid:durableId="1187670214">
    <w:abstractNumId w:val="30"/>
  </w:num>
  <w:num w:numId="29" w16cid:durableId="1121993864">
    <w:abstractNumId w:val="8"/>
  </w:num>
  <w:num w:numId="30" w16cid:durableId="1399939320">
    <w:abstractNumId w:val="1"/>
  </w:num>
  <w:num w:numId="31" w16cid:durableId="600457337">
    <w:abstractNumId w:val="3"/>
  </w:num>
  <w:num w:numId="32" w16cid:durableId="1557085260">
    <w:abstractNumId w:val="33"/>
  </w:num>
  <w:num w:numId="33" w16cid:durableId="1303727256">
    <w:abstractNumId w:val="7"/>
  </w:num>
  <w:num w:numId="34" w16cid:durableId="333920144">
    <w:abstractNumId w:val="23"/>
  </w:num>
  <w:num w:numId="35" w16cid:durableId="1341350893">
    <w:abstractNumId w:val="27"/>
  </w:num>
  <w:num w:numId="36" w16cid:durableId="882255040">
    <w:abstractNumId w:val="37"/>
  </w:num>
  <w:num w:numId="37" w16cid:durableId="1895504222">
    <w:abstractNumId w:val="9"/>
  </w:num>
  <w:num w:numId="38" w16cid:durableId="2145729933">
    <w:abstractNumId w:val="19"/>
  </w:num>
  <w:num w:numId="39" w16cid:durableId="1125468514">
    <w:abstractNumId w:val="32"/>
  </w:num>
  <w:num w:numId="40" w16cid:durableId="947348730">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94"/>
    <w:rsid w:val="00001452"/>
    <w:rsid w:val="000016B9"/>
    <w:rsid w:val="00003D1E"/>
    <w:rsid w:val="00005888"/>
    <w:rsid w:val="000068D5"/>
    <w:rsid w:val="00006C4A"/>
    <w:rsid w:val="000077CF"/>
    <w:rsid w:val="00014A09"/>
    <w:rsid w:val="00030790"/>
    <w:rsid w:val="00030CC1"/>
    <w:rsid w:val="00031586"/>
    <w:rsid w:val="00034546"/>
    <w:rsid w:val="00034D25"/>
    <w:rsid w:val="000350DF"/>
    <w:rsid w:val="000362BF"/>
    <w:rsid w:val="00036B92"/>
    <w:rsid w:val="00040585"/>
    <w:rsid w:val="000419C1"/>
    <w:rsid w:val="00042869"/>
    <w:rsid w:val="00043B50"/>
    <w:rsid w:val="000441D2"/>
    <w:rsid w:val="000446A5"/>
    <w:rsid w:val="0005170A"/>
    <w:rsid w:val="0005196D"/>
    <w:rsid w:val="000607A6"/>
    <w:rsid w:val="000616E5"/>
    <w:rsid w:val="00063EBD"/>
    <w:rsid w:val="000650AF"/>
    <w:rsid w:val="00065CEA"/>
    <w:rsid w:val="00067597"/>
    <w:rsid w:val="00070067"/>
    <w:rsid w:val="000715C4"/>
    <w:rsid w:val="00074450"/>
    <w:rsid w:val="0007453E"/>
    <w:rsid w:val="00076803"/>
    <w:rsid w:val="000771A2"/>
    <w:rsid w:val="00077772"/>
    <w:rsid w:val="000779C4"/>
    <w:rsid w:val="00077EC9"/>
    <w:rsid w:val="00081893"/>
    <w:rsid w:val="00081934"/>
    <w:rsid w:val="000821F6"/>
    <w:rsid w:val="00083ED8"/>
    <w:rsid w:val="0008452D"/>
    <w:rsid w:val="00090A83"/>
    <w:rsid w:val="00092901"/>
    <w:rsid w:val="00092CF2"/>
    <w:rsid w:val="000947FC"/>
    <w:rsid w:val="00094B21"/>
    <w:rsid w:val="00095ECF"/>
    <w:rsid w:val="000960BB"/>
    <w:rsid w:val="00097E22"/>
    <w:rsid w:val="000A0C92"/>
    <w:rsid w:val="000A15B3"/>
    <w:rsid w:val="000A19C8"/>
    <w:rsid w:val="000A2FFC"/>
    <w:rsid w:val="000A3204"/>
    <w:rsid w:val="000A3408"/>
    <w:rsid w:val="000A4468"/>
    <w:rsid w:val="000A6B63"/>
    <w:rsid w:val="000A6DA3"/>
    <w:rsid w:val="000B03BE"/>
    <w:rsid w:val="000B13CB"/>
    <w:rsid w:val="000B29BA"/>
    <w:rsid w:val="000B70FF"/>
    <w:rsid w:val="000C21E4"/>
    <w:rsid w:val="000C262F"/>
    <w:rsid w:val="000C3F1E"/>
    <w:rsid w:val="000C55B6"/>
    <w:rsid w:val="000C5705"/>
    <w:rsid w:val="000C61E1"/>
    <w:rsid w:val="000C6C34"/>
    <w:rsid w:val="000D1154"/>
    <w:rsid w:val="000D5F0C"/>
    <w:rsid w:val="000D6CBD"/>
    <w:rsid w:val="000E2C23"/>
    <w:rsid w:val="000E3291"/>
    <w:rsid w:val="000E5786"/>
    <w:rsid w:val="000E76CF"/>
    <w:rsid w:val="000E7977"/>
    <w:rsid w:val="000F29B9"/>
    <w:rsid w:val="000F4728"/>
    <w:rsid w:val="000F5CCD"/>
    <w:rsid w:val="000F5D86"/>
    <w:rsid w:val="000F5E98"/>
    <w:rsid w:val="000F6963"/>
    <w:rsid w:val="00100C46"/>
    <w:rsid w:val="00101F0C"/>
    <w:rsid w:val="0010567D"/>
    <w:rsid w:val="00111414"/>
    <w:rsid w:val="00113D54"/>
    <w:rsid w:val="001165ED"/>
    <w:rsid w:val="0011798B"/>
    <w:rsid w:val="00121621"/>
    <w:rsid w:val="00122FE8"/>
    <w:rsid w:val="0012660C"/>
    <w:rsid w:val="00127B38"/>
    <w:rsid w:val="0013020B"/>
    <w:rsid w:val="001302DE"/>
    <w:rsid w:val="001308BB"/>
    <w:rsid w:val="00132B37"/>
    <w:rsid w:val="00132E5A"/>
    <w:rsid w:val="00134035"/>
    <w:rsid w:val="001345BA"/>
    <w:rsid w:val="001366D3"/>
    <w:rsid w:val="001369CB"/>
    <w:rsid w:val="00137582"/>
    <w:rsid w:val="00137FB9"/>
    <w:rsid w:val="00142C21"/>
    <w:rsid w:val="001436B8"/>
    <w:rsid w:val="001451C4"/>
    <w:rsid w:val="0015010B"/>
    <w:rsid w:val="00152EB7"/>
    <w:rsid w:val="00154E20"/>
    <w:rsid w:val="00157D17"/>
    <w:rsid w:val="0016080C"/>
    <w:rsid w:val="00160FC3"/>
    <w:rsid w:val="001623DE"/>
    <w:rsid w:val="00166A8D"/>
    <w:rsid w:val="00166DD6"/>
    <w:rsid w:val="00167B24"/>
    <w:rsid w:val="00171423"/>
    <w:rsid w:val="00171E30"/>
    <w:rsid w:val="00172BF7"/>
    <w:rsid w:val="0017396E"/>
    <w:rsid w:val="00175015"/>
    <w:rsid w:val="0017536B"/>
    <w:rsid w:val="00175495"/>
    <w:rsid w:val="0017608F"/>
    <w:rsid w:val="00177117"/>
    <w:rsid w:val="001779FF"/>
    <w:rsid w:val="00182420"/>
    <w:rsid w:val="00184074"/>
    <w:rsid w:val="00184A9C"/>
    <w:rsid w:val="00190F88"/>
    <w:rsid w:val="001912A2"/>
    <w:rsid w:val="00192038"/>
    <w:rsid w:val="0019535A"/>
    <w:rsid w:val="00195883"/>
    <w:rsid w:val="0019600C"/>
    <w:rsid w:val="00196497"/>
    <w:rsid w:val="001966FA"/>
    <w:rsid w:val="00197666"/>
    <w:rsid w:val="001A0139"/>
    <w:rsid w:val="001A0956"/>
    <w:rsid w:val="001A210A"/>
    <w:rsid w:val="001A332C"/>
    <w:rsid w:val="001A3E5F"/>
    <w:rsid w:val="001A61E9"/>
    <w:rsid w:val="001B20B8"/>
    <w:rsid w:val="001B3206"/>
    <w:rsid w:val="001B39F3"/>
    <w:rsid w:val="001B4170"/>
    <w:rsid w:val="001C1FF2"/>
    <w:rsid w:val="001C333C"/>
    <w:rsid w:val="001C5932"/>
    <w:rsid w:val="001C7FBC"/>
    <w:rsid w:val="001D1495"/>
    <w:rsid w:val="001D41E4"/>
    <w:rsid w:val="001D46E5"/>
    <w:rsid w:val="001D7944"/>
    <w:rsid w:val="001E1693"/>
    <w:rsid w:val="001E5871"/>
    <w:rsid w:val="001E5B4A"/>
    <w:rsid w:val="001E6545"/>
    <w:rsid w:val="001E73DD"/>
    <w:rsid w:val="001E7690"/>
    <w:rsid w:val="001E76BA"/>
    <w:rsid w:val="001F0551"/>
    <w:rsid w:val="001F2949"/>
    <w:rsid w:val="001F41D6"/>
    <w:rsid w:val="001F6597"/>
    <w:rsid w:val="002009BA"/>
    <w:rsid w:val="0020321B"/>
    <w:rsid w:val="00203514"/>
    <w:rsid w:val="00203525"/>
    <w:rsid w:val="00207B68"/>
    <w:rsid w:val="002104A8"/>
    <w:rsid w:val="002104FF"/>
    <w:rsid w:val="002110E8"/>
    <w:rsid w:val="00214A8E"/>
    <w:rsid w:val="00215465"/>
    <w:rsid w:val="00215F3B"/>
    <w:rsid w:val="00216B2F"/>
    <w:rsid w:val="00220FB0"/>
    <w:rsid w:val="00221495"/>
    <w:rsid w:val="002233F8"/>
    <w:rsid w:val="002271BE"/>
    <w:rsid w:val="002306CB"/>
    <w:rsid w:val="00233625"/>
    <w:rsid w:val="002339BE"/>
    <w:rsid w:val="00235286"/>
    <w:rsid w:val="00236FC0"/>
    <w:rsid w:val="002402F4"/>
    <w:rsid w:val="00243416"/>
    <w:rsid w:val="002442B8"/>
    <w:rsid w:val="00246799"/>
    <w:rsid w:val="00246AAC"/>
    <w:rsid w:val="002479CE"/>
    <w:rsid w:val="00250E88"/>
    <w:rsid w:val="00251912"/>
    <w:rsid w:val="002528B1"/>
    <w:rsid w:val="00253A84"/>
    <w:rsid w:val="00253DE7"/>
    <w:rsid w:val="00254AB4"/>
    <w:rsid w:val="002574AF"/>
    <w:rsid w:val="00257FE8"/>
    <w:rsid w:val="002601C1"/>
    <w:rsid w:val="0026278F"/>
    <w:rsid w:val="00265FDC"/>
    <w:rsid w:val="00270BC8"/>
    <w:rsid w:val="00272191"/>
    <w:rsid w:val="00272911"/>
    <w:rsid w:val="00272CBD"/>
    <w:rsid w:val="002730B4"/>
    <w:rsid w:val="00273B09"/>
    <w:rsid w:val="00275453"/>
    <w:rsid w:val="00276867"/>
    <w:rsid w:val="00276C60"/>
    <w:rsid w:val="00277D4E"/>
    <w:rsid w:val="002827D9"/>
    <w:rsid w:val="002846D8"/>
    <w:rsid w:val="00285184"/>
    <w:rsid w:val="002851C3"/>
    <w:rsid w:val="00285F0D"/>
    <w:rsid w:val="00287E5D"/>
    <w:rsid w:val="00292625"/>
    <w:rsid w:val="00293855"/>
    <w:rsid w:val="00295CB0"/>
    <w:rsid w:val="0029668D"/>
    <w:rsid w:val="002969F0"/>
    <w:rsid w:val="002A0832"/>
    <w:rsid w:val="002A093C"/>
    <w:rsid w:val="002A53CB"/>
    <w:rsid w:val="002A5458"/>
    <w:rsid w:val="002B0CC5"/>
    <w:rsid w:val="002B2DF4"/>
    <w:rsid w:val="002B3BD1"/>
    <w:rsid w:val="002B41BC"/>
    <w:rsid w:val="002B7DB3"/>
    <w:rsid w:val="002C20C4"/>
    <w:rsid w:val="002C2961"/>
    <w:rsid w:val="002C5825"/>
    <w:rsid w:val="002C6B74"/>
    <w:rsid w:val="002D0C92"/>
    <w:rsid w:val="002D2A91"/>
    <w:rsid w:val="002D33BC"/>
    <w:rsid w:val="002D35C5"/>
    <w:rsid w:val="002D6623"/>
    <w:rsid w:val="002D7176"/>
    <w:rsid w:val="002D7AA7"/>
    <w:rsid w:val="002E0821"/>
    <w:rsid w:val="002E10C5"/>
    <w:rsid w:val="002E1266"/>
    <w:rsid w:val="002E4A9B"/>
    <w:rsid w:val="002E5F91"/>
    <w:rsid w:val="002E6F00"/>
    <w:rsid w:val="002E7655"/>
    <w:rsid w:val="002F00C7"/>
    <w:rsid w:val="002F13A7"/>
    <w:rsid w:val="002F3300"/>
    <w:rsid w:val="002F3965"/>
    <w:rsid w:val="002F58DD"/>
    <w:rsid w:val="002F6D0B"/>
    <w:rsid w:val="002F6E33"/>
    <w:rsid w:val="003010B0"/>
    <w:rsid w:val="003026B2"/>
    <w:rsid w:val="0030501E"/>
    <w:rsid w:val="00306ACE"/>
    <w:rsid w:val="003103A6"/>
    <w:rsid w:val="00311DAF"/>
    <w:rsid w:val="00315029"/>
    <w:rsid w:val="003238CE"/>
    <w:rsid w:val="00324F8B"/>
    <w:rsid w:val="0032603F"/>
    <w:rsid w:val="0032731A"/>
    <w:rsid w:val="0033069E"/>
    <w:rsid w:val="00330ABC"/>
    <w:rsid w:val="00333A49"/>
    <w:rsid w:val="00334AA8"/>
    <w:rsid w:val="00337A1C"/>
    <w:rsid w:val="003409C1"/>
    <w:rsid w:val="00340A18"/>
    <w:rsid w:val="00340BD0"/>
    <w:rsid w:val="00341DE1"/>
    <w:rsid w:val="003438FF"/>
    <w:rsid w:val="003439ED"/>
    <w:rsid w:val="00343D8D"/>
    <w:rsid w:val="00344169"/>
    <w:rsid w:val="0034445A"/>
    <w:rsid w:val="003474CE"/>
    <w:rsid w:val="00350263"/>
    <w:rsid w:val="00350E97"/>
    <w:rsid w:val="00352955"/>
    <w:rsid w:val="00354F6D"/>
    <w:rsid w:val="003633F5"/>
    <w:rsid w:val="0036449D"/>
    <w:rsid w:val="00366BA6"/>
    <w:rsid w:val="00372AB3"/>
    <w:rsid w:val="00374886"/>
    <w:rsid w:val="003769D8"/>
    <w:rsid w:val="00376A58"/>
    <w:rsid w:val="00376AA1"/>
    <w:rsid w:val="00377C3E"/>
    <w:rsid w:val="00381B8A"/>
    <w:rsid w:val="00383957"/>
    <w:rsid w:val="003849C2"/>
    <w:rsid w:val="00384AEA"/>
    <w:rsid w:val="003857D4"/>
    <w:rsid w:val="00396512"/>
    <w:rsid w:val="003A0D59"/>
    <w:rsid w:val="003A1D09"/>
    <w:rsid w:val="003A247F"/>
    <w:rsid w:val="003A45A1"/>
    <w:rsid w:val="003A641C"/>
    <w:rsid w:val="003A6688"/>
    <w:rsid w:val="003A6F39"/>
    <w:rsid w:val="003B13F4"/>
    <w:rsid w:val="003B3380"/>
    <w:rsid w:val="003B6505"/>
    <w:rsid w:val="003C33A9"/>
    <w:rsid w:val="003C41C3"/>
    <w:rsid w:val="003C5404"/>
    <w:rsid w:val="003C58A9"/>
    <w:rsid w:val="003D220A"/>
    <w:rsid w:val="003D4DBC"/>
    <w:rsid w:val="003E0663"/>
    <w:rsid w:val="003E14B6"/>
    <w:rsid w:val="003E1525"/>
    <w:rsid w:val="003E1676"/>
    <w:rsid w:val="003E1FF0"/>
    <w:rsid w:val="003E2A82"/>
    <w:rsid w:val="003E34DD"/>
    <w:rsid w:val="003E51ED"/>
    <w:rsid w:val="003E62B8"/>
    <w:rsid w:val="003E7769"/>
    <w:rsid w:val="003F08BC"/>
    <w:rsid w:val="003F23B2"/>
    <w:rsid w:val="0040217A"/>
    <w:rsid w:val="00402BC2"/>
    <w:rsid w:val="00403995"/>
    <w:rsid w:val="00403B9D"/>
    <w:rsid w:val="00404316"/>
    <w:rsid w:val="00404472"/>
    <w:rsid w:val="00411A3D"/>
    <w:rsid w:val="00412BA9"/>
    <w:rsid w:val="00413B71"/>
    <w:rsid w:val="004171DA"/>
    <w:rsid w:val="00425223"/>
    <w:rsid w:val="00425332"/>
    <w:rsid w:val="00427379"/>
    <w:rsid w:val="004321AC"/>
    <w:rsid w:val="00432C5F"/>
    <w:rsid w:val="00432D00"/>
    <w:rsid w:val="00433307"/>
    <w:rsid w:val="00433DDA"/>
    <w:rsid w:val="0043729D"/>
    <w:rsid w:val="00437546"/>
    <w:rsid w:val="00440D17"/>
    <w:rsid w:val="00441DCA"/>
    <w:rsid w:val="004436A6"/>
    <w:rsid w:val="004439BD"/>
    <w:rsid w:val="004467E3"/>
    <w:rsid w:val="004502A1"/>
    <w:rsid w:val="00451537"/>
    <w:rsid w:val="00452B15"/>
    <w:rsid w:val="004534F2"/>
    <w:rsid w:val="0045460D"/>
    <w:rsid w:val="00454987"/>
    <w:rsid w:val="00455421"/>
    <w:rsid w:val="00455A21"/>
    <w:rsid w:val="004563B4"/>
    <w:rsid w:val="004616FD"/>
    <w:rsid w:val="0046292F"/>
    <w:rsid w:val="00462EA4"/>
    <w:rsid w:val="00463968"/>
    <w:rsid w:val="004640C9"/>
    <w:rsid w:val="004640E3"/>
    <w:rsid w:val="00464D7E"/>
    <w:rsid w:val="004667A2"/>
    <w:rsid w:val="0047141B"/>
    <w:rsid w:val="00472421"/>
    <w:rsid w:val="004750ED"/>
    <w:rsid w:val="004764C6"/>
    <w:rsid w:val="0048143D"/>
    <w:rsid w:val="00481CE3"/>
    <w:rsid w:val="004820F0"/>
    <w:rsid w:val="00482E0B"/>
    <w:rsid w:val="00483346"/>
    <w:rsid w:val="0048774F"/>
    <w:rsid w:val="0049216D"/>
    <w:rsid w:val="00496C0F"/>
    <w:rsid w:val="00496CD4"/>
    <w:rsid w:val="004A0783"/>
    <w:rsid w:val="004A2E3B"/>
    <w:rsid w:val="004A6302"/>
    <w:rsid w:val="004A728D"/>
    <w:rsid w:val="004B1977"/>
    <w:rsid w:val="004B230D"/>
    <w:rsid w:val="004B2660"/>
    <w:rsid w:val="004B2E4D"/>
    <w:rsid w:val="004B3844"/>
    <w:rsid w:val="004B40B2"/>
    <w:rsid w:val="004B4981"/>
    <w:rsid w:val="004B564C"/>
    <w:rsid w:val="004B6B86"/>
    <w:rsid w:val="004B6D43"/>
    <w:rsid w:val="004B7C23"/>
    <w:rsid w:val="004C10AE"/>
    <w:rsid w:val="004C1925"/>
    <w:rsid w:val="004C204F"/>
    <w:rsid w:val="004C21D4"/>
    <w:rsid w:val="004C6D2D"/>
    <w:rsid w:val="004C73C3"/>
    <w:rsid w:val="004D2EBC"/>
    <w:rsid w:val="004D6E34"/>
    <w:rsid w:val="004E367F"/>
    <w:rsid w:val="004E4EB2"/>
    <w:rsid w:val="004E69B5"/>
    <w:rsid w:val="004E70E3"/>
    <w:rsid w:val="004E7BAD"/>
    <w:rsid w:val="004F131E"/>
    <w:rsid w:val="004F14AA"/>
    <w:rsid w:val="004F2528"/>
    <w:rsid w:val="004F2F42"/>
    <w:rsid w:val="004F3D98"/>
    <w:rsid w:val="004F5B70"/>
    <w:rsid w:val="004F6876"/>
    <w:rsid w:val="004F74DA"/>
    <w:rsid w:val="004F7CB7"/>
    <w:rsid w:val="005014D9"/>
    <w:rsid w:val="005020E1"/>
    <w:rsid w:val="00503E7E"/>
    <w:rsid w:val="00503F7F"/>
    <w:rsid w:val="005054A1"/>
    <w:rsid w:val="005115E8"/>
    <w:rsid w:val="0051272D"/>
    <w:rsid w:val="00512E77"/>
    <w:rsid w:val="00513BEE"/>
    <w:rsid w:val="00513DB1"/>
    <w:rsid w:val="00515609"/>
    <w:rsid w:val="00517572"/>
    <w:rsid w:val="00520D88"/>
    <w:rsid w:val="005226BC"/>
    <w:rsid w:val="00524F44"/>
    <w:rsid w:val="00526032"/>
    <w:rsid w:val="00527400"/>
    <w:rsid w:val="00527612"/>
    <w:rsid w:val="00530019"/>
    <w:rsid w:val="00531666"/>
    <w:rsid w:val="00534517"/>
    <w:rsid w:val="005365ED"/>
    <w:rsid w:val="0053763A"/>
    <w:rsid w:val="005379BA"/>
    <w:rsid w:val="00545785"/>
    <w:rsid w:val="005458B7"/>
    <w:rsid w:val="00545ED0"/>
    <w:rsid w:val="00550501"/>
    <w:rsid w:val="00551C40"/>
    <w:rsid w:val="0055300E"/>
    <w:rsid w:val="00553805"/>
    <w:rsid w:val="00554E4D"/>
    <w:rsid w:val="00556945"/>
    <w:rsid w:val="0056323C"/>
    <w:rsid w:val="005638F1"/>
    <w:rsid w:val="005654E8"/>
    <w:rsid w:val="00571BB9"/>
    <w:rsid w:val="00572596"/>
    <w:rsid w:val="00572D4E"/>
    <w:rsid w:val="00576119"/>
    <w:rsid w:val="00576D35"/>
    <w:rsid w:val="005778C1"/>
    <w:rsid w:val="00577AA3"/>
    <w:rsid w:val="00577C1D"/>
    <w:rsid w:val="0058377A"/>
    <w:rsid w:val="00584E9C"/>
    <w:rsid w:val="00586AC8"/>
    <w:rsid w:val="00586EE9"/>
    <w:rsid w:val="00591E41"/>
    <w:rsid w:val="005957A9"/>
    <w:rsid w:val="00596FDC"/>
    <w:rsid w:val="00597D83"/>
    <w:rsid w:val="005A0624"/>
    <w:rsid w:val="005A0681"/>
    <w:rsid w:val="005A352E"/>
    <w:rsid w:val="005A47E8"/>
    <w:rsid w:val="005A4AA1"/>
    <w:rsid w:val="005A52C9"/>
    <w:rsid w:val="005A5959"/>
    <w:rsid w:val="005A60DB"/>
    <w:rsid w:val="005B291B"/>
    <w:rsid w:val="005B2BA9"/>
    <w:rsid w:val="005B33EF"/>
    <w:rsid w:val="005B369E"/>
    <w:rsid w:val="005B5101"/>
    <w:rsid w:val="005B593F"/>
    <w:rsid w:val="005C006F"/>
    <w:rsid w:val="005C2807"/>
    <w:rsid w:val="005C287B"/>
    <w:rsid w:val="005C32E0"/>
    <w:rsid w:val="005C347B"/>
    <w:rsid w:val="005C3894"/>
    <w:rsid w:val="005C54B5"/>
    <w:rsid w:val="005C5B4F"/>
    <w:rsid w:val="005C72CC"/>
    <w:rsid w:val="005D2429"/>
    <w:rsid w:val="005D5D9F"/>
    <w:rsid w:val="005D64F6"/>
    <w:rsid w:val="005D6B08"/>
    <w:rsid w:val="005D7E61"/>
    <w:rsid w:val="005E27BB"/>
    <w:rsid w:val="005E5305"/>
    <w:rsid w:val="005E6799"/>
    <w:rsid w:val="005E7CA0"/>
    <w:rsid w:val="005F0BD3"/>
    <w:rsid w:val="005F520A"/>
    <w:rsid w:val="005F6796"/>
    <w:rsid w:val="00600374"/>
    <w:rsid w:val="0060038A"/>
    <w:rsid w:val="00601C53"/>
    <w:rsid w:val="00602C36"/>
    <w:rsid w:val="006046C7"/>
    <w:rsid w:val="006046FF"/>
    <w:rsid w:val="00607969"/>
    <w:rsid w:val="00610F6E"/>
    <w:rsid w:val="006117C8"/>
    <w:rsid w:val="00613185"/>
    <w:rsid w:val="00613F07"/>
    <w:rsid w:val="006154F6"/>
    <w:rsid w:val="006163E5"/>
    <w:rsid w:val="00622565"/>
    <w:rsid w:val="006245F7"/>
    <w:rsid w:val="00627FFC"/>
    <w:rsid w:val="0063036E"/>
    <w:rsid w:val="00632F54"/>
    <w:rsid w:val="00633AF4"/>
    <w:rsid w:val="00634620"/>
    <w:rsid w:val="00635C80"/>
    <w:rsid w:val="00636502"/>
    <w:rsid w:val="00643817"/>
    <w:rsid w:val="00645F61"/>
    <w:rsid w:val="0064620A"/>
    <w:rsid w:val="00647371"/>
    <w:rsid w:val="00650217"/>
    <w:rsid w:val="00650CEB"/>
    <w:rsid w:val="006515F5"/>
    <w:rsid w:val="006528B5"/>
    <w:rsid w:val="00652939"/>
    <w:rsid w:val="006550A5"/>
    <w:rsid w:val="0065623B"/>
    <w:rsid w:val="0065663C"/>
    <w:rsid w:val="00657107"/>
    <w:rsid w:val="00657419"/>
    <w:rsid w:val="00657835"/>
    <w:rsid w:val="00660B78"/>
    <w:rsid w:val="00660B96"/>
    <w:rsid w:val="006610FF"/>
    <w:rsid w:val="006646CF"/>
    <w:rsid w:val="00665B9F"/>
    <w:rsid w:val="0066691B"/>
    <w:rsid w:val="00667575"/>
    <w:rsid w:val="006677C9"/>
    <w:rsid w:val="00667EC4"/>
    <w:rsid w:val="0067723B"/>
    <w:rsid w:val="00680B91"/>
    <w:rsid w:val="00680C6F"/>
    <w:rsid w:val="00682B92"/>
    <w:rsid w:val="00685229"/>
    <w:rsid w:val="00685918"/>
    <w:rsid w:val="006875BB"/>
    <w:rsid w:val="006915FB"/>
    <w:rsid w:val="00691C1A"/>
    <w:rsid w:val="006926DC"/>
    <w:rsid w:val="00694E3C"/>
    <w:rsid w:val="0069624A"/>
    <w:rsid w:val="006A2809"/>
    <w:rsid w:val="006A2843"/>
    <w:rsid w:val="006A36E1"/>
    <w:rsid w:val="006A5EA3"/>
    <w:rsid w:val="006A6360"/>
    <w:rsid w:val="006A6B73"/>
    <w:rsid w:val="006A7E44"/>
    <w:rsid w:val="006B4EB0"/>
    <w:rsid w:val="006B6D9B"/>
    <w:rsid w:val="006C0160"/>
    <w:rsid w:val="006C1037"/>
    <w:rsid w:val="006C2224"/>
    <w:rsid w:val="006C3185"/>
    <w:rsid w:val="006C33F9"/>
    <w:rsid w:val="006C55A4"/>
    <w:rsid w:val="006C77E2"/>
    <w:rsid w:val="006C7B31"/>
    <w:rsid w:val="006D0B57"/>
    <w:rsid w:val="006D0BF6"/>
    <w:rsid w:val="006D0D8C"/>
    <w:rsid w:val="006D1CA1"/>
    <w:rsid w:val="006D2273"/>
    <w:rsid w:val="006D3A9D"/>
    <w:rsid w:val="006D510C"/>
    <w:rsid w:val="006D5CDC"/>
    <w:rsid w:val="006E063A"/>
    <w:rsid w:val="006E341D"/>
    <w:rsid w:val="006E5554"/>
    <w:rsid w:val="006E6C9B"/>
    <w:rsid w:val="006E7EC5"/>
    <w:rsid w:val="006F6B40"/>
    <w:rsid w:val="006F7929"/>
    <w:rsid w:val="00700AA8"/>
    <w:rsid w:val="007017BB"/>
    <w:rsid w:val="007028FD"/>
    <w:rsid w:val="007034F9"/>
    <w:rsid w:val="00710017"/>
    <w:rsid w:val="007113C1"/>
    <w:rsid w:val="00712018"/>
    <w:rsid w:val="00715BBF"/>
    <w:rsid w:val="007172CC"/>
    <w:rsid w:val="007212BC"/>
    <w:rsid w:val="00721C64"/>
    <w:rsid w:val="007242DB"/>
    <w:rsid w:val="00724B2C"/>
    <w:rsid w:val="00726D87"/>
    <w:rsid w:val="00727A25"/>
    <w:rsid w:val="0073089A"/>
    <w:rsid w:val="00730C58"/>
    <w:rsid w:val="00731442"/>
    <w:rsid w:val="00731AE2"/>
    <w:rsid w:val="00732F0D"/>
    <w:rsid w:val="00742630"/>
    <w:rsid w:val="00745501"/>
    <w:rsid w:val="00745B7F"/>
    <w:rsid w:val="007505A0"/>
    <w:rsid w:val="00752EAD"/>
    <w:rsid w:val="007611D0"/>
    <w:rsid w:val="0076130E"/>
    <w:rsid w:val="00762C72"/>
    <w:rsid w:val="0076392F"/>
    <w:rsid w:val="00764CC8"/>
    <w:rsid w:val="0076551E"/>
    <w:rsid w:val="007704AA"/>
    <w:rsid w:val="0077097A"/>
    <w:rsid w:val="00770D11"/>
    <w:rsid w:val="007710F8"/>
    <w:rsid w:val="007712A4"/>
    <w:rsid w:val="00776788"/>
    <w:rsid w:val="00776841"/>
    <w:rsid w:val="00777666"/>
    <w:rsid w:val="0078083E"/>
    <w:rsid w:val="00780AAC"/>
    <w:rsid w:val="007840D8"/>
    <w:rsid w:val="00787D75"/>
    <w:rsid w:val="007903B1"/>
    <w:rsid w:val="0079069F"/>
    <w:rsid w:val="007A011D"/>
    <w:rsid w:val="007A1CF4"/>
    <w:rsid w:val="007A280C"/>
    <w:rsid w:val="007A40FA"/>
    <w:rsid w:val="007A6493"/>
    <w:rsid w:val="007A6A50"/>
    <w:rsid w:val="007A6CAD"/>
    <w:rsid w:val="007A7ECB"/>
    <w:rsid w:val="007B0583"/>
    <w:rsid w:val="007B07AB"/>
    <w:rsid w:val="007B40CC"/>
    <w:rsid w:val="007B4D93"/>
    <w:rsid w:val="007C081C"/>
    <w:rsid w:val="007C1A9D"/>
    <w:rsid w:val="007C4A85"/>
    <w:rsid w:val="007C6F9D"/>
    <w:rsid w:val="007D1DE0"/>
    <w:rsid w:val="007D1FEC"/>
    <w:rsid w:val="007D26DC"/>
    <w:rsid w:val="007D3F87"/>
    <w:rsid w:val="007D576F"/>
    <w:rsid w:val="007D5985"/>
    <w:rsid w:val="007D700E"/>
    <w:rsid w:val="007E05E5"/>
    <w:rsid w:val="007E1587"/>
    <w:rsid w:val="007E3BAE"/>
    <w:rsid w:val="007E481F"/>
    <w:rsid w:val="007E7418"/>
    <w:rsid w:val="007E76A2"/>
    <w:rsid w:val="007F094A"/>
    <w:rsid w:val="007F0ADE"/>
    <w:rsid w:val="007F24C7"/>
    <w:rsid w:val="007F514E"/>
    <w:rsid w:val="007F5353"/>
    <w:rsid w:val="00801953"/>
    <w:rsid w:val="00803507"/>
    <w:rsid w:val="00803D60"/>
    <w:rsid w:val="00807008"/>
    <w:rsid w:val="00810221"/>
    <w:rsid w:val="00810457"/>
    <w:rsid w:val="008143B3"/>
    <w:rsid w:val="00815AAF"/>
    <w:rsid w:val="00817EC4"/>
    <w:rsid w:val="00820BCA"/>
    <w:rsid w:val="00821671"/>
    <w:rsid w:val="00823687"/>
    <w:rsid w:val="0082553B"/>
    <w:rsid w:val="00825590"/>
    <w:rsid w:val="008266EE"/>
    <w:rsid w:val="00826FDC"/>
    <w:rsid w:val="00832B4A"/>
    <w:rsid w:val="008353FF"/>
    <w:rsid w:val="00840FBE"/>
    <w:rsid w:val="00841625"/>
    <w:rsid w:val="008423B9"/>
    <w:rsid w:val="00843767"/>
    <w:rsid w:val="008459DC"/>
    <w:rsid w:val="00850634"/>
    <w:rsid w:val="00851354"/>
    <w:rsid w:val="008545F3"/>
    <w:rsid w:val="00855D07"/>
    <w:rsid w:val="00857AC5"/>
    <w:rsid w:val="0086011C"/>
    <w:rsid w:val="0086024E"/>
    <w:rsid w:val="00860B3E"/>
    <w:rsid w:val="0086107C"/>
    <w:rsid w:val="0086134D"/>
    <w:rsid w:val="00861569"/>
    <w:rsid w:val="0086439B"/>
    <w:rsid w:val="00865200"/>
    <w:rsid w:val="008705A4"/>
    <w:rsid w:val="00871624"/>
    <w:rsid w:val="00871EBE"/>
    <w:rsid w:val="00875C35"/>
    <w:rsid w:val="0087736B"/>
    <w:rsid w:val="00877838"/>
    <w:rsid w:val="00881736"/>
    <w:rsid w:val="00883A45"/>
    <w:rsid w:val="00884A54"/>
    <w:rsid w:val="00886A94"/>
    <w:rsid w:val="0089332C"/>
    <w:rsid w:val="00893C42"/>
    <w:rsid w:val="00897228"/>
    <w:rsid w:val="008A2D11"/>
    <w:rsid w:val="008A3DD4"/>
    <w:rsid w:val="008A47EA"/>
    <w:rsid w:val="008A53B9"/>
    <w:rsid w:val="008A542A"/>
    <w:rsid w:val="008A56BD"/>
    <w:rsid w:val="008A593B"/>
    <w:rsid w:val="008B0021"/>
    <w:rsid w:val="008B1321"/>
    <w:rsid w:val="008B1866"/>
    <w:rsid w:val="008B42F8"/>
    <w:rsid w:val="008B4747"/>
    <w:rsid w:val="008B4CDF"/>
    <w:rsid w:val="008B4E22"/>
    <w:rsid w:val="008B6C56"/>
    <w:rsid w:val="008B7B78"/>
    <w:rsid w:val="008C38CB"/>
    <w:rsid w:val="008C43B5"/>
    <w:rsid w:val="008C4B48"/>
    <w:rsid w:val="008C4F0E"/>
    <w:rsid w:val="008C58CC"/>
    <w:rsid w:val="008C5DC9"/>
    <w:rsid w:val="008D2D94"/>
    <w:rsid w:val="008D37D2"/>
    <w:rsid w:val="008D4AA1"/>
    <w:rsid w:val="008E2176"/>
    <w:rsid w:val="008E415A"/>
    <w:rsid w:val="008E4E35"/>
    <w:rsid w:val="008E5B25"/>
    <w:rsid w:val="008E6747"/>
    <w:rsid w:val="008E6A6E"/>
    <w:rsid w:val="008E760D"/>
    <w:rsid w:val="008F372D"/>
    <w:rsid w:val="009016F8"/>
    <w:rsid w:val="00904155"/>
    <w:rsid w:val="009048E3"/>
    <w:rsid w:val="009052D5"/>
    <w:rsid w:val="0090578F"/>
    <w:rsid w:val="00907AFA"/>
    <w:rsid w:val="00911C44"/>
    <w:rsid w:val="00912F86"/>
    <w:rsid w:val="0091488E"/>
    <w:rsid w:val="00920912"/>
    <w:rsid w:val="00922A16"/>
    <w:rsid w:val="00924E6D"/>
    <w:rsid w:val="0092592D"/>
    <w:rsid w:val="00925B5B"/>
    <w:rsid w:val="00927B8C"/>
    <w:rsid w:val="00927E92"/>
    <w:rsid w:val="00931253"/>
    <w:rsid w:val="00932354"/>
    <w:rsid w:val="00934B29"/>
    <w:rsid w:val="009362EF"/>
    <w:rsid w:val="00936F16"/>
    <w:rsid w:val="00937B2B"/>
    <w:rsid w:val="00941A30"/>
    <w:rsid w:val="009459C4"/>
    <w:rsid w:val="00947539"/>
    <w:rsid w:val="009478EA"/>
    <w:rsid w:val="00947BC1"/>
    <w:rsid w:val="009501AD"/>
    <w:rsid w:val="00950A8A"/>
    <w:rsid w:val="0095577E"/>
    <w:rsid w:val="009559E9"/>
    <w:rsid w:val="00956E8A"/>
    <w:rsid w:val="009572CD"/>
    <w:rsid w:val="0096313F"/>
    <w:rsid w:val="00963453"/>
    <w:rsid w:val="00965401"/>
    <w:rsid w:val="00966ABA"/>
    <w:rsid w:val="009672B4"/>
    <w:rsid w:val="00970B8F"/>
    <w:rsid w:val="00971451"/>
    <w:rsid w:val="00973894"/>
    <w:rsid w:val="00973F76"/>
    <w:rsid w:val="00974643"/>
    <w:rsid w:val="00975520"/>
    <w:rsid w:val="00976DFF"/>
    <w:rsid w:val="00982BE8"/>
    <w:rsid w:val="0098328A"/>
    <w:rsid w:val="00984D76"/>
    <w:rsid w:val="00987D99"/>
    <w:rsid w:val="00991147"/>
    <w:rsid w:val="00991C0E"/>
    <w:rsid w:val="00991D7A"/>
    <w:rsid w:val="009947B8"/>
    <w:rsid w:val="0099729F"/>
    <w:rsid w:val="009972DF"/>
    <w:rsid w:val="009978CE"/>
    <w:rsid w:val="009979A0"/>
    <w:rsid w:val="009A5058"/>
    <w:rsid w:val="009A5980"/>
    <w:rsid w:val="009A621E"/>
    <w:rsid w:val="009A6CEF"/>
    <w:rsid w:val="009B0676"/>
    <w:rsid w:val="009B0821"/>
    <w:rsid w:val="009B195F"/>
    <w:rsid w:val="009B196B"/>
    <w:rsid w:val="009B232C"/>
    <w:rsid w:val="009B4418"/>
    <w:rsid w:val="009B601A"/>
    <w:rsid w:val="009B7419"/>
    <w:rsid w:val="009C0369"/>
    <w:rsid w:val="009C1778"/>
    <w:rsid w:val="009C26B5"/>
    <w:rsid w:val="009C2721"/>
    <w:rsid w:val="009C3826"/>
    <w:rsid w:val="009C4A1E"/>
    <w:rsid w:val="009C77C9"/>
    <w:rsid w:val="009D3CB5"/>
    <w:rsid w:val="009D4909"/>
    <w:rsid w:val="009D4D1E"/>
    <w:rsid w:val="009E0EDC"/>
    <w:rsid w:val="009E1BB2"/>
    <w:rsid w:val="009E391E"/>
    <w:rsid w:val="009E4EC4"/>
    <w:rsid w:val="009E51BD"/>
    <w:rsid w:val="009E537E"/>
    <w:rsid w:val="009E5982"/>
    <w:rsid w:val="009E63F1"/>
    <w:rsid w:val="009F0219"/>
    <w:rsid w:val="009F5B32"/>
    <w:rsid w:val="00A00EAF"/>
    <w:rsid w:val="00A01471"/>
    <w:rsid w:val="00A01A76"/>
    <w:rsid w:val="00A06EBD"/>
    <w:rsid w:val="00A07B30"/>
    <w:rsid w:val="00A07BB1"/>
    <w:rsid w:val="00A11083"/>
    <w:rsid w:val="00A1252A"/>
    <w:rsid w:val="00A14E2E"/>
    <w:rsid w:val="00A152B4"/>
    <w:rsid w:val="00A1772C"/>
    <w:rsid w:val="00A2344E"/>
    <w:rsid w:val="00A24AE9"/>
    <w:rsid w:val="00A24F0F"/>
    <w:rsid w:val="00A25032"/>
    <w:rsid w:val="00A316F9"/>
    <w:rsid w:val="00A324CC"/>
    <w:rsid w:val="00A34ABA"/>
    <w:rsid w:val="00A40F48"/>
    <w:rsid w:val="00A4106E"/>
    <w:rsid w:val="00A42FD3"/>
    <w:rsid w:val="00A4390E"/>
    <w:rsid w:val="00A43F30"/>
    <w:rsid w:val="00A45879"/>
    <w:rsid w:val="00A476A2"/>
    <w:rsid w:val="00A47A53"/>
    <w:rsid w:val="00A529B3"/>
    <w:rsid w:val="00A5339D"/>
    <w:rsid w:val="00A53894"/>
    <w:rsid w:val="00A53F9C"/>
    <w:rsid w:val="00A53FB4"/>
    <w:rsid w:val="00A541B9"/>
    <w:rsid w:val="00A555C0"/>
    <w:rsid w:val="00A56397"/>
    <w:rsid w:val="00A56436"/>
    <w:rsid w:val="00A6033C"/>
    <w:rsid w:val="00A61ED8"/>
    <w:rsid w:val="00A65782"/>
    <w:rsid w:val="00A669CC"/>
    <w:rsid w:val="00A676B4"/>
    <w:rsid w:val="00A710D3"/>
    <w:rsid w:val="00A71462"/>
    <w:rsid w:val="00A7331C"/>
    <w:rsid w:val="00A73BCF"/>
    <w:rsid w:val="00A74BF5"/>
    <w:rsid w:val="00A75E41"/>
    <w:rsid w:val="00A776FA"/>
    <w:rsid w:val="00A7771C"/>
    <w:rsid w:val="00A80C2F"/>
    <w:rsid w:val="00A8133E"/>
    <w:rsid w:val="00A81E5B"/>
    <w:rsid w:val="00A81F74"/>
    <w:rsid w:val="00A82754"/>
    <w:rsid w:val="00A86BCD"/>
    <w:rsid w:val="00A935B9"/>
    <w:rsid w:val="00A93E44"/>
    <w:rsid w:val="00A9435F"/>
    <w:rsid w:val="00A94668"/>
    <w:rsid w:val="00AA1B5B"/>
    <w:rsid w:val="00AA1F47"/>
    <w:rsid w:val="00AA1FAC"/>
    <w:rsid w:val="00AA23FC"/>
    <w:rsid w:val="00AA396A"/>
    <w:rsid w:val="00AA4D3A"/>
    <w:rsid w:val="00AA4F81"/>
    <w:rsid w:val="00AA618D"/>
    <w:rsid w:val="00AA671E"/>
    <w:rsid w:val="00AA6E5F"/>
    <w:rsid w:val="00AB2335"/>
    <w:rsid w:val="00AB2E6A"/>
    <w:rsid w:val="00AB3779"/>
    <w:rsid w:val="00AB4CC0"/>
    <w:rsid w:val="00AB6A19"/>
    <w:rsid w:val="00AB6DED"/>
    <w:rsid w:val="00AB7D32"/>
    <w:rsid w:val="00AC02DF"/>
    <w:rsid w:val="00AC1820"/>
    <w:rsid w:val="00AC4883"/>
    <w:rsid w:val="00AC5820"/>
    <w:rsid w:val="00AC6DDE"/>
    <w:rsid w:val="00AC747D"/>
    <w:rsid w:val="00AD251D"/>
    <w:rsid w:val="00AD5CEA"/>
    <w:rsid w:val="00AD606C"/>
    <w:rsid w:val="00AD799F"/>
    <w:rsid w:val="00AE0E4C"/>
    <w:rsid w:val="00AE1E4E"/>
    <w:rsid w:val="00AE2693"/>
    <w:rsid w:val="00AE27E8"/>
    <w:rsid w:val="00AE3388"/>
    <w:rsid w:val="00AE34FE"/>
    <w:rsid w:val="00AE3905"/>
    <w:rsid w:val="00AE3E57"/>
    <w:rsid w:val="00AE507F"/>
    <w:rsid w:val="00AE6BD7"/>
    <w:rsid w:val="00AF0C54"/>
    <w:rsid w:val="00AF112C"/>
    <w:rsid w:val="00AF15CF"/>
    <w:rsid w:val="00AF15E1"/>
    <w:rsid w:val="00AF25C4"/>
    <w:rsid w:val="00AF4E7F"/>
    <w:rsid w:val="00AF51CA"/>
    <w:rsid w:val="00AF6F2F"/>
    <w:rsid w:val="00B01384"/>
    <w:rsid w:val="00B02277"/>
    <w:rsid w:val="00B044BA"/>
    <w:rsid w:val="00B05F39"/>
    <w:rsid w:val="00B06777"/>
    <w:rsid w:val="00B06EB9"/>
    <w:rsid w:val="00B150D2"/>
    <w:rsid w:val="00B20F85"/>
    <w:rsid w:val="00B22CD5"/>
    <w:rsid w:val="00B23196"/>
    <w:rsid w:val="00B23D88"/>
    <w:rsid w:val="00B25617"/>
    <w:rsid w:val="00B25A2E"/>
    <w:rsid w:val="00B263B2"/>
    <w:rsid w:val="00B325B5"/>
    <w:rsid w:val="00B33816"/>
    <w:rsid w:val="00B37FC8"/>
    <w:rsid w:val="00B403F4"/>
    <w:rsid w:val="00B40C9A"/>
    <w:rsid w:val="00B40CCC"/>
    <w:rsid w:val="00B42A6D"/>
    <w:rsid w:val="00B43A54"/>
    <w:rsid w:val="00B43F8A"/>
    <w:rsid w:val="00B44063"/>
    <w:rsid w:val="00B4646B"/>
    <w:rsid w:val="00B46C1D"/>
    <w:rsid w:val="00B502C0"/>
    <w:rsid w:val="00B50557"/>
    <w:rsid w:val="00B51777"/>
    <w:rsid w:val="00B51C5D"/>
    <w:rsid w:val="00B5230A"/>
    <w:rsid w:val="00B525C2"/>
    <w:rsid w:val="00B52648"/>
    <w:rsid w:val="00B531FF"/>
    <w:rsid w:val="00B55033"/>
    <w:rsid w:val="00B556AB"/>
    <w:rsid w:val="00B556F6"/>
    <w:rsid w:val="00B6033D"/>
    <w:rsid w:val="00B61099"/>
    <w:rsid w:val="00B63D4E"/>
    <w:rsid w:val="00B64C16"/>
    <w:rsid w:val="00B6508B"/>
    <w:rsid w:val="00B665DD"/>
    <w:rsid w:val="00B70B52"/>
    <w:rsid w:val="00B71D00"/>
    <w:rsid w:val="00B72098"/>
    <w:rsid w:val="00B76330"/>
    <w:rsid w:val="00B7638A"/>
    <w:rsid w:val="00B76415"/>
    <w:rsid w:val="00B7773D"/>
    <w:rsid w:val="00B80154"/>
    <w:rsid w:val="00B815E1"/>
    <w:rsid w:val="00B81B0F"/>
    <w:rsid w:val="00B82896"/>
    <w:rsid w:val="00B83190"/>
    <w:rsid w:val="00B8431A"/>
    <w:rsid w:val="00B84D11"/>
    <w:rsid w:val="00B86450"/>
    <w:rsid w:val="00B90D00"/>
    <w:rsid w:val="00B90D82"/>
    <w:rsid w:val="00B916FE"/>
    <w:rsid w:val="00B9233A"/>
    <w:rsid w:val="00B92DD7"/>
    <w:rsid w:val="00B93219"/>
    <w:rsid w:val="00B9431F"/>
    <w:rsid w:val="00B9435C"/>
    <w:rsid w:val="00B94B4B"/>
    <w:rsid w:val="00B9632C"/>
    <w:rsid w:val="00B9730C"/>
    <w:rsid w:val="00B97F50"/>
    <w:rsid w:val="00BA1D65"/>
    <w:rsid w:val="00BA58E8"/>
    <w:rsid w:val="00BA7BDC"/>
    <w:rsid w:val="00BB031A"/>
    <w:rsid w:val="00BB13B6"/>
    <w:rsid w:val="00BB26D6"/>
    <w:rsid w:val="00BB3989"/>
    <w:rsid w:val="00BB5262"/>
    <w:rsid w:val="00BC0A65"/>
    <w:rsid w:val="00BC21E9"/>
    <w:rsid w:val="00BC29DE"/>
    <w:rsid w:val="00BC4C26"/>
    <w:rsid w:val="00BC6211"/>
    <w:rsid w:val="00BC7895"/>
    <w:rsid w:val="00BC7D63"/>
    <w:rsid w:val="00BD0BB9"/>
    <w:rsid w:val="00BD324D"/>
    <w:rsid w:val="00BD4BB5"/>
    <w:rsid w:val="00BD6978"/>
    <w:rsid w:val="00BE0D03"/>
    <w:rsid w:val="00BE2925"/>
    <w:rsid w:val="00BE5E72"/>
    <w:rsid w:val="00BE7ED0"/>
    <w:rsid w:val="00BF07A0"/>
    <w:rsid w:val="00BF6DC4"/>
    <w:rsid w:val="00BF6F9B"/>
    <w:rsid w:val="00BF7951"/>
    <w:rsid w:val="00BF7F6E"/>
    <w:rsid w:val="00C037F8"/>
    <w:rsid w:val="00C03A11"/>
    <w:rsid w:val="00C0465E"/>
    <w:rsid w:val="00C047F8"/>
    <w:rsid w:val="00C05030"/>
    <w:rsid w:val="00C053E2"/>
    <w:rsid w:val="00C05FE7"/>
    <w:rsid w:val="00C07999"/>
    <w:rsid w:val="00C07F65"/>
    <w:rsid w:val="00C11675"/>
    <w:rsid w:val="00C12586"/>
    <w:rsid w:val="00C140C2"/>
    <w:rsid w:val="00C1410B"/>
    <w:rsid w:val="00C14A65"/>
    <w:rsid w:val="00C14E42"/>
    <w:rsid w:val="00C156C9"/>
    <w:rsid w:val="00C156F4"/>
    <w:rsid w:val="00C169F0"/>
    <w:rsid w:val="00C16B52"/>
    <w:rsid w:val="00C17A32"/>
    <w:rsid w:val="00C17AE1"/>
    <w:rsid w:val="00C17C37"/>
    <w:rsid w:val="00C20FE1"/>
    <w:rsid w:val="00C21938"/>
    <w:rsid w:val="00C21D3C"/>
    <w:rsid w:val="00C30FA2"/>
    <w:rsid w:val="00C32819"/>
    <w:rsid w:val="00C33E2C"/>
    <w:rsid w:val="00C348AF"/>
    <w:rsid w:val="00C34A60"/>
    <w:rsid w:val="00C34F4D"/>
    <w:rsid w:val="00C403DB"/>
    <w:rsid w:val="00C43563"/>
    <w:rsid w:val="00C44BC5"/>
    <w:rsid w:val="00C44D0C"/>
    <w:rsid w:val="00C47CC4"/>
    <w:rsid w:val="00C510B3"/>
    <w:rsid w:val="00C52E3C"/>
    <w:rsid w:val="00C5519F"/>
    <w:rsid w:val="00C55A3A"/>
    <w:rsid w:val="00C55B8B"/>
    <w:rsid w:val="00C57EFC"/>
    <w:rsid w:val="00C62F7D"/>
    <w:rsid w:val="00C634DE"/>
    <w:rsid w:val="00C66696"/>
    <w:rsid w:val="00C673FB"/>
    <w:rsid w:val="00C71E7D"/>
    <w:rsid w:val="00C73A85"/>
    <w:rsid w:val="00C7594C"/>
    <w:rsid w:val="00C7762F"/>
    <w:rsid w:val="00C777B3"/>
    <w:rsid w:val="00C801E3"/>
    <w:rsid w:val="00C81BB2"/>
    <w:rsid w:val="00C82173"/>
    <w:rsid w:val="00C837F2"/>
    <w:rsid w:val="00C856C3"/>
    <w:rsid w:val="00C85938"/>
    <w:rsid w:val="00C91093"/>
    <w:rsid w:val="00C9473C"/>
    <w:rsid w:val="00C973B7"/>
    <w:rsid w:val="00CA1CA1"/>
    <w:rsid w:val="00CA266B"/>
    <w:rsid w:val="00CA4AB5"/>
    <w:rsid w:val="00CA722F"/>
    <w:rsid w:val="00CA74C1"/>
    <w:rsid w:val="00CB5B48"/>
    <w:rsid w:val="00CB7CEE"/>
    <w:rsid w:val="00CC1CF4"/>
    <w:rsid w:val="00CC4B29"/>
    <w:rsid w:val="00CC4BF1"/>
    <w:rsid w:val="00CD0ECD"/>
    <w:rsid w:val="00CD2587"/>
    <w:rsid w:val="00CE2ADD"/>
    <w:rsid w:val="00CE2BC8"/>
    <w:rsid w:val="00CE4500"/>
    <w:rsid w:val="00CE5298"/>
    <w:rsid w:val="00CE6681"/>
    <w:rsid w:val="00CE760A"/>
    <w:rsid w:val="00CF3DE7"/>
    <w:rsid w:val="00CF5A26"/>
    <w:rsid w:val="00CF5CC6"/>
    <w:rsid w:val="00D00ECE"/>
    <w:rsid w:val="00D04CF8"/>
    <w:rsid w:val="00D0506D"/>
    <w:rsid w:val="00D05DA5"/>
    <w:rsid w:val="00D05E52"/>
    <w:rsid w:val="00D06DD7"/>
    <w:rsid w:val="00D12505"/>
    <w:rsid w:val="00D16ED9"/>
    <w:rsid w:val="00D17E41"/>
    <w:rsid w:val="00D2026C"/>
    <w:rsid w:val="00D21017"/>
    <w:rsid w:val="00D21FC2"/>
    <w:rsid w:val="00D249CA"/>
    <w:rsid w:val="00D24F1A"/>
    <w:rsid w:val="00D27EEF"/>
    <w:rsid w:val="00D3675D"/>
    <w:rsid w:val="00D36954"/>
    <w:rsid w:val="00D36F80"/>
    <w:rsid w:val="00D40533"/>
    <w:rsid w:val="00D4090F"/>
    <w:rsid w:val="00D41256"/>
    <w:rsid w:val="00D425CA"/>
    <w:rsid w:val="00D4278C"/>
    <w:rsid w:val="00D44651"/>
    <w:rsid w:val="00D5059B"/>
    <w:rsid w:val="00D51B7A"/>
    <w:rsid w:val="00D522B0"/>
    <w:rsid w:val="00D53521"/>
    <w:rsid w:val="00D53A68"/>
    <w:rsid w:val="00D5471F"/>
    <w:rsid w:val="00D6214F"/>
    <w:rsid w:val="00D63564"/>
    <w:rsid w:val="00D63CC6"/>
    <w:rsid w:val="00D64C38"/>
    <w:rsid w:val="00D659A0"/>
    <w:rsid w:val="00D65F25"/>
    <w:rsid w:val="00D672BE"/>
    <w:rsid w:val="00D67777"/>
    <w:rsid w:val="00D7246B"/>
    <w:rsid w:val="00D727C7"/>
    <w:rsid w:val="00D72E45"/>
    <w:rsid w:val="00D75475"/>
    <w:rsid w:val="00D760F0"/>
    <w:rsid w:val="00D76BEB"/>
    <w:rsid w:val="00D92F10"/>
    <w:rsid w:val="00D935FC"/>
    <w:rsid w:val="00D97841"/>
    <w:rsid w:val="00D97B27"/>
    <w:rsid w:val="00DA1478"/>
    <w:rsid w:val="00DA4885"/>
    <w:rsid w:val="00DA4EB2"/>
    <w:rsid w:val="00DA5AF1"/>
    <w:rsid w:val="00DA75A1"/>
    <w:rsid w:val="00DB04F9"/>
    <w:rsid w:val="00DB064A"/>
    <w:rsid w:val="00DB0E17"/>
    <w:rsid w:val="00DB76EC"/>
    <w:rsid w:val="00DC60D0"/>
    <w:rsid w:val="00DC7B35"/>
    <w:rsid w:val="00DD1627"/>
    <w:rsid w:val="00DD35A4"/>
    <w:rsid w:val="00DD382A"/>
    <w:rsid w:val="00DD3BB0"/>
    <w:rsid w:val="00DD6496"/>
    <w:rsid w:val="00DD7FA7"/>
    <w:rsid w:val="00DE0CB0"/>
    <w:rsid w:val="00DE29CC"/>
    <w:rsid w:val="00DE4195"/>
    <w:rsid w:val="00DE6953"/>
    <w:rsid w:val="00DE6E9F"/>
    <w:rsid w:val="00DF1D9A"/>
    <w:rsid w:val="00DF2B85"/>
    <w:rsid w:val="00DF5A10"/>
    <w:rsid w:val="00DF5A9B"/>
    <w:rsid w:val="00DF5B17"/>
    <w:rsid w:val="00DF6C17"/>
    <w:rsid w:val="00E00EF4"/>
    <w:rsid w:val="00E020B6"/>
    <w:rsid w:val="00E03570"/>
    <w:rsid w:val="00E05033"/>
    <w:rsid w:val="00E05A06"/>
    <w:rsid w:val="00E0770A"/>
    <w:rsid w:val="00E07E0D"/>
    <w:rsid w:val="00E1173F"/>
    <w:rsid w:val="00E135A5"/>
    <w:rsid w:val="00E179F2"/>
    <w:rsid w:val="00E20794"/>
    <w:rsid w:val="00E20F89"/>
    <w:rsid w:val="00E2117D"/>
    <w:rsid w:val="00E2181C"/>
    <w:rsid w:val="00E256D6"/>
    <w:rsid w:val="00E25F01"/>
    <w:rsid w:val="00E2749C"/>
    <w:rsid w:val="00E278FC"/>
    <w:rsid w:val="00E27E63"/>
    <w:rsid w:val="00E27EC2"/>
    <w:rsid w:val="00E30105"/>
    <w:rsid w:val="00E30862"/>
    <w:rsid w:val="00E30CBC"/>
    <w:rsid w:val="00E35EDC"/>
    <w:rsid w:val="00E37F71"/>
    <w:rsid w:val="00E42244"/>
    <w:rsid w:val="00E4388B"/>
    <w:rsid w:val="00E43F8B"/>
    <w:rsid w:val="00E46204"/>
    <w:rsid w:val="00E47AA1"/>
    <w:rsid w:val="00E52582"/>
    <w:rsid w:val="00E561E7"/>
    <w:rsid w:val="00E60C2E"/>
    <w:rsid w:val="00E60CF4"/>
    <w:rsid w:val="00E610BC"/>
    <w:rsid w:val="00E633E9"/>
    <w:rsid w:val="00E639C0"/>
    <w:rsid w:val="00E64385"/>
    <w:rsid w:val="00E666BB"/>
    <w:rsid w:val="00E670FD"/>
    <w:rsid w:val="00E673CB"/>
    <w:rsid w:val="00E678E6"/>
    <w:rsid w:val="00E70895"/>
    <w:rsid w:val="00E72DDB"/>
    <w:rsid w:val="00E73B61"/>
    <w:rsid w:val="00E753AA"/>
    <w:rsid w:val="00E76B40"/>
    <w:rsid w:val="00E817B2"/>
    <w:rsid w:val="00E82307"/>
    <w:rsid w:val="00E8256A"/>
    <w:rsid w:val="00E83108"/>
    <w:rsid w:val="00E841C3"/>
    <w:rsid w:val="00E84DDF"/>
    <w:rsid w:val="00E850F8"/>
    <w:rsid w:val="00E8563A"/>
    <w:rsid w:val="00E86AE6"/>
    <w:rsid w:val="00E86B40"/>
    <w:rsid w:val="00E90588"/>
    <w:rsid w:val="00E93F07"/>
    <w:rsid w:val="00E96A6D"/>
    <w:rsid w:val="00E97133"/>
    <w:rsid w:val="00EA0571"/>
    <w:rsid w:val="00EA0868"/>
    <w:rsid w:val="00EA7DC6"/>
    <w:rsid w:val="00EB11C7"/>
    <w:rsid w:val="00EB201E"/>
    <w:rsid w:val="00EB3B4B"/>
    <w:rsid w:val="00EB589F"/>
    <w:rsid w:val="00EC4C1B"/>
    <w:rsid w:val="00EC7585"/>
    <w:rsid w:val="00EC7B5C"/>
    <w:rsid w:val="00ED1C0E"/>
    <w:rsid w:val="00ED4500"/>
    <w:rsid w:val="00ED4E00"/>
    <w:rsid w:val="00ED71BF"/>
    <w:rsid w:val="00EE1737"/>
    <w:rsid w:val="00EE1FEC"/>
    <w:rsid w:val="00EE3FFC"/>
    <w:rsid w:val="00EE4DE9"/>
    <w:rsid w:val="00EF073A"/>
    <w:rsid w:val="00EF0987"/>
    <w:rsid w:val="00EF0DF8"/>
    <w:rsid w:val="00EF1C5F"/>
    <w:rsid w:val="00EF1E3C"/>
    <w:rsid w:val="00EF5742"/>
    <w:rsid w:val="00EF63A6"/>
    <w:rsid w:val="00EF6410"/>
    <w:rsid w:val="00EF7F0F"/>
    <w:rsid w:val="00F000B5"/>
    <w:rsid w:val="00F00BC6"/>
    <w:rsid w:val="00F0193C"/>
    <w:rsid w:val="00F04053"/>
    <w:rsid w:val="00F05A1C"/>
    <w:rsid w:val="00F05E53"/>
    <w:rsid w:val="00F11E01"/>
    <w:rsid w:val="00F12935"/>
    <w:rsid w:val="00F141C9"/>
    <w:rsid w:val="00F1527C"/>
    <w:rsid w:val="00F15362"/>
    <w:rsid w:val="00F2014D"/>
    <w:rsid w:val="00F259AC"/>
    <w:rsid w:val="00F25CE6"/>
    <w:rsid w:val="00F27C62"/>
    <w:rsid w:val="00F31D0B"/>
    <w:rsid w:val="00F32593"/>
    <w:rsid w:val="00F3314C"/>
    <w:rsid w:val="00F33186"/>
    <w:rsid w:val="00F35740"/>
    <w:rsid w:val="00F369BA"/>
    <w:rsid w:val="00F407E5"/>
    <w:rsid w:val="00F41F56"/>
    <w:rsid w:val="00F42747"/>
    <w:rsid w:val="00F42FD1"/>
    <w:rsid w:val="00F43E6B"/>
    <w:rsid w:val="00F45FBE"/>
    <w:rsid w:val="00F47ECA"/>
    <w:rsid w:val="00F5042B"/>
    <w:rsid w:val="00F5044C"/>
    <w:rsid w:val="00F5066C"/>
    <w:rsid w:val="00F50862"/>
    <w:rsid w:val="00F50CCE"/>
    <w:rsid w:val="00F511AC"/>
    <w:rsid w:val="00F51F3D"/>
    <w:rsid w:val="00F53D3C"/>
    <w:rsid w:val="00F579BB"/>
    <w:rsid w:val="00F603D8"/>
    <w:rsid w:val="00F608C5"/>
    <w:rsid w:val="00F60C0E"/>
    <w:rsid w:val="00F6228B"/>
    <w:rsid w:val="00F65D04"/>
    <w:rsid w:val="00F666F7"/>
    <w:rsid w:val="00F67789"/>
    <w:rsid w:val="00F70902"/>
    <w:rsid w:val="00F711BC"/>
    <w:rsid w:val="00F74676"/>
    <w:rsid w:val="00F74DB8"/>
    <w:rsid w:val="00F74EEF"/>
    <w:rsid w:val="00F80FED"/>
    <w:rsid w:val="00F8143C"/>
    <w:rsid w:val="00F826ED"/>
    <w:rsid w:val="00F82B44"/>
    <w:rsid w:val="00F83A23"/>
    <w:rsid w:val="00F86EA1"/>
    <w:rsid w:val="00F875BD"/>
    <w:rsid w:val="00F91BF0"/>
    <w:rsid w:val="00F93023"/>
    <w:rsid w:val="00F96BFB"/>
    <w:rsid w:val="00F972CA"/>
    <w:rsid w:val="00FA023D"/>
    <w:rsid w:val="00FA2770"/>
    <w:rsid w:val="00FA4C98"/>
    <w:rsid w:val="00FA6322"/>
    <w:rsid w:val="00FA7FA7"/>
    <w:rsid w:val="00FB1226"/>
    <w:rsid w:val="00FB3938"/>
    <w:rsid w:val="00FB470D"/>
    <w:rsid w:val="00FB55F3"/>
    <w:rsid w:val="00FB67DA"/>
    <w:rsid w:val="00FB7CF5"/>
    <w:rsid w:val="00FC0434"/>
    <w:rsid w:val="00FC4A31"/>
    <w:rsid w:val="00FC70CA"/>
    <w:rsid w:val="00FD0875"/>
    <w:rsid w:val="00FD552B"/>
    <w:rsid w:val="00FD57F6"/>
    <w:rsid w:val="00FD70F0"/>
    <w:rsid w:val="00FE0459"/>
    <w:rsid w:val="00FE064B"/>
    <w:rsid w:val="00FE631C"/>
    <w:rsid w:val="00FE669C"/>
    <w:rsid w:val="00FF05A4"/>
    <w:rsid w:val="00FF0A9E"/>
    <w:rsid w:val="00FF0D51"/>
    <w:rsid w:val="00FF0FB0"/>
    <w:rsid w:val="00FF5AA2"/>
    <w:rsid w:val="00FF62F8"/>
    <w:rsid w:val="00FF7224"/>
    <w:rsid w:val="00FF74E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DDC505"/>
  <w15:docId w15:val="{E1B5E4B4-5D47-42F6-A583-85F88B90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7CF5"/>
    <w:pPr>
      <w:spacing w:line="250" w:lineRule="exact"/>
    </w:pPr>
    <w:rPr>
      <w:rFonts w:cs="Times New Roman"/>
      <w:sz w:val="21"/>
      <w:szCs w:val="21"/>
      <w:lang w:eastAsia="en-AU"/>
    </w:rPr>
  </w:style>
  <w:style w:type="paragraph" w:styleId="Heading1">
    <w:name w:val="heading 1"/>
    <w:basedOn w:val="Normal"/>
    <w:next w:val="Heading2"/>
    <w:link w:val="Heading1Char"/>
    <w:qFormat/>
    <w:rsid w:val="00F93023"/>
    <w:pPr>
      <w:keepNext/>
      <w:numPr>
        <w:numId w:val="8"/>
      </w:numPr>
      <w:suppressAutoHyphens/>
      <w:spacing w:before="360" w:line="440" w:lineRule="exact"/>
      <w:outlineLvl w:val="0"/>
    </w:pPr>
    <w:rPr>
      <w:rFonts w:eastAsiaTheme="majorEastAsia" w:cstheme="majorBidi"/>
      <w:b/>
      <w:bCs/>
      <w:caps/>
      <w:color w:val="482D8C" w:themeColor="background2"/>
      <w:spacing w:val="-20"/>
      <w:kern w:val="36"/>
      <w:sz w:val="44"/>
      <w:szCs w:val="48"/>
    </w:rPr>
  </w:style>
  <w:style w:type="paragraph" w:styleId="Heading2">
    <w:name w:val="heading 2"/>
    <w:basedOn w:val="Normal"/>
    <w:next w:val="Heading3"/>
    <w:link w:val="Heading2Char"/>
    <w:unhideWhenUsed/>
    <w:qFormat/>
    <w:rsid w:val="00B22CD5"/>
    <w:pPr>
      <w:keepNext/>
      <w:suppressAutoHyphens/>
      <w:spacing w:before="240" w:after="60" w:line="300" w:lineRule="exact"/>
      <w:outlineLvl w:val="1"/>
    </w:pPr>
    <w:rPr>
      <w:b/>
      <w:caps/>
      <w:color w:val="AB4399"/>
      <w:sz w:val="38"/>
      <w:szCs w:val="36"/>
    </w:rPr>
  </w:style>
  <w:style w:type="paragraph" w:styleId="Heading3">
    <w:name w:val="heading 3"/>
    <w:basedOn w:val="bulletnumbers"/>
    <w:next w:val="Normal"/>
    <w:link w:val="Heading3Char"/>
    <w:unhideWhenUsed/>
    <w:qFormat/>
    <w:rsid w:val="00610F6E"/>
    <w:pPr>
      <w:keepNext/>
      <w:numPr>
        <w:numId w:val="0"/>
      </w:numPr>
      <w:suppressAutoHyphens/>
      <w:spacing w:before="240" w:after="60" w:line="240" w:lineRule="exact"/>
      <w:outlineLvl w:val="2"/>
    </w:pPr>
    <w:rPr>
      <w:b/>
      <w:color w:val="D189C4" w:themeColor="accent3" w:themeTint="99"/>
      <w:sz w:val="32"/>
      <w:szCs w:val="28"/>
    </w:rPr>
  </w:style>
  <w:style w:type="paragraph" w:styleId="Heading4">
    <w:name w:val="heading 4"/>
    <w:basedOn w:val="Normal"/>
    <w:link w:val="Heading4Char"/>
    <w:unhideWhenUsed/>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nhideWhenUsed/>
    <w:rsid w:val="00731AE2"/>
    <w:pPr>
      <w:keepNext/>
      <w:keepLines/>
      <w:spacing w:before="40" w:after="0"/>
      <w:outlineLvl w:val="4"/>
    </w:pPr>
    <w:rPr>
      <w:rFonts w:asciiTheme="majorHAnsi" w:eastAsiaTheme="majorEastAsia" w:hAnsiTheme="majorHAnsi" w:cstheme="majorBidi"/>
      <w:color w:val="252525" w:themeColor="accent1" w:themeShade="BF"/>
    </w:rPr>
  </w:style>
  <w:style w:type="paragraph" w:styleId="Heading6">
    <w:name w:val="heading 6"/>
    <w:basedOn w:val="Normal"/>
    <w:next w:val="Normal"/>
    <w:link w:val="Heading6Char"/>
    <w:rsid w:val="003C58A9"/>
    <w:pPr>
      <w:keepNext/>
      <w:tabs>
        <w:tab w:val="num" w:pos="1152"/>
      </w:tabs>
      <w:spacing w:after="0" w:line="240" w:lineRule="auto"/>
      <w:ind w:left="1152" w:hanging="1152"/>
      <w:outlineLvl w:val="5"/>
    </w:pPr>
    <w:rPr>
      <w:rFonts w:ascii="Calibri" w:eastAsia="Times New Roman" w:hAnsi="Calibri"/>
      <w:b/>
      <w:bCs/>
      <w:i/>
      <w:iCs/>
      <w:sz w:val="22"/>
      <w:szCs w:val="24"/>
      <w:lang w:eastAsia="en-US"/>
    </w:rPr>
  </w:style>
  <w:style w:type="paragraph" w:styleId="Heading7">
    <w:name w:val="heading 7"/>
    <w:basedOn w:val="Normal"/>
    <w:next w:val="Normal"/>
    <w:link w:val="Heading7Char"/>
    <w:rsid w:val="003C58A9"/>
    <w:pPr>
      <w:keepNext/>
      <w:tabs>
        <w:tab w:val="num" w:pos="1296"/>
      </w:tabs>
      <w:spacing w:after="0" w:line="240" w:lineRule="auto"/>
      <w:ind w:left="1296" w:hanging="1296"/>
      <w:outlineLvl w:val="6"/>
    </w:pPr>
    <w:rPr>
      <w:rFonts w:ascii="Calibri" w:eastAsia="Times New Roman" w:hAnsi="Calibri"/>
      <w:sz w:val="22"/>
      <w:szCs w:val="24"/>
      <w:u w:val="single"/>
      <w:lang w:eastAsia="en-US"/>
    </w:rPr>
  </w:style>
  <w:style w:type="paragraph" w:styleId="Heading8">
    <w:name w:val="heading 8"/>
    <w:basedOn w:val="Normal"/>
    <w:next w:val="Normal"/>
    <w:link w:val="Heading8Char"/>
    <w:unhideWhenUsed/>
    <w:rsid w:val="00F6228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rsid w:val="00BA1D65"/>
    <w:pPr>
      <w:spacing w:before="240" w:after="60" w:line="240" w:lineRule="auto"/>
      <w:jc w:val="right"/>
      <w:outlineLvl w:val="8"/>
    </w:pPr>
    <w:rPr>
      <w:rFonts w:ascii="Times New Roman Bold" w:eastAsia="Times New Roman" w:hAnsi="Times New Roman Bold" w:cs="Arial"/>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023"/>
    <w:rPr>
      <w:rFonts w:eastAsiaTheme="majorEastAsia" w:cstheme="majorBidi"/>
      <w:b/>
      <w:bCs/>
      <w:caps/>
      <w:color w:val="482D8C" w:themeColor="background2"/>
      <w:spacing w:val="-20"/>
      <w:kern w:val="36"/>
      <w:sz w:val="44"/>
      <w:szCs w:val="48"/>
      <w:lang w:eastAsia="en-AU"/>
    </w:rPr>
  </w:style>
  <w:style w:type="character" w:customStyle="1" w:styleId="Heading2Char">
    <w:name w:val="Heading 2 Char"/>
    <w:basedOn w:val="DefaultParagraphFont"/>
    <w:link w:val="Heading2"/>
    <w:rsid w:val="00B22CD5"/>
    <w:rPr>
      <w:rFonts w:cs="Times New Roman"/>
      <w:b/>
      <w:caps/>
      <w:color w:val="AB4399"/>
      <w:sz w:val="38"/>
      <w:szCs w:val="36"/>
      <w:lang w:eastAsia="en-AU"/>
    </w:rPr>
  </w:style>
  <w:style w:type="character" w:customStyle="1" w:styleId="Heading3Char">
    <w:name w:val="Heading 3 Char"/>
    <w:basedOn w:val="DefaultParagraphFont"/>
    <w:link w:val="Heading3"/>
    <w:rsid w:val="00610F6E"/>
    <w:rPr>
      <w:rFonts w:cs="Times New Roman"/>
      <w:b/>
      <w:color w:val="D189C4" w:themeColor="accent3" w:themeTint="99"/>
      <w:sz w:val="32"/>
      <w:szCs w:val="28"/>
      <w:lang w:eastAsia="en-AU"/>
    </w:rPr>
  </w:style>
  <w:style w:type="character" w:customStyle="1" w:styleId="Heading4Char">
    <w:name w:val="Heading 4 Char"/>
    <w:basedOn w:val="DefaultParagraphFont"/>
    <w:link w:val="Heading4"/>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333A49"/>
    <w:pPr>
      <w:keepNext/>
      <w:tabs>
        <w:tab w:val="left" w:pos="630"/>
        <w:tab w:val="right" w:leader="dot" w:pos="9060"/>
      </w:tabs>
      <w:spacing w:after="0" w:line="240" w:lineRule="auto"/>
    </w:pPr>
    <w:rPr>
      <w:b/>
      <w:caps/>
      <w:noProof/>
      <w:color w:val="482D8C" w:themeColor="background2"/>
      <w:sz w:val="32"/>
      <w:szCs w:val="40"/>
    </w:rPr>
  </w:style>
  <w:style w:type="paragraph" w:styleId="TOC2">
    <w:name w:val="toc 2"/>
    <w:basedOn w:val="Normal"/>
    <w:autoRedefine/>
    <w:uiPriority w:val="39"/>
    <w:unhideWhenUsed/>
    <w:rsid w:val="00745B7F"/>
    <w:pPr>
      <w:keepNext/>
      <w:tabs>
        <w:tab w:val="right" w:leader="dot" w:pos="9060"/>
      </w:tabs>
      <w:spacing w:after="120" w:line="320" w:lineRule="exact"/>
      <w:ind w:left="210"/>
    </w:pPr>
    <w:rPr>
      <w:noProof/>
      <w:color w:val="AB4399"/>
      <w:sz w:val="28"/>
      <w:szCs w:val="32"/>
    </w:rPr>
  </w:style>
  <w:style w:type="paragraph" w:styleId="TOC3">
    <w:name w:val="toc 3"/>
    <w:basedOn w:val="Normal"/>
    <w:autoRedefine/>
    <w:uiPriority w:val="39"/>
    <w:unhideWhenUsed/>
    <w:rsid w:val="009E5982"/>
    <w:pPr>
      <w:keepNext/>
      <w:tabs>
        <w:tab w:val="left" w:pos="1320"/>
        <w:tab w:val="right" w:leader="dot" w:pos="9060"/>
      </w:tabs>
      <w:spacing w:after="0" w:line="240" w:lineRule="auto"/>
      <w:ind w:left="426"/>
    </w:pPr>
    <w:rPr>
      <w:sz w:val="24"/>
      <w:szCs w:val="24"/>
    </w:rPr>
  </w:style>
  <w:style w:type="paragraph" w:styleId="Title">
    <w:name w:val="Title"/>
    <w:basedOn w:val="Normal"/>
    <w:link w:val="TitleChar"/>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rsid w:val="000446A5"/>
    <w:rPr>
      <w:color w:val="FFFFFF" w:themeColor="background1"/>
      <w:szCs w:val="24"/>
    </w:rPr>
  </w:style>
  <w:style w:type="paragraph" w:styleId="BodyText">
    <w:name w:val="Body Text"/>
    <w:basedOn w:val="Normal"/>
    <w:link w:val="BodyTextChar"/>
    <w:unhideWhenUsed/>
    <w:rsid w:val="00632F54"/>
    <w:pPr>
      <w:spacing w:after="120"/>
    </w:pPr>
  </w:style>
  <w:style w:type="character" w:customStyle="1" w:styleId="BodyTextChar">
    <w:name w:val="Body Text Char"/>
    <w:basedOn w:val="DefaultParagraphFont"/>
    <w:link w:val="BodyText"/>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rsid w:val="0086024E"/>
    <w:pPr>
      <w:jc w:val="right"/>
    </w:pPr>
    <w:rPr>
      <w:bCs w:val="0"/>
    </w:rPr>
  </w:style>
  <w:style w:type="paragraph" w:customStyle="1" w:styleId="Tabletext">
    <w:name w:val="Table text"/>
    <w:basedOn w:val="Normal"/>
    <w:link w:val="TabletextChar"/>
    <w:autoRedefine/>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rsid w:val="007D5985"/>
    <w:rPr>
      <w:b/>
    </w:rPr>
  </w:style>
  <w:style w:type="paragraph" w:customStyle="1" w:styleId="TableTextbolditalics">
    <w:name w:val="Table Text bold italics"/>
    <w:basedOn w:val="Tabletext"/>
    <w:rsid w:val="007D5985"/>
    <w:rPr>
      <w:b/>
      <w:i/>
    </w:rPr>
  </w:style>
  <w:style w:type="paragraph" w:customStyle="1" w:styleId="TableFiguresbold">
    <w:name w:val="Table Figures bold"/>
    <w:basedOn w:val="Tablefigures"/>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502A1"/>
    <w:rPr>
      <w:rFonts w:ascii="Tahoma" w:hAnsi="Tahoma" w:cs="Tahoma"/>
      <w:sz w:val="16"/>
      <w:szCs w:val="16"/>
      <w:lang w:eastAsia="en-AU"/>
    </w:rPr>
  </w:style>
  <w:style w:type="character" w:styleId="Strong">
    <w:name w:val="Strong"/>
    <w:basedOn w:val="DefaultParagraphFont"/>
    <w:uiPriority w:val="22"/>
    <w:rsid w:val="00C85938"/>
    <w:rPr>
      <w:b/>
      <w:bCs/>
    </w:rPr>
  </w:style>
  <w:style w:type="paragraph" w:styleId="NoSpacing">
    <w:name w:val="No Spacing"/>
    <w:link w:val="NoSpacingChar"/>
    <w:uiPriority w:val="1"/>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rsid w:val="004B4981"/>
    <w:pPr>
      <w:spacing w:after="0"/>
    </w:pPr>
    <w:rPr>
      <w:rFonts w:asciiTheme="majorHAnsi" w:eastAsia="Times New Roman" w:hAnsiTheme="majorHAnsi"/>
      <w:b/>
    </w:rPr>
  </w:style>
  <w:style w:type="paragraph" w:customStyle="1" w:styleId="Tableheadblack">
    <w:name w:val="Table head black"/>
    <w:basedOn w:val="Tablehead"/>
    <w:rsid w:val="00B70B52"/>
    <w:rPr>
      <w:rFonts w:cstheme="majorHAnsi"/>
      <w:b/>
      <w:color w:val="auto"/>
      <w:szCs w:val="21"/>
    </w:rPr>
  </w:style>
  <w:style w:type="paragraph" w:customStyle="1" w:styleId="Tableheadtext">
    <w:name w:val="Table head text"/>
    <w:basedOn w:val="Note"/>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rsid w:val="00A56436"/>
    <w:rPr>
      <w:color w:val="FFFFFF" w:themeColor="background1"/>
    </w:rPr>
  </w:style>
  <w:style w:type="paragraph" w:customStyle="1" w:styleId="Normal1">
    <w:name w:val="Normal1"/>
    <w:basedOn w:val="Normal"/>
    <w:next w:val="Normal"/>
    <w:qFormat/>
    <w:rsid w:val="00C81BB2"/>
    <w:pPr>
      <w:keepNext/>
      <w:spacing w:after="0" w:line="240" w:lineRule="auto"/>
    </w:pPr>
    <w:rPr>
      <w:rFonts w:ascii="Calibri" w:hAnsi="Calibri"/>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rsid w:val="002A093C"/>
    <w:rPr>
      <w:i/>
      <w:iCs/>
    </w:rPr>
  </w:style>
  <w:style w:type="character" w:styleId="IntenseEmphasis">
    <w:name w:val="Intense Emphasis"/>
    <w:basedOn w:val="DefaultParagraphFont"/>
    <w:uiPriority w:val="21"/>
    <w:rsid w:val="00F47ECA"/>
    <w:rPr>
      <w:b/>
      <w:bCs/>
      <w:i/>
      <w:iCs/>
      <w:color w:val="323232" w:themeColor="accent1"/>
    </w:rPr>
  </w:style>
  <w:style w:type="character" w:customStyle="1" w:styleId="Heading5Char">
    <w:name w:val="Heading 5 Char"/>
    <w:basedOn w:val="DefaultParagraphFont"/>
    <w:link w:val="Heading5"/>
    <w:rsid w:val="00731AE2"/>
    <w:rPr>
      <w:rFonts w:asciiTheme="majorHAnsi" w:eastAsiaTheme="majorEastAsia" w:hAnsiTheme="majorHAnsi" w:cstheme="majorBidi"/>
      <w:color w:val="252525" w:themeColor="accent1" w:themeShade="BF"/>
      <w:sz w:val="21"/>
      <w:szCs w:val="21"/>
      <w:lang w:eastAsia="en-AU"/>
    </w:rPr>
  </w:style>
  <w:style w:type="character" w:customStyle="1" w:styleId="Heading8Char">
    <w:name w:val="Heading 8 Char"/>
    <w:basedOn w:val="DefaultParagraphFont"/>
    <w:link w:val="Heading8"/>
    <w:rsid w:val="00F6228B"/>
    <w:rPr>
      <w:rFonts w:asciiTheme="majorHAnsi" w:eastAsiaTheme="majorEastAsia" w:hAnsiTheme="majorHAnsi" w:cstheme="majorBidi"/>
      <w:color w:val="272727" w:themeColor="text1" w:themeTint="D8"/>
      <w:sz w:val="21"/>
      <w:szCs w:val="21"/>
      <w:lang w:eastAsia="en-AU"/>
    </w:rPr>
  </w:style>
  <w:style w:type="character" w:styleId="PageNumber">
    <w:name w:val="page number"/>
    <w:basedOn w:val="DefaultParagraphFont"/>
    <w:rsid w:val="00F6228B"/>
  </w:style>
  <w:style w:type="paragraph" w:customStyle="1" w:styleId="Default">
    <w:name w:val="Default"/>
    <w:rsid w:val="00F6228B"/>
    <w:pPr>
      <w:autoSpaceDE w:val="0"/>
      <w:autoSpaceDN w:val="0"/>
      <w:adjustRightInd w:val="0"/>
      <w:spacing w:after="0" w:line="240" w:lineRule="auto"/>
    </w:pPr>
    <w:rPr>
      <w:rFonts w:ascii="Cambria" w:eastAsia="Times New Roman" w:hAnsi="Cambria" w:cs="Cambria"/>
      <w:color w:val="000000"/>
      <w:sz w:val="24"/>
      <w:szCs w:val="24"/>
      <w:lang w:eastAsia="en-AU"/>
    </w:rPr>
  </w:style>
  <w:style w:type="character" w:styleId="CommentReference">
    <w:name w:val="annotation reference"/>
    <w:basedOn w:val="DefaultParagraphFont"/>
    <w:semiHidden/>
    <w:unhideWhenUsed/>
    <w:rsid w:val="000D6CBD"/>
    <w:rPr>
      <w:sz w:val="16"/>
      <w:szCs w:val="16"/>
    </w:rPr>
  </w:style>
  <w:style w:type="paragraph" w:styleId="CommentText">
    <w:name w:val="annotation text"/>
    <w:basedOn w:val="Normal"/>
    <w:link w:val="CommentTextChar"/>
    <w:unhideWhenUsed/>
    <w:rsid w:val="000D6CBD"/>
    <w:pPr>
      <w:spacing w:line="240" w:lineRule="auto"/>
    </w:pPr>
    <w:rPr>
      <w:sz w:val="20"/>
      <w:szCs w:val="20"/>
    </w:rPr>
  </w:style>
  <w:style w:type="character" w:customStyle="1" w:styleId="CommentTextChar">
    <w:name w:val="Comment Text Char"/>
    <w:basedOn w:val="DefaultParagraphFont"/>
    <w:link w:val="CommentText"/>
    <w:rsid w:val="000D6CBD"/>
    <w:rPr>
      <w:rFonts w:cs="Times New Roman"/>
      <w:sz w:val="20"/>
      <w:szCs w:val="20"/>
      <w:lang w:eastAsia="en-AU"/>
    </w:rPr>
  </w:style>
  <w:style w:type="paragraph" w:styleId="CommentSubject">
    <w:name w:val="annotation subject"/>
    <w:basedOn w:val="CommentText"/>
    <w:next w:val="CommentText"/>
    <w:link w:val="CommentSubjectChar"/>
    <w:semiHidden/>
    <w:unhideWhenUsed/>
    <w:rsid w:val="000D6CBD"/>
    <w:rPr>
      <w:b/>
      <w:bCs/>
    </w:rPr>
  </w:style>
  <w:style w:type="character" w:customStyle="1" w:styleId="CommentSubjectChar">
    <w:name w:val="Comment Subject Char"/>
    <w:basedOn w:val="CommentTextChar"/>
    <w:link w:val="CommentSubject"/>
    <w:semiHidden/>
    <w:rsid w:val="000D6CBD"/>
    <w:rPr>
      <w:rFonts w:cs="Times New Roman"/>
      <w:b/>
      <w:bCs/>
      <w:sz w:val="20"/>
      <w:szCs w:val="20"/>
      <w:lang w:eastAsia="en-AU"/>
    </w:rPr>
  </w:style>
  <w:style w:type="paragraph" w:styleId="BodyText2">
    <w:name w:val="Body Text 2"/>
    <w:basedOn w:val="Normal"/>
    <w:link w:val="BodyText2Char"/>
    <w:unhideWhenUsed/>
    <w:rsid w:val="00C403DB"/>
    <w:pPr>
      <w:spacing w:after="120" w:line="480" w:lineRule="auto"/>
    </w:pPr>
  </w:style>
  <w:style w:type="character" w:customStyle="1" w:styleId="BodyText2Char">
    <w:name w:val="Body Text 2 Char"/>
    <w:basedOn w:val="DefaultParagraphFont"/>
    <w:link w:val="BodyText2"/>
    <w:rsid w:val="00C403DB"/>
    <w:rPr>
      <w:rFonts w:cs="Times New Roman"/>
      <w:sz w:val="21"/>
      <w:szCs w:val="21"/>
      <w:lang w:eastAsia="en-AU"/>
    </w:rPr>
  </w:style>
  <w:style w:type="character" w:styleId="UnresolvedMention">
    <w:name w:val="Unresolved Mention"/>
    <w:basedOn w:val="DefaultParagraphFont"/>
    <w:uiPriority w:val="99"/>
    <w:semiHidden/>
    <w:unhideWhenUsed/>
    <w:rsid w:val="00C403DB"/>
    <w:rPr>
      <w:color w:val="605E5C"/>
      <w:shd w:val="clear" w:color="auto" w:fill="E1DFDD"/>
    </w:rPr>
  </w:style>
  <w:style w:type="character" w:customStyle="1" w:styleId="Heading6Char">
    <w:name w:val="Heading 6 Char"/>
    <w:basedOn w:val="DefaultParagraphFont"/>
    <w:link w:val="Heading6"/>
    <w:rsid w:val="003C58A9"/>
    <w:rPr>
      <w:rFonts w:ascii="Calibri" w:eastAsia="Times New Roman" w:hAnsi="Calibri" w:cs="Times New Roman"/>
      <w:b/>
      <w:bCs/>
      <w:i/>
      <w:iCs/>
      <w:szCs w:val="24"/>
    </w:rPr>
  </w:style>
  <w:style w:type="character" w:customStyle="1" w:styleId="Heading7Char">
    <w:name w:val="Heading 7 Char"/>
    <w:basedOn w:val="DefaultParagraphFont"/>
    <w:link w:val="Heading7"/>
    <w:rsid w:val="003C58A9"/>
    <w:rPr>
      <w:rFonts w:ascii="Calibri" w:eastAsia="Times New Roman" w:hAnsi="Calibri" w:cs="Times New Roman"/>
      <w:szCs w:val="24"/>
      <w:u w:val="single"/>
    </w:rPr>
  </w:style>
  <w:style w:type="paragraph" w:styleId="Revision">
    <w:name w:val="Revision"/>
    <w:hidden/>
    <w:uiPriority w:val="99"/>
    <w:semiHidden/>
    <w:rsid w:val="0087736B"/>
    <w:pPr>
      <w:spacing w:after="0" w:line="240" w:lineRule="auto"/>
    </w:pPr>
    <w:rPr>
      <w:rFonts w:cs="Times New Roman"/>
      <w:sz w:val="21"/>
      <w:szCs w:val="21"/>
      <w:lang w:eastAsia="en-AU"/>
    </w:rPr>
  </w:style>
  <w:style w:type="character" w:styleId="FollowedHyperlink">
    <w:name w:val="FollowedHyperlink"/>
    <w:basedOn w:val="DefaultParagraphFont"/>
    <w:unhideWhenUsed/>
    <w:rsid w:val="0087736B"/>
    <w:rPr>
      <w:color w:val="7F7F7F" w:themeColor="followedHyperlink"/>
      <w:u w:val="single"/>
    </w:rPr>
  </w:style>
  <w:style w:type="character" w:customStyle="1" w:styleId="Heading9Char">
    <w:name w:val="Heading 9 Char"/>
    <w:basedOn w:val="DefaultParagraphFont"/>
    <w:link w:val="Heading9"/>
    <w:rsid w:val="00BA1D65"/>
    <w:rPr>
      <w:rFonts w:ascii="Times New Roman Bold" w:eastAsia="Times New Roman" w:hAnsi="Times New Roman Bold" w:cs="Arial"/>
      <w:b/>
    </w:rPr>
  </w:style>
  <w:style w:type="paragraph" w:styleId="Index1">
    <w:name w:val="index 1"/>
    <w:basedOn w:val="Normal"/>
    <w:next w:val="Normal"/>
    <w:autoRedefine/>
    <w:semiHidden/>
    <w:rsid w:val="00BA1D65"/>
    <w:pPr>
      <w:spacing w:after="0" w:line="240" w:lineRule="auto"/>
      <w:ind w:left="240" w:hanging="240"/>
    </w:pPr>
    <w:rPr>
      <w:rFonts w:ascii="Calibri" w:eastAsia="Times New Roman" w:hAnsi="Calibri"/>
      <w:sz w:val="22"/>
      <w:szCs w:val="20"/>
      <w:lang w:eastAsia="en-US"/>
    </w:rPr>
  </w:style>
  <w:style w:type="paragraph" w:styleId="IndexHeading">
    <w:name w:val="index heading"/>
    <w:basedOn w:val="Normal"/>
    <w:next w:val="Index1"/>
    <w:semiHidden/>
    <w:rsid w:val="00BA1D65"/>
    <w:pPr>
      <w:spacing w:after="0" w:line="240" w:lineRule="auto"/>
      <w:jc w:val="right"/>
    </w:pPr>
    <w:rPr>
      <w:rFonts w:ascii="Calibri" w:eastAsia="Times New Roman" w:hAnsi="Calibri" w:cs="Arial"/>
      <w:b/>
      <w:bCs/>
      <w:sz w:val="32"/>
      <w:szCs w:val="20"/>
      <w:lang w:eastAsia="en-US"/>
    </w:rPr>
  </w:style>
  <w:style w:type="paragraph" w:styleId="FootnoteText">
    <w:name w:val="footnote text"/>
    <w:basedOn w:val="Normal"/>
    <w:link w:val="FootnoteTextChar"/>
    <w:semiHidden/>
    <w:rsid w:val="00BA1D65"/>
    <w:pPr>
      <w:spacing w:after="0" w:line="240" w:lineRule="auto"/>
    </w:pPr>
    <w:rPr>
      <w:rFonts w:ascii="Calibri" w:eastAsia="Times New Roman" w:hAnsi="Calibri"/>
      <w:color w:val="008000"/>
      <w:sz w:val="16"/>
      <w:szCs w:val="16"/>
      <w:lang w:eastAsia="en-US"/>
    </w:rPr>
  </w:style>
  <w:style w:type="character" w:customStyle="1" w:styleId="FootnoteTextChar">
    <w:name w:val="Footnote Text Char"/>
    <w:basedOn w:val="DefaultParagraphFont"/>
    <w:link w:val="FootnoteText"/>
    <w:semiHidden/>
    <w:rsid w:val="00BA1D65"/>
    <w:rPr>
      <w:rFonts w:ascii="Calibri" w:eastAsia="Times New Roman" w:hAnsi="Calibri" w:cs="Times New Roman"/>
      <w:color w:val="008000"/>
      <w:sz w:val="16"/>
      <w:szCs w:val="16"/>
    </w:rPr>
  </w:style>
  <w:style w:type="character" w:styleId="FootnoteReference">
    <w:name w:val="footnote reference"/>
    <w:basedOn w:val="DefaultParagraphFont"/>
    <w:semiHidden/>
    <w:rsid w:val="00BA1D65"/>
    <w:rPr>
      <w:vertAlign w:val="superscript"/>
    </w:rPr>
  </w:style>
  <w:style w:type="paragraph" w:customStyle="1" w:styleId="BoldNormal">
    <w:name w:val="Bold Normal"/>
    <w:basedOn w:val="Normal"/>
    <w:rsid w:val="00BA1D65"/>
    <w:pPr>
      <w:spacing w:before="120" w:after="120" w:line="240" w:lineRule="auto"/>
    </w:pPr>
    <w:rPr>
      <w:rFonts w:ascii="Calibri" w:eastAsia="Times New Roman" w:hAnsi="Calibri"/>
      <w:b/>
      <w:bCs/>
      <w:sz w:val="22"/>
      <w:szCs w:val="20"/>
      <w:lang w:eastAsia="en-US"/>
    </w:rPr>
  </w:style>
  <w:style w:type="paragraph" w:customStyle="1" w:styleId="Title1">
    <w:name w:val="Title1"/>
    <w:basedOn w:val="Title"/>
    <w:rsid w:val="00BA1D65"/>
    <w:pPr>
      <w:spacing w:before="120" w:line="240" w:lineRule="auto"/>
      <w:jc w:val="center"/>
      <w:outlineLvl w:val="0"/>
    </w:pPr>
    <w:rPr>
      <w:rFonts w:ascii="Times New Roman" w:eastAsia="Times New Roman" w:hAnsi="Times New Roman" w:cs="Arial"/>
      <w:b/>
      <w:bCs/>
      <w:caps w:val="0"/>
      <w:color w:val="auto"/>
      <w:w w:val="100"/>
      <w:kern w:val="28"/>
      <w:sz w:val="48"/>
      <w:szCs w:val="32"/>
      <w:lang w:val="en-US" w:eastAsia="en-US"/>
    </w:rPr>
  </w:style>
  <w:style w:type="paragraph" w:customStyle="1" w:styleId="TITLE10">
    <w:name w:val="TITLE 1"/>
    <w:basedOn w:val="Normal"/>
    <w:rsid w:val="00BA1D65"/>
    <w:pPr>
      <w:spacing w:before="240" w:after="240" w:line="240" w:lineRule="auto"/>
      <w:jc w:val="center"/>
    </w:pPr>
    <w:rPr>
      <w:rFonts w:ascii="Calibri" w:eastAsia="Times New Roman" w:hAnsi="Calibri"/>
      <w:b/>
      <w:sz w:val="36"/>
      <w:szCs w:val="20"/>
      <w:lang w:val="en-US" w:eastAsia="en-US"/>
    </w:rPr>
  </w:style>
  <w:style w:type="paragraph" w:styleId="BodyTextIndent">
    <w:name w:val="Body Text Indent"/>
    <w:basedOn w:val="Normal"/>
    <w:link w:val="BodyTextIndentChar"/>
    <w:rsid w:val="00BA1D65"/>
    <w:pPr>
      <w:spacing w:after="0" w:line="240" w:lineRule="auto"/>
      <w:ind w:left="1069"/>
    </w:pPr>
    <w:rPr>
      <w:rFonts w:ascii="Calibri" w:eastAsia="Times New Roman" w:hAnsi="Calibri"/>
      <w:sz w:val="22"/>
      <w:szCs w:val="20"/>
      <w:lang w:val="en-US" w:eastAsia="en-US"/>
    </w:rPr>
  </w:style>
  <w:style w:type="character" w:customStyle="1" w:styleId="BodyTextIndentChar">
    <w:name w:val="Body Text Indent Char"/>
    <w:basedOn w:val="DefaultParagraphFont"/>
    <w:link w:val="BodyTextIndent"/>
    <w:rsid w:val="00BA1D65"/>
    <w:rPr>
      <w:rFonts w:ascii="Calibri" w:eastAsia="Times New Roman" w:hAnsi="Calibri" w:cs="Times New Roman"/>
      <w:szCs w:val="20"/>
      <w:lang w:val="en-US"/>
    </w:rPr>
  </w:style>
  <w:style w:type="paragraph" w:styleId="BodyTextIndent2">
    <w:name w:val="Body Text Indent 2"/>
    <w:basedOn w:val="Normal"/>
    <w:link w:val="BodyTextIndent2Char"/>
    <w:rsid w:val="00BA1D65"/>
    <w:pPr>
      <w:spacing w:after="0" w:line="240" w:lineRule="auto"/>
      <w:ind w:left="426"/>
    </w:pPr>
    <w:rPr>
      <w:rFonts w:ascii="Calibri" w:eastAsia="Times New Roman" w:hAnsi="Calibri"/>
      <w:sz w:val="22"/>
      <w:szCs w:val="24"/>
      <w:lang w:eastAsia="en-US"/>
    </w:rPr>
  </w:style>
  <w:style w:type="character" w:customStyle="1" w:styleId="BodyTextIndent2Char">
    <w:name w:val="Body Text Indent 2 Char"/>
    <w:basedOn w:val="DefaultParagraphFont"/>
    <w:link w:val="BodyTextIndent2"/>
    <w:rsid w:val="00BA1D65"/>
    <w:rPr>
      <w:rFonts w:ascii="Calibri" w:eastAsia="Times New Roman" w:hAnsi="Calibri" w:cs="Times New Roman"/>
      <w:szCs w:val="24"/>
    </w:rPr>
  </w:style>
  <w:style w:type="paragraph" w:styleId="TOC5">
    <w:name w:val="toc 5"/>
    <w:basedOn w:val="Normal"/>
    <w:next w:val="Normal"/>
    <w:autoRedefine/>
    <w:semiHidden/>
    <w:rsid w:val="00BA1D65"/>
    <w:pPr>
      <w:spacing w:after="0" w:line="240" w:lineRule="auto"/>
      <w:ind w:left="960"/>
    </w:pPr>
    <w:rPr>
      <w:rFonts w:ascii="Calibri" w:eastAsia="Times New Roman" w:hAnsi="Calibri"/>
      <w:sz w:val="22"/>
      <w:lang w:eastAsia="en-US"/>
    </w:rPr>
  </w:style>
  <w:style w:type="paragraph" w:styleId="TOC6">
    <w:name w:val="toc 6"/>
    <w:basedOn w:val="Normal"/>
    <w:next w:val="Normal"/>
    <w:autoRedefine/>
    <w:semiHidden/>
    <w:rsid w:val="00BA1D65"/>
    <w:pPr>
      <w:spacing w:after="0" w:line="240" w:lineRule="auto"/>
      <w:ind w:left="1200"/>
    </w:pPr>
    <w:rPr>
      <w:rFonts w:ascii="Calibri" w:eastAsia="Times New Roman" w:hAnsi="Calibri"/>
      <w:sz w:val="22"/>
      <w:lang w:eastAsia="en-US"/>
    </w:rPr>
  </w:style>
  <w:style w:type="paragraph" w:styleId="TOC7">
    <w:name w:val="toc 7"/>
    <w:basedOn w:val="Normal"/>
    <w:next w:val="Normal"/>
    <w:autoRedefine/>
    <w:semiHidden/>
    <w:rsid w:val="00BA1D65"/>
    <w:pPr>
      <w:spacing w:after="0" w:line="240" w:lineRule="auto"/>
      <w:ind w:left="1440"/>
    </w:pPr>
    <w:rPr>
      <w:rFonts w:ascii="Calibri" w:eastAsia="Times New Roman" w:hAnsi="Calibri"/>
      <w:sz w:val="22"/>
      <w:lang w:eastAsia="en-US"/>
    </w:rPr>
  </w:style>
  <w:style w:type="paragraph" w:styleId="TOC8">
    <w:name w:val="toc 8"/>
    <w:basedOn w:val="Normal"/>
    <w:next w:val="Normal"/>
    <w:autoRedefine/>
    <w:semiHidden/>
    <w:rsid w:val="00BA1D65"/>
    <w:pPr>
      <w:spacing w:after="0" w:line="240" w:lineRule="auto"/>
      <w:ind w:left="1680"/>
    </w:pPr>
    <w:rPr>
      <w:rFonts w:ascii="Calibri" w:eastAsia="Times New Roman" w:hAnsi="Calibri"/>
      <w:sz w:val="22"/>
      <w:lang w:eastAsia="en-US"/>
    </w:rPr>
  </w:style>
  <w:style w:type="paragraph" w:styleId="TOC9">
    <w:name w:val="toc 9"/>
    <w:basedOn w:val="Normal"/>
    <w:next w:val="Normal"/>
    <w:autoRedefine/>
    <w:semiHidden/>
    <w:rsid w:val="00BA1D65"/>
    <w:pPr>
      <w:spacing w:after="0" w:line="240" w:lineRule="auto"/>
      <w:ind w:left="1920"/>
    </w:pPr>
    <w:rPr>
      <w:rFonts w:ascii="Calibri" w:eastAsia="Times New Roman" w:hAnsi="Calibri"/>
      <w:sz w:val="22"/>
      <w:lang w:eastAsia="en-US"/>
    </w:rPr>
  </w:style>
  <w:style w:type="paragraph" w:styleId="BlockText">
    <w:name w:val="Block Text"/>
    <w:aliases w:val="Italics Normal"/>
    <w:basedOn w:val="Normal"/>
    <w:rsid w:val="00BA1D65"/>
    <w:pPr>
      <w:spacing w:before="120" w:after="120" w:line="240" w:lineRule="auto"/>
    </w:pPr>
    <w:rPr>
      <w:rFonts w:ascii="Calibri" w:eastAsia="Times New Roman" w:hAnsi="Calibri"/>
      <w:i/>
      <w:sz w:val="22"/>
      <w:szCs w:val="20"/>
      <w:lang w:eastAsia="en-US"/>
    </w:rPr>
  </w:style>
  <w:style w:type="paragraph" w:customStyle="1" w:styleId="BoldNormal1">
    <w:name w:val="Bold Normal1"/>
    <w:basedOn w:val="Normal1"/>
    <w:rsid w:val="00BA1D65"/>
    <w:pPr>
      <w:keepNext w:val="0"/>
    </w:pPr>
    <w:rPr>
      <w:rFonts w:ascii="Times New Roman Bold" w:eastAsia="Times New Roman" w:hAnsi="Times New Roman Bold"/>
      <w:b/>
      <w:noProof w:val="0"/>
      <w:kern w:val="0"/>
      <w:sz w:val="20"/>
      <w:szCs w:val="20"/>
      <w:lang w:eastAsia="en-US"/>
    </w:rPr>
  </w:style>
  <w:style w:type="paragraph" w:styleId="BodyText3">
    <w:name w:val="Body Text 3"/>
    <w:basedOn w:val="Normal"/>
    <w:link w:val="BodyText3Char"/>
    <w:rsid w:val="00BA1D65"/>
    <w:pPr>
      <w:spacing w:before="120" w:after="120" w:line="240" w:lineRule="auto"/>
      <w:jc w:val="both"/>
    </w:pPr>
    <w:rPr>
      <w:rFonts w:ascii="Calibri" w:eastAsia="Times New Roman" w:hAnsi="Calibri"/>
      <w:b/>
      <w:bCs/>
      <w:i/>
      <w:iCs/>
      <w:sz w:val="22"/>
      <w:szCs w:val="20"/>
      <w:lang w:val="en-US" w:eastAsia="en-US"/>
    </w:rPr>
  </w:style>
  <w:style w:type="character" w:customStyle="1" w:styleId="BodyText3Char">
    <w:name w:val="Body Text 3 Char"/>
    <w:basedOn w:val="DefaultParagraphFont"/>
    <w:link w:val="BodyText3"/>
    <w:rsid w:val="00BA1D65"/>
    <w:rPr>
      <w:rFonts w:ascii="Calibri" w:eastAsia="Times New Roman" w:hAnsi="Calibri" w:cs="Times New Roman"/>
      <w:b/>
      <w:bCs/>
      <w:i/>
      <w:iCs/>
      <w:szCs w:val="20"/>
      <w:lang w:val="en-US"/>
    </w:rPr>
  </w:style>
  <w:style w:type="paragraph" w:customStyle="1" w:styleId="Numbering">
    <w:name w:val="Numbering"/>
    <w:basedOn w:val="Normal"/>
    <w:rsid w:val="00BA1D65"/>
    <w:pPr>
      <w:spacing w:before="120" w:after="120" w:line="240" w:lineRule="auto"/>
    </w:pPr>
    <w:rPr>
      <w:rFonts w:ascii="Calibri" w:eastAsia="Times New Roman" w:hAnsi="Calibri"/>
      <w:sz w:val="22"/>
      <w:szCs w:val="20"/>
      <w:lang w:val="en-US" w:eastAsia="en-US"/>
    </w:rPr>
  </w:style>
  <w:style w:type="paragraph" w:styleId="DocumentMap">
    <w:name w:val="Document Map"/>
    <w:basedOn w:val="Normal"/>
    <w:link w:val="DocumentMapChar"/>
    <w:semiHidden/>
    <w:rsid w:val="00BA1D65"/>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BA1D65"/>
    <w:rPr>
      <w:rFonts w:ascii="Tahoma" w:eastAsia="Times New Roman" w:hAnsi="Tahoma" w:cs="Tahoma"/>
      <w:sz w:val="20"/>
      <w:szCs w:val="20"/>
      <w:shd w:val="clear" w:color="auto" w:fill="000080"/>
    </w:rPr>
  </w:style>
  <w:style w:type="paragraph" w:customStyle="1" w:styleId="FormText">
    <w:name w:val="Form Text"/>
    <w:basedOn w:val="Normal"/>
    <w:rsid w:val="00BA1D65"/>
    <w:pPr>
      <w:spacing w:before="120" w:after="120" w:line="240" w:lineRule="auto"/>
    </w:pPr>
    <w:rPr>
      <w:rFonts w:ascii="Arial" w:eastAsia="Times New Roman" w:hAnsi="Arial"/>
      <w:sz w:val="20"/>
      <w:szCs w:val="20"/>
      <w:lang w:eastAsia="en-US"/>
    </w:rPr>
  </w:style>
  <w:style w:type="paragraph" w:customStyle="1" w:styleId="RowHeading">
    <w:name w:val="Row Heading"/>
    <w:basedOn w:val="Normal"/>
    <w:rsid w:val="00BA1D65"/>
    <w:pPr>
      <w:overflowPunct w:val="0"/>
      <w:autoSpaceDE w:val="0"/>
      <w:autoSpaceDN w:val="0"/>
      <w:adjustRightInd w:val="0"/>
      <w:spacing w:before="60" w:after="60" w:line="240" w:lineRule="auto"/>
      <w:textAlignment w:val="baseline"/>
    </w:pPr>
    <w:rPr>
      <w:rFonts w:ascii="Arial" w:eastAsia="Times New Roman" w:hAnsi="Arial" w:cs="Arial"/>
      <w:b/>
      <w:color w:val="FFFFFF"/>
      <w:sz w:val="22"/>
      <w:szCs w:val="20"/>
      <w:lang w:eastAsia="en-US"/>
    </w:rPr>
  </w:style>
  <w:style w:type="paragraph" w:styleId="EndnoteText">
    <w:name w:val="endnote text"/>
    <w:basedOn w:val="Normal"/>
    <w:link w:val="EndnoteTextChar"/>
    <w:rsid w:val="00BA1D65"/>
    <w:pPr>
      <w:spacing w:after="0" w:line="240" w:lineRule="auto"/>
    </w:pPr>
    <w:rPr>
      <w:rFonts w:ascii="Calibri" w:eastAsia="Times New Roman" w:hAnsi="Calibri"/>
      <w:sz w:val="20"/>
      <w:szCs w:val="20"/>
      <w:lang w:eastAsia="en-US"/>
    </w:rPr>
  </w:style>
  <w:style w:type="character" w:customStyle="1" w:styleId="EndnoteTextChar">
    <w:name w:val="Endnote Text Char"/>
    <w:basedOn w:val="DefaultParagraphFont"/>
    <w:link w:val="EndnoteText"/>
    <w:rsid w:val="00BA1D65"/>
    <w:rPr>
      <w:rFonts w:ascii="Calibri" w:eastAsia="Times New Roman" w:hAnsi="Calibri" w:cs="Times New Roman"/>
      <w:sz w:val="20"/>
      <w:szCs w:val="20"/>
    </w:rPr>
  </w:style>
  <w:style w:type="character" w:styleId="EndnoteReference">
    <w:name w:val="endnote reference"/>
    <w:basedOn w:val="DefaultParagraphFont"/>
    <w:rsid w:val="00BA1D65"/>
    <w:rPr>
      <w:vertAlign w:val="superscript"/>
    </w:rPr>
  </w:style>
  <w:style w:type="table" w:customStyle="1" w:styleId="TableGrid1">
    <w:name w:val="Table Grid1"/>
    <w:basedOn w:val="TableNormal"/>
    <w:next w:val="TableGrid"/>
    <w:uiPriority w:val="39"/>
    <w:rsid w:val="00BA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010">
      <w:bodyDiv w:val="1"/>
      <w:marLeft w:val="0"/>
      <w:marRight w:val="0"/>
      <w:marTop w:val="0"/>
      <w:marBottom w:val="0"/>
      <w:divBdr>
        <w:top w:val="none" w:sz="0" w:space="0" w:color="auto"/>
        <w:left w:val="none" w:sz="0" w:space="0" w:color="auto"/>
        <w:bottom w:val="none" w:sz="0" w:space="0" w:color="auto"/>
        <w:right w:val="none" w:sz="0" w:space="0" w:color="auto"/>
      </w:divBdr>
    </w:div>
    <w:div w:id="568272210">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35774787">
      <w:bodyDiv w:val="1"/>
      <w:marLeft w:val="0"/>
      <w:marRight w:val="0"/>
      <w:marTop w:val="0"/>
      <w:marBottom w:val="0"/>
      <w:divBdr>
        <w:top w:val="none" w:sz="0" w:space="0" w:color="auto"/>
        <w:left w:val="none" w:sz="0" w:space="0" w:color="auto"/>
        <w:bottom w:val="none" w:sz="0" w:space="0" w:color="auto"/>
        <w:right w:val="none" w:sz="0" w:space="0" w:color="auto"/>
      </w:divBdr>
    </w:div>
    <w:div w:id="1307709605">
      <w:bodyDiv w:val="1"/>
      <w:marLeft w:val="0"/>
      <w:marRight w:val="0"/>
      <w:marTop w:val="0"/>
      <w:marBottom w:val="0"/>
      <w:divBdr>
        <w:top w:val="none" w:sz="0" w:space="0" w:color="auto"/>
        <w:left w:val="none" w:sz="0" w:space="0" w:color="auto"/>
        <w:bottom w:val="none" w:sz="0" w:space="0" w:color="auto"/>
        <w:right w:val="none" w:sz="0" w:space="0" w:color="auto"/>
      </w:divBdr>
    </w:div>
    <w:div w:id="1324967130">
      <w:bodyDiv w:val="1"/>
      <w:marLeft w:val="0"/>
      <w:marRight w:val="0"/>
      <w:marTop w:val="0"/>
      <w:marBottom w:val="0"/>
      <w:divBdr>
        <w:top w:val="none" w:sz="0" w:space="0" w:color="auto"/>
        <w:left w:val="none" w:sz="0" w:space="0" w:color="auto"/>
        <w:bottom w:val="none" w:sz="0" w:space="0" w:color="auto"/>
        <w:right w:val="none" w:sz="0" w:space="0" w:color="auto"/>
      </w:divBdr>
    </w:div>
    <w:div w:id="2020111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asury.act.gov.au/accounting/"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pps.treasury.act.gov.au/accounting"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pps.treasury.act.gov.au/accoun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apps.treasury.act.gov.au/accoun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saustralia.gov.au/raising-kid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ha%20bourke\AppData\Local\Packages\Microsoft.MicrosoftEdge_8wekyb3d8bbwe\TempState\Downloads\Publication-template-purple%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customXml/itemProps3.xml><?xml version="1.0" encoding="utf-8"?>
<ds:datastoreItem xmlns:ds="http://schemas.openxmlformats.org/officeDocument/2006/customXml" ds:itemID="{0768B9F4-ACED-42E7-9C6F-59C95F7D1CC4}">
  <ds:schemaRef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6B4A920-7F81-46E1-953D-E350C4A79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Publication-template-purple (1).dotx</Template>
  <TotalTime>128</TotalTime>
  <Pages>27</Pages>
  <Words>6930</Words>
  <Characters>39505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AAPP 110 - Employee Benefits Policy</vt:lpstr>
    </vt:vector>
  </TitlesOfParts>
  <Company>ACT Government</Company>
  <LinksUpToDate>false</LinksUpToDate>
  <CharactersWithSpaces>46343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AAPP 110 - Employee Benefits Policy</dc:title>
  <dc:subject>AAPP 110 - Employee Benefits Policy</dc:subject>
  <dc:creator>ACT Government</dc:creator>
  <cp:keywords/>
  <dc:description/>
  <cp:lastModifiedBy>Bourke, Natasha</cp:lastModifiedBy>
  <cp:revision>7</cp:revision>
  <cp:lastPrinted>2016-09-21T00:45:00Z</cp:lastPrinted>
  <dcterms:created xsi:type="dcterms:W3CDTF">2023-06-07T01:52:00Z</dcterms:created>
  <dcterms:modified xsi:type="dcterms:W3CDTF">2023-06-19T02:02:00Z</dcterms:modified>
</cp:coreProperties>
</file>