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D6AD20" w14:textId="4B4C738C" w:rsidR="00BA7876" w:rsidRDefault="007628DE" w:rsidP="00800759">
      <w:pPr>
        <w:pStyle w:val="BCoversheetHeading1"/>
        <w:spacing w:before="100" w:beforeAutospacing="1" w:after="100" w:afterAutospacing="1"/>
        <w:rPr>
          <w:noProof/>
        </w:rPr>
      </w:pPr>
      <w:r>
        <w:t>TABLE OF CONTENTS</w:t>
      </w:r>
      <w:r w:rsidR="00BA7876">
        <w:fldChar w:fldCharType="begin"/>
      </w:r>
      <w:r w:rsidR="00BA7876">
        <w:instrText xml:space="preserve"> TOC \o "1-2" \h \z \u </w:instrText>
      </w:r>
      <w:r w:rsidR="00BA7876">
        <w:fldChar w:fldCharType="separate"/>
      </w:r>
    </w:p>
    <w:p w14:paraId="31BC9BFD" w14:textId="11D9417A" w:rsidR="00BA7876" w:rsidRDefault="00AA34A5" w:rsidP="00800759">
      <w:pPr>
        <w:pStyle w:val="TOC2"/>
        <w:tabs>
          <w:tab w:val="right" w:leader="dot" w:pos="9016"/>
        </w:tabs>
        <w:spacing w:before="100" w:beforeAutospacing="1" w:afterAutospacing="1"/>
        <w:rPr>
          <w:rFonts w:eastAsiaTheme="minorEastAsia"/>
          <w:noProof/>
          <w:lang w:eastAsia="en-AU"/>
        </w:rPr>
      </w:pPr>
      <w:hyperlink w:anchor="_Toc84281192" w:history="1">
        <w:r w:rsidR="004F08AB" w:rsidRPr="00896269">
          <w:rPr>
            <w:rStyle w:val="Hyperlink"/>
            <w:noProof/>
          </w:rPr>
          <w:t xml:space="preserve">Acknowledgement of </w:t>
        </w:r>
        <w:r w:rsidR="004F08AB">
          <w:rPr>
            <w:rStyle w:val="Hyperlink"/>
            <w:noProof/>
          </w:rPr>
          <w:t>C</w:t>
        </w:r>
        <w:r w:rsidR="004F08AB" w:rsidRPr="00896269">
          <w:rPr>
            <w:rStyle w:val="Hyperlink"/>
            <w:noProof/>
          </w:rPr>
          <w:t>ountry</w:t>
        </w:r>
        <w:r w:rsidR="00BA7876">
          <w:rPr>
            <w:noProof/>
            <w:webHidden/>
          </w:rPr>
          <w:tab/>
        </w:r>
        <w:r w:rsidR="00BA7876">
          <w:rPr>
            <w:noProof/>
            <w:webHidden/>
          </w:rPr>
          <w:fldChar w:fldCharType="begin"/>
        </w:r>
        <w:r w:rsidR="00BA7876">
          <w:rPr>
            <w:noProof/>
            <w:webHidden/>
          </w:rPr>
          <w:instrText xml:space="preserve"> PAGEREF _Toc84281192 \h </w:instrText>
        </w:r>
        <w:r w:rsidR="00BA7876">
          <w:rPr>
            <w:noProof/>
            <w:webHidden/>
          </w:rPr>
        </w:r>
        <w:r w:rsidR="00BA7876">
          <w:rPr>
            <w:noProof/>
            <w:webHidden/>
          </w:rPr>
          <w:fldChar w:fldCharType="separate"/>
        </w:r>
        <w:r w:rsidR="00462B69">
          <w:rPr>
            <w:noProof/>
            <w:webHidden/>
          </w:rPr>
          <w:t>7</w:t>
        </w:r>
        <w:r w:rsidR="00BA7876">
          <w:rPr>
            <w:noProof/>
            <w:webHidden/>
          </w:rPr>
          <w:fldChar w:fldCharType="end"/>
        </w:r>
      </w:hyperlink>
    </w:p>
    <w:p w14:paraId="2BB8F9F3" w14:textId="20EAAF39" w:rsidR="00BA7876" w:rsidRDefault="00AA34A5" w:rsidP="00800759">
      <w:pPr>
        <w:pStyle w:val="TOC2"/>
        <w:tabs>
          <w:tab w:val="left" w:pos="880"/>
          <w:tab w:val="right" w:leader="dot" w:pos="9016"/>
        </w:tabs>
        <w:spacing w:before="100" w:beforeAutospacing="1" w:afterAutospacing="1"/>
        <w:rPr>
          <w:noProof/>
        </w:rPr>
      </w:pPr>
      <w:hyperlink w:anchor="_Toc84281193" w:history="1">
        <w:r w:rsidR="00BA7876" w:rsidRPr="00896269">
          <w:rPr>
            <w:rStyle w:val="Hyperlink"/>
            <w:noProof/>
          </w:rPr>
          <w:t>1.1</w:t>
        </w:r>
        <w:r w:rsidR="00BA7876">
          <w:rPr>
            <w:rFonts w:eastAsiaTheme="minorEastAsia"/>
            <w:noProof/>
            <w:lang w:eastAsia="en-AU"/>
          </w:rPr>
          <w:tab/>
        </w:r>
        <w:r w:rsidR="00626608" w:rsidRPr="00896269">
          <w:rPr>
            <w:rStyle w:val="Hyperlink"/>
            <w:noProof/>
          </w:rPr>
          <w:t>Overview</w:t>
        </w:r>
        <w:r w:rsidR="00BA7876">
          <w:rPr>
            <w:noProof/>
            <w:webHidden/>
          </w:rPr>
          <w:tab/>
        </w:r>
        <w:r w:rsidR="00BA7876">
          <w:rPr>
            <w:noProof/>
            <w:webHidden/>
          </w:rPr>
          <w:fldChar w:fldCharType="begin"/>
        </w:r>
        <w:r w:rsidR="00BA7876">
          <w:rPr>
            <w:noProof/>
            <w:webHidden/>
          </w:rPr>
          <w:instrText xml:space="preserve"> PAGEREF _Toc84281193 \h </w:instrText>
        </w:r>
        <w:r w:rsidR="00BA7876">
          <w:rPr>
            <w:noProof/>
            <w:webHidden/>
          </w:rPr>
        </w:r>
        <w:r w:rsidR="00BA7876">
          <w:rPr>
            <w:noProof/>
            <w:webHidden/>
          </w:rPr>
          <w:fldChar w:fldCharType="separate"/>
        </w:r>
        <w:r w:rsidR="00462B69">
          <w:rPr>
            <w:noProof/>
            <w:webHidden/>
          </w:rPr>
          <w:t>9</w:t>
        </w:r>
        <w:r w:rsidR="00BA7876">
          <w:rPr>
            <w:noProof/>
            <w:webHidden/>
          </w:rPr>
          <w:fldChar w:fldCharType="end"/>
        </w:r>
      </w:hyperlink>
    </w:p>
    <w:p w14:paraId="494DF74E" w14:textId="68C5E213" w:rsidR="007628DE" w:rsidRDefault="00AA34A5" w:rsidP="00800759">
      <w:pPr>
        <w:pStyle w:val="TOC2"/>
        <w:tabs>
          <w:tab w:val="left" w:pos="880"/>
          <w:tab w:val="right" w:leader="dot" w:pos="9016"/>
        </w:tabs>
        <w:spacing w:before="100" w:beforeAutospacing="1" w:afterAutospacing="1"/>
        <w:rPr>
          <w:noProof/>
        </w:rPr>
      </w:pPr>
      <w:hyperlink w:anchor="_Toc84281193" w:history="1">
        <w:r w:rsidR="003C186C">
          <w:rPr>
            <w:rFonts w:eastAsiaTheme="minorEastAsia"/>
            <w:noProof/>
            <w:lang w:eastAsia="en-AU"/>
          </w:rPr>
          <w:t>Chapter</w:t>
        </w:r>
      </w:hyperlink>
      <w:r w:rsidR="003C186C">
        <w:rPr>
          <w:noProof/>
        </w:rPr>
        <w:t xml:space="preserve"> 2    Economic Outlook</w:t>
      </w:r>
      <w:r w:rsidR="003C186C">
        <w:rPr>
          <w:noProof/>
        </w:rPr>
        <w:tab/>
        <w:t>13</w:t>
      </w:r>
    </w:p>
    <w:p w14:paraId="1F4CBBD2" w14:textId="0A7ED12A" w:rsidR="007628DE" w:rsidRDefault="00AA34A5" w:rsidP="00800759">
      <w:pPr>
        <w:pStyle w:val="TOC2"/>
        <w:tabs>
          <w:tab w:val="left" w:pos="880"/>
          <w:tab w:val="right" w:leader="dot" w:pos="9016"/>
        </w:tabs>
        <w:spacing w:before="100" w:beforeAutospacing="1" w:afterAutospacing="1"/>
        <w:rPr>
          <w:noProof/>
        </w:rPr>
      </w:pPr>
      <w:hyperlink w:anchor="_Toc84281193" w:history="1">
        <w:r w:rsidR="003C186C">
          <w:rPr>
            <w:rStyle w:val="Hyperlink"/>
            <w:noProof/>
          </w:rPr>
          <w:t>2</w:t>
        </w:r>
        <w:r w:rsidR="007628DE" w:rsidRPr="00896269">
          <w:rPr>
            <w:rStyle w:val="Hyperlink"/>
            <w:noProof/>
          </w:rPr>
          <w:t>.1</w:t>
        </w:r>
        <w:r w:rsidR="007628DE">
          <w:rPr>
            <w:rFonts w:eastAsiaTheme="minorEastAsia"/>
            <w:noProof/>
            <w:lang w:eastAsia="en-AU"/>
          </w:rPr>
          <w:tab/>
        </w:r>
        <w:r w:rsidR="003C186C">
          <w:rPr>
            <w:rStyle w:val="Hyperlink"/>
            <w:noProof/>
          </w:rPr>
          <w:t>Economic Overview</w:t>
        </w:r>
        <w:r w:rsidR="007628DE">
          <w:rPr>
            <w:noProof/>
            <w:webHidden/>
          </w:rPr>
          <w:tab/>
        </w:r>
        <w:r w:rsidR="003C186C">
          <w:rPr>
            <w:noProof/>
            <w:webHidden/>
          </w:rPr>
          <w:t>15</w:t>
        </w:r>
      </w:hyperlink>
    </w:p>
    <w:p w14:paraId="08424F7A" w14:textId="5013C439" w:rsidR="007628DE" w:rsidRDefault="00AA34A5" w:rsidP="00800759">
      <w:pPr>
        <w:pStyle w:val="TOC2"/>
        <w:tabs>
          <w:tab w:val="left" w:pos="880"/>
          <w:tab w:val="right" w:leader="dot" w:pos="9016"/>
        </w:tabs>
        <w:spacing w:before="100" w:beforeAutospacing="1" w:afterAutospacing="1"/>
        <w:rPr>
          <w:noProof/>
        </w:rPr>
      </w:pPr>
      <w:hyperlink w:anchor="_Toc84281193" w:history="1">
        <w:r w:rsidR="003C186C">
          <w:rPr>
            <w:rStyle w:val="Hyperlink"/>
            <w:noProof/>
          </w:rPr>
          <w:t>2.2</w:t>
        </w:r>
        <w:r w:rsidR="007628DE">
          <w:rPr>
            <w:rFonts w:eastAsiaTheme="minorEastAsia"/>
            <w:noProof/>
            <w:lang w:eastAsia="en-AU"/>
          </w:rPr>
          <w:tab/>
        </w:r>
        <w:r w:rsidR="003C186C">
          <w:rPr>
            <w:rStyle w:val="Hyperlink"/>
            <w:noProof/>
          </w:rPr>
          <w:t>ACT Economic Outlook</w:t>
        </w:r>
        <w:r w:rsidR="007628DE">
          <w:rPr>
            <w:noProof/>
            <w:webHidden/>
          </w:rPr>
          <w:tab/>
        </w:r>
        <w:r w:rsidR="003C186C">
          <w:rPr>
            <w:noProof/>
            <w:webHidden/>
          </w:rPr>
          <w:t>1</w:t>
        </w:r>
        <w:r w:rsidR="00036DFA">
          <w:rPr>
            <w:noProof/>
            <w:webHidden/>
          </w:rPr>
          <w:t>7</w:t>
        </w:r>
      </w:hyperlink>
    </w:p>
    <w:p w14:paraId="6F152BB8" w14:textId="1403CDA2" w:rsidR="007628DE" w:rsidRDefault="00AA34A5" w:rsidP="00800759">
      <w:pPr>
        <w:pStyle w:val="TOC2"/>
        <w:tabs>
          <w:tab w:val="left" w:pos="880"/>
          <w:tab w:val="right" w:leader="dot" w:pos="9016"/>
        </w:tabs>
        <w:spacing w:before="100" w:beforeAutospacing="1" w:afterAutospacing="1"/>
        <w:rPr>
          <w:noProof/>
        </w:rPr>
      </w:pPr>
      <w:hyperlink w:anchor="_Toc84281193" w:history="1">
        <w:r w:rsidR="003C186C">
          <w:rPr>
            <w:rStyle w:val="Hyperlink"/>
            <w:noProof/>
          </w:rPr>
          <w:t>2.3</w:t>
        </w:r>
        <w:r w:rsidR="007628DE">
          <w:rPr>
            <w:rFonts w:eastAsiaTheme="minorEastAsia"/>
            <w:noProof/>
            <w:lang w:eastAsia="en-AU"/>
          </w:rPr>
          <w:tab/>
        </w:r>
        <w:r w:rsidR="003C186C">
          <w:rPr>
            <w:rStyle w:val="Hyperlink"/>
            <w:noProof/>
          </w:rPr>
          <w:t>Australian Economic Outlook</w:t>
        </w:r>
        <w:r w:rsidR="007628DE">
          <w:rPr>
            <w:noProof/>
            <w:webHidden/>
          </w:rPr>
          <w:tab/>
        </w:r>
        <w:r w:rsidR="00BD0687">
          <w:rPr>
            <w:noProof/>
            <w:webHidden/>
          </w:rPr>
          <w:t>39</w:t>
        </w:r>
      </w:hyperlink>
    </w:p>
    <w:p w14:paraId="17541D63" w14:textId="37D857EF" w:rsidR="007628DE" w:rsidRDefault="00AA34A5" w:rsidP="00800759">
      <w:pPr>
        <w:pStyle w:val="TOC2"/>
        <w:tabs>
          <w:tab w:val="left" w:pos="880"/>
          <w:tab w:val="right" w:leader="dot" w:pos="9016"/>
        </w:tabs>
        <w:spacing w:before="100" w:beforeAutospacing="1" w:afterAutospacing="1"/>
        <w:rPr>
          <w:noProof/>
        </w:rPr>
      </w:pPr>
      <w:hyperlink w:anchor="_Toc84281193" w:history="1">
        <w:r w:rsidR="003C186C">
          <w:rPr>
            <w:rStyle w:val="Hyperlink"/>
            <w:noProof/>
          </w:rPr>
          <w:t>2.4</w:t>
        </w:r>
        <w:r w:rsidR="007628DE">
          <w:rPr>
            <w:rFonts w:eastAsiaTheme="minorEastAsia"/>
            <w:noProof/>
            <w:lang w:eastAsia="en-AU"/>
          </w:rPr>
          <w:tab/>
        </w:r>
        <w:r w:rsidR="003C186C">
          <w:rPr>
            <w:rStyle w:val="Hyperlink"/>
            <w:noProof/>
          </w:rPr>
          <w:t>International Economic Outlook</w:t>
        </w:r>
        <w:r w:rsidR="007628DE">
          <w:rPr>
            <w:noProof/>
            <w:webHidden/>
          </w:rPr>
          <w:tab/>
        </w:r>
        <w:r w:rsidR="00BD0687">
          <w:rPr>
            <w:noProof/>
            <w:webHidden/>
          </w:rPr>
          <w:t>41</w:t>
        </w:r>
      </w:hyperlink>
    </w:p>
    <w:p w14:paraId="14C35E61" w14:textId="2D94EE89" w:rsidR="007628DE" w:rsidRDefault="00AA34A5" w:rsidP="00800759">
      <w:pPr>
        <w:pStyle w:val="TOC2"/>
        <w:tabs>
          <w:tab w:val="left" w:pos="880"/>
          <w:tab w:val="right" w:leader="dot" w:pos="9016"/>
        </w:tabs>
        <w:spacing w:before="100" w:beforeAutospacing="1" w:afterAutospacing="1"/>
        <w:rPr>
          <w:noProof/>
        </w:rPr>
      </w:pPr>
      <w:hyperlink w:anchor="_Toc84281193" w:history="1">
        <w:hyperlink w:anchor="_Toc84281193" w:history="1">
          <w:r w:rsidR="00C56084">
            <w:rPr>
              <w:rFonts w:eastAsiaTheme="minorEastAsia"/>
              <w:noProof/>
              <w:lang w:eastAsia="en-AU"/>
            </w:rPr>
            <w:t>Chapter</w:t>
          </w:r>
        </w:hyperlink>
        <w:r w:rsidR="00C56084">
          <w:rPr>
            <w:noProof/>
          </w:rPr>
          <w:t xml:space="preserve"> 3    Budget Outlook</w:t>
        </w:r>
        <w:r w:rsidR="007628DE">
          <w:rPr>
            <w:noProof/>
            <w:webHidden/>
          </w:rPr>
          <w:tab/>
        </w:r>
        <w:r w:rsidR="00C56084" w:rsidRPr="00EC1145">
          <w:rPr>
            <w:noProof/>
            <w:webHidden/>
          </w:rPr>
          <w:t>4</w:t>
        </w:r>
        <w:r w:rsidR="00BD0687">
          <w:rPr>
            <w:noProof/>
            <w:webHidden/>
          </w:rPr>
          <w:t>3</w:t>
        </w:r>
      </w:hyperlink>
    </w:p>
    <w:p w14:paraId="4E97342A" w14:textId="3A77A289" w:rsidR="007628DE" w:rsidRDefault="00AA34A5" w:rsidP="00800759">
      <w:pPr>
        <w:pStyle w:val="TOC2"/>
        <w:tabs>
          <w:tab w:val="left" w:pos="880"/>
          <w:tab w:val="right" w:leader="dot" w:pos="9016"/>
        </w:tabs>
        <w:spacing w:before="100" w:beforeAutospacing="1" w:afterAutospacing="1"/>
        <w:rPr>
          <w:noProof/>
        </w:rPr>
      </w:pPr>
      <w:hyperlink w:anchor="_Toc84281193" w:history="1">
        <w:r w:rsidR="00C56084">
          <w:rPr>
            <w:rStyle w:val="Hyperlink"/>
            <w:noProof/>
          </w:rPr>
          <w:t>3.1</w:t>
        </w:r>
        <w:r w:rsidR="007628DE">
          <w:rPr>
            <w:rFonts w:eastAsiaTheme="minorEastAsia"/>
            <w:noProof/>
            <w:lang w:eastAsia="en-AU"/>
          </w:rPr>
          <w:tab/>
        </w:r>
        <w:r w:rsidR="00C56084">
          <w:rPr>
            <w:rStyle w:val="Hyperlink"/>
            <w:noProof/>
          </w:rPr>
          <w:t>Budget Outlook</w:t>
        </w:r>
        <w:r w:rsidR="007628DE">
          <w:rPr>
            <w:noProof/>
            <w:webHidden/>
          </w:rPr>
          <w:tab/>
        </w:r>
        <w:r w:rsidR="004E336D">
          <w:rPr>
            <w:noProof/>
            <w:webHidden/>
          </w:rPr>
          <w:t>4</w:t>
        </w:r>
        <w:r w:rsidR="00BD0687">
          <w:rPr>
            <w:noProof/>
            <w:webHidden/>
          </w:rPr>
          <w:t>5</w:t>
        </w:r>
      </w:hyperlink>
    </w:p>
    <w:p w14:paraId="2FDE6A96" w14:textId="24752B86" w:rsidR="007628DE" w:rsidRDefault="00AA34A5" w:rsidP="00800759">
      <w:pPr>
        <w:pStyle w:val="TOC2"/>
        <w:tabs>
          <w:tab w:val="left" w:pos="880"/>
          <w:tab w:val="right" w:leader="dot" w:pos="9016"/>
        </w:tabs>
        <w:spacing w:before="100" w:beforeAutospacing="1" w:afterAutospacing="1"/>
        <w:rPr>
          <w:noProof/>
        </w:rPr>
      </w:pPr>
      <w:hyperlink w:anchor="_Toc84281193" w:history="1">
        <w:r w:rsidR="00C56084">
          <w:rPr>
            <w:rStyle w:val="Hyperlink"/>
            <w:noProof/>
          </w:rPr>
          <w:t>3.2</w:t>
        </w:r>
        <w:r w:rsidR="007628DE">
          <w:rPr>
            <w:rFonts w:eastAsiaTheme="minorEastAsia"/>
            <w:noProof/>
            <w:lang w:eastAsia="en-AU"/>
          </w:rPr>
          <w:tab/>
        </w:r>
        <w:r w:rsidR="00B37F06">
          <w:rPr>
            <w:rStyle w:val="Hyperlink"/>
            <w:noProof/>
          </w:rPr>
          <w:t xml:space="preserve">Fiscal Strategy and </w:t>
        </w:r>
        <w:r w:rsidR="00895E0A">
          <w:rPr>
            <w:rStyle w:val="Hyperlink"/>
            <w:noProof/>
          </w:rPr>
          <w:t>W</w:t>
        </w:r>
        <w:r w:rsidR="00B37F06">
          <w:rPr>
            <w:rStyle w:val="Hyperlink"/>
            <w:noProof/>
          </w:rPr>
          <w:t xml:space="preserve">ellbeing </w:t>
        </w:r>
        <w:r w:rsidR="00895E0A">
          <w:rPr>
            <w:rStyle w:val="Hyperlink"/>
            <w:noProof/>
          </w:rPr>
          <w:t>I</w:t>
        </w:r>
        <w:r w:rsidR="00B37F06">
          <w:rPr>
            <w:rStyle w:val="Hyperlink"/>
            <w:noProof/>
          </w:rPr>
          <w:t>nitiatives</w:t>
        </w:r>
        <w:r w:rsidR="007628DE">
          <w:rPr>
            <w:noProof/>
            <w:webHidden/>
          </w:rPr>
          <w:tab/>
        </w:r>
        <w:r w:rsidR="00BD0687">
          <w:rPr>
            <w:noProof/>
            <w:webHidden/>
          </w:rPr>
          <w:t>53</w:t>
        </w:r>
      </w:hyperlink>
    </w:p>
    <w:p w14:paraId="79B68294" w14:textId="37DE94FF" w:rsidR="007628DE" w:rsidRDefault="00AA34A5" w:rsidP="00800759">
      <w:pPr>
        <w:pStyle w:val="TOC2"/>
        <w:tabs>
          <w:tab w:val="left" w:pos="880"/>
          <w:tab w:val="right" w:leader="dot" w:pos="9016"/>
        </w:tabs>
        <w:spacing w:before="100" w:beforeAutospacing="1" w:afterAutospacing="1"/>
        <w:rPr>
          <w:noProof/>
        </w:rPr>
      </w:pPr>
      <w:hyperlink w:anchor="_Toc84281193" w:history="1">
        <w:r w:rsidR="00C56084">
          <w:rPr>
            <w:rStyle w:val="Hyperlink"/>
            <w:noProof/>
          </w:rPr>
          <w:t>3.3</w:t>
        </w:r>
        <w:r w:rsidR="007628DE">
          <w:rPr>
            <w:rFonts w:eastAsiaTheme="minorEastAsia"/>
            <w:noProof/>
            <w:lang w:eastAsia="en-AU"/>
          </w:rPr>
          <w:tab/>
        </w:r>
        <w:r w:rsidR="00C56084">
          <w:rPr>
            <w:rStyle w:val="Hyperlink"/>
            <w:noProof/>
          </w:rPr>
          <w:t>Cost of Living Statement</w:t>
        </w:r>
        <w:r w:rsidR="007628DE">
          <w:rPr>
            <w:noProof/>
            <w:webHidden/>
          </w:rPr>
          <w:tab/>
        </w:r>
        <w:r w:rsidR="004E336D">
          <w:rPr>
            <w:noProof/>
            <w:webHidden/>
          </w:rPr>
          <w:t>21</w:t>
        </w:r>
      </w:hyperlink>
      <w:r w:rsidR="00BD0687">
        <w:rPr>
          <w:noProof/>
        </w:rPr>
        <w:t>9</w:t>
      </w:r>
    </w:p>
    <w:p w14:paraId="6DCBC10E" w14:textId="2BD337DC" w:rsidR="00C56084" w:rsidRDefault="00AA34A5" w:rsidP="00800759">
      <w:pPr>
        <w:pStyle w:val="TOC2"/>
        <w:tabs>
          <w:tab w:val="left" w:pos="880"/>
          <w:tab w:val="right" w:leader="dot" w:pos="9016"/>
        </w:tabs>
        <w:spacing w:before="100" w:beforeAutospacing="1" w:afterAutospacing="1"/>
        <w:rPr>
          <w:noProof/>
        </w:rPr>
      </w:pPr>
      <w:hyperlink w:anchor="_Toc84281193" w:history="1">
        <w:r w:rsidR="00C56084">
          <w:rPr>
            <w:rStyle w:val="Hyperlink"/>
            <w:noProof/>
          </w:rPr>
          <w:t>3.4</w:t>
        </w:r>
        <w:r w:rsidR="00C56084">
          <w:rPr>
            <w:rFonts w:eastAsiaTheme="minorEastAsia"/>
            <w:noProof/>
            <w:lang w:eastAsia="en-AU"/>
          </w:rPr>
          <w:tab/>
        </w:r>
        <w:r w:rsidR="00C56084">
          <w:rPr>
            <w:rStyle w:val="Hyperlink"/>
            <w:noProof/>
          </w:rPr>
          <w:t>Expenses</w:t>
        </w:r>
        <w:r w:rsidR="00C56084">
          <w:rPr>
            <w:noProof/>
            <w:webHidden/>
          </w:rPr>
          <w:tab/>
        </w:r>
        <w:r w:rsidR="004E336D">
          <w:rPr>
            <w:noProof/>
            <w:webHidden/>
          </w:rPr>
          <w:t>22</w:t>
        </w:r>
        <w:r w:rsidR="00BD0687">
          <w:rPr>
            <w:noProof/>
            <w:webHidden/>
          </w:rPr>
          <w:t>9</w:t>
        </w:r>
      </w:hyperlink>
    </w:p>
    <w:p w14:paraId="3E62EAEF" w14:textId="2643C92C" w:rsidR="00C56084" w:rsidRDefault="00AA34A5" w:rsidP="00800759">
      <w:pPr>
        <w:pStyle w:val="TOC2"/>
        <w:tabs>
          <w:tab w:val="left" w:pos="880"/>
          <w:tab w:val="right" w:leader="dot" w:pos="9016"/>
        </w:tabs>
        <w:spacing w:before="100" w:beforeAutospacing="1" w:afterAutospacing="1"/>
        <w:rPr>
          <w:noProof/>
        </w:rPr>
      </w:pPr>
      <w:hyperlink w:anchor="_Toc84281193" w:history="1">
        <w:r w:rsidR="00C56084">
          <w:rPr>
            <w:rStyle w:val="Hyperlink"/>
            <w:noProof/>
          </w:rPr>
          <w:t>3.5</w:t>
        </w:r>
        <w:r w:rsidR="00C56084">
          <w:rPr>
            <w:rFonts w:eastAsiaTheme="minorEastAsia"/>
            <w:noProof/>
            <w:lang w:eastAsia="en-AU"/>
          </w:rPr>
          <w:tab/>
        </w:r>
        <w:r w:rsidR="00C56084">
          <w:rPr>
            <w:rStyle w:val="Hyperlink"/>
            <w:noProof/>
          </w:rPr>
          <w:t>Revenue</w:t>
        </w:r>
        <w:r w:rsidR="00C56084">
          <w:rPr>
            <w:noProof/>
            <w:webHidden/>
          </w:rPr>
          <w:tab/>
        </w:r>
        <w:r w:rsidR="004E336D">
          <w:rPr>
            <w:noProof/>
            <w:webHidden/>
          </w:rPr>
          <w:t>23</w:t>
        </w:r>
        <w:r w:rsidR="00BD0687">
          <w:rPr>
            <w:noProof/>
            <w:webHidden/>
          </w:rPr>
          <w:t>7</w:t>
        </w:r>
      </w:hyperlink>
    </w:p>
    <w:p w14:paraId="5C3C5660" w14:textId="60589D11" w:rsidR="00C56084" w:rsidRDefault="00AA34A5" w:rsidP="00800759">
      <w:pPr>
        <w:pStyle w:val="TOC2"/>
        <w:tabs>
          <w:tab w:val="left" w:pos="880"/>
          <w:tab w:val="right" w:leader="dot" w:pos="9016"/>
        </w:tabs>
        <w:spacing w:before="100" w:beforeAutospacing="1" w:afterAutospacing="1"/>
        <w:rPr>
          <w:noProof/>
        </w:rPr>
      </w:pPr>
      <w:hyperlink w:anchor="_Toc84281193" w:history="1">
        <w:r w:rsidR="00C56084">
          <w:rPr>
            <w:rStyle w:val="Hyperlink"/>
            <w:noProof/>
          </w:rPr>
          <w:t>3.6</w:t>
        </w:r>
        <w:r w:rsidR="00C56084">
          <w:rPr>
            <w:rFonts w:eastAsiaTheme="minorEastAsia"/>
            <w:noProof/>
            <w:lang w:eastAsia="en-AU"/>
          </w:rPr>
          <w:tab/>
        </w:r>
        <w:r w:rsidR="00C56084">
          <w:rPr>
            <w:rStyle w:val="Hyperlink"/>
            <w:noProof/>
          </w:rPr>
          <w:t>Federal Financial Relations</w:t>
        </w:r>
        <w:r w:rsidR="00C56084">
          <w:rPr>
            <w:noProof/>
            <w:webHidden/>
          </w:rPr>
          <w:tab/>
        </w:r>
        <w:r w:rsidR="004E336D">
          <w:rPr>
            <w:noProof/>
            <w:webHidden/>
          </w:rPr>
          <w:t>26</w:t>
        </w:r>
        <w:r w:rsidR="00BD0687">
          <w:rPr>
            <w:noProof/>
            <w:webHidden/>
          </w:rPr>
          <w:t>3</w:t>
        </w:r>
      </w:hyperlink>
    </w:p>
    <w:p w14:paraId="246AD5C2" w14:textId="6E9EAE9A" w:rsidR="00C56084" w:rsidRDefault="00AA34A5" w:rsidP="00800759">
      <w:pPr>
        <w:pStyle w:val="TOC2"/>
        <w:tabs>
          <w:tab w:val="left" w:pos="880"/>
          <w:tab w:val="right" w:leader="dot" w:pos="9016"/>
        </w:tabs>
        <w:spacing w:before="100" w:beforeAutospacing="1" w:afterAutospacing="1"/>
        <w:rPr>
          <w:noProof/>
        </w:rPr>
      </w:pPr>
      <w:hyperlink w:anchor="_Toc84281193" w:history="1">
        <w:r w:rsidR="00C56084">
          <w:rPr>
            <w:rStyle w:val="Hyperlink"/>
            <w:noProof/>
          </w:rPr>
          <w:t>3.7</w:t>
        </w:r>
        <w:r w:rsidR="00C56084">
          <w:rPr>
            <w:rFonts w:eastAsiaTheme="minorEastAsia"/>
            <w:noProof/>
            <w:lang w:eastAsia="en-AU"/>
          </w:rPr>
          <w:tab/>
        </w:r>
        <w:r w:rsidR="00C56084">
          <w:rPr>
            <w:rStyle w:val="Hyperlink"/>
            <w:noProof/>
          </w:rPr>
          <w:t>Infrastructure and Capital</w:t>
        </w:r>
        <w:r w:rsidR="00C56084">
          <w:rPr>
            <w:noProof/>
            <w:webHidden/>
          </w:rPr>
          <w:tab/>
        </w:r>
        <w:r w:rsidR="004E336D">
          <w:rPr>
            <w:noProof/>
            <w:webHidden/>
          </w:rPr>
          <w:t>27</w:t>
        </w:r>
        <w:r w:rsidR="00BD0687">
          <w:rPr>
            <w:noProof/>
            <w:webHidden/>
          </w:rPr>
          <w:t>9</w:t>
        </w:r>
      </w:hyperlink>
    </w:p>
    <w:p w14:paraId="40E59309" w14:textId="25C21F16" w:rsidR="00C56084" w:rsidRDefault="00AA34A5" w:rsidP="00800759">
      <w:pPr>
        <w:pStyle w:val="TOC2"/>
        <w:tabs>
          <w:tab w:val="left" w:pos="880"/>
          <w:tab w:val="right" w:leader="dot" w:pos="9016"/>
        </w:tabs>
        <w:spacing w:before="100" w:beforeAutospacing="1" w:afterAutospacing="1"/>
        <w:rPr>
          <w:noProof/>
        </w:rPr>
      </w:pPr>
      <w:hyperlink w:anchor="_Toc84281193" w:history="1">
        <w:r w:rsidR="00FD6C53">
          <w:rPr>
            <w:rStyle w:val="Hyperlink"/>
            <w:noProof/>
          </w:rPr>
          <w:t>3.8</w:t>
        </w:r>
        <w:r w:rsidR="00C56084">
          <w:rPr>
            <w:rFonts w:eastAsiaTheme="minorEastAsia"/>
            <w:noProof/>
            <w:lang w:eastAsia="en-AU"/>
          </w:rPr>
          <w:tab/>
        </w:r>
        <w:r w:rsidR="00FD6C53">
          <w:rPr>
            <w:rStyle w:val="Hyperlink"/>
            <w:noProof/>
          </w:rPr>
          <w:t>Key Balance Sheet Metrics</w:t>
        </w:r>
        <w:r w:rsidR="00C56084">
          <w:rPr>
            <w:noProof/>
            <w:webHidden/>
          </w:rPr>
          <w:tab/>
        </w:r>
        <w:r w:rsidR="004E336D">
          <w:rPr>
            <w:noProof/>
            <w:webHidden/>
          </w:rPr>
          <w:t>29</w:t>
        </w:r>
        <w:r w:rsidR="00BD0687">
          <w:rPr>
            <w:noProof/>
            <w:webHidden/>
          </w:rPr>
          <w:t>5</w:t>
        </w:r>
      </w:hyperlink>
    </w:p>
    <w:p w14:paraId="0565904F" w14:textId="6BAD725E" w:rsidR="004D6FA7" w:rsidRDefault="00AA34A5" w:rsidP="00800759">
      <w:pPr>
        <w:pStyle w:val="TOC2"/>
        <w:tabs>
          <w:tab w:val="left" w:pos="880"/>
          <w:tab w:val="right" w:leader="dot" w:pos="9016"/>
        </w:tabs>
        <w:spacing w:before="100" w:beforeAutospacing="1" w:afterAutospacing="1"/>
        <w:rPr>
          <w:noProof/>
        </w:rPr>
      </w:pPr>
      <w:hyperlink w:anchor="_Toc84281193" w:history="1">
        <w:hyperlink w:anchor="_Toc84281193" w:history="1">
          <w:r w:rsidR="004D6FA7">
            <w:rPr>
              <w:rFonts w:eastAsiaTheme="minorEastAsia"/>
              <w:noProof/>
              <w:lang w:eastAsia="en-AU"/>
            </w:rPr>
            <w:t>Chapter</w:t>
          </w:r>
        </w:hyperlink>
        <w:r w:rsidR="004D6FA7">
          <w:rPr>
            <w:noProof/>
          </w:rPr>
          <w:t xml:space="preserve"> 4    GGS Harmonised Financial Statements</w:t>
        </w:r>
        <w:r w:rsidR="004D6FA7">
          <w:rPr>
            <w:noProof/>
            <w:webHidden/>
          </w:rPr>
          <w:tab/>
        </w:r>
        <w:r w:rsidR="002222A1">
          <w:rPr>
            <w:noProof/>
            <w:webHidden/>
          </w:rPr>
          <w:t>30</w:t>
        </w:r>
        <w:r w:rsidR="00BD0687">
          <w:rPr>
            <w:noProof/>
            <w:webHidden/>
          </w:rPr>
          <w:t>5</w:t>
        </w:r>
      </w:hyperlink>
    </w:p>
    <w:p w14:paraId="0897EEA9" w14:textId="1FDB6B07" w:rsidR="00C56084" w:rsidRDefault="00AA34A5" w:rsidP="00800759">
      <w:pPr>
        <w:pStyle w:val="TOC2"/>
        <w:tabs>
          <w:tab w:val="left" w:pos="880"/>
          <w:tab w:val="right" w:leader="dot" w:pos="9016"/>
        </w:tabs>
        <w:spacing w:before="100" w:beforeAutospacing="1" w:afterAutospacing="1"/>
        <w:rPr>
          <w:noProof/>
        </w:rPr>
      </w:pPr>
      <w:hyperlink w:anchor="_Toc84281193" w:history="1">
        <w:r w:rsidR="004D6FA7">
          <w:rPr>
            <w:rStyle w:val="Hyperlink"/>
            <w:noProof/>
          </w:rPr>
          <w:t>4.1</w:t>
        </w:r>
        <w:r w:rsidR="00C56084">
          <w:rPr>
            <w:rFonts w:eastAsiaTheme="minorEastAsia"/>
            <w:noProof/>
            <w:lang w:eastAsia="en-AU"/>
          </w:rPr>
          <w:tab/>
        </w:r>
        <w:r w:rsidR="004D6FA7">
          <w:rPr>
            <w:rStyle w:val="Hyperlink"/>
            <w:noProof/>
          </w:rPr>
          <w:t>GFS/GAAP Harmonised Financial Statements</w:t>
        </w:r>
        <w:r w:rsidR="00C56084">
          <w:rPr>
            <w:noProof/>
            <w:webHidden/>
          </w:rPr>
          <w:tab/>
        </w:r>
        <w:r w:rsidR="002222A1">
          <w:rPr>
            <w:noProof/>
            <w:webHidden/>
          </w:rPr>
          <w:t>30</w:t>
        </w:r>
        <w:r w:rsidR="00BD0687">
          <w:rPr>
            <w:noProof/>
            <w:webHidden/>
          </w:rPr>
          <w:t>7</w:t>
        </w:r>
      </w:hyperlink>
    </w:p>
    <w:p w14:paraId="5B02B87B" w14:textId="526D367C" w:rsidR="00C56084" w:rsidRDefault="00AA34A5" w:rsidP="00800759">
      <w:pPr>
        <w:pStyle w:val="TOC2"/>
        <w:tabs>
          <w:tab w:val="left" w:pos="880"/>
          <w:tab w:val="right" w:leader="dot" w:pos="9016"/>
        </w:tabs>
        <w:spacing w:before="100" w:beforeAutospacing="1" w:afterAutospacing="1"/>
        <w:rPr>
          <w:noProof/>
        </w:rPr>
      </w:pPr>
      <w:hyperlink w:anchor="_Toc84281193" w:history="1">
        <w:r w:rsidR="004D6FA7">
          <w:rPr>
            <w:rStyle w:val="Hyperlink"/>
            <w:noProof/>
          </w:rPr>
          <w:t>4.2</w:t>
        </w:r>
        <w:r w:rsidR="00C56084">
          <w:rPr>
            <w:rFonts w:eastAsiaTheme="minorEastAsia"/>
            <w:noProof/>
            <w:lang w:eastAsia="en-AU"/>
          </w:rPr>
          <w:tab/>
        </w:r>
        <w:r w:rsidR="004D6FA7">
          <w:rPr>
            <w:rStyle w:val="Hyperlink"/>
            <w:noProof/>
          </w:rPr>
          <w:t>Other GGS Statements</w:t>
        </w:r>
        <w:r w:rsidR="00C56084">
          <w:rPr>
            <w:noProof/>
            <w:webHidden/>
          </w:rPr>
          <w:tab/>
        </w:r>
        <w:r w:rsidR="00EC1145">
          <w:rPr>
            <w:noProof/>
            <w:webHidden/>
          </w:rPr>
          <w:t>31</w:t>
        </w:r>
        <w:r w:rsidR="00BD0687">
          <w:rPr>
            <w:noProof/>
            <w:webHidden/>
          </w:rPr>
          <w:t>3</w:t>
        </w:r>
      </w:hyperlink>
    </w:p>
    <w:p w14:paraId="1707E3EE" w14:textId="455ECAC8" w:rsidR="00C56084" w:rsidRDefault="00AA34A5" w:rsidP="00800759">
      <w:pPr>
        <w:pStyle w:val="TOC2"/>
        <w:tabs>
          <w:tab w:val="left" w:pos="880"/>
          <w:tab w:val="right" w:leader="dot" w:pos="9016"/>
        </w:tabs>
        <w:spacing w:before="100" w:beforeAutospacing="1" w:afterAutospacing="1"/>
        <w:rPr>
          <w:noProof/>
        </w:rPr>
      </w:pPr>
      <w:hyperlink w:anchor="_Toc84281193" w:history="1">
        <w:r w:rsidR="004D6FA7">
          <w:rPr>
            <w:rStyle w:val="Hyperlink"/>
            <w:noProof/>
          </w:rPr>
          <w:t>Appendices</w:t>
        </w:r>
        <w:r w:rsidR="00C56084">
          <w:rPr>
            <w:noProof/>
            <w:webHidden/>
          </w:rPr>
          <w:tab/>
        </w:r>
        <w:r w:rsidR="00EC1145">
          <w:rPr>
            <w:noProof/>
            <w:webHidden/>
          </w:rPr>
          <w:t>31</w:t>
        </w:r>
        <w:r w:rsidR="00C56084">
          <w:rPr>
            <w:noProof/>
            <w:webHidden/>
          </w:rPr>
          <w:fldChar w:fldCharType="begin"/>
        </w:r>
        <w:r w:rsidR="00C56084">
          <w:rPr>
            <w:noProof/>
            <w:webHidden/>
          </w:rPr>
          <w:instrText xml:space="preserve"> PAGEREF _Toc84281193 \h </w:instrText>
        </w:r>
        <w:r w:rsidR="00C56084">
          <w:rPr>
            <w:noProof/>
            <w:webHidden/>
          </w:rPr>
        </w:r>
        <w:r w:rsidR="00C56084">
          <w:rPr>
            <w:noProof/>
            <w:webHidden/>
          </w:rPr>
          <w:fldChar w:fldCharType="separate"/>
        </w:r>
        <w:r w:rsidR="00462B69">
          <w:rPr>
            <w:noProof/>
            <w:webHidden/>
          </w:rPr>
          <w:t>9</w:t>
        </w:r>
        <w:r w:rsidR="00C56084">
          <w:rPr>
            <w:noProof/>
            <w:webHidden/>
          </w:rPr>
          <w:fldChar w:fldCharType="end"/>
        </w:r>
      </w:hyperlink>
    </w:p>
    <w:p w14:paraId="64695ADE" w14:textId="699B4CB8" w:rsidR="004D6FA7" w:rsidRDefault="00AA34A5" w:rsidP="00800759">
      <w:pPr>
        <w:pStyle w:val="TOC2"/>
        <w:tabs>
          <w:tab w:val="left" w:pos="880"/>
          <w:tab w:val="right" w:leader="dot" w:pos="9016"/>
        </w:tabs>
        <w:spacing w:before="100" w:beforeAutospacing="1" w:afterAutospacing="1"/>
        <w:rPr>
          <w:noProof/>
        </w:rPr>
      </w:pPr>
      <w:hyperlink w:anchor="_Toc84281193" w:history="1">
        <w:r w:rsidR="004D6FA7">
          <w:rPr>
            <w:rStyle w:val="Hyperlink"/>
            <w:noProof/>
          </w:rPr>
          <w:t>Appendix A</w:t>
        </w:r>
        <w:r w:rsidR="009C3740">
          <w:rPr>
            <w:rStyle w:val="Hyperlink"/>
            <w:noProof/>
          </w:rPr>
          <w:t xml:space="preserve">    </w:t>
        </w:r>
        <w:r w:rsidR="004D6FA7">
          <w:rPr>
            <w:rStyle w:val="Hyperlink"/>
            <w:noProof/>
          </w:rPr>
          <w:t>Budget Consultation</w:t>
        </w:r>
        <w:r w:rsidR="004D6FA7">
          <w:rPr>
            <w:noProof/>
            <w:webHidden/>
          </w:rPr>
          <w:tab/>
        </w:r>
        <w:r w:rsidR="00DD015F">
          <w:rPr>
            <w:noProof/>
            <w:webHidden/>
          </w:rPr>
          <w:t>3</w:t>
        </w:r>
        <w:r w:rsidR="00BD0687">
          <w:rPr>
            <w:noProof/>
            <w:webHidden/>
          </w:rPr>
          <w:t>23</w:t>
        </w:r>
      </w:hyperlink>
    </w:p>
    <w:p w14:paraId="1F4E0FBD" w14:textId="5B8D8FAE" w:rsidR="004D6FA7" w:rsidRDefault="00AA34A5" w:rsidP="00800759">
      <w:pPr>
        <w:pStyle w:val="TOC2"/>
        <w:tabs>
          <w:tab w:val="left" w:pos="880"/>
          <w:tab w:val="right" w:leader="dot" w:pos="9016"/>
        </w:tabs>
        <w:spacing w:before="100" w:beforeAutospacing="1" w:afterAutospacing="1"/>
        <w:rPr>
          <w:noProof/>
        </w:rPr>
      </w:pPr>
      <w:hyperlink w:anchor="_Toc84281193" w:history="1">
        <w:r w:rsidR="004D6FA7">
          <w:rPr>
            <w:rStyle w:val="Hyperlink"/>
            <w:noProof/>
          </w:rPr>
          <w:t>Appendix B    Better Infrastructure Fund</w:t>
        </w:r>
        <w:r w:rsidR="004D6FA7">
          <w:rPr>
            <w:noProof/>
            <w:webHidden/>
          </w:rPr>
          <w:tab/>
        </w:r>
        <w:r w:rsidR="00DD015F">
          <w:rPr>
            <w:noProof/>
            <w:webHidden/>
          </w:rPr>
          <w:t>3</w:t>
        </w:r>
        <w:r w:rsidR="00BD0687">
          <w:rPr>
            <w:noProof/>
            <w:webHidden/>
          </w:rPr>
          <w:t>29</w:t>
        </w:r>
      </w:hyperlink>
    </w:p>
    <w:p w14:paraId="719F5C4C" w14:textId="6E235BE1" w:rsidR="004D6FA7" w:rsidRDefault="00AA34A5" w:rsidP="00800759">
      <w:pPr>
        <w:pStyle w:val="TOC2"/>
        <w:tabs>
          <w:tab w:val="left" w:pos="880"/>
          <w:tab w:val="right" w:leader="dot" w:pos="9016"/>
        </w:tabs>
        <w:spacing w:before="100" w:beforeAutospacing="1" w:afterAutospacing="1"/>
        <w:rPr>
          <w:noProof/>
        </w:rPr>
      </w:pPr>
      <w:hyperlink w:anchor="_Toc84281193" w:history="1">
        <w:r w:rsidR="004D6FA7">
          <w:rPr>
            <w:rStyle w:val="Hyperlink"/>
            <w:noProof/>
          </w:rPr>
          <w:t>Appendix C    Infrastructure Investment Program – Works-in-Progress</w:t>
        </w:r>
        <w:r w:rsidR="004D6FA7">
          <w:rPr>
            <w:noProof/>
            <w:webHidden/>
          </w:rPr>
          <w:tab/>
        </w:r>
        <w:r w:rsidR="00DD015F">
          <w:rPr>
            <w:noProof/>
            <w:webHidden/>
          </w:rPr>
          <w:t>3</w:t>
        </w:r>
        <w:r w:rsidR="00BD0687">
          <w:rPr>
            <w:noProof/>
            <w:webHidden/>
          </w:rPr>
          <w:t>37</w:t>
        </w:r>
      </w:hyperlink>
    </w:p>
    <w:p w14:paraId="10EF983B" w14:textId="69C13622" w:rsidR="004D6FA7" w:rsidRDefault="00AA34A5" w:rsidP="00800759">
      <w:pPr>
        <w:pStyle w:val="TOC2"/>
        <w:tabs>
          <w:tab w:val="left" w:pos="880"/>
          <w:tab w:val="right" w:leader="dot" w:pos="9016"/>
        </w:tabs>
        <w:spacing w:before="100" w:beforeAutospacing="1" w:afterAutospacing="1"/>
        <w:rPr>
          <w:noProof/>
        </w:rPr>
      </w:pPr>
      <w:hyperlink w:anchor="_Toc84281193" w:history="1">
        <w:r w:rsidR="004D6FA7">
          <w:rPr>
            <w:rStyle w:val="Hyperlink"/>
            <w:noProof/>
          </w:rPr>
          <w:t>Appendix D    Consolidated Financial Statements – Public Trading Enterprises</w:t>
        </w:r>
        <w:r w:rsidR="004D6FA7">
          <w:rPr>
            <w:noProof/>
            <w:webHidden/>
          </w:rPr>
          <w:tab/>
        </w:r>
        <w:r w:rsidR="00DD015F">
          <w:rPr>
            <w:noProof/>
            <w:webHidden/>
          </w:rPr>
          <w:t>3</w:t>
        </w:r>
        <w:r w:rsidR="00BD0687">
          <w:rPr>
            <w:noProof/>
            <w:webHidden/>
          </w:rPr>
          <w:t>49</w:t>
        </w:r>
      </w:hyperlink>
    </w:p>
    <w:p w14:paraId="3A88AB9B" w14:textId="5ED86A2D" w:rsidR="004D6FA7" w:rsidRDefault="00AA34A5" w:rsidP="00800759">
      <w:pPr>
        <w:pStyle w:val="TOC2"/>
        <w:tabs>
          <w:tab w:val="left" w:pos="880"/>
          <w:tab w:val="right" w:leader="dot" w:pos="9016"/>
        </w:tabs>
        <w:spacing w:before="100" w:beforeAutospacing="1" w:afterAutospacing="1"/>
        <w:rPr>
          <w:noProof/>
        </w:rPr>
      </w:pPr>
      <w:hyperlink w:anchor="_Toc84281193" w:history="1">
        <w:r w:rsidR="004D6FA7">
          <w:rPr>
            <w:rStyle w:val="Hyperlink"/>
            <w:noProof/>
          </w:rPr>
          <w:t>Appendix E    Consolidated Financial Statements – Total Territory</w:t>
        </w:r>
        <w:r w:rsidR="004D6FA7">
          <w:rPr>
            <w:noProof/>
            <w:webHidden/>
          </w:rPr>
          <w:tab/>
        </w:r>
        <w:r w:rsidR="00DD015F">
          <w:rPr>
            <w:noProof/>
            <w:webHidden/>
          </w:rPr>
          <w:t>3</w:t>
        </w:r>
        <w:r w:rsidR="00BD0687">
          <w:rPr>
            <w:noProof/>
            <w:webHidden/>
          </w:rPr>
          <w:t>56</w:t>
        </w:r>
      </w:hyperlink>
    </w:p>
    <w:p w14:paraId="50DA5BF3" w14:textId="520332E6" w:rsidR="004D6FA7" w:rsidRDefault="00AA34A5" w:rsidP="00800759">
      <w:pPr>
        <w:pStyle w:val="TOC2"/>
        <w:tabs>
          <w:tab w:val="left" w:pos="880"/>
          <w:tab w:val="right" w:leader="dot" w:pos="9016"/>
        </w:tabs>
        <w:spacing w:before="100" w:beforeAutospacing="1" w:afterAutospacing="1"/>
        <w:rPr>
          <w:noProof/>
        </w:rPr>
      </w:pPr>
      <w:hyperlink w:anchor="_Toc84281193" w:history="1">
        <w:r w:rsidR="004D6FA7">
          <w:rPr>
            <w:rStyle w:val="Hyperlink"/>
            <w:noProof/>
          </w:rPr>
          <w:t>Appendix F    General Government Sector – Key Aggregates History</w:t>
        </w:r>
        <w:r w:rsidR="004D6FA7">
          <w:rPr>
            <w:noProof/>
            <w:webHidden/>
          </w:rPr>
          <w:tab/>
        </w:r>
        <w:r w:rsidR="00DD015F">
          <w:rPr>
            <w:noProof/>
            <w:webHidden/>
          </w:rPr>
          <w:t>3</w:t>
        </w:r>
        <w:r w:rsidR="00BD0687">
          <w:rPr>
            <w:noProof/>
            <w:webHidden/>
          </w:rPr>
          <w:t>65</w:t>
        </w:r>
      </w:hyperlink>
    </w:p>
    <w:p w14:paraId="53FE2F34" w14:textId="2E8B08E4" w:rsidR="004D6FA7" w:rsidRDefault="00AA34A5" w:rsidP="00800759">
      <w:pPr>
        <w:pStyle w:val="TOC2"/>
        <w:tabs>
          <w:tab w:val="left" w:pos="880"/>
          <w:tab w:val="right" w:leader="dot" w:pos="9016"/>
        </w:tabs>
        <w:spacing w:before="100" w:beforeAutospacing="1" w:afterAutospacing="1"/>
        <w:rPr>
          <w:noProof/>
        </w:rPr>
      </w:pPr>
      <w:hyperlink w:anchor="_Toc84281193" w:history="1">
        <w:r w:rsidR="004D6FA7">
          <w:rPr>
            <w:rStyle w:val="Hyperlink"/>
            <w:noProof/>
          </w:rPr>
          <w:t>Appendix G    Key Accounting Treatments</w:t>
        </w:r>
        <w:r w:rsidR="004D6FA7">
          <w:rPr>
            <w:noProof/>
            <w:webHidden/>
          </w:rPr>
          <w:tab/>
        </w:r>
        <w:r w:rsidR="00DD015F">
          <w:rPr>
            <w:noProof/>
            <w:webHidden/>
          </w:rPr>
          <w:t>3</w:t>
        </w:r>
        <w:r w:rsidR="00BD0687">
          <w:rPr>
            <w:noProof/>
            <w:webHidden/>
          </w:rPr>
          <w:t>69</w:t>
        </w:r>
      </w:hyperlink>
    </w:p>
    <w:p w14:paraId="2C5ADBD7" w14:textId="1AB6B265" w:rsidR="004D6FA7" w:rsidRDefault="00AA34A5" w:rsidP="00800759">
      <w:pPr>
        <w:pStyle w:val="TOC2"/>
        <w:tabs>
          <w:tab w:val="left" w:pos="880"/>
          <w:tab w:val="right" w:leader="dot" w:pos="9016"/>
        </w:tabs>
        <w:spacing w:before="100" w:beforeAutospacing="1" w:afterAutospacing="1"/>
        <w:rPr>
          <w:noProof/>
        </w:rPr>
      </w:pPr>
      <w:hyperlink w:anchor="_Toc84281193" w:history="1">
        <w:r w:rsidR="004D6FA7">
          <w:rPr>
            <w:rStyle w:val="Hyperlink"/>
            <w:noProof/>
          </w:rPr>
          <w:t xml:space="preserve">Appendix H    </w:t>
        </w:r>
        <w:r w:rsidR="004F08AB">
          <w:rPr>
            <w:rStyle w:val="Hyperlink"/>
            <w:noProof/>
          </w:rPr>
          <w:t>Safer Families</w:t>
        </w:r>
        <w:r w:rsidR="004D6FA7">
          <w:rPr>
            <w:noProof/>
            <w:webHidden/>
          </w:rPr>
          <w:tab/>
        </w:r>
        <w:r w:rsidR="00DD015F">
          <w:rPr>
            <w:noProof/>
            <w:webHidden/>
          </w:rPr>
          <w:t>37</w:t>
        </w:r>
        <w:r w:rsidR="00BD0687">
          <w:rPr>
            <w:noProof/>
            <w:webHidden/>
          </w:rPr>
          <w:t>5</w:t>
        </w:r>
      </w:hyperlink>
    </w:p>
    <w:p w14:paraId="0B0C556C" w14:textId="4F421320" w:rsidR="004D6FA7" w:rsidRDefault="00AA34A5" w:rsidP="00800759">
      <w:pPr>
        <w:pStyle w:val="TOC2"/>
        <w:tabs>
          <w:tab w:val="left" w:pos="880"/>
          <w:tab w:val="right" w:leader="dot" w:pos="9016"/>
        </w:tabs>
        <w:spacing w:before="100" w:beforeAutospacing="1" w:afterAutospacing="1"/>
        <w:rPr>
          <w:noProof/>
        </w:rPr>
      </w:pPr>
      <w:hyperlink w:anchor="_Toc84281193" w:history="1">
        <w:r w:rsidR="004D6FA7">
          <w:rPr>
            <w:rStyle w:val="Hyperlink"/>
            <w:noProof/>
          </w:rPr>
          <w:t xml:space="preserve">Appendix </w:t>
        </w:r>
        <w:r w:rsidR="004F08AB">
          <w:rPr>
            <w:rStyle w:val="Hyperlink"/>
            <w:noProof/>
          </w:rPr>
          <w:t>I</w:t>
        </w:r>
        <w:r w:rsidR="004D6FA7">
          <w:rPr>
            <w:rStyle w:val="Hyperlink"/>
            <w:noProof/>
          </w:rPr>
          <w:t xml:space="preserve">    </w:t>
        </w:r>
        <w:r w:rsidR="004F08AB">
          <w:rPr>
            <w:rStyle w:val="Hyperlink"/>
            <w:noProof/>
          </w:rPr>
          <w:t>Statement of Risk</w:t>
        </w:r>
        <w:r w:rsidR="004D6FA7">
          <w:rPr>
            <w:noProof/>
            <w:webHidden/>
          </w:rPr>
          <w:tab/>
        </w:r>
        <w:r w:rsidR="00DD015F">
          <w:rPr>
            <w:noProof/>
            <w:webHidden/>
          </w:rPr>
          <w:t>3</w:t>
        </w:r>
        <w:r w:rsidR="00BD0687">
          <w:rPr>
            <w:noProof/>
            <w:webHidden/>
          </w:rPr>
          <w:t>85</w:t>
        </w:r>
      </w:hyperlink>
    </w:p>
    <w:p w14:paraId="2CFAE54C" w14:textId="37640964" w:rsidR="004D6FA7" w:rsidRDefault="00AA34A5" w:rsidP="00800759">
      <w:pPr>
        <w:pStyle w:val="TOC2"/>
        <w:tabs>
          <w:tab w:val="left" w:pos="880"/>
          <w:tab w:val="right" w:leader="dot" w:pos="9016"/>
        </w:tabs>
        <w:spacing w:before="100" w:beforeAutospacing="1" w:afterAutospacing="1"/>
        <w:rPr>
          <w:noProof/>
        </w:rPr>
      </w:pPr>
      <w:hyperlink w:anchor="_Toc84281193" w:history="1">
        <w:r w:rsidR="004D6FA7">
          <w:rPr>
            <w:rStyle w:val="Hyperlink"/>
            <w:noProof/>
          </w:rPr>
          <w:t xml:space="preserve">Appendix </w:t>
        </w:r>
        <w:r w:rsidR="004F08AB">
          <w:rPr>
            <w:rStyle w:val="Hyperlink"/>
            <w:noProof/>
          </w:rPr>
          <w:t>J</w:t>
        </w:r>
        <w:r w:rsidR="004D6FA7">
          <w:rPr>
            <w:rStyle w:val="Hyperlink"/>
            <w:noProof/>
          </w:rPr>
          <w:t xml:space="preserve">    </w:t>
        </w:r>
        <w:r w:rsidR="004F08AB">
          <w:rPr>
            <w:rStyle w:val="Hyperlink"/>
            <w:noProof/>
          </w:rPr>
          <w:t>Statement of Sensitivity</w:t>
        </w:r>
        <w:r w:rsidR="004D6FA7">
          <w:rPr>
            <w:noProof/>
            <w:webHidden/>
          </w:rPr>
          <w:tab/>
        </w:r>
        <w:r w:rsidR="00BD0687">
          <w:rPr>
            <w:noProof/>
            <w:webHidden/>
          </w:rPr>
          <w:t>395</w:t>
        </w:r>
      </w:hyperlink>
    </w:p>
    <w:p w14:paraId="3A6FBBA8" w14:textId="23A5C37F" w:rsidR="004F08AB" w:rsidRDefault="00AA34A5" w:rsidP="00800759">
      <w:pPr>
        <w:pStyle w:val="TOC2"/>
        <w:tabs>
          <w:tab w:val="left" w:pos="880"/>
          <w:tab w:val="right" w:leader="dot" w:pos="9016"/>
        </w:tabs>
        <w:spacing w:before="100" w:beforeAutospacing="1" w:afterAutospacing="1"/>
        <w:rPr>
          <w:noProof/>
        </w:rPr>
      </w:pPr>
      <w:hyperlink w:anchor="_Toc84281193" w:history="1">
        <w:r w:rsidR="004F08AB">
          <w:rPr>
            <w:rStyle w:val="Hyperlink"/>
            <w:noProof/>
          </w:rPr>
          <w:t>Appendix K    Whole of Government Staffing</w:t>
        </w:r>
        <w:r w:rsidR="004F08AB">
          <w:rPr>
            <w:noProof/>
            <w:webHidden/>
          </w:rPr>
          <w:tab/>
        </w:r>
        <w:r w:rsidR="00DD015F">
          <w:rPr>
            <w:noProof/>
            <w:webHidden/>
          </w:rPr>
          <w:t>40</w:t>
        </w:r>
        <w:r w:rsidR="00BD0687">
          <w:rPr>
            <w:noProof/>
            <w:webHidden/>
          </w:rPr>
          <w:t>1</w:t>
        </w:r>
      </w:hyperlink>
    </w:p>
    <w:p w14:paraId="539FF465" w14:textId="77777777" w:rsidR="004F08AB" w:rsidRPr="004F08AB" w:rsidRDefault="004F08AB" w:rsidP="00800759">
      <w:pPr>
        <w:spacing w:before="100" w:beforeAutospacing="1" w:after="100" w:afterAutospacing="1"/>
        <w:rPr>
          <w:noProof/>
        </w:rPr>
      </w:pPr>
    </w:p>
    <w:p w14:paraId="38F14A09" w14:textId="77777777" w:rsidR="007628DE" w:rsidRPr="007628DE" w:rsidRDefault="007628DE" w:rsidP="00800759">
      <w:pPr>
        <w:spacing w:before="100" w:beforeAutospacing="1" w:after="100" w:afterAutospacing="1"/>
        <w:rPr>
          <w:noProof/>
        </w:rPr>
      </w:pPr>
    </w:p>
    <w:p w14:paraId="44E88D81" w14:textId="27BBCF26" w:rsidR="00BA7876" w:rsidRDefault="00BA7876" w:rsidP="003D218D">
      <w:pPr>
        <w:spacing w:before="100" w:beforeAutospacing="1" w:after="100" w:afterAutospacing="1"/>
      </w:pPr>
      <w:r>
        <w:fldChar w:fldCharType="end"/>
      </w:r>
      <w:r>
        <w:br w:type="page"/>
      </w:r>
    </w:p>
    <w:p w14:paraId="6D689D5D" w14:textId="77777777" w:rsidR="00BA7876" w:rsidRDefault="00BA7876" w:rsidP="005E2EA3"/>
    <w:p w14:paraId="23FA1826" w14:textId="77777777" w:rsidR="00BA7876" w:rsidRDefault="00BA7876">
      <w:pPr>
        <w:sectPr w:rsidR="00BA7876" w:rsidSect="00CC3F70">
          <w:headerReference w:type="default" r:id="rId8"/>
          <w:footerReference w:type="default" r:id="rId9"/>
          <w:pgSz w:w="11906" w:h="16838" w:code="9"/>
          <w:pgMar w:top="1151" w:right="1440" w:bottom="1729" w:left="1440" w:header="720" w:footer="720" w:gutter="0"/>
          <w:pgNumType w:start="3"/>
          <w:cols w:space="708"/>
          <w:docGrid w:linePitch="360"/>
        </w:sectPr>
      </w:pPr>
      <w:r>
        <w:br w:type="page"/>
      </w:r>
    </w:p>
    <w:p w14:paraId="79E9E185" w14:textId="1C7D9E8F" w:rsidR="00BA7876" w:rsidRDefault="00BA7876"/>
    <w:p w14:paraId="34B94AC0" w14:textId="4C7D31BC" w:rsidR="00BA7876" w:rsidRDefault="00BA7876" w:rsidP="00BA7876">
      <w:pPr>
        <w:jc w:val="center"/>
      </w:pPr>
      <w:r>
        <w:rPr>
          <w:noProof/>
        </w:rPr>
        <w:drawing>
          <wp:anchor distT="0" distB="0" distL="114300" distR="114300" simplePos="0" relativeHeight="251658240" behindDoc="0" locked="0" layoutInCell="1" allowOverlap="1" wp14:anchorId="5CA76E5D" wp14:editId="4DB9AC46">
            <wp:simplePos x="914400" y="730250"/>
            <wp:positionH relativeFrom="margin">
              <wp:align>center</wp:align>
            </wp:positionH>
            <wp:positionV relativeFrom="margin">
              <wp:align>top</wp:align>
            </wp:positionV>
            <wp:extent cx="6479823" cy="6503513"/>
            <wp:effectExtent l="0" t="0" r="0" b="0"/>
            <wp:wrapSquare wrapText="bothSides"/>
            <wp:docPr id="2" name="Picture 2" descr="Aboriginal artwork in shades of orange, green and black with concentric dot circles in the middle of the image. An outline of a hand has been painted in each corner pointing inwards towards the circle and green leaves are framing the outside of the 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boriginal artwork in shades of orange, green and black with concentric dot circles in the middle of the image. An outline of a hand has been painted in each corner pointing inwards towards the circle and green leaves are framing the outside of the image.&#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9823" cy="6503513"/>
                    </a:xfrm>
                    <a:prstGeom prst="rect">
                      <a:avLst/>
                    </a:prstGeom>
                    <a:noFill/>
                    <a:ln>
                      <a:noFill/>
                    </a:ln>
                  </pic:spPr>
                </pic:pic>
              </a:graphicData>
            </a:graphic>
          </wp:anchor>
        </w:drawing>
      </w:r>
    </w:p>
    <w:p w14:paraId="43757EF7" w14:textId="77777777" w:rsidR="00BA7876" w:rsidRPr="00BB0708" w:rsidRDefault="00BA7876" w:rsidP="00E45372">
      <w:pPr>
        <w:spacing w:before="120" w:after="0"/>
        <w:rPr>
          <w:sz w:val="24"/>
          <w:szCs w:val="24"/>
        </w:rPr>
      </w:pPr>
      <w:r w:rsidRPr="00BB0708">
        <w:rPr>
          <w:i/>
          <w:iCs/>
          <w:sz w:val="24"/>
          <w:szCs w:val="24"/>
        </w:rPr>
        <w:t>Together,</w:t>
      </w:r>
      <w:r w:rsidRPr="00BB0708">
        <w:rPr>
          <w:sz w:val="24"/>
          <w:szCs w:val="24"/>
        </w:rPr>
        <w:t xml:space="preserve"> 2019 by </w:t>
      </w:r>
      <w:r w:rsidRPr="00BB0708">
        <w:rPr>
          <w:b/>
          <w:bCs/>
          <w:sz w:val="24"/>
          <w:szCs w:val="24"/>
        </w:rPr>
        <w:t>Selina Walker</w:t>
      </w:r>
      <w:r w:rsidRPr="00BB0708">
        <w:rPr>
          <w:sz w:val="24"/>
          <w:szCs w:val="24"/>
        </w:rPr>
        <w:t xml:space="preserve"> </w:t>
      </w:r>
    </w:p>
    <w:p w14:paraId="0D94B40F" w14:textId="77777777" w:rsidR="00BA7876" w:rsidRPr="00BB0708" w:rsidRDefault="00BA7876" w:rsidP="00E45372">
      <w:pPr>
        <w:spacing w:before="120" w:after="0"/>
        <w:rPr>
          <w:sz w:val="24"/>
          <w:szCs w:val="24"/>
        </w:rPr>
      </w:pPr>
      <w:r w:rsidRPr="00BB0708">
        <w:rPr>
          <w:sz w:val="24"/>
          <w:szCs w:val="24"/>
        </w:rPr>
        <w:t xml:space="preserve">Artwork for the CMTEDD Stretch Reconciliation </w:t>
      </w:r>
      <w:r>
        <w:rPr>
          <w:sz w:val="24"/>
          <w:szCs w:val="24"/>
        </w:rPr>
        <w:t xml:space="preserve">Action </w:t>
      </w:r>
      <w:r w:rsidRPr="00BB0708">
        <w:rPr>
          <w:sz w:val="24"/>
          <w:szCs w:val="24"/>
        </w:rPr>
        <w:t>Plan 2020-2023</w:t>
      </w:r>
    </w:p>
    <w:p w14:paraId="1CCC4D43" w14:textId="77777777" w:rsidR="00BA7876" w:rsidRDefault="00BA7876" w:rsidP="005E2EA3"/>
    <w:p w14:paraId="1A94F14B" w14:textId="77777777" w:rsidR="00BA7876" w:rsidRDefault="00BA7876">
      <w:pPr>
        <w:rPr>
          <w:rFonts w:ascii="Calibri" w:eastAsiaTheme="majorEastAsia" w:hAnsi="Calibri" w:cstheme="majorBidi"/>
          <w:b/>
          <w:caps/>
          <w:color w:val="472D8C"/>
          <w:sz w:val="36"/>
          <w:szCs w:val="26"/>
        </w:rPr>
      </w:pPr>
      <w:bookmarkStart w:id="0" w:name="_Toc84281192"/>
      <w:r>
        <w:br w:type="page"/>
      </w:r>
    </w:p>
    <w:p w14:paraId="38C96A10" w14:textId="5F033F01" w:rsidR="00BA7876" w:rsidRPr="00930757" w:rsidRDefault="00BA7876" w:rsidP="005E2EA3">
      <w:pPr>
        <w:pStyle w:val="Heading2"/>
        <w:numPr>
          <w:ilvl w:val="0"/>
          <w:numId w:val="0"/>
        </w:numPr>
        <w:ind w:left="576" w:hanging="576"/>
      </w:pPr>
      <w:r>
        <w:lastRenderedPageBreak/>
        <w:t>ACKNOWLEDGEMENT OF COUNTRY</w:t>
      </w:r>
      <w:bookmarkEnd w:id="0"/>
    </w:p>
    <w:p w14:paraId="21F6AC13" w14:textId="77777777" w:rsidR="00BA7876" w:rsidRDefault="00BA7876" w:rsidP="005E2EA3">
      <w:pPr>
        <w:pStyle w:val="Bbodytext"/>
        <w:spacing w:before="240" w:after="240"/>
        <w:rPr>
          <w:rFonts w:ascii="Cavolini" w:hAnsi="Cavolini" w:cs="Cavolini"/>
          <w:sz w:val="32"/>
          <w:szCs w:val="32"/>
        </w:rPr>
      </w:pPr>
    </w:p>
    <w:p w14:paraId="0F341A97" w14:textId="77777777" w:rsidR="00BA7876" w:rsidRPr="00E45372" w:rsidRDefault="00BA7876" w:rsidP="005E2EA3">
      <w:pPr>
        <w:pStyle w:val="Bbodytext"/>
        <w:spacing w:before="240" w:after="240"/>
        <w:rPr>
          <w:rFonts w:ascii="Source Sans Pro Light" w:hAnsi="Source Sans Pro Light" w:cs="Cavolini"/>
          <w:sz w:val="32"/>
          <w:szCs w:val="32"/>
        </w:rPr>
      </w:pPr>
      <w:r w:rsidRPr="00E45372">
        <w:rPr>
          <w:rFonts w:ascii="Source Sans Pro Light" w:hAnsi="Source Sans Pro Light" w:cs="Cavolini"/>
          <w:sz w:val="32"/>
          <w:szCs w:val="32"/>
        </w:rPr>
        <w:t>Yuma (Hello).</w:t>
      </w:r>
    </w:p>
    <w:p w14:paraId="5CECC37C" w14:textId="77777777" w:rsidR="00BA7876" w:rsidRPr="00E45372" w:rsidRDefault="00BA7876" w:rsidP="005E2EA3">
      <w:pPr>
        <w:pStyle w:val="Bbodytext"/>
        <w:spacing w:before="240" w:after="240"/>
        <w:rPr>
          <w:rFonts w:ascii="Source Sans Pro Light" w:hAnsi="Source Sans Pro Light" w:cs="Cavolini"/>
          <w:sz w:val="32"/>
          <w:szCs w:val="32"/>
        </w:rPr>
      </w:pPr>
      <w:r w:rsidRPr="00E45372">
        <w:rPr>
          <w:rFonts w:ascii="Source Sans Pro Light" w:hAnsi="Source Sans Pro Light" w:cs="Cavolini"/>
          <w:sz w:val="32"/>
          <w:szCs w:val="32"/>
        </w:rPr>
        <w:t>The ACT Government pay our respects to the Traditional Custodians of the ACT, the Ngunnawal People, on whose lands we live and work. We acknowledge that these lands are Aboriginal lands and pay our respect and celebrate their ongoing cultural traditions and contributions to the ACT.</w:t>
      </w:r>
    </w:p>
    <w:p w14:paraId="02144178" w14:textId="77777777" w:rsidR="00BA7876" w:rsidRPr="00E45372" w:rsidRDefault="00BA7876" w:rsidP="005E2EA3">
      <w:pPr>
        <w:pStyle w:val="Bbodytext"/>
        <w:spacing w:before="240" w:after="240"/>
        <w:rPr>
          <w:rFonts w:ascii="Source Sans Pro Light" w:hAnsi="Source Sans Pro Light" w:cs="Cavolini"/>
          <w:sz w:val="32"/>
          <w:szCs w:val="32"/>
        </w:rPr>
      </w:pPr>
      <w:r w:rsidRPr="00E45372">
        <w:rPr>
          <w:rFonts w:ascii="Source Sans Pro Light" w:hAnsi="Source Sans Pro Light" w:cs="Cavolini"/>
          <w:sz w:val="32"/>
          <w:szCs w:val="32"/>
        </w:rPr>
        <w:t xml:space="preserve">We also acknowledge that many other Aboriginal and Torres Strait Islander Peoples from across Australia have now made Canberra their home, and we pay respect and celebrate their cultures, </w:t>
      </w:r>
      <w:proofErr w:type="gramStart"/>
      <w:r w:rsidRPr="00E45372">
        <w:rPr>
          <w:rFonts w:ascii="Source Sans Pro Light" w:hAnsi="Source Sans Pro Light" w:cs="Cavolini"/>
          <w:sz w:val="32"/>
          <w:szCs w:val="32"/>
        </w:rPr>
        <w:t>diversity</w:t>
      </w:r>
      <w:proofErr w:type="gramEnd"/>
      <w:r w:rsidRPr="00E45372">
        <w:rPr>
          <w:rFonts w:ascii="Source Sans Pro Light" w:hAnsi="Source Sans Pro Light" w:cs="Cavolini"/>
          <w:sz w:val="32"/>
          <w:szCs w:val="32"/>
        </w:rPr>
        <w:t xml:space="preserve"> and contributions to the ACT. </w:t>
      </w:r>
    </w:p>
    <w:p w14:paraId="5E204EC4" w14:textId="77777777" w:rsidR="00BA7876" w:rsidRPr="00E45372" w:rsidRDefault="00BA7876" w:rsidP="005E2EA3">
      <w:pPr>
        <w:pStyle w:val="Bbodytext"/>
        <w:spacing w:before="240" w:after="240"/>
        <w:rPr>
          <w:rFonts w:ascii="Source Sans Pro Light" w:hAnsi="Source Sans Pro Light" w:cs="Cavolini"/>
          <w:sz w:val="32"/>
          <w:szCs w:val="32"/>
        </w:rPr>
      </w:pPr>
      <w:r w:rsidRPr="00E45372">
        <w:rPr>
          <w:rFonts w:ascii="Source Sans Pro Light" w:hAnsi="Source Sans Pro Light" w:cs="Cavolini"/>
          <w:sz w:val="32"/>
          <w:szCs w:val="32"/>
        </w:rPr>
        <w:t xml:space="preserve">We support the Aboriginal and Torres Strait Islander Peoples’ right to self-determination and acknowledge the valuable contribution they make to our social, </w:t>
      </w:r>
      <w:proofErr w:type="gramStart"/>
      <w:r w:rsidRPr="00E45372">
        <w:rPr>
          <w:rFonts w:ascii="Source Sans Pro Light" w:hAnsi="Source Sans Pro Light" w:cs="Cavolini"/>
          <w:sz w:val="32"/>
          <w:szCs w:val="32"/>
        </w:rPr>
        <w:t>economic</w:t>
      </w:r>
      <w:proofErr w:type="gramEnd"/>
      <w:r w:rsidRPr="00E45372">
        <w:rPr>
          <w:rFonts w:ascii="Source Sans Pro Light" w:hAnsi="Source Sans Pro Light" w:cs="Cavolini"/>
          <w:sz w:val="32"/>
          <w:szCs w:val="32"/>
        </w:rPr>
        <w:t xml:space="preserve"> and cultural life. </w:t>
      </w:r>
    </w:p>
    <w:p w14:paraId="187A9B8F" w14:textId="77777777" w:rsidR="00BA7876" w:rsidRPr="00E45372" w:rsidRDefault="00BA7876" w:rsidP="005E2EA3">
      <w:pPr>
        <w:pStyle w:val="Bbodytext"/>
        <w:spacing w:before="240" w:after="240"/>
        <w:rPr>
          <w:rFonts w:ascii="Source Sans Pro Light" w:hAnsi="Source Sans Pro Light" w:cs="Cavolini"/>
          <w:sz w:val="32"/>
          <w:szCs w:val="32"/>
        </w:rPr>
      </w:pPr>
      <w:r w:rsidRPr="00E45372">
        <w:rPr>
          <w:rFonts w:ascii="Source Sans Pro Light" w:hAnsi="Source Sans Pro Light" w:cs="Cavolini"/>
          <w:sz w:val="32"/>
          <w:szCs w:val="32"/>
        </w:rPr>
        <w:t xml:space="preserve">As we reflect on the continuing impact of government policies and practices, both past and present, we affirm our commitment to working together with Aboriginal and Torres Strait Islander Peoples, </w:t>
      </w:r>
      <w:proofErr w:type="gramStart"/>
      <w:r w:rsidRPr="00E45372">
        <w:rPr>
          <w:rFonts w:ascii="Source Sans Pro Light" w:hAnsi="Source Sans Pro Light" w:cs="Cavolini"/>
          <w:sz w:val="32"/>
          <w:szCs w:val="32"/>
        </w:rPr>
        <w:t>families</w:t>
      </w:r>
      <w:proofErr w:type="gramEnd"/>
      <w:r w:rsidRPr="00E45372">
        <w:rPr>
          <w:rFonts w:ascii="Source Sans Pro Light" w:hAnsi="Source Sans Pro Light" w:cs="Cavolini"/>
          <w:sz w:val="32"/>
          <w:szCs w:val="32"/>
        </w:rPr>
        <w:t xml:space="preserve"> and communities, to deliver improved social, cultural and economic wellbeing.</w:t>
      </w:r>
    </w:p>
    <w:p w14:paraId="32AE8C13" w14:textId="77777777" w:rsidR="00BA7876" w:rsidRDefault="00BA7876">
      <w:pPr>
        <w:rPr>
          <w:rFonts w:ascii="Cavolini" w:hAnsi="Cavolini" w:cs="Cavolini"/>
          <w:sz w:val="32"/>
          <w:szCs w:val="32"/>
        </w:rPr>
      </w:pPr>
      <w:r>
        <w:rPr>
          <w:rFonts w:ascii="Cavolini" w:hAnsi="Cavolini" w:cs="Cavolini"/>
          <w:sz w:val="32"/>
          <w:szCs w:val="32"/>
        </w:rPr>
        <w:br w:type="page"/>
      </w:r>
    </w:p>
    <w:p w14:paraId="224130B4" w14:textId="1A389584" w:rsidR="00BA7876" w:rsidRDefault="00BA7876">
      <w:pPr>
        <w:rPr>
          <w:rFonts w:ascii="Cavolini" w:hAnsi="Cavolini" w:cs="Cavolini"/>
          <w:sz w:val="32"/>
          <w:szCs w:val="32"/>
        </w:rPr>
      </w:pPr>
      <w:r>
        <w:rPr>
          <w:rFonts w:ascii="Cavolini" w:hAnsi="Cavolini" w:cs="Cavolini"/>
          <w:sz w:val="32"/>
          <w:szCs w:val="32"/>
        </w:rPr>
        <w:lastRenderedPageBreak/>
        <w:br w:type="page"/>
      </w:r>
    </w:p>
    <w:p w14:paraId="07CC99F6" w14:textId="77777777" w:rsidR="00BA7876" w:rsidRDefault="00BA7876" w:rsidP="005E2EA3">
      <w:pPr>
        <w:pStyle w:val="Bbodytext"/>
        <w:spacing w:before="240" w:after="240"/>
        <w:rPr>
          <w:rFonts w:ascii="Cavolini" w:hAnsi="Cavolini" w:cs="Cavolini"/>
          <w:sz w:val="32"/>
          <w:szCs w:val="32"/>
        </w:rPr>
        <w:sectPr w:rsidR="00BA7876" w:rsidSect="00542DA2">
          <w:footerReference w:type="default" r:id="rId11"/>
          <w:pgSz w:w="11906" w:h="16838" w:code="9"/>
          <w:pgMar w:top="1151" w:right="1440" w:bottom="1729" w:left="1440" w:header="720" w:footer="720" w:gutter="0"/>
          <w:cols w:space="708"/>
          <w:docGrid w:linePitch="360"/>
        </w:sectPr>
      </w:pPr>
    </w:p>
    <w:p w14:paraId="39F62196" w14:textId="77777777" w:rsidR="00BA7876" w:rsidRDefault="00BA7876" w:rsidP="00BA7876">
      <w:pPr>
        <w:pStyle w:val="Heading2"/>
        <w:numPr>
          <w:ilvl w:val="1"/>
          <w:numId w:val="6"/>
        </w:numPr>
      </w:pPr>
      <w:bookmarkStart w:id="1" w:name="_Toc84281193"/>
      <w:r>
        <w:lastRenderedPageBreak/>
        <w:t>OVERVIEW</w:t>
      </w:r>
      <w:bookmarkEnd w:id="1"/>
    </w:p>
    <w:p w14:paraId="32735A2D" w14:textId="77777777" w:rsidR="00BA7876" w:rsidRPr="00FD3BB7" w:rsidRDefault="00BA7876" w:rsidP="00FD3BB7">
      <w:pPr>
        <w:pStyle w:val="Heading3"/>
      </w:pPr>
      <w:r>
        <w:t>A Plan for Recovery</w:t>
      </w:r>
    </w:p>
    <w:p w14:paraId="0E572C4B" w14:textId="77777777" w:rsidR="00BA7876" w:rsidRDefault="00BA7876" w:rsidP="00A54947">
      <w:pPr>
        <w:pStyle w:val="Bbodytext"/>
        <w:keepNext/>
        <w:keepLines/>
      </w:pPr>
      <w:r>
        <w:t xml:space="preserve">This has been another challenging year for Canberrans. The ongoing COVID-19 pandemic, together with the risks posed by the Delta variant and the associated need for lockdown restrictions, continues to be the most serious public health and economic emergency the Territory has faced. </w:t>
      </w:r>
    </w:p>
    <w:p w14:paraId="414AF8B6" w14:textId="77777777" w:rsidR="00BA7876" w:rsidRDefault="00BA7876" w:rsidP="00A54947">
      <w:pPr>
        <w:pStyle w:val="Bbodytext"/>
        <w:keepNext/>
        <w:keepLines/>
      </w:pPr>
      <w:r>
        <w:t>The 2021-22 Budget continues to be guided by the principles that have underpinned our response over the past 18 months:</w:t>
      </w:r>
    </w:p>
    <w:p w14:paraId="7434322F" w14:textId="3E1373E5" w:rsidR="00BA7876" w:rsidRDefault="00BA7876" w:rsidP="00BA7876">
      <w:pPr>
        <w:pStyle w:val="Bbodytext"/>
        <w:keepNext/>
        <w:keepLines/>
        <w:numPr>
          <w:ilvl w:val="0"/>
          <w:numId w:val="13"/>
        </w:numPr>
      </w:pPr>
      <w:r>
        <w:t>Investing in healthcare and essential services</w:t>
      </w:r>
      <w:r w:rsidR="00895E0A">
        <w:t>;</w:t>
      </w:r>
    </w:p>
    <w:p w14:paraId="11762DA3" w14:textId="77777777" w:rsidR="00BA7876" w:rsidRDefault="00BA7876" w:rsidP="00BA7876">
      <w:pPr>
        <w:pStyle w:val="Bbodytext"/>
        <w:keepNext/>
        <w:keepLines/>
        <w:numPr>
          <w:ilvl w:val="0"/>
          <w:numId w:val="13"/>
        </w:numPr>
      </w:pPr>
      <w:r>
        <w:t>Protecting and creating jobs; and</w:t>
      </w:r>
    </w:p>
    <w:p w14:paraId="7DC183BA" w14:textId="24065DE4" w:rsidR="00BA7876" w:rsidRDefault="00BA7876" w:rsidP="00BA7876">
      <w:pPr>
        <w:pStyle w:val="Bbodytext"/>
        <w:keepNext/>
        <w:keepLines/>
        <w:numPr>
          <w:ilvl w:val="0"/>
          <w:numId w:val="13"/>
        </w:numPr>
      </w:pPr>
      <w:r>
        <w:t>Protecting our most vulnerable</w:t>
      </w:r>
      <w:r w:rsidR="00950AE8">
        <w:t>.</w:t>
      </w:r>
    </w:p>
    <w:p w14:paraId="03E77BA6" w14:textId="77777777" w:rsidR="00BA7876" w:rsidRDefault="00BA7876" w:rsidP="00E45372">
      <w:pPr>
        <w:pStyle w:val="Bbodytext"/>
        <w:keepNext/>
        <w:keepLines/>
        <w:spacing w:before="240"/>
      </w:pPr>
      <w:r w:rsidRPr="00BF0057">
        <w:rPr>
          <w:b/>
          <w:bCs/>
        </w:rPr>
        <w:t>The 2021-22 Budget lays the groundwork for a rapid and sustained economic and jobs recovery</w:t>
      </w:r>
      <w:r>
        <w:rPr>
          <w:b/>
          <w:bCs/>
        </w:rPr>
        <w:t xml:space="preserve"> – as we work towards our target of 250,000 local jobs by 2025</w:t>
      </w:r>
      <w:r w:rsidRPr="00BF0057">
        <w:rPr>
          <w:b/>
          <w:bCs/>
        </w:rPr>
        <w:t>.</w:t>
      </w:r>
    </w:p>
    <w:p w14:paraId="627F3332" w14:textId="77777777" w:rsidR="00BA7876" w:rsidRDefault="00BA7876" w:rsidP="00A54947">
      <w:pPr>
        <w:pStyle w:val="Bbodytext"/>
        <w:keepNext/>
        <w:keepLines/>
      </w:pPr>
      <w:r>
        <w:t>This Budget continues the Government’s investment in healthcare and essential services, including more than $500</w:t>
      </w:r>
      <w:r w:rsidRPr="00407E43">
        <w:t xml:space="preserve"> million over four years to </w:t>
      </w:r>
      <w:r>
        <w:t>meet immediate challenges and, in the longer term, to respond</w:t>
      </w:r>
      <w:r w:rsidRPr="00407E43">
        <w:t xml:space="preserve"> to growing demand for core services and the increased complexity of health service delivery</w:t>
      </w:r>
      <w:r>
        <w:t xml:space="preserve">. This includes the continuation of essential </w:t>
      </w:r>
      <w:r w:rsidRPr="00880F7D">
        <w:t>C</w:t>
      </w:r>
      <w:r>
        <w:t>OVID</w:t>
      </w:r>
      <w:r w:rsidRPr="00880F7D">
        <w:t>-19 health initiatives such as the</w:t>
      </w:r>
      <w:r>
        <w:t xml:space="preserve"> vaccination program, the</w:t>
      </w:r>
      <w:r w:rsidRPr="00880F7D">
        <w:t xml:space="preserve"> Health Emergency Control Centre, quarantine and compliance activities, hospital and testing services, additional cleaning of public schools and public transport, and Pandemic Response and Public Information teams.</w:t>
      </w:r>
    </w:p>
    <w:p w14:paraId="44DBDF3A" w14:textId="7F1552C1" w:rsidR="00BA7876" w:rsidRDefault="00BA7876" w:rsidP="00A54947">
      <w:pPr>
        <w:pStyle w:val="Bbodytext"/>
        <w:keepNext/>
        <w:keepLines/>
      </w:pPr>
      <w:r>
        <w:t>Since the start of the pandemic the ACT Government has provided over $475 million in economic support. Most recently</w:t>
      </w:r>
      <w:r w:rsidR="00AA308D">
        <w:t>,</w:t>
      </w:r>
      <w:r>
        <w:t xml:space="preserve"> this includes, t</w:t>
      </w:r>
      <w:r w:rsidRPr="00C94053">
        <w:t xml:space="preserve">he COVID-19 Business Support Grants, Small Business Hardship Scheme and the </w:t>
      </w:r>
      <w:r w:rsidR="009E0456">
        <w:rPr>
          <w:szCs w:val="24"/>
        </w:rPr>
        <w:t xml:space="preserve">COVID-19 </w:t>
      </w:r>
      <w:r w:rsidR="009E0456" w:rsidRPr="000C5FE6">
        <w:rPr>
          <w:szCs w:val="24"/>
        </w:rPr>
        <w:t>Tourism, Accommodation Provider</w:t>
      </w:r>
      <w:r w:rsidR="009E0456">
        <w:rPr>
          <w:szCs w:val="24"/>
        </w:rPr>
        <w:t xml:space="preserve">, </w:t>
      </w:r>
      <w:r w:rsidR="009E0456" w:rsidRPr="000C5FE6">
        <w:rPr>
          <w:szCs w:val="24"/>
        </w:rPr>
        <w:t>Hospitality</w:t>
      </w:r>
      <w:r w:rsidR="009E0456">
        <w:rPr>
          <w:szCs w:val="24"/>
        </w:rPr>
        <w:t>, Arts and Events and Fitness</w:t>
      </w:r>
      <w:r w:rsidR="009E0456" w:rsidRPr="000C5FE6">
        <w:rPr>
          <w:szCs w:val="24"/>
        </w:rPr>
        <w:t xml:space="preserve"> Industry </w:t>
      </w:r>
      <w:r w:rsidR="009E0456">
        <w:rPr>
          <w:szCs w:val="24"/>
        </w:rPr>
        <w:t xml:space="preserve">Grants </w:t>
      </w:r>
      <w:r w:rsidR="009E0456">
        <w:t xml:space="preserve">that </w:t>
      </w:r>
      <w:r w:rsidRPr="00C94053">
        <w:t>will provide economic and financial support for adversely affected ACT businesses enabling them to get back on their feet as restrictions are gradually eased. In a joint partnership with the Commonwealth Government, the COVID</w:t>
      </w:r>
      <w:r>
        <w:noBreakHyphen/>
      </w:r>
      <w:r w:rsidRPr="00C94053">
        <w:t>19 Business Support Grants will be paid to all eligible businesses that have been significantly impacted by the health orders and restrictions until we achieve the high vaccination rates that will allow us to ease restrictions</w:t>
      </w:r>
      <w:r>
        <w:t>, consistent with the Pathway Forward</w:t>
      </w:r>
      <w:r w:rsidRPr="00C94053">
        <w:t xml:space="preserve">. </w:t>
      </w:r>
      <w:r>
        <w:t>Additional support for businesses and households is also being provided through</w:t>
      </w:r>
      <w:r w:rsidRPr="005A29EA">
        <w:t xml:space="preserve"> residential and commercial tenancy relief and the waiver of a range of fees and charges.</w:t>
      </w:r>
    </w:p>
    <w:p w14:paraId="420F9AA6" w14:textId="77777777" w:rsidR="00BA7876" w:rsidRPr="00277497" w:rsidRDefault="00BA7876" w:rsidP="00992D17">
      <w:pPr>
        <w:pStyle w:val="Bbodytext"/>
        <w:keepNext/>
        <w:keepLines/>
      </w:pPr>
      <w:r w:rsidRPr="003A7279">
        <w:t xml:space="preserve">The </w:t>
      </w:r>
      <w:r w:rsidRPr="003A7279">
        <w:rPr>
          <w:szCs w:val="24"/>
        </w:rPr>
        <w:t xml:space="preserve">pandemic has </w:t>
      </w:r>
      <w:r>
        <w:rPr>
          <w:szCs w:val="24"/>
        </w:rPr>
        <w:t xml:space="preserve">impacted </w:t>
      </w:r>
      <w:r w:rsidRPr="003A7279">
        <w:rPr>
          <w:szCs w:val="24"/>
        </w:rPr>
        <w:t>the mental health of Canberrans</w:t>
      </w:r>
      <w:r>
        <w:rPr>
          <w:szCs w:val="24"/>
        </w:rPr>
        <w:t>. This</w:t>
      </w:r>
      <w:r w:rsidRPr="003A7279">
        <w:rPr>
          <w:szCs w:val="24"/>
        </w:rPr>
        <w:t xml:space="preserve"> is why </w:t>
      </w:r>
      <w:r w:rsidRPr="00023E8C">
        <w:rPr>
          <w:szCs w:val="24"/>
        </w:rPr>
        <w:t>the Government has again increas</w:t>
      </w:r>
      <w:r>
        <w:rPr>
          <w:szCs w:val="24"/>
        </w:rPr>
        <w:t>ed its investment in essential</w:t>
      </w:r>
      <w:r w:rsidRPr="00023E8C">
        <w:rPr>
          <w:szCs w:val="24"/>
        </w:rPr>
        <w:t xml:space="preserve"> support measures for mental health and community services. We have worked closely with our community service </w:t>
      </w:r>
      <w:r>
        <w:rPr>
          <w:szCs w:val="24"/>
        </w:rPr>
        <w:t>delivery partners</w:t>
      </w:r>
      <w:r w:rsidRPr="00023E8C">
        <w:rPr>
          <w:szCs w:val="24"/>
        </w:rPr>
        <w:t xml:space="preserve"> to develop a mental health and community health care package that will boost existing services and provide greater support for vulnerable Canberrans and improve the community’s wellbeing</w:t>
      </w:r>
      <w:r>
        <w:rPr>
          <w:szCs w:val="24"/>
        </w:rPr>
        <w:t>.</w:t>
      </w:r>
    </w:p>
    <w:p w14:paraId="6BAC9F54" w14:textId="77777777" w:rsidR="00BA7876" w:rsidRDefault="00BA7876" w:rsidP="00A54947">
      <w:pPr>
        <w:pStyle w:val="Bbodytext"/>
        <w:keepNext/>
        <w:keepLines/>
      </w:pPr>
      <w:r w:rsidRPr="00C94053">
        <w:t xml:space="preserve">The extension of the </w:t>
      </w:r>
      <w:r w:rsidRPr="00950AE8">
        <w:t>JobTrainer</w:t>
      </w:r>
      <w:r w:rsidRPr="00C94053">
        <w:t xml:space="preserve"> program will continue to provide free courses over the next two years to support young people to gain critical skills and assist them in the employment market</w:t>
      </w:r>
      <w:r>
        <w:t xml:space="preserve">, with the provision of 2,500 additional training places. </w:t>
      </w:r>
    </w:p>
    <w:p w14:paraId="58694F3A" w14:textId="6B366B08" w:rsidR="00BA7876" w:rsidRPr="00F72E4D" w:rsidRDefault="00BA7876" w:rsidP="00AA7821">
      <w:pPr>
        <w:pStyle w:val="Bbodytext"/>
      </w:pPr>
      <w:r>
        <w:lastRenderedPageBreak/>
        <w:t xml:space="preserve">Through this Budget, the Government has established our largest-ever Infrastructure Investment Program with funding of </w:t>
      </w:r>
      <w:r w:rsidRPr="004D3AA8">
        <w:t>$</w:t>
      </w:r>
      <w:r>
        <w:t>5</w:t>
      </w:r>
      <w:r w:rsidRPr="004D3AA8">
        <w:t> billion</w:t>
      </w:r>
      <w:r>
        <w:t xml:space="preserve"> over the five years to 2025</w:t>
      </w:r>
      <w:r>
        <w:noBreakHyphen/>
        <w:t xml:space="preserve">26. Priority projects funded through this program </w:t>
      </w:r>
      <w:proofErr w:type="gramStart"/>
      <w:r>
        <w:t>include</w:t>
      </w:r>
      <w:r w:rsidR="007905AC">
        <w:t>:</w:t>
      </w:r>
      <w:proofErr w:type="gramEnd"/>
      <w:r>
        <w:t xml:space="preserve"> progressing Light Rail Stage 2</w:t>
      </w:r>
      <w:r w:rsidR="00AA308D">
        <w:t>;</w:t>
      </w:r>
      <w:r>
        <w:t xml:space="preserve"> the Canberra Hospital Expansion</w:t>
      </w:r>
      <w:r w:rsidR="00AA308D">
        <w:t>;</w:t>
      </w:r>
      <w:r>
        <w:t xml:space="preserve"> the new CIT Woden Campus</w:t>
      </w:r>
      <w:r w:rsidR="00AA308D">
        <w:t>;</w:t>
      </w:r>
      <w:r>
        <w:t xml:space="preserve"> growing and renewing more public housing</w:t>
      </w:r>
      <w:r w:rsidR="00AA308D">
        <w:t>;</w:t>
      </w:r>
      <w:r>
        <w:t xml:space="preserve"> planning for new hospital infrastructure in Canberra’s north</w:t>
      </w:r>
      <w:r w:rsidR="00AA308D">
        <w:t>;</w:t>
      </w:r>
      <w:r>
        <w:t xml:space="preserve"> additional walk-in centres</w:t>
      </w:r>
      <w:r w:rsidR="00AA308D">
        <w:t>;</w:t>
      </w:r>
      <w:r>
        <w:t xml:space="preserve"> and building new and expanding schools in Gungahlin for current and future generations.</w:t>
      </w:r>
    </w:p>
    <w:p w14:paraId="5B114BB2" w14:textId="77777777" w:rsidR="00BA7876" w:rsidRDefault="00BA7876" w:rsidP="005A505E">
      <w:pPr>
        <w:pStyle w:val="Heading3"/>
      </w:pPr>
      <w:r>
        <w:t>2021-22 Budget Context</w:t>
      </w:r>
    </w:p>
    <w:p w14:paraId="4191CD85" w14:textId="094F0A1F" w:rsidR="00BA7876" w:rsidRDefault="00BA7876" w:rsidP="00CF7C81">
      <w:pPr>
        <w:pStyle w:val="Bbodytext"/>
      </w:pPr>
      <w:r>
        <w:t>The 2021-22 Budget, like the previous budget, is framed in the context of an ongoing, and evolving, global health pandemic. Across most Australian jurisdictions, COVID</w:t>
      </w:r>
      <w:r>
        <w:noBreakHyphen/>
        <w:t xml:space="preserve">19 response packages have resulted in substantial increases to public expenditure and, together with tax concessions and other measures to forgo revenue, </w:t>
      </w:r>
      <w:r w:rsidR="001D575A">
        <w:t xml:space="preserve">have had </w:t>
      </w:r>
      <w:r>
        <w:t xml:space="preserve">significant impacts on public finances. </w:t>
      </w:r>
    </w:p>
    <w:p w14:paraId="118649B3" w14:textId="30BAEA78" w:rsidR="00BA7876" w:rsidRPr="005A505E" w:rsidRDefault="00BA7876" w:rsidP="00682393">
      <w:pPr>
        <w:pStyle w:val="Bbodytext"/>
      </w:pPr>
      <w:r w:rsidRPr="005A505E">
        <w:t xml:space="preserve">Delivery of the 2021-22 Budget was initially scheduled for 31 August 2021. However, </w:t>
      </w:r>
      <w:r>
        <w:t xml:space="preserve">the lockdown restrictions that were put in place in the Territory </w:t>
      </w:r>
      <w:r w:rsidRPr="005A505E">
        <w:t xml:space="preserve">on </w:t>
      </w:r>
      <w:r>
        <w:t>12 </w:t>
      </w:r>
      <w:r w:rsidRPr="005A505E">
        <w:t xml:space="preserve">August 2021 </w:t>
      </w:r>
      <w:r>
        <w:t xml:space="preserve">have needed to be progressively </w:t>
      </w:r>
      <w:proofErr w:type="gramStart"/>
      <w:r>
        <w:t>extended</w:t>
      </w:r>
      <w:r w:rsidR="00AA308D">
        <w:t>,</w:t>
      </w:r>
      <w:r>
        <w:t xml:space="preserve"> and</w:t>
      </w:r>
      <w:proofErr w:type="gramEnd"/>
      <w:r>
        <w:t xml:space="preserve"> are now expected to lift on 15 October 2021. As a result,</w:t>
      </w:r>
      <w:r w:rsidRPr="005A505E">
        <w:t xml:space="preserve"> the 2021 Assembly sitting program </w:t>
      </w:r>
      <w:r>
        <w:t>was revised and</w:t>
      </w:r>
      <w:r w:rsidRPr="005A505E">
        <w:t xml:space="preserve"> the delivery of the Budget rescheduled to 6 October</w:t>
      </w:r>
      <w:r>
        <w:t xml:space="preserve"> 2021</w:t>
      </w:r>
      <w:r w:rsidRPr="005A505E">
        <w:t xml:space="preserve">. </w:t>
      </w:r>
      <w:r>
        <w:t>The deferral of the budget acknowledged the need to develop and implement additional</w:t>
      </w:r>
      <w:r w:rsidRPr="005A505E">
        <w:t xml:space="preserve"> public health and business and community support </w:t>
      </w:r>
      <w:r>
        <w:t xml:space="preserve">initiatives. </w:t>
      </w:r>
    </w:p>
    <w:p w14:paraId="67C61E75" w14:textId="77777777" w:rsidR="00BA7876" w:rsidRPr="005A505E" w:rsidRDefault="00BA7876" w:rsidP="00682393">
      <w:pPr>
        <w:pStyle w:val="Bbodytext"/>
      </w:pPr>
      <w:r>
        <w:t>To provide for the continuing operation of government,</w:t>
      </w:r>
      <w:r w:rsidRPr="005A505E">
        <w:t xml:space="preserve"> time-limited amendments to the </w:t>
      </w:r>
      <w:r w:rsidRPr="000A40B6">
        <w:rPr>
          <w:i/>
          <w:iCs/>
        </w:rPr>
        <w:t>Financial Management Act 1996</w:t>
      </w:r>
      <w:r w:rsidRPr="005A505E">
        <w:t xml:space="preserve"> (FMA) were introduced </w:t>
      </w:r>
      <w:r>
        <w:t xml:space="preserve">and passed in </w:t>
      </w:r>
      <w:r w:rsidRPr="005A505E">
        <w:t>the ACT Legislative Assembly on 16 September 2021</w:t>
      </w:r>
      <w:r>
        <w:t xml:space="preserve">, </w:t>
      </w:r>
      <w:r w:rsidRPr="005A505E">
        <w:t>increasing the funding available during the 202</w:t>
      </w:r>
      <w:r>
        <w:t>1</w:t>
      </w:r>
      <w:r w:rsidRPr="005A505E">
        <w:t>-2</w:t>
      </w:r>
      <w:r>
        <w:t>2</w:t>
      </w:r>
      <w:r w:rsidRPr="005A505E">
        <w:t xml:space="preserve"> supply period to 75 per cent of the appropriation available in 2020-21. This temporary increase in the appropriation available under the supply provisions ensure</w:t>
      </w:r>
      <w:r>
        <w:t>s</w:t>
      </w:r>
      <w:r w:rsidRPr="005A505E">
        <w:t xml:space="preserve"> the continued operation of Government services, including those that are essential to the ACT community</w:t>
      </w:r>
      <w:r>
        <w:t>. Similar arrangements were put in place for the 2020-21 Budget.</w:t>
      </w:r>
    </w:p>
    <w:p w14:paraId="368B64D1" w14:textId="77777777" w:rsidR="00BA7876" w:rsidRDefault="00BA7876" w:rsidP="00CF7C81">
      <w:pPr>
        <w:pStyle w:val="Bbodytext"/>
      </w:pPr>
      <w:r w:rsidRPr="005A505E">
        <w:t xml:space="preserve">Other amendments </w:t>
      </w:r>
      <w:r>
        <w:t>were also made to</w:t>
      </w:r>
      <w:r w:rsidRPr="005A505E">
        <w:t xml:space="preserve"> increase the limit to Treasurer’s Advance funding for the 2021-22 financial year to 5 per cent of the Appropriation Acts for the year and extend</w:t>
      </w:r>
      <w:r>
        <w:t xml:space="preserve"> </w:t>
      </w:r>
      <w:r w:rsidRPr="005A505E">
        <w:t>the timeframes for the 2020-21 annual financial statements of the Territory by one month, with the Auditor-General’s audit opinion due to the Treasurer by 30 November 2021.</w:t>
      </w:r>
    </w:p>
    <w:p w14:paraId="1CA77880" w14:textId="77777777" w:rsidR="00BA7876" w:rsidRDefault="00BA7876" w:rsidP="00084B0F">
      <w:pPr>
        <w:pStyle w:val="Bbodytext"/>
      </w:pPr>
      <w:r>
        <w:t xml:space="preserve">Financial estimates in the budget and forward years are prepared to reflect existing operations and the impact of new policy decisions taken by Government, where the financial impact can be reliably estimated. The estimates also consider other economic and financial data available until the time of preparation, including Commonwealth Government funding decisions announced in the 2021-22 Commonwealth Budget. </w:t>
      </w:r>
    </w:p>
    <w:p w14:paraId="5FC6806B" w14:textId="77777777" w:rsidR="00BA7876" w:rsidRDefault="00BA7876" w:rsidP="00455925">
      <w:pPr>
        <w:pStyle w:val="Bbodytext"/>
      </w:pPr>
      <w:r>
        <w:t xml:space="preserve">The financial statements included in this document are consistent with the requirements of the Uniform Presentation Framework. </w:t>
      </w:r>
      <w:r w:rsidRPr="00BF52AC">
        <w:t>The 2020-21 interim outcome</w:t>
      </w:r>
      <w:r>
        <w:t>, which was unaudited at the time of preparation of these Budget Statements,</w:t>
      </w:r>
      <w:r w:rsidRPr="00BF52AC">
        <w:t xml:space="preserve"> </w:t>
      </w:r>
      <w:r>
        <w:t xml:space="preserve">is used in the financial statements for comparison purposes and elsewhere in the document where possible. </w:t>
      </w:r>
    </w:p>
    <w:p w14:paraId="5D39725E" w14:textId="77777777" w:rsidR="00BA7876" w:rsidRDefault="00BA7876" w:rsidP="00E15C90">
      <w:pPr>
        <w:pStyle w:val="Bbodytext"/>
      </w:pPr>
      <w:r>
        <w:t xml:space="preserve">Where significant issues have been identified but are not certain, or are unable to be quantified with reasonable certainty, they have been identified as potential risks to the estimates. These risks may have either positive or negative budgetary implications. </w:t>
      </w:r>
    </w:p>
    <w:p w14:paraId="7FE576C2" w14:textId="77777777" w:rsidR="00BA7876" w:rsidRPr="00510954" w:rsidRDefault="00BA7876" w:rsidP="009B17C3">
      <w:pPr>
        <w:pStyle w:val="Heading3"/>
      </w:pPr>
      <w:r>
        <w:lastRenderedPageBreak/>
        <w:t>Fiscal Outlook</w:t>
      </w:r>
    </w:p>
    <w:p w14:paraId="2109DEEC" w14:textId="77777777" w:rsidR="00BA7876" w:rsidRDefault="00BA7876" w:rsidP="009B17C3">
      <w:pPr>
        <w:pStyle w:val="Bbodytext"/>
        <w:keepNext/>
        <w:keepLines/>
        <w:rPr>
          <w:szCs w:val="24"/>
        </w:rPr>
      </w:pPr>
      <w:r>
        <w:rPr>
          <w:szCs w:val="24"/>
        </w:rPr>
        <w:t>T</w:t>
      </w:r>
      <w:r w:rsidRPr="35D64318">
        <w:rPr>
          <w:szCs w:val="24"/>
        </w:rPr>
        <w:t xml:space="preserve">he COVID-19 pandemic </w:t>
      </w:r>
      <w:r>
        <w:rPr>
          <w:szCs w:val="24"/>
        </w:rPr>
        <w:t>is</w:t>
      </w:r>
      <w:r w:rsidRPr="35D64318">
        <w:rPr>
          <w:szCs w:val="24"/>
        </w:rPr>
        <w:t xml:space="preserve"> the most significant </w:t>
      </w:r>
      <w:r>
        <w:rPr>
          <w:szCs w:val="24"/>
        </w:rPr>
        <w:t xml:space="preserve">shock </w:t>
      </w:r>
      <w:r w:rsidRPr="35D64318">
        <w:rPr>
          <w:szCs w:val="24"/>
        </w:rPr>
        <w:t xml:space="preserve">faced in the Territory’s history. </w:t>
      </w:r>
    </w:p>
    <w:p w14:paraId="12B9D3B0" w14:textId="77777777" w:rsidR="00BA7876" w:rsidRDefault="00BA7876" w:rsidP="009B17C3">
      <w:pPr>
        <w:pStyle w:val="Bbodytext"/>
        <w:keepNext/>
        <w:keepLines/>
      </w:pPr>
      <w:r w:rsidRPr="00A82E0E">
        <w:t xml:space="preserve">The </w:t>
      </w:r>
      <w:r>
        <w:t>Territory’s</w:t>
      </w:r>
      <w:r w:rsidRPr="00A82E0E">
        <w:t xml:space="preserve"> fiscal position will remain in deficit over the forward estimates period, </w:t>
      </w:r>
      <w:r>
        <w:t>with a significant increase in 2021-22,</w:t>
      </w:r>
      <w:r w:rsidRPr="00A82E0E">
        <w:t xml:space="preserve"> as a consequence of the Government’s ongoing and expanded support efforts in response to the</w:t>
      </w:r>
      <w:r>
        <w:t xml:space="preserve"> pandemic</w:t>
      </w:r>
      <w:r w:rsidRPr="00A82E0E">
        <w:t>.</w:t>
      </w:r>
      <w:r>
        <w:t xml:space="preserve"> Given the uncertainty around the evolving public health situation, additional support measures may be </w:t>
      </w:r>
      <w:proofErr w:type="gramStart"/>
      <w:r>
        <w:t>required</w:t>
      </w:r>
      <w:proofErr w:type="gramEnd"/>
      <w:r>
        <w:t xml:space="preserve"> and the Government has made provision for these.</w:t>
      </w:r>
    </w:p>
    <w:p w14:paraId="7DFAB324" w14:textId="77777777" w:rsidR="00BA7876" w:rsidRPr="00BF3127" w:rsidRDefault="00BA7876" w:rsidP="009B17C3">
      <w:pPr>
        <w:pStyle w:val="Heading3"/>
      </w:pPr>
      <w:r>
        <w:t>The ACT economy</w:t>
      </w:r>
    </w:p>
    <w:p w14:paraId="15B772BA" w14:textId="77777777" w:rsidR="00BA7876" w:rsidRDefault="00BA7876" w:rsidP="009B17C3">
      <w:pPr>
        <w:pStyle w:val="Bbodytext"/>
      </w:pPr>
      <w:r w:rsidRPr="007F477C">
        <w:t>The</w:t>
      </w:r>
      <w:r>
        <w:t xml:space="preserve"> ACT economy </w:t>
      </w:r>
      <w:r w:rsidRPr="007F477C">
        <w:t xml:space="preserve">has </w:t>
      </w:r>
      <w:r>
        <w:t xml:space="preserve">weathered the first 18 months of the COVID-19 pandemic reasonably well. </w:t>
      </w:r>
      <w:r w:rsidRPr="007F477C">
        <w:t>Strong public sector spending has bolstered growth, both directly in responding to the public</w:t>
      </w:r>
      <w:r>
        <w:t xml:space="preserve"> health impacts of the pandemic and through the provision of support to households and businesses while private sector activity has progressively recovered.</w:t>
      </w:r>
    </w:p>
    <w:p w14:paraId="39B90CC8" w14:textId="77777777" w:rsidR="00BA7876" w:rsidRDefault="00BA7876" w:rsidP="009B17C3">
      <w:pPr>
        <w:pStyle w:val="Bbodytext"/>
        <w:keepNext/>
        <w:keepLines/>
      </w:pPr>
      <w:r w:rsidRPr="007F477C">
        <w:t>Although</w:t>
      </w:r>
      <w:r>
        <w:t xml:space="preserve"> uncertainty remains</w:t>
      </w:r>
      <w:r w:rsidRPr="007F477C">
        <w:t xml:space="preserve"> </w:t>
      </w:r>
      <w:r>
        <w:t xml:space="preserve">around the public health outlook, the economy is expected to display similar resilience in the face of the Delta-variant outbreak and associated lockdown restrictions. </w:t>
      </w:r>
    </w:p>
    <w:p w14:paraId="0B2C2BE0" w14:textId="77777777" w:rsidR="00BA7876" w:rsidRDefault="00BA7876" w:rsidP="00D76E76">
      <w:pPr>
        <w:pStyle w:val="Bbodytext"/>
        <w:keepNext/>
        <w:keepLines/>
      </w:pPr>
      <w:r w:rsidRPr="00BF0057">
        <w:rPr>
          <w:b/>
          <w:bCs/>
        </w:rPr>
        <w:t>While economic activity is expected to decline sharply in the September quarter 2021, this setback to growth is expected to be temporary, with the recovery gathering significant momentum into 2022.</w:t>
      </w:r>
      <w:r>
        <w:t xml:space="preserve"> Household consumption is expected to rebound as restrictions are eased, which in turn is expected to encourage businesses to invest. There is also a significant pipeline of public investment that will support activity and jobs through the recovery and into the future.</w:t>
      </w:r>
    </w:p>
    <w:p w14:paraId="389BF456" w14:textId="77A077AD" w:rsidR="00BA7876" w:rsidRDefault="00BA7876">
      <w:pPr>
        <w:pStyle w:val="Bbodytext"/>
      </w:pPr>
      <w:r>
        <w:t>Border closures, both domestic and international, have significantly affected the labour market, resulting in the emergence of labour shortages for both skilled and unskilled jobs. The expected opening of international borders and greater freedom of movement domestically as vaccination thresholds are reached will be an important part of addressing this issue which will be key to the recovery of the economy.</w:t>
      </w:r>
    </w:p>
    <w:p w14:paraId="621C2B1F" w14:textId="6DAF2717" w:rsidR="00FB1212" w:rsidRDefault="00FB1212">
      <w:pPr>
        <w:rPr>
          <w:sz w:val="24"/>
        </w:rPr>
      </w:pPr>
      <w:r>
        <w:br w:type="page"/>
      </w:r>
    </w:p>
    <w:p w14:paraId="51F9576A" w14:textId="77777777" w:rsidR="00BA7876" w:rsidRDefault="00BA7876" w:rsidP="00972601">
      <w:pPr>
        <w:pStyle w:val="Bbodytext"/>
        <w:keepNext/>
        <w:keepLines/>
      </w:pPr>
      <w:r>
        <w:lastRenderedPageBreak/>
        <w:t>T</w:t>
      </w:r>
      <w:r w:rsidRPr="0141EC07">
        <w:t>he ACT’s key economic aggregates are set out in Table 1.</w:t>
      </w:r>
      <w:r>
        <w:t>1</w:t>
      </w:r>
      <w:r w:rsidRPr="0141EC07">
        <w:t>.1 below.</w:t>
      </w:r>
    </w:p>
    <w:p w14:paraId="157DEB78" w14:textId="3BF8CB29" w:rsidR="00BA7876" w:rsidRPr="00111524" w:rsidRDefault="00BA7876" w:rsidP="009B17C3">
      <w:pPr>
        <w:pStyle w:val="Caption"/>
      </w:pPr>
      <w:r w:rsidRPr="00111524">
        <w:t xml:space="preserve">Table </w:t>
      </w:r>
      <w:r w:rsidR="00AA34A5">
        <w:fldChar w:fldCharType="begin"/>
      </w:r>
      <w:r w:rsidR="00AA34A5">
        <w:instrText xml:space="preserve"> STYLEREF</w:instrText>
      </w:r>
      <w:r w:rsidR="00AA34A5">
        <w:instrText xml:space="preserve"> 2 \s </w:instrText>
      </w:r>
      <w:r w:rsidR="00AA34A5">
        <w:fldChar w:fldCharType="separate"/>
      </w:r>
      <w:r w:rsidR="00462B69">
        <w:rPr>
          <w:noProof/>
        </w:rPr>
        <w:t>1.1</w:t>
      </w:r>
      <w:r w:rsidR="00AA34A5">
        <w:rPr>
          <w:noProof/>
        </w:rPr>
        <w:fldChar w:fldCharType="end"/>
      </w:r>
      <w:r w:rsidRPr="00111524">
        <w:t>.</w:t>
      </w:r>
      <w:r w:rsidR="00AA34A5">
        <w:fldChar w:fldCharType="begin"/>
      </w:r>
      <w:r w:rsidR="00AA34A5">
        <w:instrText xml:space="preserve"> SEQ Table \* ARABIC \s 2 </w:instrText>
      </w:r>
      <w:r w:rsidR="00AA34A5">
        <w:fldChar w:fldCharType="separate"/>
      </w:r>
      <w:r w:rsidR="00462B69">
        <w:rPr>
          <w:noProof/>
        </w:rPr>
        <w:t>1</w:t>
      </w:r>
      <w:r w:rsidR="00AA34A5">
        <w:rPr>
          <w:noProof/>
        </w:rPr>
        <w:fldChar w:fldCharType="end"/>
      </w:r>
      <w:r w:rsidRPr="00111524">
        <w:t xml:space="preserve"> </w:t>
      </w:r>
      <w:r w:rsidRPr="00E55B7D">
        <w:t>Economic</w:t>
      </w:r>
      <w:r w:rsidRPr="009262F7">
        <w:t xml:space="preserve"> parameters, 202</w:t>
      </w:r>
      <w:r>
        <w:t>1</w:t>
      </w:r>
      <w:r w:rsidRPr="009262F7">
        <w:t>-2</w:t>
      </w:r>
      <w:r>
        <w:t xml:space="preserve">2 </w:t>
      </w:r>
      <w:r w:rsidRPr="009262F7">
        <w:t>Budget, baseline forecasts, percentage change</w:t>
      </w:r>
      <w:r>
        <w:t xml:space="preserve"> </w:t>
      </w:r>
    </w:p>
    <w:tbl>
      <w:tblPr>
        <w:tblW w:w="5000" w:type="pct"/>
        <w:tblCellMar>
          <w:left w:w="85" w:type="dxa"/>
          <w:right w:w="0" w:type="dxa"/>
        </w:tblCellMar>
        <w:tblLook w:val="04A0" w:firstRow="1" w:lastRow="0" w:firstColumn="1" w:lastColumn="0" w:noHBand="0" w:noVBand="1"/>
      </w:tblPr>
      <w:tblGrid>
        <w:gridCol w:w="2450"/>
        <w:gridCol w:w="1096"/>
        <w:gridCol w:w="1096"/>
        <w:gridCol w:w="1096"/>
        <w:gridCol w:w="1096"/>
        <w:gridCol w:w="1096"/>
        <w:gridCol w:w="1096"/>
      </w:tblGrid>
      <w:tr w:rsidR="00BA7876" w:rsidRPr="008F5D57" w14:paraId="07F19B8D" w14:textId="77777777" w:rsidTr="00FA0061">
        <w:trPr>
          <w:trHeight w:val="156"/>
        </w:trPr>
        <w:tc>
          <w:tcPr>
            <w:tcW w:w="1358" w:type="pct"/>
            <w:shd w:val="clear" w:color="auto" w:fill="472D8C"/>
          </w:tcPr>
          <w:p w14:paraId="1ABF1EDB" w14:textId="77777777" w:rsidR="00BA7876" w:rsidRPr="00111524" w:rsidRDefault="00BA7876" w:rsidP="00AB5B56">
            <w:pPr>
              <w:rPr>
                <w:rFonts w:cs="Calibri"/>
                <w:b/>
                <w:color w:val="FFFFFF" w:themeColor="background1"/>
                <w:sz w:val="20"/>
              </w:rPr>
            </w:pPr>
            <w:r w:rsidRPr="15AC8707">
              <w:rPr>
                <w:bCs/>
              </w:rPr>
              <w:t xml:space="preserve"> </w:t>
            </w:r>
          </w:p>
        </w:tc>
        <w:tc>
          <w:tcPr>
            <w:tcW w:w="607" w:type="pct"/>
            <w:shd w:val="clear" w:color="auto" w:fill="472D8C"/>
          </w:tcPr>
          <w:p w14:paraId="310F7D3E" w14:textId="77777777" w:rsidR="00BA7876" w:rsidRPr="00111524" w:rsidRDefault="00BA7876" w:rsidP="00AB5B56">
            <w:pPr>
              <w:pStyle w:val="BTableHeadingRowRightAligned"/>
              <w:rPr>
                <w:color w:val="FFFFFF" w:themeColor="background1"/>
              </w:rPr>
            </w:pPr>
            <w:r w:rsidRPr="00111524">
              <w:rPr>
                <w:color w:val="FFFFFF" w:themeColor="background1"/>
              </w:rPr>
              <w:t>20</w:t>
            </w:r>
            <w:r>
              <w:rPr>
                <w:color w:val="FFFFFF" w:themeColor="background1"/>
              </w:rPr>
              <w:t>19</w:t>
            </w:r>
            <w:r w:rsidRPr="00111524">
              <w:rPr>
                <w:color w:val="FFFFFF" w:themeColor="background1"/>
              </w:rPr>
              <w:t>-2</w:t>
            </w:r>
            <w:r>
              <w:rPr>
                <w:color w:val="FFFFFF" w:themeColor="background1"/>
              </w:rPr>
              <w:t>0</w:t>
            </w:r>
            <w:r>
              <w:rPr>
                <w:color w:val="FFFFFF" w:themeColor="background1"/>
              </w:rPr>
              <w:br/>
              <w:t>Actual</w:t>
            </w:r>
          </w:p>
        </w:tc>
        <w:tc>
          <w:tcPr>
            <w:tcW w:w="607" w:type="pct"/>
            <w:shd w:val="clear" w:color="auto" w:fill="472D8C"/>
          </w:tcPr>
          <w:p w14:paraId="3A448A84" w14:textId="77777777" w:rsidR="00BA7876" w:rsidRPr="00111524" w:rsidRDefault="00BA7876" w:rsidP="00AB5B56">
            <w:pPr>
              <w:pStyle w:val="BTableHeadingRowRightAligned"/>
              <w:rPr>
                <w:color w:val="FFFFFF" w:themeColor="background1"/>
              </w:rPr>
            </w:pPr>
            <w:r w:rsidRPr="00111524">
              <w:rPr>
                <w:color w:val="FFFFFF" w:themeColor="background1"/>
              </w:rPr>
              <w:t>2020-21</w:t>
            </w:r>
            <w:r>
              <w:rPr>
                <w:color w:val="FFFFFF" w:themeColor="background1"/>
              </w:rPr>
              <w:br/>
              <w:t>Estimate</w:t>
            </w:r>
            <w:r>
              <w:rPr>
                <w:color w:val="FFFFFF" w:themeColor="background1"/>
              </w:rPr>
              <w:br/>
            </w:r>
          </w:p>
        </w:tc>
        <w:tc>
          <w:tcPr>
            <w:tcW w:w="607" w:type="pct"/>
            <w:shd w:val="clear" w:color="auto" w:fill="472D8C"/>
          </w:tcPr>
          <w:p w14:paraId="7282BF5E" w14:textId="77777777" w:rsidR="00BA7876" w:rsidRPr="00111524" w:rsidRDefault="00BA7876" w:rsidP="00AB5B56">
            <w:pPr>
              <w:pStyle w:val="BTableHeadingRowRightAligned"/>
              <w:rPr>
                <w:color w:val="FFFFFF" w:themeColor="background1"/>
              </w:rPr>
            </w:pPr>
            <w:r>
              <w:rPr>
                <w:color w:val="FFFFFF" w:themeColor="background1"/>
              </w:rPr>
              <w:t xml:space="preserve">2021-22 </w:t>
            </w:r>
            <w:r>
              <w:rPr>
                <w:color w:val="FFFFFF" w:themeColor="background1"/>
              </w:rPr>
              <w:br/>
              <w:t>Budget</w:t>
            </w:r>
          </w:p>
        </w:tc>
        <w:tc>
          <w:tcPr>
            <w:tcW w:w="607" w:type="pct"/>
            <w:shd w:val="clear" w:color="auto" w:fill="472D8C"/>
          </w:tcPr>
          <w:p w14:paraId="1CF47C0D" w14:textId="77777777" w:rsidR="00BA7876" w:rsidRPr="00111524" w:rsidRDefault="00BA7876" w:rsidP="00AB5B56">
            <w:pPr>
              <w:pStyle w:val="BTableHeadingRowRightAligned"/>
              <w:rPr>
                <w:color w:val="FFFFFF" w:themeColor="background1"/>
              </w:rPr>
            </w:pPr>
            <w:r>
              <w:rPr>
                <w:color w:val="FFFFFF" w:themeColor="background1"/>
              </w:rPr>
              <w:t>2022-23</w:t>
            </w:r>
            <w:r>
              <w:rPr>
                <w:color w:val="FFFFFF" w:themeColor="background1"/>
              </w:rPr>
              <w:br/>
              <w:t>Forecast</w:t>
            </w:r>
            <w:r>
              <w:rPr>
                <w:color w:val="FFFFFF" w:themeColor="background1"/>
              </w:rPr>
              <w:br/>
            </w:r>
          </w:p>
        </w:tc>
        <w:tc>
          <w:tcPr>
            <w:tcW w:w="607" w:type="pct"/>
            <w:shd w:val="clear" w:color="auto" w:fill="472D8C"/>
          </w:tcPr>
          <w:p w14:paraId="6A47BEC9" w14:textId="77777777" w:rsidR="00BA7876" w:rsidRPr="00111524" w:rsidRDefault="00BA7876" w:rsidP="002544DD">
            <w:pPr>
              <w:pStyle w:val="BTableHeadingRowRightAligned"/>
              <w:ind w:left="6" w:hanging="6"/>
              <w:rPr>
                <w:color w:val="FFFFFF" w:themeColor="background1"/>
              </w:rPr>
            </w:pPr>
            <w:r>
              <w:rPr>
                <w:color w:val="FFFFFF" w:themeColor="background1"/>
              </w:rPr>
              <w:t>2023-24</w:t>
            </w:r>
            <w:r>
              <w:rPr>
                <w:color w:val="FFFFFF" w:themeColor="background1"/>
              </w:rPr>
              <w:br/>
              <w:t>Projection</w:t>
            </w:r>
          </w:p>
        </w:tc>
        <w:tc>
          <w:tcPr>
            <w:tcW w:w="607" w:type="pct"/>
            <w:shd w:val="clear" w:color="auto" w:fill="472D8C"/>
          </w:tcPr>
          <w:p w14:paraId="5D6F0A79" w14:textId="77777777" w:rsidR="00BA7876" w:rsidRPr="00111524" w:rsidRDefault="00BA7876" w:rsidP="002544DD">
            <w:pPr>
              <w:pStyle w:val="BTableHeadingRowRightAligned"/>
              <w:ind w:left="51" w:hanging="51"/>
              <w:rPr>
                <w:color w:val="FFFFFF" w:themeColor="background1"/>
              </w:rPr>
            </w:pPr>
            <w:r>
              <w:rPr>
                <w:color w:val="FFFFFF" w:themeColor="background1"/>
              </w:rPr>
              <w:t>2024-25</w:t>
            </w:r>
            <w:r>
              <w:rPr>
                <w:color w:val="FFFFFF" w:themeColor="background1"/>
              </w:rPr>
              <w:br/>
              <w:t>Projection</w:t>
            </w:r>
          </w:p>
        </w:tc>
      </w:tr>
      <w:tr w:rsidR="00BA7876" w:rsidRPr="00337DC9" w14:paraId="027883FE" w14:textId="77777777" w:rsidTr="00FA0061">
        <w:trPr>
          <w:trHeight w:val="257"/>
        </w:trPr>
        <w:tc>
          <w:tcPr>
            <w:tcW w:w="1358" w:type="pct"/>
          </w:tcPr>
          <w:p w14:paraId="5AE930A9" w14:textId="77777777" w:rsidR="00BA7876" w:rsidRPr="00EC74DB" w:rsidRDefault="00BA7876" w:rsidP="00AB5B56">
            <w:pPr>
              <w:pStyle w:val="Btabletextbold"/>
            </w:pPr>
            <w:r w:rsidRPr="00EC74DB">
              <w:t>ACT</w:t>
            </w:r>
          </w:p>
        </w:tc>
        <w:tc>
          <w:tcPr>
            <w:tcW w:w="607" w:type="pct"/>
          </w:tcPr>
          <w:p w14:paraId="3EFCA554" w14:textId="77777777" w:rsidR="00BA7876" w:rsidRPr="00EC74DB" w:rsidRDefault="00BA7876" w:rsidP="00AB5B56">
            <w:pPr>
              <w:pStyle w:val="Btablefigureunbold"/>
            </w:pPr>
          </w:p>
        </w:tc>
        <w:tc>
          <w:tcPr>
            <w:tcW w:w="607" w:type="pct"/>
          </w:tcPr>
          <w:p w14:paraId="7D5F4A80" w14:textId="77777777" w:rsidR="00BA7876" w:rsidRPr="00EC74DB" w:rsidRDefault="00BA7876" w:rsidP="00AB5B56">
            <w:pPr>
              <w:pStyle w:val="Btablefigureunbold"/>
            </w:pPr>
          </w:p>
        </w:tc>
        <w:tc>
          <w:tcPr>
            <w:tcW w:w="607" w:type="pct"/>
            <w:shd w:val="clear" w:color="auto" w:fill="auto"/>
          </w:tcPr>
          <w:p w14:paraId="4BB9F92D" w14:textId="77777777" w:rsidR="00BA7876" w:rsidRPr="00EC74DB" w:rsidRDefault="00BA7876" w:rsidP="00AB5B56">
            <w:pPr>
              <w:pStyle w:val="Btablefigureunbold"/>
            </w:pPr>
          </w:p>
        </w:tc>
        <w:tc>
          <w:tcPr>
            <w:tcW w:w="607" w:type="pct"/>
            <w:shd w:val="clear" w:color="472D8C" w:fill="auto"/>
          </w:tcPr>
          <w:p w14:paraId="389903BF" w14:textId="77777777" w:rsidR="00BA7876" w:rsidRPr="00111524" w:rsidRDefault="00BA7876" w:rsidP="00AB5B56">
            <w:pPr>
              <w:pStyle w:val="Btablefigureunbold"/>
              <w:rPr>
                <w:color w:val="000000"/>
              </w:rPr>
            </w:pPr>
          </w:p>
        </w:tc>
        <w:tc>
          <w:tcPr>
            <w:tcW w:w="607" w:type="pct"/>
            <w:shd w:val="clear" w:color="auto" w:fill="auto"/>
          </w:tcPr>
          <w:p w14:paraId="61318C67" w14:textId="77777777" w:rsidR="00BA7876" w:rsidRPr="00EC74DB" w:rsidRDefault="00BA7876" w:rsidP="00AB5B56">
            <w:pPr>
              <w:pStyle w:val="Btablefigureunbold"/>
            </w:pPr>
          </w:p>
        </w:tc>
        <w:tc>
          <w:tcPr>
            <w:tcW w:w="607" w:type="pct"/>
          </w:tcPr>
          <w:p w14:paraId="44E43956" w14:textId="77777777" w:rsidR="00BA7876" w:rsidRPr="00EC74DB" w:rsidRDefault="00BA7876" w:rsidP="00AB5B56">
            <w:pPr>
              <w:pStyle w:val="Btablefigureunbold"/>
            </w:pPr>
          </w:p>
        </w:tc>
      </w:tr>
      <w:tr w:rsidR="00BA7876" w:rsidRPr="00337DC9" w14:paraId="61B60197" w14:textId="77777777" w:rsidTr="00FA0061">
        <w:trPr>
          <w:trHeight w:val="270"/>
        </w:trPr>
        <w:tc>
          <w:tcPr>
            <w:tcW w:w="1358" w:type="pct"/>
          </w:tcPr>
          <w:p w14:paraId="646C6264" w14:textId="77777777" w:rsidR="00BA7876" w:rsidRPr="00EC74DB" w:rsidRDefault="00BA7876" w:rsidP="00AB5B56">
            <w:pPr>
              <w:pStyle w:val="Btabletextunbold"/>
            </w:pPr>
            <w:r>
              <w:t>Gross State Product</w:t>
            </w:r>
            <w:r w:rsidRPr="00402956">
              <w:rPr>
                <w:vertAlign w:val="superscript"/>
              </w:rPr>
              <w:t>1</w:t>
            </w:r>
          </w:p>
        </w:tc>
        <w:tc>
          <w:tcPr>
            <w:tcW w:w="607" w:type="pct"/>
            <w:vAlign w:val="center"/>
          </w:tcPr>
          <w:p w14:paraId="2D077C3C" w14:textId="77777777" w:rsidR="00BA7876" w:rsidRDefault="00BA7876" w:rsidP="00AB5B56">
            <w:pPr>
              <w:pStyle w:val="Btablefigureunbold"/>
              <w:rPr>
                <w:rFonts w:cstheme="minorHAnsi"/>
                <w:color w:val="000000"/>
                <w:szCs w:val="20"/>
                <w:lang w:eastAsia="en-AU"/>
              </w:rPr>
            </w:pPr>
            <w:r w:rsidRPr="00064885">
              <w:rPr>
                <w:rFonts w:cstheme="minorHAnsi"/>
                <w:color w:val="000000"/>
                <w:szCs w:val="20"/>
                <w:lang w:eastAsia="en-AU"/>
              </w:rPr>
              <w:t>2.4</w:t>
            </w:r>
          </w:p>
        </w:tc>
        <w:tc>
          <w:tcPr>
            <w:tcW w:w="607" w:type="pct"/>
            <w:vAlign w:val="center"/>
          </w:tcPr>
          <w:p w14:paraId="1335D57A" w14:textId="77777777" w:rsidR="00BA7876" w:rsidRPr="00EC74DB" w:rsidRDefault="00BA7876" w:rsidP="00AB5B56">
            <w:pPr>
              <w:pStyle w:val="Btablefigureunbold"/>
            </w:pPr>
            <w:r>
              <w:rPr>
                <w:rFonts w:cstheme="minorHAnsi"/>
                <w:color w:val="000000"/>
                <w:szCs w:val="20"/>
                <w:lang w:eastAsia="en-AU"/>
              </w:rPr>
              <w:t>3</w:t>
            </w:r>
            <w:r w:rsidRPr="00064885">
              <w:rPr>
                <w:rFonts w:cstheme="minorHAnsi"/>
                <w:color w:val="000000"/>
                <w:szCs w:val="20"/>
                <w:lang w:eastAsia="en-AU"/>
              </w:rPr>
              <w:t xml:space="preserve"> (2)</w:t>
            </w:r>
          </w:p>
        </w:tc>
        <w:tc>
          <w:tcPr>
            <w:tcW w:w="607" w:type="pct"/>
            <w:shd w:val="clear" w:color="auto" w:fill="auto"/>
            <w:vAlign w:val="center"/>
          </w:tcPr>
          <w:p w14:paraId="134B6E55" w14:textId="77777777" w:rsidR="00BA7876" w:rsidRPr="00BC798F" w:rsidRDefault="00BA7876" w:rsidP="00AB5B56">
            <w:pPr>
              <w:pStyle w:val="BTablefigureBold"/>
              <w:rPr>
                <w:b w:val="0"/>
                <w:bCs/>
              </w:rPr>
            </w:pPr>
            <w:r w:rsidRPr="00064885">
              <w:rPr>
                <w:rFonts w:cstheme="minorHAnsi"/>
                <w:color w:val="000000"/>
                <w:szCs w:val="20"/>
                <w:lang w:eastAsia="en-AU"/>
              </w:rPr>
              <w:t xml:space="preserve">2½ (2¾) </w:t>
            </w:r>
          </w:p>
        </w:tc>
        <w:tc>
          <w:tcPr>
            <w:tcW w:w="607" w:type="pct"/>
            <w:shd w:val="clear" w:color="472D8C" w:fill="auto"/>
            <w:vAlign w:val="center"/>
          </w:tcPr>
          <w:p w14:paraId="4FD47185" w14:textId="77777777" w:rsidR="00BA7876" w:rsidRPr="00111524" w:rsidRDefault="00BA7876" w:rsidP="00AB5B56">
            <w:pPr>
              <w:pStyle w:val="Btablefigureunbold"/>
              <w:rPr>
                <w:color w:val="000000"/>
              </w:rPr>
            </w:pPr>
            <w:r>
              <w:rPr>
                <w:rFonts w:cstheme="minorHAnsi"/>
                <w:color w:val="000000"/>
                <w:szCs w:val="20"/>
                <w:lang w:eastAsia="en-AU"/>
              </w:rPr>
              <w:t>3¼</w:t>
            </w:r>
            <w:r w:rsidRPr="00064885">
              <w:rPr>
                <w:rFonts w:cstheme="minorHAnsi"/>
                <w:color w:val="000000"/>
                <w:szCs w:val="20"/>
                <w:lang w:eastAsia="en-AU"/>
              </w:rPr>
              <w:t xml:space="preserve"> </w:t>
            </w:r>
            <w:r>
              <w:rPr>
                <w:rFonts w:cstheme="minorHAnsi"/>
                <w:color w:val="000000"/>
                <w:szCs w:val="20"/>
                <w:lang w:eastAsia="en-AU"/>
              </w:rPr>
              <w:t>(</w:t>
            </w:r>
            <w:r w:rsidRPr="00064885">
              <w:rPr>
                <w:rFonts w:cstheme="minorHAnsi"/>
                <w:color w:val="000000"/>
                <w:szCs w:val="20"/>
                <w:lang w:eastAsia="en-AU"/>
              </w:rPr>
              <w:t xml:space="preserve">2¾) </w:t>
            </w:r>
          </w:p>
        </w:tc>
        <w:tc>
          <w:tcPr>
            <w:tcW w:w="607" w:type="pct"/>
            <w:shd w:val="clear" w:color="auto" w:fill="auto"/>
            <w:vAlign w:val="center"/>
          </w:tcPr>
          <w:p w14:paraId="2413CF77" w14:textId="77777777" w:rsidR="00BA7876" w:rsidRPr="00EC74DB" w:rsidRDefault="00BA7876" w:rsidP="00AB5B56">
            <w:pPr>
              <w:pStyle w:val="Btablefigureunbold"/>
            </w:pPr>
            <w:r>
              <w:rPr>
                <w:rFonts w:cstheme="minorHAnsi"/>
                <w:color w:val="000000"/>
                <w:szCs w:val="20"/>
                <w:lang w:eastAsia="en-AU"/>
              </w:rPr>
              <w:t>3</w:t>
            </w:r>
            <w:r w:rsidRPr="00064885">
              <w:rPr>
                <w:rFonts w:cstheme="minorHAnsi"/>
                <w:color w:val="000000"/>
                <w:szCs w:val="20"/>
                <w:lang w:eastAsia="en-AU"/>
              </w:rPr>
              <w:t xml:space="preserve"> (3) </w:t>
            </w:r>
          </w:p>
        </w:tc>
        <w:tc>
          <w:tcPr>
            <w:tcW w:w="607" w:type="pct"/>
            <w:vAlign w:val="center"/>
          </w:tcPr>
          <w:p w14:paraId="270ABB09" w14:textId="77777777" w:rsidR="00BA7876" w:rsidRPr="00EC74DB" w:rsidRDefault="00BA7876" w:rsidP="00AB5B56">
            <w:pPr>
              <w:pStyle w:val="Btablefigureunbold"/>
            </w:pPr>
            <w:r>
              <w:rPr>
                <w:rFonts w:cstheme="minorHAnsi"/>
                <w:color w:val="000000"/>
                <w:szCs w:val="20"/>
                <w:lang w:eastAsia="en-AU"/>
              </w:rPr>
              <w:t>3</w:t>
            </w:r>
            <w:r w:rsidRPr="00064885">
              <w:rPr>
                <w:rFonts w:cstheme="minorHAnsi"/>
                <w:color w:val="000000"/>
                <w:szCs w:val="20"/>
                <w:lang w:eastAsia="en-AU"/>
              </w:rPr>
              <w:t xml:space="preserve"> </w:t>
            </w:r>
          </w:p>
        </w:tc>
      </w:tr>
      <w:tr w:rsidR="00BA7876" w:rsidRPr="00337DC9" w14:paraId="009C43C8" w14:textId="77777777" w:rsidTr="00FA0061">
        <w:trPr>
          <w:trHeight w:val="270"/>
        </w:trPr>
        <w:tc>
          <w:tcPr>
            <w:tcW w:w="1358" w:type="pct"/>
          </w:tcPr>
          <w:p w14:paraId="1E67D5F9" w14:textId="77777777" w:rsidR="00BA7876" w:rsidRDefault="00BA7876" w:rsidP="00AB5B56">
            <w:pPr>
              <w:pStyle w:val="Btabletextunbold"/>
            </w:pPr>
            <w:r>
              <w:t>State Final Demand</w:t>
            </w:r>
            <w:r w:rsidRPr="00402956">
              <w:rPr>
                <w:vertAlign w:val="superscript"/>
              </w:rPr>
              <w:t>1,2</w:t>
            </w:r>
          </w:p>
        </w:tc>
        <w:tc>
          <w:tcPr>
            <w:tcW w:w="607" w:type="pct"/>
            <w:vAlign w:val="center"/>
          </w:tcPr>
          <w:p w14:paraId="10887C50" w14:textId="77777777" w:rsidR="00BA7876" w:rsidRDefault="00BA7876" w:rsidP="00AB5B56">
            <w:pPr>
              <w:pStyle w:val="Btablefigureunbold"/>
              <w:rPr>
                <w:rFonts w:cstheme="minorHAnsi"/>
                <w:color w:val="000000"/>
                <w:szCs w:val="20"/>
                <w:lang w:eastAsia="en-AU"/>
              </w:rPr>
            </w:pPr>
            <w:r w:rsidRPr="00064885">
              <w:rPr>
                <w:rFonts w:cstheme="minorHAnsi"/>
                <w:color w:val="000000"/>
                <w:szCs w:val="20"/>
                <w:lang w:eastAsia="en-AU"/>
              </w:rPr>
              <w:t>3.3</w:t>
            </w:r>
          </w:p>
        </w:tc>
        <w:tc>
          <w:tcPr>
            <w:tcW w:w="607" w:type="pct"/>
            <w:vAlign w:val="center"/>
          </w:tcPr>
          <w:p w14:paraId="5F15CE25" w14:textId="77777777" w:rsidR="00BA7876" w:rsidRDefault="00BA7876" w:rsidP="00AB5B56">
            <w:pPr>
              <w:pStyle w:val="Btablefigureunbold"/>
            </w:pPr>
            <w:r>
              <w:rPr>
                <w:rFonts w:cstheme="minorHAnsi"/>
                <w:color w:val="000000"/>
                <w:szCs w:val="20"/>
                <w:lang w:eastAsia="en-AU"/>
              </w:rPr>
              <w:t>3.8</w:t>
            </w:r>
            <w:r w:rsidRPr="00064885">
              <w:rPr>
                <w:rFonts w:cstheme="minorHAnsi"/>
                <w:color w:val="000000"/>
                <w:szCs w:val="20"/>
                <w:lang w:eastAsia="en-AU"/>
              </w:rPr>
              <w:t xml:space="preserve"> (3¼)</w:t>
            </w:r>
          </w:p>
        </w:tc>
        <w:tc>
          <w:tcPr>
            <w:tcW w:w="607" w:type="pct"/>
            <w:shd w:val="clear" w:color="auto" w:fill="auto"/>
            <w:vAlign w:val="center"/>
          </w:tcPr>
          <w:p w14:paraId="62924D69" w14:textId="77777777" w:rsidR="00BA7876" w:rsidRPr="00BC798F" w:rsidRDefault="00BA7876" w:rsidP="00AB5B56">
            <w:pPr>
              <w:pStyle w:val="BTablefigureBold"/>
              <w:rPr>
                <w:b w:val="0"/>
                <w:bCs/>
              </w:rPr>
            </w:pPr>
            <w:r w:rsidRPr="00064885">
              <w:rPr>
                <w:rFonts w:cstheme="minorHAnsi"/>
                <w:color w:val="000000"/>
                <w:szCs w:val="20"/>
                <w:lang w:eastAsia="en-AU"/>
              </w:rPr>
              <w:t xml:space="preserve">2 (2¼)  </w:t>
            </w:r>
          </w:p>
        </w:tc>
        <w:tc>
          <w:tcPr>
            <w:tcW w:w="607" w:type="pct"/>
            <w:shd w:val="clear" w:color="472D8C" w:fill="auto"/>
            <w:vAlign w:val="center"/>
          </w:tcPr>
          <w:p w14:paraId="21B0AB89" w14:textId="77777777" w:rsidR="00BA7876" w:rsidRPr="00111524" w:rsidRDefault="00BA7876" w:rsidP="00AB5B56">
            <w:pPr>
              <w:pStyle w:val="Btablefigureunbold"/>
              <w:rPr>
                <w:color w:val="000000"/>
              </w:rPr>
            </w:pPr>
            <w:r>
              <w:rPr>
                <w:rFonts w:cstheme="minorHAnsi"/>
                <w:color w:val="000000"/>
                <w:szCs w:val="20"/>
                <w:lang w:eastAsia="en-AU"/>
              </w:rPr>
              <w:t>3</w:t>
            </w:r>
            <w:r w:rsidRPr="00064885">
              <w:rPr>
                <w:rFonts w:cstheme="minorHAnsi"/>
                <w:color w:val="000000"/>
                <w:szCs w:val="20"/>
                <w:lang w:eastAsia="en-AU"/>
              </w:rPr>
              <w:t xml:space="preserve"> (2) </w:t>
            </w:r>
          </w:p>
        </w:tc>
        <w:tc>
          <w:tcPr>
            <w:tcW w:w="607" w:type="pct"/>
            <w:shd w:val="clear" w:color="auto" w:fill="auto"/>
            <w:vAlign w:val="center"/>
          </w:tcPr>
          <w:p w14:paraId="11B159F3" w14:textId="77777777" w:rsidR="00BA7876" w:rsidRPr="00EC74DB" w:rsidRDefault="00BA7876" w:rsidP="00AB5B56">
            <w:pPr>
              <w:pStyle w:val="Btablefigureunbold"/>
            </w:pPr>
            <w:r w:rsidRPr="00064885">
              <w:rPr>
                <w:rFonts w:cstheme="minorHAnsi"/>
                <w:color w:val="000000"/>
                <w:szCs w:val="20"/>
                <w:lang w:eastAsia="en-AU"/>
              </w:rPr>
              <w:t>2</w:t>
            </w:r>
            <w:r>
              <w:rPr>
                <w:rFonts w:cstheme="minorHAnsi"/>
                <w:color w:val="000000"/>
                <w:szCs w:val="20"/>
                <w:lang w:eastAsia="en-AU"/>
              </w:rPr>
              <w:t xml:space="preserve">¼ </w:t>
            </w:r>
            <w:r w:rsidRPr="00064885">
              <w:rPr>
                <w:rFonts w:cstheme="minorHAnsi"/>
                <w:color w:val="000000"/>
                <w:szCs w:val="20"/>
                <w:lang w:eastAsia="en-AU"/>
              </w:rPr>
              <w:t xml:space="preserve">(2¼) </w:t>
            </w:r>
          </w:p>
        </w:tc>
        <w:tc>
          <w:tcPr>
            <w:tcW w:w="607" w:type="pct"/>
            <w:vAlign w:val="center"/>
          </w:tcPr>
          <w:p w14:paraId="5BD47513" w14:textId="77777777" w:rsidR="00BA7876" w:rsidRPr="00EC74DB" w:rsidRDefault="00BA7876" w:rsidP="00AB5B56">
            <w:pPr>
              <w:pStyle w:val="Btablefigureunbold"/>
            </w:pPr>
            <w:r w:rsidRPr="00064885">
              <w:rPr>
                <w:rFonts w:cstheme="minorHAnsi"/>
                <w:color w:val="000000"/>
                <w:szCs w:val="20"/>
                <w:lang w:eastAsia="en-AU"/>
              </w:rPr>
              <w:t>2</w:t>
            </w:r>
            <w:r>
              <w:rPr>
                <w:rFonts w:cstheme="minorHAnsi"/>
                <w:color w:val="000000"/>
                <w:szCs w:val="20"/>
                <w:lang w:eastAsia="en-AU"/>
              </w:rPr>
              <w:t xml:space="preserve">½ </w:t>
            </w:r>
          </w:p>
        </w:tc>
      </w:tr>
      <w:tr w:rsidR="00BA7876" w:rsidRPr="00337DC9" w14:paraId="7C324939" w14:textId="77777777" w:rsidTr="00FA0061">
        <w:trPr>
          <w:trHeight w:val="270"/>
        </w:trPr>
        <w:tc>
          <w:tcPr>
            <w:tcW w:w="1358" w:type="pct"/>
          </w:tcPr>
          <w:p w14:paraId="05E0F606" w14:textId="77777777" w:rsidR="00BA7876" w:rsidRDefault="00BA7876" w:rsidP="00AB5B56">
            <w:pPr>
              <w:pStyle w:val="Btabletextunbold"/>
            </w:pPr>
            <w:r>
              <w:t>Employment</w:t>
            </w:r>
            <w:r w:rsidRPr="00402956">
              <w:rPr>
                <w:vertAlign w:val="superscript"/>
              </w:rPr>
              <w:t>3,4</w:t>
            </w:r>
          </w:p>
        </w:tc>
        <w:tc>
          <w:tcPr>
            <w:tcW w:w="607" w:type="pct"/>
            <w:vAlign w:val="center"/>
          </w:tcPr>
          <w:p w14:paraId="224AF7A9" w14:textId="77777777" w:rsidR="00BA7876" w:rsidRPr="00064885" w:rsidRDefault="00BA7876" w:rsidP="00AB5B56">
            <w:pPr>
              <w:pStyle w:val="Btablefigureunbold"/>
              <w:rPr>
                <w:rFonts w:cstheme="minorHAnsi"/>
                <w:color w:val="000000"/>
                <w:szCs w:val="20"/>
                <w:lang w:eastAsia="en-AU"/>
              </w:rPr>
            </w:pPr>
            <w:r w:rsidRPr="00064885">
              <w:rPr>
                <w:rFonts w:cstheme="minorHAnsi"/>
                <w:color w:val="000000"/>
                <w:szCs w:val="20"/>
                <w:lang w:eastAsia="en-AU"/>
              </w:rPr>
              <w:t>0.5</w:t>
            </w:r>
          </w:p>
        </w:tc>
        <w:tc>
          <w:tcPr>
            <w:tcW w:w="607" w:type="pct"/>
            <w:vAlign w:val="center"/>
          </w:tcPr>
          <w:p w14:paraId="310BC533" w14:textId="77777777" w:rsidR="00BA7876" w:rsidRDefault="00BA7876" w:rsidP="00AB5B56">
            <w:pPr>
              <w:pStyle w:val="Btablefigureunbold"/>
            </w:pPr>
            <w:r w:rsidRPr="00064885">
              <w:rPr>
                <w:rFonts w:cstheme="minorHAnsi"/>
                <w:color w:val="000000"/>
                <w:szCs w:val="20"/>
                <w:lang w:eastAsia="en-AU"/>
              </w:rPr>
              <w:t>1.8 (4)</w:t>
            </w:r>
          </w:p>
        </w:tc>
        <w:tc>
          <w:tcPr>
            <w:tcW w:w="607" w:type="pct"/>
            <w:shd w:val="clear" w:color="auto" w:fill="auto"/>
            <w:vAlign w:val="center"/>
          </w:tcPr>
          <w:p w14:paraId="2B9915ED" w14:textId="77777777" w:rsidR="00BA7876" w:rsidRPr="005077AF" w:rsidRDefault="00BA7876" w:rsidP="00AB5B56">
            <w:pPr>
              <w:pStyle w:val="BTablefigureBold"/>
              <w:rPr>
                <w:b w:val="0"/>
                <w:bCs/>
              </w:rPr>
            </w:pPr>
            <w:r>
              <w:rPr>
                <w:rFonts w:cstheme="minorHAnsi"/>
                <w:color w:val="000000"/>
                <w:szCs w:val="20"/>
                <w:lang w:eastAsia="en-AU"/>
              </w:rPr>
              <w:t xml:space="preserve">½ </w:t>
            </w:r>
            <w:r w:rsidRPr="00064885">
              <w:rPr>
                <w:rFonts w:cstheme="minorHAnsi"/>
                <w:color w:val="000000"/>
                <w:szCs w:val="20"/>
                <w:lang w:eastAsia="en-AU"/>
              </w:rPr>
              <w:t>(½)</w:t>
            </w:r>
          </w:p>
        </w:tc>
        <w:tc>
          <w:tcPr>
            <w:tcW w:w="607" w:type="pct"/>
            <w:shd w:val="clear" w:color="472D8C" w:fill="auto"/>
            <w:vAlign w:val="center"/>
          </w:tcPr>
          <w:p w14:paraId="2AEADF82" w14:textId="77777777" w:rsidR="00BA7876" w:rsidRPr="00111524" w:rsidRDefault="00BA7876" w:rsidP="00AB5B56">
            <w:pPr>
              <w:pStyle w:val="Btablefigureunbold"/>
              <w:rPr>
                <w:color w:val="000000"/>
              </w:rPr>
            </w:pPr>
            <w:r w:rsidRPr="00064885">
              <w:rPr>
                <w:rFonts w:cstheme="minorHAnsi"/>
                <w:color w:val="000000"/>
                <w:szCs w:val="20"/>
                <w:lang w:eastAsia="en-AU"/>
              </w:rPr>
              <w:t>1 (1)</w:t>
            </w:r>
          </w:p>
        </w:tc>
        <w:tc>
          <w:tcPr>
            <w:tcW w:w="607" w:type="pct"/>
            <w:shd w:val="clear" w:color="auto" w:fill="auto"/>
            <w:vAlign w:val="center"/>
          </w:tcPr>
          <w:p w14:paraId="0F8D351D" w14:textId="77777777" w:rsidR="00BA7876" w:rsidRPr="00EC74DB" w:rsidRDefault="00BA7876" w:rsidP="00AB5B56">
            <w:pPr>
              <w:pStyle w:val="Btablefigureunbold"/>
            </w:pPr>
            <w:r w:rsidRPr="00064885">
              <w:rPr>
                <w:rFonts w:cstheme="minorHAnsi"/>
                <w:color w:val="000000"/>
                <w:szCs w:val="20"/>
                <w:lang w:eastAsia="en-AU"/>
              </w:rPr>
              <w:t>1¼ (1¼)</w:t>
            </w:r>
          </w:p>
        </w:tc>
        <w:tc>
          <w:tcPr>
            <w:tcW w:w="607" w:type="pct"/>
            <w:vAlign w:val="center"/>
          </w:tcPr>
          <w:p w14:paraId="373B622E" w14:textId="77777777" w:rsidR="00BA7876" w:rsidRPr="00EC74DB" w:rsidRDefault="00BA7876" w:rsidP="00AB5B56">
            <w:pPr>
              <w:pStyle w:val="Btablefigureunbold"/>
            </w:pPr>
            <w:r w:rsidRPr="00064885">
              <w:rPr>
                <w:rFonts w:cstheme="minorHAnsi"/>
                <w:color w:val="000000"/>
                <w:szCs w:val="20"/>
                <w:lang w:eastAsia="en-AU"/>
              </w:rPr>
              <w:t>1¼</w:t>
            </w:r>
          </w:p>
        </w:tc>
      </w:tr>
      <w:tr w:rsidR="00BA7876" w:rsidRPr="00337DC9" w14:paraId="4FC591C7" w14:textId="77777777" w:rsidTr="00FA0061">
        <w:trPr>
          <w:trHeight w:val="270"/>
        </w:trPr>
        <w:tc>
          <w:tcPr>
            <w:tcW w:w="1358" w:type="pct"/>
          </w:tcPr>
          <w:p w14:paraId="30301561" w14:textId="77777777" w:rsidR="00BA7876" w:rsidRDefault="00BA7876" w:rsidP="00AB5B56">
            <w:pPr>
              <w:pStyle w:val="Btabletextunbold"/>
            </w:pPr>
            <w:r>
              <w:t>Wage Price Index</w:t>
            </w:r>
            <w:r w:rsidRPr="00402956">
              <w:rPr>
                <w:vertAlign w:val="superscript"/>
              </w:rPr>
              <w:t>3,4,5</w:t>
            </w:r>
          </w:p>
        </w:tc>
        <w:tc>
          <w:tcPr>
            <w:tcW w:w="607" w:type="pct"/>
            <w:vAlign w:val="center"/>
          </w:tcPr>
          <w:p w14:paraId="3FB105E0" w14:textId="77777777" w:rsidR="00BA7876" w:rsidRPr="00064885" w:rsidRDefault="00BA7876" w:rsidP="00AB5B56">
            <w:pPr>
              <w:pStyle w:val="Btablefigureunbold"/>
              <w:rPr>
                <w:rFonts w:cstheme="minorHAnsi"/>
                <w:color w:val="000000"/>
                <w:szCs w:val="20"/>
                <w:lang w:eastAsia="en-AU"/>
              </w:rPr>
            </w:pPr>
            <w:r w:rsidRPr="00064885">
              <w:rPr>
                <w:rFonts w:cstheme="minorHAnsi"/>
                <w:color w:val="000000"/>
                <w:szCs w:val="20"/>
                <w:lang w:eastAsia="en-AU"/>
              </w:rPr>
              <w:t>2.0</w:t>
            </w:r>
          </w:p>
        </w:tc>
        <w:tc>
          <w:tcPr>
            <w:tcW w:w="607" w:type="pct"/>
            <w:vAlign w:val="center"/>
          </w:tcPr>
          <w:p w14:paraId="053B41D6" w14:textId="77777777" w:rsidR="00BA7876" w:rsidRDefault="00BA7876" w:rsidP="00AB5B56">
            <w:pPr>
              <w:pStyle w:val="Btablefigureunbold"/>
            </w:pPr>
            <w:r w:rsidRPr="00064885">
              <w:rPr>
                <w:rFonts w:cstheme="minorHAnsi"/>
                <w:color w:val="000000"/>
                <w:szCs w:val="20"/>
                <w:lang w:eastAsia="en-AU"/>
              </w:rPr>
              <w:t>1</w:t>
            </w:r>
            <w:r>
              <w:rPr>
                <w:rFonts w:cstheme="minorHAnsi"/>
                <w:color w:val="000000"/>
                <w:szCs w:val="20"/>
                <w:lang w:eastAsia="en-AU"/>
              </w:rPr>
              <w:t>.7</w:t>
            </w:r>
            <w:r w:rsidRPr="00064885">
              <w:rPr>
                <w:rFonts w:cstheme="minorHAnsi"/>
                <w:color w:val="000000"/>
                <w:szCs w:val="20"/>
                <w:lang w:eastAsia="en-AU"/>
              </w:rPr>
              <w:t xml:space="preserve"> (1½)</w:t>
            </w:r>
          </w:p>
        </w:tc>
        <w:tc>
          <w:tcPr>
            <w:tcW w:w="607" w:type="pct"/>
            <w:shd w:val="clear" w:color="auto" w:fill="auto"/>
            <w:vAlign w:val="center"/>
          </w:tcPr>
          <w:p w14:paraId="4D5971F4" w14:textId="77777777" w:rsidR="00BA7876" w:rsidRPr="005077AF" w:rsidRDefault="00BA7876" w:rsidP="00AB5B56">
            <w:pPr>
              <w:pStyle w:val="BTablefigureBold"/>
              <w:rPr>
                <w:b w:val="0"/>
                <w:bCs/>
              </w:rPr>
            </w:pPr>
            <w:r w:rsidRPr="00064885">
              <w:rPr>
                <w:rFonts w:cstheme="minorHAnsi"/>
                <w:color w:val="000000"/>
                <w:szCs w:val="20"/>
                <w:lang w:eastAsia="en-AU"/>
              </w:rPr>
              <w:t>1¾ (1¾)</w:t>
            </w:r>
          </w:p>
        </w:tc>
        <w:tc>
          <w:tcPr>
            <w:tcW w:w="607" w:type="pct"/>
            <w:shd w:val="clear" w:color="472D8C" w:fill="auto"/>
            <w:vAlign w:val="center"/>
          </w:tcPr>
          <w:p w14:paraId="7B7574DB" w14:textId="77777777" w:rsidR="00BA7876" w:rsidRPr="00111524" w:rsidRDefault="00BA7876" w:rsidP="00AB5B56">
            <w:pPr>
              <w:pStyle w:val="Btablefigureunbold"/>
              <w:rPr>
                <w:color w:val="000000"/>
              </w:rPr>
            </w:pPr>
            <w:r w:rsidRPr="00064885">
              <w:rPr>
                <w:rFonts w:cstheme="minorHAnsi"/>
                <w:color w:val="000000"/>
                <w:szCs w:val="20"/>
                <w:lang w:eastAsia="en-AU"/>
              </w:rPr>
              <w:t xml:space="preserve">2 (1¾) </w:t>
            </w:r>
          </w:p>
        </w:tc>
        <w:tc>
          <w:tcPr>
            <w:tcW w:w="607" w:type="pct"/>
            <w:shd w:val="clear" w:color="auto" w:fill="auto"/>
            <w:vAlign w:val="center"/>
          </w:tcPr>
          <w:p w14:paraId="6410DFE1" w14:textId="77777777" w:rsidR="00BA7876" w:rsidRPr="00EC74DB" w:rsidRDefault="00BA7876" w:rsidP="00AB5B56">
            <w:pPr>
              <w:pStyle w:val="Btablefigureunbold"/>
            </w:pPr>
            <w:r w:rsidRPr="00064885">
              <w:rPr>
                <w:rFonts w:cstheme="minorHAnsi"/>
                <w:color w:val="000000"/>
                <w:szCs w:val="20"/>
                <w:lang w:eastAsia="en-AU"/>
              </w:rPr>
              <w:t>2¼ (2)</w:t>
            </w:r>
          </w:p>
        </w:tc>
        <w:tc>
          <w:tcPr>
            <w:tcW w:w="607" w:type="pct"/>
            <w:vAlign w:val="center"/>
          </w:tcPr>
          <w:p w14:paraId="7669B159" w14:textId="77777777" w:rsidR="00BA7876" w:rsidRPr="00EC74DB" w:rsidRDefault="00BA7876" w:rsidP="00AB5B56">
            <w:pPr>
              <w:pStyle w:val="Btablefigureunbold"/>
            </w:pPr>
            <w:r w:rsidRPr="00064885">
              <w:rPr>
                <w:rFonts w:cstheme="minorHAnsi"/>
                <w:color w:val="000000"/>
                <w:szCs w:val="20"/>
                <w:lang w:eastAsia="en-AU"/>
              </w:rPr>
              <w:t xml:space="preserve">2½ </w:t>
            </w:r>
          </w:p>
        </w:tc>
      </w:tr>
      <w:tr w:rsidR="00BA7876" w:rsidRPr="00337DC9" w14:paraId="5BB2A8B6" w14:textId="77777777" w:rsidTr="00FA0061">
        <w:trPr>
          <w:trHeight w:val="270"/>
        </w:trPr>
        <w:tc>
          <w:tcPr>
            <w:tcW w:w="1358" w:type="pct"/>
          </w:tcPr>
          <w:p w14:paraId="69764F3D" w14:textId="77777777" w:rsidR="00BA7876" w:rsidRDefault="00BA7876" w:rsidP="00AB5B56">
            <w:pPr>
              <w:pStyle w:val="Btabletextunbold"/>
            </w:pPr>
            <w:r>
              <w:t>Consumer Price Index</w:t>
            </w:r>
            <w:r w:rsidRPr="00402956">
              <w:rPr>
                <w:vertAlign w:val="superscript"/>
              </w:rPr>
              <w:t>3,4</w:t>
            </w:r>
          </w:p>
        </w:tc>
        <w:tc>
          <w:tcPr>
            <w:tcW w:w="607" w:type="pct"/>
            <w:vAlign w:val="center"/>
          </w:tcPr>
          <w:p w14:paraId="7ACAD017" w14:textId="77777777" w:rsidR="00BA7876" w:rsidRPr="00064885" w:rsidRDefault="00BA7876" w:rsidP="00AB5B56">
            <w:pPr>
              <w:pStyle w:val="Btablefigureunbold"/>
              <w:rPr>
                <w:rFonts w:cstheme="minorHAnsi"/>
                <w:color w:val="000000"/>
                <w:szCs w:val="20"/>
                <w:lang w:eastAsia="en-AU"/>
              </w:rPr>
            </w:pPr>
            <w:r w:rsidRPr="00064885">
              <w:rPr>
                <w:rFonts w:cstheme="minorHAnsi"/>
                <w:color w:val="000000"/>
                <w:szCs w:val="20"/>
                <w:lang w:eastAsia="en-AU"/>
              </w:rPr>
              <w:t>-0.6</w:t>
            </w:r>
          </w:p>
        </w:tc>
        <w:tc>
          <w:tcPr>
            <w:tcW w:w="607" w:type="pct"/>
            <w:vAlign w:val="center"/>
          </w:tcPr>
          <w:p w14:paraId="519E0900" w14:textId="77777777" w:rsidR="00BA7876" w:rsidRDefault="00BA7876" w:rsidP="00AB5B56">
            <w:pPr>
              <w:pStyle w:val="Btablefigureunbold"/>
            </w:pPr>
            <w:r w:rsidRPr="00064885">
              <w:rPr>
                <w:rFonts w:cstheme="minorHAnsi"/>
                <w:color w:val="000000"/>
                <w:szCs w:val="20"/>
                <w:lang w:eastAsia="en-AU"/>
              </w:rPr>
              <w:t>4.8 (3)</w:t>
            </w:r>
          </w:p>
        </w:tc>
        <w:tc>
          <w:tcPr>
            <w:tcW w:w="607" w:type="pct"/>
            <w:shd w:val="clear" w:color="auto" w:fill="auto"/>
            <w:vAlign w:val="center"/>
          </w:tcPr>
          <w:p w14:paraId="36CC2E93" w14:textId="77777777" w:rsidR="00BA7876" w:rsidRPr="005077AF" w:rsidRDefault="00BA7876" w:rsidP="00AB5B56">
            <w:pPr>
              <w:pStyle w:val="BTablefigureBold"/>
              <w:rPr>
                <w:b w:val="0"/>
                <w:bCs/>
              </w:rPr>
            </w:pPr>
            <w:r w:rsidRPr="00064885">
              <w:rPr>
                <w:rFonts w:cstheme="minorHAnsi"/>
                <w:color w:val="000000"/>
                <w:szCs w:val="20"/>
                <w:lang w:eastAsia="en-AU"/>
              </w:rPr>
              <w:t xml:space="preserve">1¾ (1¼) </w:t>
            </w:r>
          </w:p>
        </w:tc>
        <w:tc>
          <w:tcPr>
            <w:tcW w:w="607" w:type="pct"/>
            <w:shd w:val="clear" w:color="472D8C" w:fill="auto"/>
            <w:vAlign w:val="center"/>
          </w:tcPr>
          <w:p w14:paraId="5223949E" w14:textId="77777777" w:rsidR="00BA7876" w:rsidRPr="00111524" w:rsidRDefault="00BA7876" w:rsidP="00AB5B56">
            <w:pPr>
              <w:pStyle w:val="Btablefigureunbold"/>
              <w:rPr>
                <w:color w:val="000000"/>
              </w:rPr>
            </w:pPr>
            <w:r w:rsidRPr="00064885">
              <w:rPr>
                <w:rFonts w:cstheme="minorHAnsi"/>
                <w:color w:val="000000"/>
                <w:szCs w:val="20"/>
                <w:lang w:eastAsia="en-AU"/>
              </w:rPr>
              <w:t xml:space="preserve">1¾ (1½) </w:t>
            </w:r>
          </w:p>
        </w:tc>
        <w:tc>
          <w:tcPr>
            <w:tcW w:w="607" w:type="pct"/>
            <w:shd w:val="clear" w:color="auto" w:fill="auto"/>
            <w:vAlign w:val="center"/>
          </w:tcPr>
          <w:p w14:paraId="3A095BB9" w14:textId="77777777" w:rsidR="00BA7876" w:rsidRPr="00EC74DB" w:rsidRDefault="00BA7876" w:rsidP="00AB5B56">
            <w:pPr>
              <w:pStyle w:val="Btablefigureunbold"/>
            </w:pPr>
            <w:r w:rsidRPr="00064885">
              <w:rPr>
                <w:rFonts w:cstheme="minorHAnsi"/>
                <w:color w:val="000000"/>
                <w:szCs w:val="20"/>
                <w:lang w:eastAsia="en-AU"/>
              </w:rPr>
              <w:t xml:space="preserve">2 (1¾) </w:t>
            </w:r>
          </w:p>
        </w:tc>
        <w:tc>
          <w:tcPr>
            <w:tcW w:w="607" w:type="pct"/>
            <w:vAlign w:val="center"/>
          </w:tcPr>
          <w:p w14:paraId="14109862" w14:textId="77777777" w:rsidR="00BA7876" w:rsidRPr="00EC74DB" w:rsidRDefault="00BA7876" w:rsidP="00AB5B56">
            <w:pPr>
              <w:pStyle w:val="Btablefigureunbold"/>
            </w:pPr>
            <w:r w:rsidRPr="00064885">
              <w:rPr>
                <w:rFonts w:cstheme="minorHAnsi"/>
                <w:color w:val="000000"/>
                <w:szCs w:val="20"/>
                <w:lang w:eastAsia="en-AU"/>
              </w:rPr>
              <w:t xml:space="preserve">2¼ </w:t>
            </w:r>
          </w:p>
        </w:tc>
      </w:tr>
      <w:tr w:rsidR="00BA7876" w:rsidRPr="00337DC9" w14:paraId="3C9CCE1D" w14:textId="77777777" w:rsidTr="00FA0061">
        <w:trPr>
          <w:trHeight w:val="397"/>
        </w:trPr>
        <w:tc>
          <w:tcPr>
            <w:tcW w:w="1358" w:type="pct"/>
          </w:tcPr>
          <w:p w14:paraId="6FFF4866" w14:textId="77777777" w:rsidR="00BA7876" w:rsidRDefault="00BA7876" w:rsidP="00AB5B56">
            <w:pPr>
              <w:pStyle w:val="Btabletextunbold"/>
            </w:pPr>
            <w:r>
              <w:t>Population</w:t>
            </w:r>
            <w:r w:rsidRPr="00402956">
              <w:rPr>
                <w:vertAlign w:val="superscript"/>
              </w:rPr>
              <w:t>3</w:t>
            </w:r>
          </w:p>
        </w:tc>
        <w:tc>
          <w:tcPr>
            <w:tcW w:w="607" w:type="pct"/>
          </w:tcPr>
          <w:p w14:paraId="2F895BAE" w14:textId="77777777" w:rsidR="00BA7876" w:rsidRDefault="00BA7876" w:rsidP="00FA0061">
            <w:pPr>
              <w:pStyle w:val="Btablefigureunbold"/>
              <w:rPr>
                <w:rFonts w:cstheme="minorHAnsi"/>
                <w:color w:val="000000"/>
                <w:szCs w:val="20"/>
                <w:lang w:eastAsia="en-AU"/>
              </w:rPr>
            </w:pPr>
            <w:r w:rsidRPr="00064885">
              <w:rPr>
                <w:rFonts w:cstheme="minorHAnsi"/>
                <w:color w:val="000000"/>
                <w:szCs w:val="20"/>
                <w:lang w:eastAsia="en-AU"/>
              </w:rPr>
              <w:t>1.2</w:t>
            </w:r>
          </w:p>
        </w:tc>
        <w:tc>
          <w:tcPr>
            <w:tcW w:w="607" w:type="pct"/>
          </w:tcPr>
          <w:p w14:paraId="438EE7F8" w14:textId="77777777" w:rsidR="00BA7876" w:rsidRDefault="00BA7876" w:rsidP="00FA0061">
            <w:pPr>
              <w:pStyle w:val="Btablefigureunbold"/>
            </w:pPr>
            <w:r>
              <w:rPr>
                <w:rFonts w:cstheme="minorHAnsi"/>
                <w:color w:val="000000"/>
                <w:szCs w:val="20"/>
                <w:lang w:eastAsia="en-AU"/>
              </w:rPr>
              <w:t xml:space="preserve">¼ </w:t>
            </w:r>
            <w:r w:rsidRPr="00064885">
              <w:rPr>
                <w:rFonts w:cstheme="minorHAnsi"/>
                <w:color w:val="000000"/>
                <w:szCs w:val="20"/>
                <w:lang w:eastAsia="en-AU"/>
              </w:rPr>
              <w:t xml:space="preserve">(¼) </w:t>
            </w:r>
          </w:p>
        </w:tc>
        <w:tc>
          <w:tcPr>
            <w:tcW w:w="607" w:type="pct"/>
            <w:shd w:val="clear" w:color="auto" w:fill="auto"/>
          </w:tcPr>
          <w:p w14:paraId="5C65F30D" w14:textId="77777777" w:rsidR="00BA7876" w:rsidRPr="005077AF" w:rsidRDefault="00BA7876" w:rsidP="00FA0061">
            <w:pPr>
              <w:pStyle w:val="BTablefigureBold"/>
              <w:rPr>
                <w:b w:val="0"/>
                <w:bCs/>
              </w:rPr>
            </w:pPr>
            <w:r>
              <w:rPr>
                <w:rFonts w:cstheme="minorHAnsi"/>
                <w:color w:val="000000"/>
                <w:szCs w:val="20"/>
                <w:lang w:eastAsia="en-AU"/>
              </w:rPr>
              <w:t xml:space="preserve">¼ </w:t>
            </w:r>
            <w:r w:rsidRPr="00064885">
              <w:rPr>
                <w:rFonts w:cstheme="minorHAnsi"/>
                <w:color w:val="000000"/>
                <w:szCs w:val="20"/>
                <w:lang w:eastAsia="en-AU"/>
              </w:rPr>
              <w:t>(¼)</w:t>
            </w:r>
          </w:p>
        </w:tc>
        <w:tc>
          <w:tcPr>
            <w:tcW w:w="607" w:type="pct"/>
            <w:shd w:val="clear" w:color="472D8C" w:fill="auto"/>
          </w:tcPr>
          <w:p w14:paraId="4E2A3162" w14:textId="77777777" w:rsidR="00BA7876" w:rsidRPr="00111524" w:rsidRDefault="00BA7876" w:rsidP="00FA0061">
            <w:pPr>
              <w:pStyle w:val="Btablefigureunbold"/>
              <w:rPr>
                <w:color w:val="000000"/>
              </w:rPr>
            </w:pPr>
            <w:r>
              <w:rPr>
                <w:rFonts w:cstheme="minorHAnsi"/>
                <w:color w:val="000000"/>
                <w:szCs w:val="20"/>
                <w:lang w:eastAsia="en-AU"/>
              </w:rPr>
              <w:t>1</w:t>
            </w:r>
            <w:r w:rsidRPr="00064885">
              <w:rPr>
                <w:rFonts w:cstheme="minorHAnsi"/>
                <w:color w:val="000000"/>
                <w:szCs w:val="20"/>
                <w:lang w:eastAsia="en-AU"/>
              </w:rPr>
              <w:t xml:space="preserve"> (¾)  </w:t>
            </w:r>
          </w:p>
        </w:tc>
        <w:tc>
          <w:tcPr>
            <w:tcW w:w="607" w:type="pct"/>
            <w:shd w:val="clear" w:color="auto" w:fill="auto"/>
          </w:tcPr>
          <w:p w14:paraId="43B55983" w14:textId="77777777" w:rsidR="00BA7876" w:rsidRPr="00EC74DB" w:rsidRDefault="00BA7876" w:rsidP="00FA0061">
            <w:pPr>
              <w:pStyle w:val="Btablefigureunbold"/>
            </w:pPr>
            <w:r>
              <w:rPr>
                <w:rFonts w:cstheme="minorHAnsi"/>
                <w:color w:val="000000"/>
                <w:szCs w:val="20"/>
                <w:lang w:eastAsia="en-AU"/>
              </w:rPr>
              <w:t>1</w:t>
            </w:r>
            <w:r w:rsidRPr="00064885">
              <w:rPr>
                <w:rFonts w:cstheme="minorHAnsi"/>
                <w:color w:val="000000"/>
                <w:szCs w:val="20"/>
                <w:lang w:eastAsia="en-AU"/>
              </w:rPr>
              <w:t xml:space="preserve"> (1)</w:t>
            </w:r>
          </w:p>
        </w:tc>
        <w:tc>
          <w:tcPr>
            <w:tcW w:w="607" w:type="pct"/>
          </w:tcPr>
          <w:p w14:paraId="1F37D96C" w14:textId="77777777" w:rsidR="00BA7876" w:rsidRPr="00EC74DB" w:rsidRDefault="00BA7876" w:rsidP="00FA0061">
            <w:pPr>
              <w:pStyle w:val="Btablefigureunbold"/>
            </w:pPr>
            <w:r w:rsidRPr="00064885">
              <w:rPr>
                <w:rFonts w:cstheme="minorHAnsi"/>
                <w:color w:val="000000"/>
                <w:szCs w:val="20"/>
                <w:lang w:eastAsia="en-AU"/>
              </w:rPr>
              <w:t>1</w:t>
            </w:r>
          </w:p>
        </w:tc>
      </w:tr>
      <w:tr w:rsidR="00BA7876" w:rsidRPr="00337DC9" w14:paraId="24624370" w14:textId="77777777" w:rsidTr="00FA0061">
        <w:trPr>
          <w:trHeight w:val="270"/>
        </w:trPr>
        <w:tc>
          <w:tcPr>
            <w:tcW w:w="1358" w:type="pct"/>
          </w:tcPr>
          <w:p w14:paraId="669C0C1E" w14:textId="77777777" w:rsidR="00BA7876" w:rsidRPr="00542DA2" w:rsidRDefault="00BA7876" w:rsidP="00AB5B56">
            <w:pPr>
              <w:pStyle w:val="Btabletextitalic"/>
              <w:rPr>
                <w:b/>
                <w:bCs/>
                <w:i w:val="0"/>
                <w:iCs/>
              </w:rPr>
            </w:pPr>
            <w:r>
              <w:rPr>
                <w:b/>
                <w:bCs/>
                <w:i w:val="0"/>
                <w:iCs/>
              </w:rPr>
              <w:t>Australia</w:t>
            </w:r>
          </w:p>
        </w:tc>
        <w:tc>
          <w:tcPr>
            <w:tcW w:w="607" w:type="pct"/>
          </w:tcPr>
          <w:p w14:paraId="0B89D616" w14:textId="77777777" w:rsidR="00BA7876" w:rsidRPr="00EC74DB" w:rsidRDefault="00BA7876" w:rsidP="00AB5B56">
            <w:pPr>
              <w:pStyle w:val="Btablefigureunbold"/>
            </w:pPr>
          </w:p>
        </w:tc>
        <w:tc>
          <w:tcPr>
            <w:tcW w:w="607" w:type="pct"/>
          </w:tcPr>
          <w:p w14:paraId="41E6AEC8" w14:textId="77777777" w:rsidR="00BA7876" w:rsidRPr="00EC74DB" w:rsidRDefault="00BA7876" w:rsidP="00AB5B56">
            <w:pPr>
              <w:pStyle w:val="Btablefigureunbold"/>
            </w:pPr>
          </w:p>
        </w:tc>
        <w:tc>
          <w:tcPr>
            <w:tcW w:w="607" w:type="pct"/>
            <w:shd w:val="clear" w:color="auto" w:fill="auto"/>
          </w:tcPr>
          <w:p w14:paraId="49CC0F9D" w14:textId="77777777" w:rsidR="00BA7876" w:rsidRPr="00EC74DB" w:rsidRDefault="00BA7876" w:rsidP="00AB5B56">
            <w:pPr>
              <w:pStyle w:val="Btablefigureunbold"/>
            </w:pPr>
          </w:p>
        </w:tc>
        <w:tc>
          <w:tcPr>
            <w:tcW w:w="607" w:type="pct"/>
            <w:shd w:val="clear" w:color="472D8C" w:fill="auto"/>
          </w:tcPr>
          <w:p w14:paraId="347FD586" w14:textId="77777777" w:rsidR="00BA7876" w:rsidRPr="00111524" w:rsidRDefault="00BA7876" w:rsidP="00AB5B56">
            <w:pPr>
              <w:pStyle w:val="Btablefigureunbold"/>
              <w:rPr>
                <w:color w:val="000000"/>
              </w:rPr>
            </w:pPr>
          </w:p>
        </w:tc>
        <w:tc>
          <w:tcPr>
            <w:tcW w:w="607" w:type="pct"/>
            <w:shd w:val="clear" w:color="auto" w:fill="auto"/>
          </w:tcPr>
          <w:p w14:paraId="272F4734" w14:textId="77777777" w:rsidR="00BA7876" w:rsidRPr="00EC74DB" w:rsidRDefault="00BA7876" w:rsidP="00AB5B56">
            <w:pPr>
              <w:pStyle w:val="Btablefigureunbold"/>
            </w:pPr>
          </w:p>
        </w:tc>
        <w:tc>
          <w:tcPr>
            <w:tcW w:w="607" w:type="pct"/>
          </w:tcPr>
          <w:p w14:paraId="5BCB6158" w14:textId="77777777" w:rsidR="00BA7876" w:rsidRPr="00EC74DB" w:rsidRDefault="00BA7876" w:rsidP="00AB5B56">
            <w:pPr>
              <w:pStyle w:val="Btablefigureunbold"/>
            </w:pPr>
          </w:p>
        </w:tc>
      </w:tr>
      <w:tr w:rsidR="00BA7876" w:rsidRPr="00337DC9" w14:paraId="28DB6714" w14:textId="77777777" w:rsidTr="00FA0061">
        <w:trPr>
          <w:trHeight w:val="270"/>
        </w:trPr>
        <w:tc>
          <w:tcPr>
            <w:tcW w:w="1358" w:type="pct"/>
            <w:tcBorders>
              <w:bottom w:val="single" w:sz="4" w:space="0" w:color="auto"/>
            </w:tcBorders>
          </w:tcPr>
          <w:p w14:paraId="68C1EAB0" w14:textId="77777777" w:rsidR="00BA7876" w:rsidRPr="00542DA2" w:rsidRDefault="00BA7876" w:rsidP="00AB5B56">
            <w:pPr>
              <w:pStyle w:val="Btabletextbolditalic"/>
              <w:rPr>
                <w:b w:val="0"/>
                <w:bCs/>
                <w:i w:val="0"/>
                <w:iCs/>
              </w:rPr>
            </w:pPr>
            <w:r>
              <w:rPr>
                <w:b w:val="0"/>
                <w:bCs/>
                <w:i w:val="0"/>
                <w:iCs/>
              </w:rPr>
              <w:t>Gross Domestic Product</w:t>
            </w:r>
            <w:r w:rsidRPr="00402956">
              <w:rPr>
                <w:b w:val="0"/>
                <w:bCs/>
                <w:i w:val="0"/>
                <w:iCs/>
                <w:vertAlign w:val="superscript"/>
              </w:rPr>
              <w:t>1,2,6</w:t>
            </w:r>
          </w:p>
        </w:tc>
        <w:tc>
          <w:tcPr>
            <w:tcW w:w="607" w:type="pct"/>
            <w:tcBorders>
              <w:bottom w:val="single" w:sz="4" w:space="0" w:color="auto"/>
            </w:tcBorders>
          </w:tcPr>
          <w:p w14:paraId="72555B52" w14:textId="77777777" w:rsidR="00BA7876" w:rsidRDefault="00BA7876" w:rsidP="00AB5B56">
            <w:pPr>
              <w:pStyle w:val="Btablefigureunbold"/>
            </w:pPr>
          </w:p>
        </w:tc>
        <w:tc>
          <w:tcPr>
            <w:tcW w:w="607" w:type="pct"/>
            <w:tcBorders>
              <w:bottom w:val="single" w:sz="4" w:space="0" w:color="auto"/>
            </w:tcBorders>
          </w:tcPr>
          <w:p w14:paraId="4F9D3C85" w14:textId="77777777" w:rsidR="00BA7876" w:rsidRPr="00EC74DB" w:rsidRDefault="00BA7876" w:rsidP="00AB5B56">
            <w:pPr>
              <w:pStyle w:val="Btablefigureunbold"/>
            </w:pPr>
            <w:r>
              <w:t>1¼ (</w:t>
            </w:r>
            <w:r w:rsidRPr="00821032">
              <w:t>¾</w:t>
            </w:r>
            <w:r>
              <w:t xml:space="preserve">) </w:t>
            </w:r>
          </w:p>
        </w:tc>
        <w:tc>
          <w:tcPr>
            <w:tcW w:w="607" w:type="pct"/>
            <w:tcBorders>
              <w:bottom w:val="single" w:sz="4" w:space="0" w:color="auto"/>
            </w:tcBorders>
            <w:shd w:val="clear" w:color="auto" w:fill="auto"/>
          </w:tcPr>
          <w:p w14:paraId="5E278B2A" w14:textId="77777777" w:rsidR="00BA7876" w:rsidRPr="00EC74DB" w:rsidRDefault="00BA7876" w:rsidP="00AB5B56">
            <w:pPr>
              <w:pStyle w:val="Btablefigureunbold"/>
            </w:pPr>
            <w:r>
              <w:t>4¼ (3½)</w:t>
            </w:r>
          </w:p>
        </w:tc>
        <w:tc>
          <w:tcPr>
            <w:tcW w:w="607" w:type="pct"/>
            <w:tcBorders>
              <w:bottom w:val="single" w:sz="4" w:space="0" w:color="auto"/>
            </w:tcBorders>
            <w:shd w:val="clear" w:color="472D8C" w:fill="auto"/>
          </w:tcPr>
          <w:p w14:paraId="2E12A3B9" w14:textId="77777777" w:rsidR="00BA7876" w:rsidRPr="00111524" w:rsidRDefault="00BA7876" w:rsidP="00AB5B56">
            <w:pPr>
              <w:pStyle w:val="Btablefigureunbold"/>
              <w:rPr>
                <w:color w:val="000000"/>
              </w:rPr>
            </w:pPr>
            <w:r>
              <w:rPr>
                <w:color w:val="000000"/>
              </w:rPr>
              <w:t>2½ (2½)</w:t>
            </w:r>
          </w:p>
        </w:tc>
        <w:tc>
          <w:tcPr>
            <w:tcW w:w="607" w:type="pct"/>
            <w:tcBorders>
              <w:bottom w:val="single" w:sz="4" w:space="0" w:color="auto"/>
            </w:tcBorders>
            <w:shd w:val="clear" w:color="auto" w:fill="auto"/>
          </w:tcPr>
          <w:p w14:paraId="1C1FC567" w14:textId="77777777" w:rsidR="00BA7876" w:rsidRPr="00EC74DB" w:rsidRDefault="00BA7876" w:rsidP="00AB5B56">
            <w:pPr>
              <w:pStyle w:val="Btablefigureunbold"/>
            </w:pPr>
            <w:r>
              <w:t>2¼ (2</w:t>
            </w:r>
            <w:r w:rsidRPr="00821032">
              <w:t>¾</w:t>
            </w:r>
            <w:r>
              <w:t>)</w:t>
            </w:r>
          </w:p>
        </w:tc>
        <w:tc>
          <w:tcPr>
            <w:tcW w:w="607" w:type="pct"/>
            <w:tcBorders>
              <w:bottom w:val="single" w:sz="4" w:space="0" w:color="auto"/>
            </w:tcBorders>
          </w:tcPr>
          <w:p w14:paraId="09E4C80E" w14:textId="77777777" w:rsidR="00BA7876" w:rsidRPr="00EC74DB" w:rsidRDefault="00BA7876" w:rsidP="00AB5B56">
            <w:pPr>
              <w:pStyle w:val="Btablefigureunbold"/>
            </w:pPr>
            <w:r>
              <w:rPr>
                <w:color w:val="000000"/>
              </w:rPr>
              <w:t>2½</w:t>
            </w:r>
          </w:p>
        </w:tc>
      </w:tr>
    </w:tbl>
    <w:p w14:paraId="040E2144" w14:textId="77777777" w:rsidR="00BA7876" w:rsidRDefault="00BA7876" w:rsidP="00E45372">
      <w:pPr>
        <w:pStyle w:val="BNote"/>
        <w:spacing w:before="120"/>
      </w:pPr>
      <w:r w:rsidRPr="00E45372">
        <w:rPr>
          <w:b/>
          <w:bCs/>
        </w:rPr>
        <w:t>Sources:</w:t>
      </w:r>
      <w:r>
        <w:t xml:space="preserve"> ABS Australian National Accounts: National Income, Expenditure and Product; Australian National Accounts: State</w:t>
      </w:r>
    </w:p>
    <w:p w14:paraId="2D1EED9E" w14:textId="77777777" w:rsidR="00BA7876" w:rsidRDefault="00BA7876" w:rsidP="009B17C3">
      <w:pPr>
        <w:pStyle w:val="BNote"/>
      </w:pPr>
      <w:r>
        <w:t>Account; Labour Force, Australia; Wage Price Index, Australia; Consumer Price Index, Australia; National, State and</w:t>
      </w:r>
    </w:p>
    <w:p w14:paraId="168E9DEB" w14:textId="77777777" w:rsidR="00BA7876" w:rsidRDefault="00BA7876" w:rsidP="009B17C3">
      <w:pPr>
        <w:pStyle w:val="BNote"/>
      </w:pPr>
      <w:r>
        <w:t>Territory Populations; CMTEDD estimates; 2020-21 MYEFO; and 2021-22 Commonwealth Budget.</w:t>
      </w:r>
    </w:p>
    <w:p w14:paraId="784CF9D7" w14:textId="77777777" w:rsidR="00BA7876" w:rsidRPr="002D6E07" w:rsidRDefault="00BA7876" w:rsidP="009B17C3">
      <w:pPr>
        <w:pStyle w:val="BNote"/>
        <w:rPr>
          <w:b/>
          <w:bCs/>
        </w:rPr>
      </w:pPr>
      <w:r w:rsidRPr="00E45372">
        <w:rPr>
          <w:b/>
          <w:bCs/>
        </w:rPr>
        <w:t>Notes:</w:t>
      </w:r>
      <w:r>
        <w:t xml:space="preserve"> </w:t>
      </w:r>
      <w:r w:rsidRPr="002D6E07">
        <w:rPr>
          <w:bCs/>
        </w:rPr>
        <w:t>Forecasts and projections are rounded to a ¼ of a percentage point. Numbers in brackets are the estimates published in the 2020-21 Budget.</w:t>
      </w:r>
    </w:p>
    <w:p w14:paraId="3C199329" w14:textId="77777777" w:rsidR="00BA7876" w:rsidRDefault="00BA7876" w:rsidP="009B17C3">
      <w:pPr>
        <w:pStyle w:val="BNotelist"/>
      </w:pPr>
      <w:r>
        <w:t>Real values.</w:t>
      </w:r>
    </w:p>
    <w:p w14:paraId="3C2F4EA8" w14:textId="77777777" w:rsidR="00BA7876" w:rsidRDefault="00BA7876" w:rsidP="009B17C3">
      <w:pPr>
        <w:pStyle w:val="BNotelist"/>
      </w:pPr>
      <w:r>
        <w:t>Year average basis (average of the current financial year relative to the previous financial year).</w:t>
      </w:r>
    </w:p>
    <w:p w14:paraId="7DE956CC" w14:textId="77777777" w:rsidR="00BA7876" w:rsidRDefault="00BA7876" w:rsidP="009B17C3">
      <w:pPr>
        <w:pStyle w:val="BNotelist"/>
      </w:pPr>
      <w:r>
        <w:t>Through the year growth (current quarter relative to the same quarter in the previous year).</w:t>
      </w:r>
    </w:p>
    <w:p w14:paraId="7BB3D328" w14:textId="77777777" w:rsidR="00BA7876" w:rsidRDefault="00BA7876" w:rsidP="009B17C3">
      <w:pPr>
        <w:pStyle w:val="BNotelist"/>
      </w:pPr>
      <w:r>
        <w:t>Actuals for 2020-21.</w:t>
      </w:r>
    </w:p>
    <w:p w14:paraId="3CB899E5" w14:textId="77777777" w:rsidR="00BA7876" w:rsidRDefault="00BA7876" w:rsidP="009B17C3">
      <w:pPr>
        <w:pStyle w:val="BNotelist"/>
      </w:pPr>
      <w:r>
        <w:t>Total hourly rates of pay, excluding bonuses.</w:t>
      </w:r>
    </w:p>
    <w:p w14:paraId="10F4C37B" w14:textId="791D5107" w:rsidR="00BA7876" w:rsidRPr="00550A27" w:rsidRDefault="00BA7876" w:rsidP="009B17C3">
      <w:pPr>
        <w:pStyle w:val="BNotelist"/>
      </w:pPr>
      <w:r>
        <w:t>2021-22 Commonwealth Budget forecasts, comparisons in brackets are to 2020-21 MYEFO forecasts</w:t>
      </w:r>
      <w:r w:rsidR="009E2589">
        <w:t>.</w:t>
      </w:r>
    </w:p>
    <w:p w14:paraId="18FBFEA2" w14:textId="77777777" w:rsidR="00BA7876" w:rsidRDefault="00BA7876" w:rsidP="005133AB">
      <w:pPr>
        <w:pStyle w:val="Heading3"/>
      </w:pPr>
      <w:r>
        <w:t>The 2021-22 Budget position</w:t>
      </w:r>
    </w:p>
    <w:p w14:paraId="16644221" w14:textId="394C2F42" w:rsidR="00BA7876" w:rsidRDefault="00BA7876" w:rsidP="00D94196">
      <w:pPr>
        <w:pStyle w:val="Bbodytext"/>
      </w:pPr>
      <w:r>
        <w:t xml:space="preserve">Spending on health and </w:t>
      </w:r>
      <w:r w:rsidRPr="002E7EC5">
        <w:t>economic support</w:t>
      </w:r>
      <w:r>
        <w:t>, including the additional initiatives required to respond to the current outbreak of COVID-19, continue</w:t>
      </w:r>
      <w:r w:rsidR="00AA308D">
        <w:t>s</w:t>
      </w:r>
      <w:r>
        <w:t xml:space="preserve"> to significantly impact the Territory’s finances. T</w:t>
      </w:r>
      <w:r w:rsidRPr="002E7EC5">
        <w:t xml:space="preserve">he General Government Sector (GGS) Headline Net Operating Balance (HNOB) deficit </w:t>
      </w:r>
      <w:r>
        <w:t>is estimated to</w:t>
      </w:r>
      <w:r w:rsidRPr="002E7EC5">
        <w:t xml:space="preserve"> </w:t>
      </w:r>
      <w:r>
        <w:t xml:space="preserve">be </w:t>
      </w:r>
      <w:r w:rsidRPr="00C315CA">
        <w:t>$951.5 million</w:t>
      </w:r>
      <w:r w:rsidRPr="002E7EC5">
        <w:t xml:space="preserve"> in 2021-22. This </w:t>
      </w:r>
      <w:r w:rsidRPr="00C315CA">
        <w:t>is $476.7 million</w:t>
      </w:r>
      <w:r w:rsidRPr="002E7EC5">
        <w:t xml:space="preserve"> higher than the forecast in the 2020-21 Budget</w:t>
      </w:r>
      <w:r>
        <w:t xml:space="preserve"> and reflects the costs associated with these additional supports</w:t>
      </w:r>
      <w:r w:rsidRPr="002E7EC5">
        <w:t>.</w:t>
      </w:r>
      <w:r>
        <w:t xml:space="preserve"> </w:t>
      </w:r>
    </w:p>
    <w:p w14:paraId="1F49A516" w14:textId="2CC7B80D" w:rsidR="00BA7876" w:rsidRDefault="00BA7876" w:rsidP="00D94196">
      <w:pPr>
        <w:pStyle w:val="Bbodytext"/>
      </w:pPr>
      <w:r>
        <w:t>E</w:t>
      </w:r>
      <w:r w:rsidRPr="00AC188F">
        <w:t xml:space="preserve">xpenses in 2021-22 are expected to be </w:t>
      </w:r>
      <w:r w:rsidRPr="00C315CA">
        <w:t>$925.6 million higher than forecast in the 2020</w:t>
      </w:r>
      <w:r w:rsidR="00AA308D">
        <w:noBreakHyphen/>
      </w:r>
      <w:r w:rsidRPr="00C315CA">
        <w:t>21</w:t>
      </w:r>
      <w:r w:rsidR="00AA308D">
        <w:t> </w:t>
      </w:r>
      <w:r w:rsidRPr="00C315CA">
        <w:t>Budget</w:t>
      </w:r>
      <w:r w:rsidRPr="00AC188F">
        <w:t xml:space="preserve"> and </w:t>
      </w:r>
      <w:r w:rsidRPr="00C315CA">
        <w:t>$1,647.3 million higher</w:t>
      </w:r>
      <w:r w:rsidRPr="00AC188F">
        <w:t xml:space="preserve"> over the three years to 2023-24.</w:t>
      </w:r>
      <w:r>
        <w:t xml:space="preserve"> Despite the current outbreak and the reintroduction of lockdown restrictions, </w:t>
      </w:r>
      <w:r w:rsidRPr="0068613F">
        <w:t xml:space="preserve">revenue is expected to be </w:t>
      </w:r>
      <w:r w:rsidRPr="00C315CA">
        <w:t>$425.3</w:t>
      </w:r>
      <w:r>
        <w:t> </w:t>
      </w:r>
      <w:r w:rsidRPr="00C315CA">
        <w:t xml:space="preserve">million higher </w:t>
      </w:r>
      <w:r w:rsidRPr="0068613F">
        <w:t>in 2021-22</w:t>
      </w:r>
      <w:r>
        <w:t>,</w:t>
      </w:r>
      <w:r w:rsidRPr="0068613F">
        <w:t xml:space="preserve"> and </w:t>
      </w:r>
      <w:r w:rsidRPr="00C315CA">
        <w:t>$772.6 million higher</w:t>
      </w:r>
      <w:r w:rsidRPr="0068613F">
        <w:t xml:space="preserve"> over the three years to 2023-24</w:t>
      </w:r>
      <w:r>
        <w:t>,</w:t>
      </w:r>
      <w:r w:rsidRPr="0033702A">
        <w:t xml:space="preserve"> </w:t>
      </w:r>
      <w:r w:rsidRPr="00C315CA">
        <w:t>than forecast in the 2020</w:t>
      </w:r>
      <w:r w:rsidRPr="00C315CA">
        <w:noBreakHyphen/>
        <w:t>21 Budget</w:t>
      </w:r>
      <w:r>
        <w:t xml:space="preserve"> largely as a result of continuing strength in the property market</w:t>
      </w:r>
      <w:r w:rsidRPr="0068613F">
        <w:t>.</w:t>
      </w:r>
      <w:r>
        <w:t xml:space="preserve"> </w:t>
      </w:r>
    </w:p>
    <w:p w14:paraId="674F0033" w14:textId="6EB1E286" w:rsidR="00BA7876" w:rsidRDefault="00BA7876" w:rsidP="002544DD">
      <w:pPr>
        <w:pStyle w:val="Bbodytext"/>
        <w:keepLines/>
      </w:pPr>
      <w:r>
        <w:t>Net debt is forecast to increase to $5.7 billion in 20</w:t>
      </w:r>
      <w:r w:rsidR="00AA308D">
        <w:t>21</w:t>
      </w:r>
      <w:r>
        <w:t>-22 and to $9.6 billion by 2024-25. However, underlying this increase is a trend of decreasing HNOB deficits across the forward estimates reflecting a stronger economic outlook in the ACT and nationally as temporary spending initiatives for the public health emergency are no longer required.</w:t>
      </w:r>
    </w:p>
    <w:p w14:paraId="5CC7A21B" w14:textId="62E56D8B" w:rsidR="00BA7876" w:rsidRDefault="00BA7876" w:rsidP="00D94196">
      <w:pPr>
        <w:pStyle w:val="Bbodytext"/>
      </w:pPr>
      <w:r>
        <w:t>The General Government Sector Headline Net Operating Balance is detailed in Table 1.</w:t>
      </w:r>
      <w:r w:rsidR="00AA308D">
        <w:t>1</w:t>
      </w:r>
      <w:r>
        <w:t>.</w:t>
      </w:r>
      <w:r w:rsidR="00AA308D">
        <w:t>2</w:t>
      </w:r>
      <w:r>
        <w:t xml:space="preserve"> below.</w:t>
      </w:r>
    </w:p>
    <w:p w14:paraId="71A2D021" w14:textId="758CA79C" w:rsidR="00BA7876" w:rsidRDefault="00BA7876" w:rsidP="00D94196">
      <w:pPr>
        <w:pStyle w:val="Caption"/>
        <w:rPr>
          <w:noProof/>
        </w:rPr>
      </w:pPr>
      <w:r w:rsidRPr="00111524">
        <w:lastRenderedPageBreak/>
        <w:t xml:space="preserve">Table </w:t>
      </w:r>
      <w:r>
        <w:fldChar w:fldCharType="begin"/>
      </w:r>
      <w:r>
        <w:instrText>STYLEREF 2 \s</w:instrText>
      </w:r>
      <w:r>
        <w:fldChar w:fldCharType="separate"/>
      </w:r>
      <w:r w:rsidR="00462B69">
        <w:rPr>
          <w:noProof/>
        </w:rPr>
        <w:t>1.1</w:t>
      </w:r>
      <w:r>
        <w:fldChar w:fldCharType="end"/>
      </w:r>
      <w:r w:rsidRPr="00111524">
        <w:t>.</w:t>
      </w:r>
      <w:r>
        <w:fldChar w:fldCharType="begin"/>
      </w:r>
      <w:r>
        <w:instrText>SEQ Table \* ARABIC \s 2</w:instrText>
      </w:r>
      <w:r>
        <w:fldChar w:fldCharType="separate"/>
      </w:r>
      <w:r w:rsidR="00462B69">
        <w:rPr>
          <w:noProof/>
        </w:rPr>
        <w:t>2</w:t>
      </w:r>
      <w:r>
        <w:fldChar w:fldCharType="end"/>
      </w:r>
      <w:r>
        <w:rPr>
          <w:noProof/>
        </w:rPr>
        <w:t>: General Government Sector Headline Net Operating Balance</w:t>
      </w:r>
    </w:p>
    <w:tbl>
      <w:tblPr>
        <w:tblW w:w="5000" w:type="pct"/>
        <w:tblBorders>
          <w:top w:val="single" w:sz="4" w:space="0" w:color="auto"/>
          <w:bottom w:val="single" w:sz="4" w:space="0" w:color="auto"/>
          <w:insideH w:val="single" w:sz="4" w:space="0" w:color="auto"/>
        </w:tblBorders>
        <w:tblCellMar>
          <w:left w:w="85" w:type="dxa"/>
        </w:tblCellMar>
        <w:tblLook w:val="04A0" w:firstRow="1" w:lastRow="0" w:firstColumn="1" w:lastColumn="0" w:noHBand="0" w:noVBand="1"/>
      </w:tblPr>
      <w:tblGrid>
        <w:gridCol w:w="2371"/>
        <w:gridCol w:w="1012"/>
        <w:gridCol w:w="1187"/>
        <w:gridCol w:w="1012"/>
        <w:gridCol w:w="1148"/>
        <w:gridCol w:w="1148"/>
        <w:gridCol w:w="1148"/>
      </w:tblGrid>
      <w:tr w:rsidR="00BA7876" w:rsidRPr="008F5D57" w14:paraId="660F45F3" w14:textId="77777777" w:rsidTr="004C5F2C">
        <w:trPr>
          <w:trHeight w:val="156"/>
        </w:trPr>
        <w:tc>
          <w:tcPr>
            <w:tcW w:w="1593" w:type="pct"/>
            <w:tcBorders>
              <w:bottom w:val="single" w:sz="4" w:space="0" w:color="auto"/>
            </w:tcBorders>
            <w:shd w:val="clear" w:color="auto" w:fill="472D8C"/>
          </w:tcPr>
          <w:p w14:paraId="0E177887" w14:textId="77777777" w:rsidR="00BA7876" w:rsidRPr="00111524" w:rsidRDefault="00BA7876" w:rsidP="004C5F2C">
            <w:pPr>
              <w:rPr>
                <w:rFonts w:cs="Calibri"/>
                <w:b/>
                <w:color w:val="FFFFFF" w:themeColor="background1"/>
                <w:sz w:val="20"/>
              </w:rPr>
            </w:pPr>
          </w:p>
        </w:tc>
        <w:tc>
          <w:tcPr>
            <w:tcW w:w="568" w:type="pct"/>
            <w:tcBorders>
              <w:bottom w:val="single" w:sz="4" w:space="0" w:color="auto"/>
            </w:tcBorders>
            <w:shd w:val="clear" w:color="auto" w:fill="472D8C"/>
          </w:tcPr>
          <w:p w14:paraId="3577944E" w14:textId="77777777" w:rsidR="00BA7876" w:rsidRDefault="00BA7876" w:rsidP="004C5F2C">
            <w:pPr>
              <w:pStyle w:val="BTableHeadingRowRightAligned"/>
              <w:rPr>
                <w:color w:val="FFFFFF" w:themeColor="background1"/>
              </w:rPr>
            </w:pPr>
            <w:r>
              <w:rPr>
                <w:color w:val="FFFFFF" w:themeColor="background1"/>
              </w:rPr>
              <w:t>2020-21 Budget</w:t>
            </w:r>
            <w:r>
              <w:rPr>
                <w:color w:val="FFFFFF" w:themeColor="background1"/>
              </w:rPr>
              <w:br/>
            </w:r>
          </w:p>
          <w:p w14:paraId="47815631" w14:textId="77777777" w:rsidR="00BA7876" w:rsidRPr="00111524" w:rsidRDefault="00BA7876" w:rsidP="004C5F2C">
            <w:pPr>
              <w:pStyle w:val="BTableHeadingRowRightAligned"/>
              <w:rPr>
                <w:color w:val="FFFFFF" w:themeColor="background1"/>
              </w:rPr>
            </w:pPr>
            <w:r>
              <w:rPr>
                <w:color w:val="FFFFFF" w:themeColor="background1"/>
              </w:rPr>
              <w:t>$m</w:t>
            </w:r>
          </w:p>
        </w:tc>
        <w:tc>
          <w:tcPr>
            <w:tcW w:w="609" w:type="pct"/>
            <w:tcBorders>
              <w:bottom w:val="single" w:sz="4" w:space="0" w:color="auto"/>
            </w:tcBorders>
            <w:shd w:val="clear" w:color="auto" w:fill="472D8C"/>
          </w:tcPr>
          <w:p w14:paraId="47D4782E" w14:textId="77777777" w:rsidR="00BA7876" w:rsidRPr="00111524" w:rsidRDefault="00BA7876" w:rsidP="004C5F2C">
            <w:pPr>
              <w:pStyle w:val="BTableHeadingRowRightAligned"/>
              <w:rPr>
                <w:color w:val="FFFFFF" w:themeColor="background1"/>
              </w:rPr>
            </w:pPr>
            <w:r w:rsidRPr="00111524">
              <w:rPr>
                <w:color w:val="FFFFFF" w:themeColor="background1"/>
              </w:rPr>
              <w:t>2020-21</w:t>
            </w:r>
            <w:r>
              <w:rPr>
                <w:color w:val="FFFFFF" w:themeColor="background1"/>
              </w:rPr>
              <w:br/>
              <w:t>Interim Outcome</w:t>
            </w:r>
            <w:r>
              <w:rPr>
                <w:color w:val="FFFFFF" w:themeColor="background1"/>
              </w:rPr>
              <w:br/>
              <w:t>$m</w:t>
            </w:r>
          </w:p>
        </w:tc>
        <w:tc>
          <w:tcPr>
            <w:tcW w:w="526" w:type="pct"/>
            <w:tcBorders>
              <w:bottom w:val="single" w:sz="4" w:space="0" w:color="auto"/>
            </w:tcBorders>
            <w:shd w:val="clear" w:color="auto" w:fill="472D8C"/>
          </w:tcPr>
          <w:p w14:paraId="3D136982" w14:textId="77777777" w:rsidR="00BA7876" w:rsidRDefault="00BA7876" w:rsidP="004C5F2C">
            <w:pPr>
              <w:pStyle w:val="BTableHeadingRowRightAligned"/>
              <w:rPr>
                <w:color w:val="FFFFFF" w:themeColor="background1"/>
              </w:rPr>
            </w:pPr>
            <w:r>
              <w:rPr>
                <w:color w:val="FFFFFF" w:themeColor="background1"/>
              </w:rPr>
              <w:t xml:space="preserve">2021-22 </w:t>
            </w:r>
            <w:r>
              <w:rPr>
                <w:color w:val="FFFFFF" w:themeColor="background1"/>
              </w:rPr>
              <w:br/>
              <w:t>Budget</w:t>
            </w:r>
            <w:r>
              <w:rPr>
                <w:color w:val="FFFFFF" w:themeColor="background1"/>
              </w:rPr>
              <w:br/>
            </w:r>
          </w:p>
          <w:p w14:paraId="2CC3702D" w14:textId="77777777" w:rsidR="00BA7876" w:rsidRPr="00111524" w:rsidRDefault="00BA7876" w:rsidP="004C5F2C">
            <w:pPr>
              <w:pStyle w:val="BTableHeadingRowRightAligned"/>
              <w:rPr>
                <w:color w:val="FFFFFF" w:themeColor="background1"/>
              </w:rPr>
            </w:pPr>
            <w:r>
              <w:rPr>
                <w:color w:val="FFFFFF" w:themeColor="background1"/>
              </w:rPr>
              <w:t>$m</w:t>
            </w:r>
          </w:p>
        </w:tc>
        <w:tc>
          <w:tcPr>
            <w:tcW w:w="568" w:type="pct"/>
            <w:tcBorders>
              <w:bottom w:val="single" w:sz="4" w:space="0" w:color="auto"/>
            </w:tcBorders>
            <w:shd w:val="clear" w:color="auto" w:fill="472D8C"/>
          </w:tcPr>
          <w:p w14:paraId="60B340EB" w14:textId="77777777" w:rsidR="00BA7876" w:rsidRDefault="00BA7876" w:rsidP="004C5F2C">
            <w:pPr>
              <w:pStyle w:val="BTableHeadingRowRightAligned"/>
              <w:rPr>
                <w:color w:val="FFFFFF" w:themeColor="background1"/>
              </w:rPr>
            </w:pPr>
            <w:r>
              <w:rPr>
                <w:color w:val="FFFFFF" w:themeColor="background1"/>
              </w:rPr>
              <w:t>2022-23</w:t>
            </w:r>
            <w:r>
              <w:rPr>
                <w:color w:val="FFFFFF" w:themeColor="background1"/>
              </w:rPr>
              <w:br/>
              <w:t>Estimate</w:t>
            </w:r>
            <w:r>
              <w:rPr>
                <w:color w:val="FFFFFF" w:themeColor="background1"/>
              </w:rPr>
              <w:br/>
            </w:r>
          </w:p>
          <w:p w14:paraId="57CE57A7" w14:textId="77777777" w:rsidR="00BA7876" w:rsidRPr="00111524" w:rsidRDefault="00BA7876" w:rsidP="004C5F2C">
            <w:pPr>
              <w:pStyle w:val="BTableHeadingRowRightAligned"/>
              <w:rPr>
                <w:color w:val="FFFFFF" w:themeColor="background1"/>
              </w:rPr>
            </w:pPr>
            <w:r>
              <w:rPr>
                <w:color w:val="FFFFFF" w:themeColor="background1"/>
              </w:rPr>
              <w:t>$m</w:t>
            </w:r>
          </w:p>
        </w:tc>
        <w:tc>
          <w:tcPr>
            <w:tcW w:w="568" w:type="pct"/>
            <w:tcBorders>
              <w:bottom w:val="single" w:sz="4" w:space="0" w:color="auto"/>
            </w:tcBorders>
            <w:shd w:val="clear" w:color="auto" w:fill="472D8C"/>
          </w:tcPr>
          <w:p w14:paraId="22058B2B" w14:textId="77777777" w:rsidR="00BA7876" w:rsidRDefault="00BA7876" w:rsidP="004C5F2C">
            <w:pPr>
              <w:pStyle w:val="BTableHeadingRowRightAligned"/>
              <w:rPr>
                <w:color w:val="FFFFFF" w:themeColor="background1"/>
              </w:rPr>
            </w:pPr>
            <w:r>
              <w:rPr>
                <w:color w:val="FFFFFF" w:themeColor="background1"/>
              </w:rPr>
              <w:t>2023-24</w:t>
            </w:r>
            <w:r>
              <w:rPr>
                <w:color w:val="FFFFFF" w:themeColor="background1"/>
              </w:rPr>
              <w:br/>
              <w:t>Estimate</w:t>
            </w:r>
            <w:r>
              <w:rPr>
                <w:color w:val="FFFFFF" w:themeColor="background1"/>
              </w:rPr>
              <w:br/>
            </w:r>
          </w:p>
          <w:p w14:paraId="49B8C0DE" w14:textId="77777777" w:rsidR="00BA7876" w:rsidRPr="00111524" w:rsidRDefault="00BA7876" w:rsidP="004C5F2C">
            <w:pPr>
              <w:pStyle w:val="BTableHeadingRowRightAligned"/>
              <w:rPr>
                <w:color w:val="FFFFFF" w:themeColor="background1"/>
              </w:rPr>
            </w:pPr>
            <w:r>
              <w:rPr>
                <w:color w:val="FFFFFF" w:themeColor="background1"/>
              </w:rPr>
              <w:t>$m</w:t>
            </w:r>
          </w:p>
        </w:tc>
        <w:tc>
          <w:tcPr>
            <w:tcW w:w="568" w:type="pct"/>
            <w:tcBorders>
              <w:bottom w:val="single" w:sz="4" w:space="0" w:color="auto"/>
            </w:tcBorders>
            <w:shd w:val="clear" w:color="auto" w:fill="472D8C"/>
          </w:tcPr>
          <w:p w14:paraId="4FCBF318" w14:textId="77777777" w:rsidR="00BA7876" w:rsidRDefault="00BA7876" w:rsidP="004C5F2C">
            <w:pPr>
              <w:pStyle w:val="BTableHeadingRowRightAligned"/>
              <w:rPr>
                <w:color w:val="FFFFFF" w:themeColor="background1"/>
              </w:rPr>
            </w:pPr>
            <w:r>
              <w:rPr>
                <w:color w:val="FFFFFF" w:themeColor="background1"/>
              </w:rPr>
              <w:t>2024-25</w:t>
            </w:r>
            <w:r>
              <w:rPr>
                <w:color w:val="FFFFFF" w:themeColor="background1"/>
              </w:rPr>
              <w:br/>
              <w:t>Estimate</w:t>
            </w:r>
            <w:r>
              <w:rPr>
                <w:color w:val="FFFFFF" w:themeColor="background1"/>
              </w:rPr>
              <w:br/>
            </w:r>
          </w:p>
          <w:p w14:paraId="5E39AF84" w14:textId="77777777" w:rsidR="00BA7876" w:rsidRPr="00111524" w:rsidRDefault="00BA7876" w:rsidP="004C5F2C">
            <w:pPr>
              <w:pStyle w:val="BTableHeadingRowRightAligned"/>
              <w:rPr>
                <w:color w:val="FFFFFF" w:themeColor="background1"/>
              </w:rPr>
            </w:pPr>
            <w:r>
              <w:rPr>
                <w:color w:val="FFFFFF" w:themeColor="background1"/>
              </w:rPr>
              <w:t>$m</w:t>
            </w:r>
          </w:p>
        </w:tc>
      </w:tr>
      <w:tr w:rsidR="00BA7876" w:rsidRPr="00337DC9" w14:paraId="3D9F559C" w14:textId="77777777" w:rsidTr="004C5F2C">
        <w:trPr>
          <w:trHeight w:val="257"/>
        </w:trPr>
        <w:tc>
          <w:tcPr>
            <w:tcW w:w="1593" w:type="pct"/>
            <w:tcBorders>
              <w:top w:val="nil"/>
              <w:bottom w:val="nil"/>
            </w:tcBorders>
          </w:tcPr>
          <w:p w14:paraId="72FB63CD" w14:textId="77777777" w:rsidR="00BA7876" w:rsidRPr="00EC74DB" w:rsidRDefault="00BA7876" w:rsidP="004C5F2C">
            <w:pPr>
              <w:pStyle w:val="Btabletextunbold"/>
            </w:pPr>
            <w:r>
              <w:t>Revenue</w:t>
            </w:r>
          </w:p>
        </w:tc>
        <w:tc>
          <w:tcPr>
            <w:tcW w:w="568" w:type="pct"/>
            <w:tcBorders>
              <w:bottom w:val="nil"/>
            </w:tcBorders>
          </w:tcPr>
          <w:p w14:paraId="31309839" w14:textId="77777777" w:rsidR="00BA7876" w:rsidRDefault="00BA7876" w:rsidP="004C5F2C">
            <w:pPr>
              <w:pStyle w:val="Btablefigureunbold"/>
            </w:pPr>
            <w:r>
              <w:t>5,981.1</w:t>
            </w:r>
          </w:p>
        </w:tc>
        <w:tc>
          <w:tcPr>
            <w:tcW w:w="609" w:type="pct"/>
            <w:tcBorders>
              <w:bottom w:val="nil"/>
            </w:tcBorders>
          </w:tcPr>
          <w:p w14:paraId="304C9A26" w14:textId="77777777" w:rsidR="00BA7876" w:rsidRPr="00EC74DB" w:rsidRDefault="00BA7876" w:rsidP="004C5F2C">
            <w:pPr>
              <w:pStyle w:val="Btablefigureunbold"/>
            </w:pPr>
            <w:r>
              <w:t>6,307.5</w:t>
            </w:r>
          </w:p>
        </w:tc>
        <w:tc>
          <w:tcPr>
            <w:tcW w:w="526" w:type="pct"/>
            <w:tcBorders>
              <w:bottom w:val="nil"/>
            </w:tcBorders>
            <w:shd w:val="clear" w:color="auto" w:fill="auto"/>
          </w:tcPr>
          <w:p w14:paraId="05C27CAC" w14:textId="77777777" w:rsidR="00BA7876" w:rsidRPr="00C315CA" w:rsidRDefault="00BA7876" w:rsidP="004C5F2C">
            <w:pPr>
              <w:pStyle w:val="Btablefigureunbold"/>
            </w:pPr>
            <w:r w:rsidRPr="00C315CA">
              <w:t>6,597.1</w:t>
            </w:r>
          </w:p>
        </w:tc>
        <w:tc>
          <w:tcPr>
            <w:tcW w:w="568" w:type="pct"/>
            <w:tcBorders>
              <w:bottom w:val="nil"/>
            </w:tcBorders>
            <w:shd w:val="clear" w:color="472D8C" w:fill="auto"/>
          </w:tcPr>
          <w:p w14:paraId="1135964C" w14:textId="77777777" w:rsidR="00BA7876" w:rsidRPr="00111524" w:rsidRDefault="00BA7876" w:rsidP="004C5F2C">
            <w:pPr>
              <w:pStyle w:val="Btablefigureunbold"/>
              <w:rPr>
                <w:color w:val="000000"/>
              </w:rPr>
            </w:pPr>
            <w:r>
              <w:rPr>
                <w:color w:val="000000"/>
              </w:rPr>
              <w:t>6,541.7</w:t>
            </w:r>
          </w:p>
        </w:tc>
        <w:tc>
          <w:tcPr>
            <w:tcW w:w="568" w:type="pct"/>
            <w:tcBorders>
              <w:bottom w:val="nil"/>
            </w:tcBorders>
            <w:shd w:val="clear" w:color="auto" w:fill="auto"/>
          </w:tcPr>
          <w:p w14:paraId="4FD3A3D8" w14:textId="77777777" w:rsidR="00BA7876" w:rsidRPr="00EC74DB" w:rsidRDefault="00BA7876" w:rsidP="004C5F2C">
            <w:pPr>
              <w:pStyle w:val="Btablefigureunbold"/>
            </w:pPr>
            <w:r>
              <w:t>6,696.3</w:t>
            </w:r>
          </w:p>
        </w:tc>
        <w:tc>
          <w:tcPr>
            <w:tcW w:w="568" w:type="pct"/>
            <w:tcBorders>
              <w:bottom w:val="nil"/>
            </w:tcBorders>
          </w:tcPr>
          <w:p w14:paraId="05418531" w14:textId="77777777" w:rsidR="00BA7876" w:rsidRPr="00EC74DB" w:rsidRDefault="00BA7876" w:rsidP="004C5F2C">
            <w:pPr>
              <w:pStyle w:val="Btablefigureunbold"/>
            </w:pPr>
            <w:r>
              <w:t>6,952.6</w:t>
            </w:r>
          </w:p>
        </w:tc>
      </w:tr>
      <w:tr w:rsidR="00BA7876" w:rsidRPr="00337DC9" w14:paraId="5A82D112" w14:textId="77777777" w:rsidTr="004C5F2C">
        <w:trPr>
          <w:trHeight w:val="270"/>
        </w:trPr>
        <w:tc>
          <w:tcPr>
            <w:tcW w:w="1593" w:type="pct"/>
            <w:tcBorders>
              <w:top w:val="nil"/>
              <w:bottom w:val="nil"/>
            </w:tcBorders>
          </w:tcPr>
          <w:p w14:paraId="24A40CFA" w14:textId="77777777" w:rsidR="00BA7876" w:rsidRPr="00EC74DB" w:rsidRDefault="00BA7876" w:rsidP="004C5F2C">
            <w:pPr>
              <w:pStyle w:val="Btabletextunbold"/>
            </w:pPr>
            <w:r>
              <w:t>Expenses</w:t>
            </w:r>
          </w:p>
        </w:tc>
        <w:tc>
          <w:tcPr>
            <w:tcW w:w="568" w:type="pct"/>
            <w:tcBorders>
              <w:top w:val="nil"/>
              <w:bottom w:val="nil"/>
            </w:tcBorders>
          </w:tcPr>
          <w:p w14:paraId="44929B5A" w14:textId="77777777" w:rsidR="00BA7876" w:rsidRPr="00E32DC8" w:rsidRDefault="00BA7876" w:rsidP="004C5F2C">
            <w:pPr>
              <w:pStyle w:val="Btablefigureunbold"/>
            </w:pPr>
            <w:r>
              <w:t>6,749.7</w:t>
            </w:r>
          </w:p>
        </w:tc>
        <w:tc>
          <w:tcPr>
            <w:tcW w:w="609" w:type="pct"/>
            <w:tcBorders>
              <w:top w:val="nil"/>
              <w:bottom w:val="nil"/>
            </w:tcBorders>
          </w:tcPr>
          <w:p w14:paraId="475E9EF1" w14:textId="77777777" w:rsidR="00BA7876" w:rsidRPr="00E32DC8" w:rsidRDefault="00BA7876" w:rsidP="004C5F2C">
            <w:pPr>
              <w:pStyle w:val="Btablefigureunbold"/>
            </w:pPr>
            <w:r w:rsidRPr="00E32DC8">
              <w:t>6,794.1</w:t>
            </w:r>
          </w:p>
        </w:tc>
        <w:tc>
          <w:tcPr>
            <w:tcW w:w="526" w:type="pct"/>
            <w:tcBorders>
              <w:top w:val="nil"/>
              <w:bottom w:val="nil"/>
            </w:tcBorders>
            <w:shd w:val="clear" w:color="auto" w:fill="auto"/>
          </w:tcPr>
          <w:p w14:paraId="140455D3" w14:textId="77777777" w:rsidR="00BA7876" w:rsidRPr="00C315CA" w:rsidRDefault="00BA7876" w:rsidP="004C5F2C">
            <w:pPr>
              <w:pStyle w:val="BTablefigureBold"/>
              <w:rPr>
                <w:b w:val="0"/>
              </w:rPr>
            </w:pPr>
            <w:r w:rsidRPr="00C315CA">
              <w:rPr>
                <w:b w:val="0"/>
              </w:rPr>
              <w:t>7,764.7</w:t>
            </w:r>
          </w:p>
        </w:tc>
        <w:tc>
          <w:tcPr>
            <w:tcW w:w="568" w:type="pct"/>
            <w:tcBorders>
              <w:top w:val="nil"/>
              <w:bottom w:val="nil"/>
            </w:tcBorders>
            <w:shd w:val="clear" w:color="472D8C" w:fill="auto"/>
          </w:tcPr>
          <w:p w14:paraId="055D4411" w14:textId="77777777" w:rsidR="00BA7876" w:rsidRPr="00E32DC8" w:rsidRDefault="00BA7876" w:rsidP="004C5F2C">
            <w:pPr>
              <w:pStyle w:val="Btablefigureunbold"/>
              <w:rPr>
                <w:color w:val="000000"/>
              </w:rPr>
            </w:pPr>
            <w:r w:rsidRPr="00E32DC8">
              <w:rPr>
                <w:color w:val="000000"/>
              </w:rPr>
              <w:t>7,337.3</w:t>
            </w:r>
          </w:p>
        </w:tc>
        <w:tc>
          <w:tcPr>
            <w:tcW w:w="568" w:type="pct"/>
            <w:tcBorders>
              <w:top w:val="nil"/>
              <w:bottom w:val="nil"/>
            </w:tcBorders>
            <w:shd w:val="clear" w:color="auto" w:fill="auto"/>
          </w:tcPr>
          <w:p w14:paraId="6608ED6E" w14:textId="77777777" w:rsidR="00BA7876" w:rsidRPr="00EC74DB" w:rsidRDefault="00BA7876" w:rsidP="004C5F2C">
            <w:pPr>
              <w:pStyle w:val="Btablefigureunbold"/>
            </w:pPr>
            <w:r>
              <w:t>7,474.4</w:t>
            </w:r>
          </w:p>
        </w:tc>
        <w:tc>
          <w:tcPr>
            <w:tcW w:w="568" w:type="pct"/>
            <w:tcBorders>
              <w:top w:val="nil"/>
              <w:bottom w:val="nil"/>
            </w:tcBorders>
          </w:tcPr>
          <w:p w14:paraId="7F898A12" w14:textId="77777777" w:rsidR="00BA7876" w:rsidRPr="00EC74DB" w:rsidRDefault="00BA7876" w:rsidP="004C5F2C">
            <w:pPr>
              <w:pStyle w:val="Btablefigureunbold"/>
            </w:pPr>
            <w:r>
              <w:t>7,692.0</w:t>
            </w:r>
          </w:p>
        </w:tc>
      </w:tr>
      <w:tr w:rsidR="00BA7876" w:rsidRPr="00337DC9" w14:paraId="22383DAC" w14:textId="77777777" w:rsidTr="004C5F2C">
        <w:trPr>
          <w:trHeight w:val="270"/>
        </w:trPr>
        <w:tc>
          <w:tcPr>
            <w:tcW w:w="1593" w:type="pct"/>
            <w:tcBorders>
              <w:top w:val="nil"/>
              <w:bottom w:val="single" w:sz="4" w:space="0" w:color="auto"/>
            </w:tcBorders>
          </w:tcPr>
          <w:p w14:paraId="679B752E" w14:textId="77777777" w:rsidR="00BA7876" w:rsidRDefault="00BA7876" w:rsidP="004C5F2C">
            <w:pPr>
              <w:pStyle w:val="Btabletextunbold"/>
            </w:pPr>
            <w:r>
              <w:t>Superannuation return adjustment</w:t>
            </w:r>
          </w:p>
        </w:tc>
        <w:tc>
          <w:tcPr>
            <w:tcW w:w="568" w:type="pct"/>
            <w:tcBorders>
              <w:top w:val="nil"/>
              <w:bottom w:val="single" w:sz="4" w:space="0" w:color="auto"/>
            </w:tcBorders>
          </w:tcPr>
          <w:p w14:paraId="51EB5727" w14:textId="77777777" w:rsidR="00BA7876" w:rsidRPr="00E32DC8" w:rsidRDefault="00BA7876" w:rsidP="004C5F2C">
            <w:pPr>
              <w:pStyle w:val="Btablefigureunbold"/>
            </w:pPr>
            <w:r>
              <w:t>165.6</w:t>
            </w:r>
          </w:p>
        </w:tc>
        <w:tc>
          <w:tcPr>
            <w:tcW w:w="609" w:type="pct"/>
            <w:tcBorders>
              <w:top w:val="nil"/>
              <w:bottom w:val="single" w:sz="4" w:space="0" w:color="auto"/>
            </w:tcBorders>
          </w:tcPr>
          <w:p w14:paraId="4C7B4D28" w14:textId="77777777" w:rsidR="00BA7876" w:rsidRPr="00E32DC8" w:rsidRDefault="00BA7876" w:rsidP="004C5F2C">
            <w:pPr>
              <w:pStyle w:val="Btablefigureunbold"/>
            </w:pPr>
            <w:r w:rsidRPr="00E32DC8">
              <w:t>123.5</w:t>
            </w:r>
          </w:p>
        </w:tc>
        <w:tc>
          <w:tcPr>
            <w:tcW w:w="526" w:type="pct"/>
            <w:tcBorders>
              <w:top w:val="nil"/>
              <w:bottom w:val="single" w:sz="4" w:space="0" w:color="auto"/>
            </w:tcBorders>
            <w:shd w:val="clear" w:color="auto" w:fill="auto"/>
          </w:tcPr>
          <w:p w14:paraId="314BD724" w14:textId="77777777" w:rsidR="00BA7876" w:rsidRPr="00C315CA" w:rsidRDefault="00BA7876" w:rsidP="004C5F2C">
            <w:pPr>
              <w:pStyle w:val="BTablefigureBold"/>
              <w:rPr>
                <w:b w:val="0"/>
              </w:rPr>
            </w:pPr>
            <w:r w:rsidRPr="00C315CA">
              <w:rPr>
                <w:b w:val="0"/>
              </w:rPr>
              <w:t>216.1</w:t>
            </w:r>
          </w:p>
        </w:tc>
        <w:tc>
          <w:tcPr>
            <w:tcW w:w="568" w:type="pct"/>
            <w:tcBorders>
              <w:top w:val="nil"/>
              <w:bottom w:val="single" w:sz="4" w:space="0" w:color="auto"/>
            </w:tcBorders>
            <w:shd w:val="clear" w:color="472D8C" w:fill="auto"/>
          </w:tcPr>
          <w:p w14:paraId="4589513A" w14:textId="77777777" w:rsidR="00BA7876" w:rsidRPr="00E32DC8" w:rsidRDefault="00BA7876" w:rsidP="004C5F2C">
            <w:pPr>
              <w:pStyle w:val="Btablefigureunbold"/>
              <w:rPr>
                <w:color w:val="000000"/>
              </w:rPr>
            </w:pPr>
            <w:r w:rsidRPr="00E32DC8">
              <w:rPr>
                <w:color w:val="000000"/>
              </w:rPr>
              <w:t>231.4</w:t>
            </w:r>
          </w:p>
        </w:tc>
        <w:tc>
          <w:tcPr>
            <w:tcW w:w="568" w:type="pct"/>
            <w:tcBorders>
              <w:top w:val="nil"/>
              <w:bottom w:val="single" w:sz="4" w:space="0" w:color="auto"/>
            </w:tcBorders>
            <w:shd w:val="clear" w:color="auto" w:fill="auto"/>
          </w:tcPr>
          <w:p w14:paraId="3FFDED0C" w14:textId="77777777" w:rsidR="00BA7876" w:rsidRPr="00EC74DB" w:rsidRDefault="00BA7876" w:rsidP="004C5F2C">
            <w:pPr>
              <w:pStyle w:val="Btablefigureunbold"/>
            </w:pPr>
            <w:r>
              <w:t>247.7</w:t>
            </w:r>
          </w:p>
        </w:tc>
        <w:tc>
          <w:tcPr>
            <w:tcW w:w="568" w:type="pct"/>
            <w:tcBorders>
              <w:top w:val="nil"/>
              <w:bottom w:val="single" w:sz="4" w:space="0" w:color="auto"/>
            </w:tcBorders>
          </w:tcPr>
          <w:p w14:paraId="0B7BAA12" w14:textId="77777777" w:rsidR="00BA7876" w:rsidRPr="00EC74DB" w:rsidRDefault="00BA7876" w:rsidP="004C5F2C">
            <w:pPr>
              <w:pStyle w:val="Btablefigureunbold"/>
            </w:pPr>
            <w:r>
              <w:t>265.3</w:t>
            </w:r>
          </w:p>
        </w:tc>
      </w:tr>
      <w:tr w:rsidR="00BA7876" w:rsidRPr="00337DC9" w14:paraId="3B62BA83" w14:textId="77777777" w:rsidTr="004C5F2C">
        <w:trPr>
          <w:trHeight w:val="270"/>
        </w:trPr>
        <w:tc>
          <w:tcPr>
            <w:tcW w:w="1593" w:type="pct"/>
            <w:tcBorders>
              <w:top w:val="single" w:sz="4" w:space="0" w:color="auto"/>
              <w:bottom w:val="single" w:sz="4" w:space="0" w:color="auto"/>
            </w:tcBorders>
          </w:tcPr>
          <w:p w14:paraId="62A2ADBF" w14:textId="77777777" w:rsidR="00BA7876" w:rsidRPr="00E55B7D" w:rsidRDefault="00BA7876" w:rsidP="004C5F2C">
            <w:pPr>
              <w:pStyle w:val="Btabletextbold"/>
              <w:rPr>
                <w:color w:val="472D8C"/>
              </w:rPr>
            </w:pPr>
            <w:r w:rsidRPr="00E55B7D">
              <w:rPr>
                <w:color w:val="472D8C"/>
              </w:rPr>
              <w:t xml:space="preserve">HEADLINE NET OPERATING BALANCE </w:t>
            </w:r>
          </w:p>
        </w:tc>
        <w:tc>
          <w:tcPr>
            <w:tcW w:w="568" w:type="pct"/>
            <w:tcBorders>
              <w:top w:val="single" w:sz="4" w:space="0" w:color="auto"/>
              <w:bottom w:val="single" w:sz="4" w:space="0" w:color="auto"/>
            </w:tcBorders>
          </w:tcPr>
          <w:p w14:paraId="15F0766B" w14:textId="77777777" w:rsidR="00BA7876" w:rsidRPr="00E55B7D" w:rsidRDefault="00BA7876" w:rsidP="004C5F2C">
            <w:pPr>
              <w:pStyle w:val="Btablefigureunbold"/>
              <w:rPr>
                <w:b/>
                <w:color w:val="472D8C"/>
              </w:rPr>
            </w:pPr>
            <w:r w:rsidRPr="00E55B7D">
              <w:rPr>
                <w:b/>
                <w:color w:val="472D8C"/>
              </w:rPr>
              <w:t>-603.1</w:t>
            </w:r>
          </w:p>
        </w:tc>
        <w:tc>
          <w:tcPr>
            <w:tcW w:w="609" w:type="pct"/>
            <w:tcBorders>
              <w:top w:val="single" w:sz="4" w:space="0" w:color="auto"/>
              <w:bottom w:val="single" w:sz="4" w:space="0" w:color="auto"/>
            </w:tcBorders>
          </w:tcPr>
          <w:p w14:paraId="44FBAE47" w14:textId="77777777" w:rsidR="00BA7876" w:rsidRPr="00E55B7D" w:rsidRDefault="00BA7876" w:rsidP="004C5F2C">
            <w:pPr>
              <w:pStyle w:val="Btablefigureunbold"/>
              <w:rPr>
                <w:b/>
                <w:color w:val="472D8C"/>
              </w:rPr>
            </w:pPr>
            <w:r w:rsidRPr="00E55B7D">
              <w:rPr>
                <w:b/>
                <w:color w:val="472D8C"/>
              </w:rPr>
              <w:t>-363.1</w:t>
            </w:r>
          </w:p>
        </w:tc>
        <w:tc>
          <w:tcPr>
            <w:tcW w:w="526" w:type="pct"/>
            <w:tcBorders>
              <w:top w:val="single" w:sz="4" w:space="0" w:color="auto"/>
              <w:bottom w:val="single" w:sz="4" w:space="0" w:color="auto"/>
            </w:tcBorders>
            <w:shd w:val="clear" w:color="auto" w:fill="auto"/>
          </w:tcPr>
          <w:p w14:paraId="0659B79B" w14:textId="77777777" w:rsidR="00BA7876" w:rsidRPr="00E55B7D" w:rsidRDefault="00BA7876" w:rsidP="004C5F2C">
            <w:pPr>
              <w:pStyle w:val="BTablefigureBold"/>
              <w:rPr>
                <w:bCs/>
                <w:color w:val="472D8C"/>
              </w:rPr>
            </w:pPr>
            <w:r w:rsidRPr="00E55B7D">
              <w:rPr>
                <w:bCs/>
                <w:color w:val="472D8C"/>
              </w:rPr>
              <w:t>-951.5</w:t>
            </w:r>
          </w:p>
        </w:tc>
        <w:tc>
          <w:tcPr>
            <w:tcW w:w="568" w:type="pct"/>
            <w:tcBorders>
              <w:top w:val="single" w:sz="4" w:space="0" w:color="auto"/>
              <w:bottom w:val="single" w:sz="4" w:space="0" w:color="auto"/>
            </w:tcBorders>
            <w:shd w:val="clear" w:color="472D8C" w:fill="auto"/>
          </w:tcPr>
          <w:p w14:paraId="3AE578AB" w14:textId="77777777" w:rsidR="00BA7876" w:rsidRPr="00E55B7D" w:rsidRDefault="00BA7876" w:rsidP="004C5F2C">
            <w:pPr>
              <w:pStyle w:val="Btablefigureunbold"/>
              <w:rPr>
                <w:b/>
                <w:color w:val="472D8C"/>
              </w:rPr>
            </w:pPr>
            <w:r w:rsidRPr="00E55B7D">
              <w:rPr>
                <w:b/>
                <w:color w:val="472D8C"/>
              </w:rPr>
              <w:t>-564.3</w:t>
            </w:r>
          </w:p>
        </w:tc>
        <w:tc>
          <w:tcPr>
            <w:tcW w:w="568" w:type="pct"/>
            <w:tcBorders>
              <w:top w:val="single" w:sz="4" w:space="0" w:color="auto"/>
              <w:bottom w:val="single" w:sz="4" w:space="0" w:color="auto"/>
            </w:tcBorders>
            <w:shd w:val="clear" w:color="auto" w:fill="auto"/>
          </w:tcPr>
          <w:p w14:paraId="10531D47" w14:textId="77777777" w:rsidR="00BA7876" w:rsidRPr="00E55B7D" w:rsidRDefault="00BA7876" w:rsidP="004C5F2C">
            <w:pPr>
              <w:pStyle w:val="Btablefigureunbold"/>
              <w:rPr>
                <w:b/>
                <w:color w:val="472D8C"/>
              </w:rPr>
            </w:pPr>
            <w:r w:rsidRPr="00E55B7D">
              <w:rPr>
                <w:b/>
                <w:color w:val="472D8C"/>
              </w:rPr>
              <w:t>-530.4</w:t>
            </w:r>
          </w:p>
        </w:tc>
        <w:tc>
          <w:tcPr>
            <w:tcW w:w="568" w:type="pct"/>
            <w:tcBorders>
              <w:top w:val="single" w:sz="4" w:space="0" w:color="auto"/>
              <w:bottom w:val="single" w:sz="4" w:space="0" w:color="auto"/>
            </w:tcBorders>
          </w:tcPr>
          <w:p w14:paraId="5F96E882" w14:textId="77777777" w:rsidR="00BA7876" w:rsidRPr="00E55B7D" w:rsidRDefault="00BA7876" w:rsidP="004C5F2C">
            <w:pPr>
              <w:pStyle w:val="Btablefigureunbold"/>
              <w:rPr>
                <w:b/>
                <w:color w:val="472D8C"/>
              </w:rPr>
            </w:pPr>
            <w:r w:rsidRPr="00E55B7D">
              <w:rPr>
                <w:b/>
                <w:color w:val="472D8C"/>
              </w:rPr>
              <w:t>-474.1</w:t>
            </w:r>
          </w:p>
        </w:tc>
      </w:tr>
      <w:tr w:rsidR="00BA7876" w:rsidRPr="00337DC9" w14:paraId="0C216A68" w14:textId="77777777" w:rsidTr="004C5F2C">
        <w:trPr>
          <w:trHeight w:val="270"/>
        </w:trPr>
        <w:tc>
          <w:tcPr>
            <w:tcW w:w="1593" w:type="pct"/>
            <w:tcBorders>
              <w:top w:val="single" w:sz="4" w:space="0" w:color="auto"/>
              <w:bottom w:val="nil"/>
            </w:tcBorders>
          </w:tcPr>
          <w:p w14:paraId="559A1406" w14:textId="77777777" w:rsidR="00BA7876" w:rsidRDefault="00BA7876" w:rsidP="004C5F2C">
            <w:pPr>
              <w:pStyle w:val="Btabletextunbold"/>
            </w:pPr>
            <w:r>
              <w:t>Net cash from operating activities</w:t>
            </w:r>
          </w:p>
        </w:tc>
        <w:tc>
          <w:tcPr>
            <w:tcW w:w="568" w:type="pct"/>
            <w:tcBorders>
              <w:top w:val="single" w:sz="4" w:space="0" w:color="auto"/>
              <w:bottom w:val="nil"/>
            </w:tcBorders>
          </w:tcPr>
          <w:p w14:paraId="12FEFB41" w14:textId="77777777" w:rsidR="00BA7876" w:rsidRDefault="00BA7876" w:rsidP="004C5F2C">
            <w:pPr>
              <w:pStyle w:val="Btablefigureunbold"/>
            </w:pPr>
            <w:r>
              <w:t>-219.8</w:t>
            </w:r>
          </w:p>
        </w:tc>
        <w:tc>
          <w:tcPr>
            <w:tcW w:w="609" w:type="pct"/>
            <w:tcBorders>
              <w:top w:val="single" w:sz="4" w:space="0" w:color="auto"/>
              <w:bottom w:val="nil"/>
            </w:tcBorders>
          </w:tcPr>
          <w:p w14:paraId="5AF9B49E" w14:textId="77777777" w:rsidR="00BA7876" w:rsidRDefault="00BA7876" w:rsidP="004C5F2C">
            <w:pPr>
              <w:pStyle w:val="Btablefigureunbold"/>
            </w:pPr>
            <w:r>
              <w:t>237.6</w:t>
            </w:r>
          </w:p>
        </w:tc>
        <w:tc>
          <w:tcPr>
            <w:tcW w:w="526" w:type="pct"/>
            <w:tcBorders>
              <w:top w:val="single" w:sz="4" w:space="0" w:color="auto"/>
              <w:bottom w:val="nil"/>
            </w:tcBorders>
            <w:shd w:val="clear" w:color="auto" w:fill="auto"/>
          </w:tcPr>
          <w:p w14:paraId="38930098" w14:textId="77777777" w:rsidR="00BA7876" w:rsidRPr="00C315CA" w:rsidRDefault="00BA7876" w:rsidP="004C5F2C">
            <w:pPr>
              <w:pStyle w:val="BTablefigureBold"/>
              <w:rPr>
                <w:b w:val="0"/>
              </w:rPr>
            </w:pPr>
            <w:r w:rsidRPr="00C315CA">
              <w:rPr>
                <w:b w:val="0"/>
              </w:rPr>
              <w:t>-328.4</w:t>
            </w:r>
          </w:p>
        </w:tc>
        <w:tc>
          <w:tcPr>
            <w:tcW w:w="568" w:type="pct"/>
            <w:tcBorders>
              <w:top w:val="single" w:sz="4" w:space="0" w:color="auto"/>
              <w:bottom w:val="nil"/>
            </w:tcBorders>
            <w:shd w:val="clear" w:color="472D8C" w:fill="auto"/>
          </w:tcPr>
          <w:p w14:paraId="7A8A8FF9" w14:textId="77777777" w:rsidR="00BA7876" w:rsidRPr="00111524" w:rsidRDefault="00BA7876" w:rsidP="004C5F2C">
            <w:pPr>
              <w:pStyle w:val="Btablefigureunbold"/>
              <w:rPr>
                <w:color w:val="000000"/>
              </w:rPr>
            </w:pPr>
            <w:r>
              <w:rPr>
                <w:color w:val="000000"/>
              </w:rPr>
              <w:t>-130.3</w:t>
            </w:r>
          </w:p>
        </w:tc>
        <w:tc>
          <w:tcPr>
            <w:tcW w:w="568" w:type="pct"/>
            <w:tcBorders>
              <w:top w:val="single" w:sz="4" w:space="0" w:color="auto"/>
              <w:bottom w:val="nil"/>
            </w:tcBorders>
            <w:shd w:val="clear" w:color="auto" w:fill="auto"/>
          </w:tcPr>
          <w:p w14:paraId="30C22B9C" w14:textId="77777777" w:rsidR="00BA7876" w:rsidRPr="00EC74DB" w:rsidRDefault="00BA7876" w:rsidP="004C5F2C">
            <w:pPr>
              <w:pStyle w:val="Btablefigureunbold"/>
            </w:pPr>
            <w:r>
              <w:t>-42.3</w:t>
            </w:r>
          </w:p>
        </w:tc>
        <w:tc>
          <w:tcPr>
            <w:tcW w:w="568" w:type="pct"/>
            <w:tcBorders>
              <w:top w:val="single" w:sz="4" w:space="0" w:color="auto"/>
              <w:bottom w:val="nil"/>
            </w:tcBorders>
          </w:tcPr>
          <w:p w14:paraId="240FC5BB" w14:textId="77777777" w:rsidR="00BA7876" w:rsidRPr="00EC74DB" w:rsidRDefault="00BA7876" w:rsidP="004C5F2C">
            <w:pPr>
              <w:pStyle w:val="Btablefigureunbold"/>
            </w:pPr>
            <w:r>
              <w:t>-3.3</w:t>
            </w:r>
          </w:p>
        </w:tc>
      </w:tr>
      <w:tr w:rsidR="00BA7876" w:rsidRPr="00337DC9" w14:paraId="64D84B80" w14:textId="77777777" w:rsidTr="004C5F2C">
        <w:trPr>
          <w:trHeight w:val="270"/>
        </w:trPr>
        <w:tc>
          <w:tcPr>
            <w:tcW w:w="1593" w:type="pct"/>
            <w:tcBorders>
              <w:top w:val="nil"/>
              <w:bottom w:val="nil"/>
            </w:tcBorders>
          </w:tcPr>
          <w:p w14:paraId="78FBD897" w14:textId="77777777" w:rsidR="00BA7876" w:rsidRDefault="00BA7876" w:rsidP="004C5F2C">
            <w:pPr>
              <w:pStyle w:val="Btabletextunbold"/>
            </w:pPr>
            <w:r>
              <w:t>Net debt (excluding superannuation)</w:t>
            </w:r>
          </w:p>
        </w:tc>
        <w:tc>
          <w:tcPr>
            <w:tcW w:w="568" w:type="pct"/>
            <w:tcBorders>
              <w:top w:val="nil"/>
              <w:bottom w:val="nil"/>
            </w:tcBorders>
          </w:tcPr>
          <w:p w14:paraId="70B11DA0" w14:textId="77777777" w:rsidR="00BA7876" w:rsidRDefault="00BA7876" w:rsidP="004C5F2C">
            <w:pPr>
              <w:pStyle w:val="Btablefigureunbold"/>
            </w:pPr>
            <w:r>
              <w:t>4,665.0</w:t>
            </w:r>
          </w:p>
        </w:tc>
        <w:tc>
          <w:tcPr>
            <w:tcW w:w="609" w:type="pct"/>
            <w:tcBorders>
              <w:top w:val="nil"/>
              <w:bottom w:val="nil"/>
            </w:tcBorders>
          </w:tcPr>
          <w:p w14:paraId="55CA7E3B" w14:textId="77777777" w:rsidR="00BA7876" w:rsidRDefault="00BA7876" w:rsidP="004C5F2C">
            <w:pPr>
              <w:pStyle w:val="Btablefigureunbold"/>
            </w:pPr>
            <w:r>
              <w:t>4,352.8</w:t>
            </w:r>
          </w:p>
        </w:tc>
        <w:tc>
          <w:tcPr>
            <w:tcW w:w="526" w:type="pct"/>
            <w:tcBorders>
              <w:top w:val="nil"/>
              <w:bottom w:val="nil"/>
            </w:tcBorders>
            <w:shd w:val="clear" w:color="auto" w:fill="auto"/>
          </w:tcPr>
          <w:p w14:paraId="5459880E" w14:textId="77777777" w:rsidR="00BA7876" w:rsidRPr="00C315CA" w:rsidRDefault="00BA7876" w:rsidP="004C5F2C">
            <w:pPr>
              <w:pStyle w:val="BTablefigureBold"/>
              <w:ind w:left="0" w:firstLine="0"/>
              <w:rPr>
                <w:b w:val="0"/>
              </w:rPr>
            </w:pPr>
            <w:r w:rsidRPr="00C315CA">
              <w:rPr>
                <w:b w:val="0"/>
              </w:rPr>
              <w:t>5,721.0</w:t>
            </w:r>
          </w:p>
        </w:tc>
        <w:tc>
          <w:tcPr>
            <w:tcW w:w="568" w:type="pct"/>
            <w:tcBorders>
              <w:top w:val="nil"/>
              <w:bottom w:val="nil"/>
            </w:tcBorders>
            <w:shd w:val="clear" w:color="472D8C" w:fill="auto"/>
          </w:tcPr>
          <w:p w14:paraId="09C56D23" w14:textId="77777777" w:rsidR="00BA7876" w:rsidRPr="00111524" w:rsidRDefault="00BA7876" w:rsidP="004C5F2C">
            <w:pPr>
              <w:pStyle w:val="Btablefigureunbold"/>
              <w:rPr>
                <w:color w:val="000000"/>
              </w:rPr>
            </w:pPr>
            <w:r>
              <w:rPr>
                <w:color w:val="000000"/>
              </w:rPr>
              <w:t>6,875.9</w:t>
            </w:r>
          </w:p>
        </w:tc>
        <w:tc>
          <w:tcPr>
            <w:tcW w:w="568" w:type="pct"/>
            <w:tcBorders>
              <w:top w:val="nil"/>
              <w:bottom w:val="nil"/>
            </w:tcBorders>
            <w:shd w:val="clear" w:color="auto" w:fill="auto"/>
          </w:tcPr>
          <w:p w14:paraId="75F88857" w14:textId="77777777" w:rsidR="00BA7876" w:rsidRPr="00EC74DB" w:rsidRDefault="00BA7876" w:rsidP="004C5F2C">
            <w:pPr>
              <w:pStyle w:val="Btablefigureunbold"/>
            </w:pPr>
            <w:r>
              <w:t>8,245.2</w:t>
            </w:r>
          </w:p>
        </w:tc>
        <w:tc>
          <w:tcPr>
            <w:tcW w:w="568" w:type="pct"/>
            <w:tcBorders>
              <w:top w:val="nil"/>
              <w:bottom w:val="nil"/>
            </w:tcBorders>
          </w:tcPr>
          <w:p w14:paraId="5A936D63" w14:textId="77777777" w:rsidR="00BA7876" w:rsidRPr="00EC74DB" w:rsidRDefault="00BA7876" w:rsidP="004C5F2C">
            <w:pPr>
              <w:pStyle w:val="Btablefigureunbold"/>
            </w:pPr>
            <w:r>
              <w:t>9,580.9</w:t>
            </w:r>
          </w:p>
        </w:tc>
      </w:tr>
      <w:tr w:rsidR="00BA7876" w:rsidRPr="00337DC9" w14:paraId="062CAEB4" w14:textId="77777777" w:rsidTr="004C5F2C">
        <w:trPr>
          <w:trHeight w:val="270"/>
        </w:trPr>
        <w:tc>
          <w:tcPr>
            <w:tcW w:w="1593" w:type="pct"/>
            <w:tcBorders>
              <w:top w:val="nil"/>
              <w:bottom w:val="single" w:sz="4" w:space="0" w:color="auto"/>
            </w:tcBorders>
          </w:tcPr>
          <w:p w14:paraId="58D553DA" w14:textId="77777777" w:rsidR="00BA7876" w:rsidRPr="00C315CA" w:rsidRDefault="00BA7876" w:rsidP="004C5F2C">
            <w:pPr>
              <w:pStyle w:val="Btabletextunbold"/>
            </w:pPr>
            <w:r w:rsidRPr="003E0892">
              <w:t>Net financial liabilities</w:t>
            </w:r>
            <w:r w:rsidRPr="00C315CA">
              <w:t xml:space="preserve"> </w:t>
            </w:r>
          </w:p>
        </w:tc>
        <w:tc>
          <w:tcPr>
            <w:tcW w:w="568" w:type="pct"/>
            <w:tcBorders>
              <w:top w:val="nil"/>
              <w:bottom w:val="single" w:sz="4" w:space="0" w:color="auto"/>
            </w:tcBorders>
          </w:tcPr>
          <w:p w14:paraId="0AFEB0AF" w14:textId="77777777" w:rsidR="00BA7876" w:rsidRDefault="00BA7876" w:rsidP="004C5F2C">
            <w:pPr>
              <w:pStyle w:val="Btabletextunbold"/>
              <w:jc w:val="right"/>
            </w:pPr>
            <w:r>
              <w:t>9,301.8</w:t>
            </w:r>
          </w:p>
        </w:tc>
        <w:tc>
          <w:tcPr>
            <w:tcW w:w="609" w:type="pct"/>
            <w:tcBorders>
              <w:top w:val="nil"/>
              <w:bottom w:val="single" w:sz="4" w:space="0" w:color="auto"/>
            </w:tcBorders>
          </w:tcPr>
          <w:p w14:paraId="67CCDEEC" w14:textId="77777777" w:rsidR="00BA7876" w:rsidRPr="00EC74DB" w:rsidRDefault="00BA7876" w:rsidP="004C5F2C">
            <w:pPr>
              <w:pStyle w:val="Btabletextunbold"/>
              <w:jc w:val="right"/>
            </w:pPr>
            <w:r>
              <w:t>13,301.0</w:t>
            </w:r>
          </w:p>
        </w:tc>
        <w:tc>
          <w:tcPr>
            <w:tcW w:w="526" w:type="pct"/>
            <w:tcBorders>
              <w:top w:val="nil"/>
              <w:bottom w:val="single" w:sz="4" w:space="0" w:color="auto"/>
            </w:tcBorders>
            <w:shd w:val="clear" w:color="auto" w:fill="auto"/>
          </w:tcPr>
          <w:p w14:paraId="3990EA29" w14:textId="77777777" w:rsidR="00BA7876" w:rsidRPr="00C315CA" w:rsidRDefault="00BA7876" w:rsidP="004C5F2C">
            <w:pPr>
              <w:pStyle w:val="Btabletextunbold"/>
              <w:jc w:val="right"/>
            </w:pPr>
            <w:r w:rsidRPr="00C315CA">
              <w:t>11,747.8</w:t>
            </w:r>
          </w:p>
        </w:tc>
        <w:tc>
          <w:tcPr>
            <w:tcW w:w="568" w:type="pct"/>
            <w:tcBorders>
              <w:top w:val="nil"/>
              <w:bottom w:val="single" w:sz="4" w:space="0" w:color="auto"/>
            </w:tcBorders>
            <w:shd w:val="clear" w:color="472D8C" w:fill="auto"/>
          </w:tcPr>
          <w:p w14:paraId="07740C5A" w14:textId="77777777" w:rsidR="00BA7876" w:rsidRPr="00C315CA" w:rsidRDefault="00BA7876" w:rsidP="004C5F2C">
            <w:pPr>
              <w:pStyle w:val="Btabletextunbold"/>
              <w:jc w:val="right"/>
            </w:pPr>
            <w:r w:rsidRPr="00C315CA">
              <w:t>12,674.8</w:t>
            </w:r>
          </w:p>
        </w:tc>
        <w:tc>
          <w:tcPr>
            <w:tcW w:w="568" w:type="pct"/>
            <w:tcBorders>
              <w:top w:val="nil"/>
              <w:bottom w:val="single" w:sz="4" w:space="0" w:color="auto"/>
            </w:tcBorders>
            <w:shd w:val="clear" w:color="auto" w:fill="auto"/>
          </w:tcPr>
          <w:p w14:paraId="0A0A89ED" w14:textId="77777777" w:rsidR="00BA7876" w:rsidRPr="00EC74DB" w:rsidRDefault="00BA7876" w:rsidP="004C5F2C">
            <w:pPr>
              <w:pStyle w:val="Btabletextunbold"/>
              <w:jc w:val="right"/>
            </w:pPr>
            <w:r>
              <w:t>13,969.8</w:t>
            </w:r>
          </w:p>
        </w:tc>
        <w:tc>
          <w:tcPr>
            <w:tcW w:w="568" w:type="pct"/>
            <w:tcBorders>
              <w:top w:val="nil"/>
              <w:bottom w:val="single" w:sz="4" w:space="0" w:color="auto"/>
            </w:tcBorders>
          </w:tcPr>
          <w:p w14:paraId="515A0989" w14:textId="77777777" w:rsidR="00BA7876" w:rsidRPr="00EC74DB" w:rsidRDefault="00BA7876" w:rsidP="004C5F2C">
            <w:pPr>
              <w:pStyle w:val="Btabletextunbold"/>
              <w:jc w:val="right"/>
            </w:pPr>
            <w:r>
              <w:t>15,092.4</w:t>
            </w:r>
          </w:p>
        </w:tc>
      </w:tr>
    </w:tbl>
    <w:p w14:paraId="1D62FC33" w14:textId="77777777" w:rsidR="0031638F" w:rsidRDefault="00BA7876" w:rsidP="00E45372">
      <w:pPr>
        <w:pStyle w:val="BNote"/>
        <w:keepNext w:val="0"/>
        <w:widowControl w:val="0"/>
        <w:spacing w:before="120"/>
      </w:pPr>
      <w:r w:rsidRPr="00E45372">
        <w:rPr>
          <w:b/>
          <w:bCs/>
        </w:rPr>
        <w:t>Note:</w:t>
      </w:r>
      <w:r>
        <w:t xml:space="preserve"> Numbers may not add due to rounding.</w:t>
      </w:r>
    </w:p>
    <w:p w14:paraId="7B36F260" w14:textId="5E8131DE" w:rsidR="00BA7876" w:rsidRPr="00BF0057" w:rsidRDefault="00BA7876" w:rsidP="00E45372">
      <w:pPr>
        <w:pStyle w:val="BNote"/>
        <w:keepNext w:val="0"/>
        <w:widowControl w:val="0"/>
        <w:spacing w:before="120"/>
      </w:pPr>
      <w:r>
        <w:br w:type="page"/>
      </w:r>
    </w:p>
    <w:p w14:paraId="05FD358E" w14:textId="6B06B6A0" w:rsidR="009F0C32" w:rsidRDefault="009F0C32">
      <w:pPr>
        <w:rPr>
          <w:sz w:val="24"/>
        </w:rPr>
      </w:pPr>
    </w:p>
    <w:p w14:paraId="305234A8" w14:textId="77777777" w:rsidR="00BA7876" w:rsidRPr="00963C2D" w:rsidRDefault="00BA7876" w:rsidP="009B17C3">
      <w:pPr>
        <w:pStyle w:val="Bbodytext"/>
      </w:pPr>
    </w:p>
    <w:p w14:paraId="5DFC329F" w14:textId="77777777" w:rsidR="00BA7876" w:rsidRDefault="00BA7876" w:rsidP="00E15C90">
      <w:pPr>
        <w:pStyle w:val="Bbodytext"/>
      </w:pPr>
    </w:p>
    <w:p w14:paraId="327F6737" w14:textId="77777777" w:rsidR="00BA7876" w:rsidRPr="00963C2D" w:rsidRDefault="00BA7876">
      <w:pPr>
        <w:pStyle w:val="Bbodytext"/>
      </w:pPr>
    </w:p>
    <w:p w14:paraId="6BD61620" w14:textId="77777777" w:rsidR="000F2111" w:rsidRPr="00BA7876" w:rsidRDefault="000F2111" w:rsidP="00BA7876"/>
    <w:sectPr w:rsidR="000F2111" w:rsidRPr="00BA7876" w:rsidSect="00542DA2">
      <w:footerReference w:type="default" r:id="rId12"/>
      <w:pgSz w:w="11906" w:h="16838" w:code="9"/>
      <w:pgMar w:top="1151" w:right="1440" w:bottom="1729"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72DBE8" w14:textId="77777777" w:rsidR="00F750A2" w:rsidRDefault="00F750A2" w:rsidP="00C339EF">
      <w:pPr>
        <w:spacing w:after="0" w:line="240" w:lineRule="auto"/>
      </w:pPr>
      <w:r>
        <w:separator/>
      </w:r>
    </w:p>
  </w:endnote>
  <w:endnote w:type="continuationSeparator" w:id="0">
    <w:p w14:paraId="58E5C47F" w14:textId="77777777" w:rsidR="00F750A2" w:rsidRDefault="00F750A2" w:rsidP="00C33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volini">
    <w:altName w:val="Cavolini"/>
    <w:charset w:val="00"/>
    <w:family w:val="script"/>
    <w:pitch w:val="variable"/>
    <w:sig w:usb0="A11526FF" w:usb1="8000000A" w:usb2="00010000" w:usb3="00000000" w:csb0="0000019F" w:csb1="00000000"/>
  </w:font>
  <w:font w:name="Source Sans Pro Light">
    <w:panose1 w:val="020B04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4896663"/>
      <w:docPartObj>
        <w:docPartGallery w:val="Page Numbers (Bottom of Page)"/>
        <w:docPartUnique/>
      </w:docPartObj>
    </w:sdtPr>
    <w:sdtEndPr>
      <w:rPr>
        <w:noProof/>
      </w:rPr>
    </w:sdtEndPr>
    <w:sdtContent>
      <w:p w14:paraId="722B3FD3" w14:textId="2B88294E" w:rsidR="00CC3F70" w:rsidRDefault="00CC3F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B79347" w14:textId="77777777" w:rsidR="00CC3F70" w:rsidRDefault="00CC3F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B19ED" w14:textId="3C3C0276" w:rsidR="00BA7876" w:rsidRPr="00BA7876" w:rsidRDefault="00BA7876" w:rsidP="00BA7876">
    <w:pPr>
      <w:pStyle w:val="BFooter"/>
      <w:rPr>
        <w:i w:val="0"/>
        <w:iCs/>
      </w:rPr>
    </w:pPr>
    <w:r w:rsidRPr="00BA7876">
      <w:rPr>
        <w:i w:val="0"/>
        <w:iCs/>
      </w:rPr>
      <w:t>2021-22 Budget Outlook</w:t>
    </w:r>
    <w:r w:rsidRPr="00BA7876">
      <w:rPr>
        <w:i w:val="0"/>
        <w:iCs/>
      </w:rPr>
      <w:ptab w:relativeTo="margin" w:alignment="center" w:leader="none"/>
    </w:r>
    <w:r w:rsidRPr="00BA7876">
      <w:rPr>
        <w:i w:val="0"/>
        <w:iCs/>
      </w:rPr>
      <w:fldChar w:fldCharType="begin"/>
    </w:r>
    <w:r w:rsidRPr="00BA7876">
      <w:rPr>
        <w:i w:val="0"/>
        <w:iCs/>
      </w:rPr>
      <w:instrText xml:space="preserve"> PAGE   \* MERGEFORMAT </w:instrText>
    </w:r>
    <w:r w:rsidRPr="00BA7876">
      <w:rPr>
        <w:i w:val="0"/>
        <w:iCs/>
      </w:rPr>
      <w:fldChar w:fldCharType="separate"/>
    </w:r>
    <w:r w:rsidRPr="00BA7876">
      <w:rPr>
        <w:i w:val="0"/>
        <w:iCs/>
        <w:noProof/>
      </w:rPr>
      <w:t>1</w:t>
    </w:r>
    <w:r w:rsidRPr="00BA7876">
      <w:rPr>
        <w:i w:val="0"/>
        <w:iCs/>
        <w:noProof/>
      </w:rPr>
      <w:fldChar w:fldCharType="end"/>
    </w:r>
    <w:r w:rsidRPr="00BA7876">
      <w:rPr>
        <w:i w:val="0"/>
        <w:iCs/>
      </w:rPr>
      <w:ptab w:relativeTo="margin" w:alignment="right" w:leader="none"/>
    </w:r>
    <w:r>
      <w:rPr>
        <w:i w:val="0"/>
        <w:iCs/>
      </w:rPr>
      <w:t>Acknowledgement of Country</w:t>
    </w:r>
    <w:r w:rsidRPr="00BA7876">
      <w:rPr>
        <w:i w:val="0"/>
        <w:iCs/>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73145" w14:textId="3867D348" w:rsidR="00BA7876" w:rsidRPr="00BA7876" w:rsidRDefault="00BA7876" w:rsidP="00BA7876">
    <w:pPr>
      <w:pStyle w:val="BFooter"/>
      <w:rPr>
        <w:i w:val="0"/>
        <w:iCs/>
      </w:rPr>
    </w:pPr>
    <w:r w:rsidRPr="00BA7876">
      <w:rPr>
        <w:i w:val="0"/>
        <w:iCs/>
      </w:rPr>
      <w:t>2021-22 Budget Outlook</w:t>
    </w:r>
    <w:r w:rsidRPr="00BA7876">
      <w:rPr>
        <w:i w:val="0"/>
        <w:iCs/>
      </w:rPr>
      <w:ptab w:relativeTo="margin" w:alignment="center" w:leader="none"/>
    </w:r>
    <w:r w:rsidRPr="00BA7876">
      <w:rPr>
        <w:i w:val="0"/>
        <w:iCs/>
      </w:rPr>
      <w:fldChar w:fldCharType="begin"/>
    </w:r>
    <w:r w:rsidRPr="00BA7876">
      <w:rPr>
        <w:i w:val="0"/>
        <w:iCs/>
      </w:rPr>
      <w:instrText xml:space="preserve"> PAGE   \* MERGEFORMAT </w:instrText>
    </w:r>
    <w:r w:rsidRPr="00BA7876">
      <w:rPr>
        <w:i w:val="0"/>
        <w:iCs/>
      </w:rPr>
      <w:fldChar w:fldCharType="separate"/>
    </w:r>
    <w:r w:rsidRPr="00BA7876">
      <w:rPr>
        <w:i w:val="0"/>
        <w:iCs/>
        <w:noProof/>
      </w:rPr>
      <w:t>1</w:t>
    </w:r>
    <w:r w:rsidRPr="00BA7876">
      <w:rPr>
        <w:i w:val="0"/>
        <w:iCs/>
        <w:noProof/>
      </w:rPr>
      <w:fldChar w:fldCharType="end"/>
    </w:r>
    <w:r w:rsidRPr="00BA7876">
      <w:rPr>
        <w:i w:val="0"/>
        <w:iCs/>
      </w:rPr>
      <w:ptab w:relativeTo="margin" w:alignment="right" w:leader="none"/>
    </w:r>
    <w:r w:rsidR="004E336D">
      <w:rPr>
        <w:i w:val="0"/>
        <w:iCs/>
      </w:rPr>
      <w:t>Overview</w:t>
    </w:r>
    <w:r w:rsidRPr="00BA7876">
      <w:rPr>
        <w:i w:val="0"/>
        <w:iCs/>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32F745" w14:textId="77777777" w:rsidR="00F750A2" w:rsidRDefault="00F750A2" w:rsidP="00C339EF">
      <w:pPr>
        <w:spacing w:after="0" w:line="240" w:lineRule="auto"/>
      </w:pPr>
      <w:r>
        <w:separator/>
      </w:r>
    </w:p>
  </w:footnote>
  <w:footnote w:type="continuationSeparator" w:id="0">
    <w:p w14:paraId="45F084EF" w14:textId="77777777" w:rsidR="00F750A2" w:rsidRDefault="00F750A2" w:rsidP="00C33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28496" w14:textId="77777777" w:rsidR="00BA7876" w:rsidRDefault="00BA7876">
    <w:pPr>
      <w:pStyle w:val="Header"/>
    </w:pPr>
    <w:r>
      <w:rPr>
        <w:noProof/>
      </w:rPr>
      <mc:AlternateContent>
        <mc:Choice Requires="wps">
          <w:drawing>
            <wp:anchor distT="0" distB="0" distL="114300" distR="114300" simplePos="0" relativeHeight="251659264" behindDoc="0" locked="0" layoutInCell="0" allowOverlap="1" wp14:anchorId="5B735E5E" wp14:editId="73F819F5">
              <wp:simplePos x="0" y="0"/>
              <wp:positionH relativeFrom="page">
                <wp:posOffset>0</wp:posOffset>
              </wp:positionH>
              <wp:positionV relativeFrom="page">
                <wp:posOffset>190500</wp:posOffset>
              </wp:positionV>
              <wp:extent cx="7560310" cy="266700"/>
              <wp:effectExtent l="0" t="0" r="0" b="0"/>
              <wp:wrapNone/>
              <wp:docPr id="1" name="MSIPCM0c264c929c510784c9227700" descr="{&quot;HashCode&quot;:43135088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86619B" w14:textId="77777777" w:rsidR="00BA7876" w:rsidRPr="00E45372" w:rsidRDefault="00BA7876" w:rsidP="00BF2C6C">
                          <w:pPr>
                            <w:spacing w:after="0"/>
                            <w:jc w:val="center"/>
                            <w:rPr>
                              <w:rFonts w:ascii="Calibri" w:hAnsi="Calibri" w:cs="Calibri"/>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w:pict>
            <v:shapetype w14:anchorId="5B735E5E" id="_x0000_t202" coordsize="21600,21600" o:spt="202" path="m,l,21600r21600,l21600,xe">
              <v:stroke joinstyle="miter"/>
              <v:path gradientshapeok="t" o:connecttype="rect"/>
            </v:shapetype>
            <v:shape id="MSIPCM0c264c929c510784c9227700" o:spid="_x0000_s1026" type="#_x0000_t202" alt="{&quot;HashCode&quot;:431350885,&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" o:allowincell="f" filled="f" stroked="f" strokeweight=".5pt">
              <v:textbox inset=",0,,0">
                <w:txbxContent>
                  <w:p w14:paraId="5C86619B" w14:textId="77777777" w:rsidR="00BA7876" w:rsidRPr="00E45372" w:rsidRDefault="00BA7876" w:rsidP="00BF2C6C">
                    <w:pPr>
                      <w:spacing w:after="0"/>
                      <w:jc w:val="center"/>
                      <w:rPr>
                        <w:rFonts w:ascii="Calibri" w:hAnsi="Calibri" w:cs="Calibri"/>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94A8D"/>
    <w:multiLevelType w:val="hybridMultilevel"/>
    <w:tmpl w:val="4F3AE898"/>
    <w:lvl w:ilvl="0" w:tplc="D14AC3EC">
      <w:start w:val="1"/>
      <w:numFmt w:val="bullet"/>
      <w:pStyle w:val="B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4E465BD"/>
    <w:multiLevelType w:val="hybridMultilevel"/>
    <w:tmpl w:val="932C94AE"/>
    <w:lvl w:ilvl="0" w:tplc="FC3E9C8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9D9789E"/>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3CB06B4D"/>
    <w:multiLevelType w:val="hybridMultilevel"/>
    <w:tmpl w:val="76FAB26C"/>
    <w:lvl w:ilvl="0" w:tplc="8BA48D4E">
      <w:start w:val="1"/>
      <w:numFmt w:val="bullet"/>
      <w:pStyle w:val="BBullet2"/>
      <w:lvlText w:val="­"/>
      <w:lvlJc w:val="left"/>
      <w:pPr>
        <w:ind w:left="859" w:hanging="360"/>
      </w:pPr>
      <w:rPr>
        <w:rFonts w:ascii="Courier New" w:hAnsi="Courier New" w:hint="default"/>
      </w:rPr>
    </w:lvl>
    <w:lvl w:ilvl="1" w:tplc="0C090003" w:tentative="1">
      <w:start w:val="1"/>
      <w:numFmt w:val="bullet"/>
      <w:lvlText w:val="o"/>
      <w:lvlJc w:val="left"/>
      <w:pPr>
        <w:ind w:left="1579" w:hanging="360"/>
      </w:pPr>
      <w:rPr>
        <w:rFonts w:ascii="Courier New" w:hAnsi="Courier New" w:cs="Courier New" w:hint="default"/>
      </w:rPr>
    </w:lvl>
    <w:lvl w:ilvl="2" w:tplc="0C090005" w:tentative="1">
      <w:start w:val="1"/>
      <w:numFmt w:val="bullet"/>
      <w:lvlText w:val=""/>
      <w:lvlJc w:val="left"/>
      <w:pPr>
        <w:ind w:left="2299" w:hanging="360"/>
      </w:pPr>
      <w:rPr>
        <w:rFonts w:ascii="Wingdings" w:hAnsi="Wingdings" w:hint="default"/>
      </w:rPr>
    </w:lvl>
    <w:lvl w:ilvl="3" w:tplc="0C090001" w:tentative="1">
      <w:start w:val="1"/>
      <w:numFmt w:val="bullet"/>
      <w:lvlText w:val=""/>
      <w:lvlJc w:val="left"/>
      <w:pPr>
        <w:ind w:left="3019" w:hanging="360"/>
      </w:pPr>
      <w:rPr>
        <w:rFonts w:ascii="Symbol" w:hAnsi="Symbol" w:hint="default"/>
      </w:rPr>
    </w:lvl>
    <w:lvl w:ilvl="4" w:tplc="0C090003" w:tentative="1">
      <w:start w:val="1"/>
      <w:numFmt w:val="bullet"/>
      <w:lvlText w:val="o"/>
      <w:lvlJc w:val="left"/>
      <w:pPr>
        <w:ind w:left="3739" w:hanging="360"/>
      </w:pPr>
      <w:rPr>
        <w:rFonts w:ascii="Courier New" w:hAnsi="Courier New" w:cs="Courier New" w:hint="default"/>
      </w:rPr>
    </w:lvl>
    <w:lvl w:ilvl="5" w:tplc="0C090005" w:tentative="1">
      <w:start w:val="1"/>
      <w:numFmt w:val="bullet"/>
      <w:lvlText w:val=""/>
      <w:lvlJc w:val="left"/>
      <w:pPr>
        <w:ind w:left="4459" w:hanging="360"/>
      </w:pPr>
      <w:rPr>
        <w:rFonts w:ascii="Wingdings" w:hAnsi="Wingdings" w:hint="default"/>
      </w:rPr>
    </w:lvl>
    <w:lvl w:ilvl="6" w:tplc="0C090001" w:tentative="1">
      <w:start w:val="1"/>
      <w:numFmt w:val="bullet"/>
      <w:lvlText w:val=""/>
      <w:lvlJc w:val="left"/>
      <w:pPr>
        <w:ind w:left="5179" w:hanging="360"/>
      </w:pPr>
      <w:rPr>
        <w:rFonts w:ascii="Symbol" w:hAnsi="Symbol" w:hint="default"/>
      </w:rPr>
    </w:lvl>
    <w:lvl w:ilvl="7" w:tplc="0C090003" w:tentative="1">
      <w:start w:val="1"/>
      <w:numFmt w:val="bullet"/>
      <w:lvlText w:val="o"/>
      <w:lvlJc w:val="left"/>
      <w:pPr>
        <w:ind w:left="5899" w:hanging="360"/>
      </w:pPr>
      <w:rPr>
        <w:rFonts w:ascii="Courier New" w:hAnsi="Courier New" w:cs="Courier New" w:hint="default"/>
      </w:rPr>
    </w:lvl>
    <w:lvl w:ilvl="8" w:tplc="0C090005" w:tentative="1">
      <w:start w:val="1"/>
      <w:numFmt w:val="bullet"/>
      <w:lvlText w:val=""/>
      <w:lvlJc w:val="left"/>
      <w:pPr>
        <w:ind w:left="6619" w:hanging="360"/>
      </w:pPr>
      <w:rPr>
        <w:rFonts w:ascii="Wingdings" w:hAnsi="Wingdings" w:hint="default"/>
      </w:rPr>
    </w:lvl>
  </w:abstractNum>
  <w:abstractNum w:abstractNumId="4" w15:restartNumberingAfterBreak="0">
    <w:nsid w:val="52E30AC9"/>
    <w:multiLevelType w:val="hybridMultilevel"/>
    <w:tmpl w:val="7C0A1598"/>
    <w:lvl w:ilvl="0" w:tplc="AAB8F8EE">
      <w:start w:val="1"/>
      <w:numFmt w:val="decimal"/>
      <w:pStyle w:val="BNotelist"/>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6C628A1"/>
    <w:multiLevelType w:val="multilevel"/>
    <w:tmpl w:val="0016A45C"/>
    <w:lvl w:ilvl="0">
      <w:start w:val="1"/>
      <w:numFmt w:val="decimal"/>
      <w:pStyle w:val="Heading1"/>
      <w:lvlText w:val="Chapter %1"/>
      <w:lvlJc w:val="left"/>
      <w:pPr>
        <w:ind w:left="432" w:hanging="432"/>
      </w:pPr>
      <w:rPr>
        <w:rFonts w:hint="default"/>
      </w:rPr>
    </w:lvl>
    <w:lvl w:ilvl="1">
      <w:start w:val="1"/>
      <w:numFmt w:val="decimal"/>
      <w:pStyle w:val="Heading2"/>
      <w:isLg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5A9F4A3B"/>
    <w:multiLevelType w:val="multilevel"/>
    <w:tmpl w:val="BA664FA4"/>
    <w:lvl w:ilvl="0">
      <w:start w:val="1"/>
      <w:numFmt w:val="none"/>
      <w:pStyle w:val="Emptycell"/>
      <w:suff w:val="nothing"/>
      <w:lvlText w:val="empty cell"/>
      <w:lvlJc w:val="left"/>
      <w:pPr>
        <w:ind w:left="432" w:hanging="432"/>
      </w:pPr>
      <w:rPr>
        <w:rFonts w:hint="default"/>
        <w:color w:val="FFFFFF" w:themeColor="background1"/>
        <w:sz w:val="12"/>
      </w:rPr>
    </w:lvl>
    <w:lvl w:ilvl="1">
      <w:start w:val="1"/>
      <w:numFmt w:val="none"/>
      <w:suff w:val="nothing"/>
      <w:lvlText w:val="Empty cell"/>
      <w:lvlJc w:val="left"/>
      <w:pPr>
        <w:ind w:left="576" w:hanging="576"/>
      </w:pPr>
      <w:rPr>
        <w:rFonts w:hint="default"/>
        <w:color w:val="FFFFFF" w:themeColor="background1"/>
        <w:sz w:val="1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6E0632FF"/>
    <w:multiLevelType w:val="hybridMultilevel"/>
    <w:tmpl w:val="E0943082"/>
    <w:lvl w:ilvl="0" w:tplc="75582C74">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7"/>
  </w:num>
  <w:num w:numId="5">
    <w:abstractNumId w:val="2"/>
  </w:num>
  <w:num w:numId="6">
    <w:abstractNumId w:val="5"/>
  </w:num>
  <w:num w:numId="7">
    <w:abstractNumId w:val="6"/>
  </w:num>
  <w:num w:numId="8">
    <w:abstractNumId w:val="6"/>
    <w:lvlOverride w:ilvl="0">
      <w:lvl w:ilvl="0">
        <w:start w:val="1"/>
        <w:numFmt w:val="none"/>
        <w:pStyle w:val="Emptycell"/>
        <w:suff w:val="nothing"/>
        <w:lvlText w:val="empty cell"/>
        <w:lvlJc w:val="left"/>
        <w:pPr>
          <w:ind w:left="2701" w:hanging="432"/>
        </w:pPr>
        <w:rPr>
          <w:rFonts w:hint="default"/>
          <w:color w:val="FFFFFF" w:themeColor="background1"/>
          <w:sz w:val="12"/>
        </w:rPr>
      </w:lvl>
    </w:lvlOverride>
    <w:lvlOverride w:ilvl="1">
      <w:lvl w:ilvl="1">
        <w:start w:val="1"/>
        <w:numFmt w:val="none"/>
        <w:suff w:val="nothing"/>
        <w:lvlText w:val="empty cell"/>
        <w:lvlJc w:val="left"/>
        <w:pPr>
          <w:ind w:left="576" w:hanging="576"/>
        </w:pPr>
        <w:rPr>
          <w:rFonts w:hint="default"/>
          <w:color w:val="FFFFFF" w:themeColor="background1"/>
          <w:sz w:val="1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876"/>
    <w:rsid w:val="00036DFA"/>
    <w:rsid w:val="00042A03"/>
    <w:rsid w:val="000448EC"/>
    <w:rsid w:val="000979BF"/>
    <w:rsid w:val="000F2111"/>
    <w:rsid w:val="00111524"/>
    <w:rsid w:val="00127067"/>
    <w:rsid w:val="00132947"/>
    <w:rsid w:val="0017022C"/>
    <w:rsid w:val="001B45B0"/>
    <w:rsid w:val="001D575A"/>
    <w:rsid w:val="001F6E4B"/>
    <w:rsid w:val="00206479"/>
    <w:rsid w:val="002222A1"/>
    <w:rsid w:val="00306708"/>
    <w:rsid w:val="0031638F"/>
    <w:rsid w:val="00333A51"/>
    <w:rsid w:val="003B6083"/>
    <w:rsid w:val="003C186C"/>
    <w:rsid w:val="003D218D"/>
    <w:rsid w:val="003D3C31"/>
    <w:rsid w:val="00462B69"/>
    <w:rsid w:val="004635D4"/>
    <w:rsid w:val="004763BD"/>
    <w:rsid w:val="004D6FA7"/>
    <w:rsid w:val="004E336D"/>
    <w:rsid w:val="004F08AB"/>
    <w:rsid w:val="00510954"/>
    <w:rsid w:val="0053211A"/>
    <w:rsid w:val="00542DA2"/>
    <w:rsid w:val="0058360A"/>
    <w:rsid w:val="00626608"/>
    <w:rsid w:val="0063450C"/>
    <w:rsid w:val="0069156B"/>
    <w:rsid w:val="006925B5"/>
    <w:rsid w:val="006A6F89"/>
    <w:rsid w:val="00745FB8"/>
    <w:rsid w:val="00751E6C"/>
    <w:rsid w:val="007628DE"/>
    <w:rsid w:val="007905AC"/>
    <w:rsid w:val="007C79A0"/>
    <w:rsid w:val="00800759"/>
    <w:rsid w:val="00872559"/>
    <w:rsid w:val="00895E0A"/>
    <w:rsid w:val="008C777E"/>
    <w:rsid w:val="008D5A23"/>
    <w:rsid w:val="008D68F3"/>
    <w:rsid w:val="008E77B9"/>
    <w:rsid w:val="008F3D28"/>
    <w:rsid w:val="00907A70"/>
    <w:rsid w:val="00914F05"/>
    <w:rsid w:val="00930757"/>
    <w:rsid w:val="00931BFF"/>
    <w:rsid w:val="00935771"/>
    <w:rsid w:val="00950AE8"/>
    <w:rsid w:val="00951923"/>
    <w:rsid w:val="00963C2D"/>
    <w:rsid w:val="009B6354"/>
    <w:rsid w:val="009C3740"/>
    <w:rsid w:val="009C5D93"/>
    <w:rsid w:val="009E0456"/>
    <w:rsid w:val="009E2589"/>
    <w:rsid w:val="009F0C32"/>
    <w:rsid w:val="009F421B"/>
    <w:rsid w:val="00A17189"/>
    <w:rsid w:val="00AA308D"/>
    <w:rsid w:val="00AA34A5"/>
    <w:rsid w:val="00AD5BEB"/>
    <w:rsid w:val="00AE4F22"/>
    <w:rsid w:val="00AE55CE"/>
    <w:rsid w:val="00B0022C"/>
    <w:rsid w:val="00B014A7"/>
    <w:rsid w:val="00B02807"/>
    <w:rsid w:val="00B04C69"/>
    <w:rsid w:val="00B23F5E"/>
    <w:rsid w:val="00B37F06"/>
    <w:rsid w:val="00B66136"/>
    <w:rsid w:val="00BA7876"/>
    <w:rsid w:val="00BD0687"/>
    <w:rsid w:val="00BD2CA3"/>
    <w:rsid w:val="00BE2FD6"/>
    <w:rsid w:val="00C0136E"/>
    <w:rsid w:val="00C15B7D"/>
    <w:rsid w:val="00C339EF"/>
    <w:rsid w:val="00C56084"/>
    <w:rsid w:val="00C60999"/>
    <w:rsid w:val="00C853A5"/>
    <w:rsid w:val="00CB1B64"/>
    <w:rsid w:val="00CB4C52"/>
    <w:rsid w:val="00CC3F70"/>
    <w:rsid w:val="00D12102"/>
    <w:rsid w:val="00D30E8A"/>
    <w:rsid w:val="00D45658"/>
    <w:rsid w:val="00D56EE6"/>
    <w:rsid w:val="00DD015F"/>
    <w:rsid w:val="00DE7544"/>
    <w:rsid w:val="00E0330D"/>
    <w:rsid w:val="00E53996"/>
    <w:rsid w:val="00E55B7D"/>
    <w:rsid w:val="00E56F85"/>
    <w:rsid w:val="00E84C08"/>
    <w:rsid w:val="00E86193"/>
    <w:rsid w:val="00EB6AEE"/>
    <w:rsid w:val="00EC1145"/>
    <w:rsid w:val="00EC74DB"/>
    <w:rsid w:val="00EE66D5"/>
    <w:rsid w:val="00F0566D"/>
    <w:rsid w:val="00F32FDE"/>
    <w:rsid w:val="00F54EBE"/>
    <w:rsid w:val="00F750A2"/>
    <w:rsid w:val="00FB1212"/>
    <w:rsid w:val="00FD6C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525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876"/>
  </w:style>
  <w:style w:type="paragraph" w:styleId="Heading1">
    <w:name w:val="heading 1"/>
    <w:basedOn w:val="Normal"/>
    <w:next w:val="Normal"/>
    <w:link w:val="Heading1Char"/>
    <w:uiPriority w:val="9"/>
    <w:qFormat/>
    <w:rsid w:val="00AE55CE"/>
    <w:pPr>
      <w:keepNext/>
      <w:keepLines/>
      <w:numPr>
        <w:numId w:val="9"/>
      </w:numPr>
      <w:spacing w:after="240" w:line="240" w:lineRule="auto"/>
      <w:outlineLvl w:val="0"/>
    </w:pPr>
    <w:rPr>
      <w:rFonts w:ascii="Calibri" w:eastAsiaTheme="majorEastAsia" w:hAnsi="Calibri" w:cstheme="majorBidi"/>
      <w:b/>
      <w:caps/>
      <w:kern w:val="28"/>
      <w:sz w:val="36"/>
      <w:szCs w:val="32"/>
    </w:rPr>
  </w:style>
  <w:style w:type="paragraph" w:styleId="Heading2">
    <w:name w:val="heading 2"/>
    <w:basedOn w:val="Normal"/>
    <w:next w:val="Normal"/>
    <w:link w:val="Heading2Char"/>
    <w:uiPriority w:val="9"/>
    <w:unhideWhenUsed/>
    <w:qFormat/>
    <w:rsid w:val="00930757"/>
    <w:pPr>
      <w:keepNext/>
      <w:keepLines/>
      <w:numPr>
        <w:ilvl w:val="1"/>
        <w:numId w:val="9"/>
      </w:numPr>
      <w:spacing w:before="360" w:after="200" w:line="240" w:lineRule="auto"/>
      <w:outlineLvl w:val="1"/>
    </w:pPr>
    <w:rPr>
      <w:rFonts w:ascii="Calibri" w:eastAsiaTheme="majorEastAsia" w:hAnsi="Calibri" w:cstheme="majorBidi"/>
      <w:b/>
      <w:caps/>
      <w:color w:val="472D8C"/>
      <w:sz w:val="36"/>
      <w:szCs w:val="26"/>
    </w:rPr>
  </w:style>
  <w:style w:type="paragraph" w:styleId="Heading3">
    <w:name w:val="heading 3"/>
    <w:basedOn w:val="Normal"/>
    <w:next w:val="Normal"/>
    <w:link w:val="Heading3Char"/>
    <w:uiPriority w:val="9"/>
    <w:unhideWhenUsed/>
    <w:qFormat/>
    <w:rsid w:val="00930757"/>
    <w:pPr>
      <w:keepNext/>
      <w:keepLines/>
      <w:spacing w:before="360" w:after="200" w:line="240" w:lineRule="auto"/>
      <w:outlineLvl w:val="2"/>
    </w:pPr>
    <w:rPr>
      <w:rFonts w:ascii="Calibri" w:eastAsiaTheme="majorEastAsia" w:hAnsi="Calibri" w:cstheme="majorBidi"/>
      <w:b/>
      <w:color w:val="999789"/>
      <w:sz w:val="32"/>
      <w:szCs w:val="24"/>
    </w:rPr>
  </w:style>
  <w:style w:type="paragraph" w:styleId="Heading4">
    <w:name w:val="heading 4"/>
    <w:basedOn w:val="Normal"/>
    <w:next w:val="Normal"/>
    <w:link w:val="Heading4Char"/>
    <w:uiPriority w:val="9"/>
    <w:unhideWhenUsed/>
    <w:qFormat/>
    <w:rsid w:val="00872559"/>
    <w:pPr>
      <w:keepNext/>
      <w:keepLines/>
      <w:spacing w:before="240" w:after="120" w:line="240" w:lineRule="auto"/>
      <w:outlineLvl w:val="3"/>
    </w:pPr>
    <w:rPr>
      <w:rFonts w:ascii="Calibri" w:eastAsiaTheme="majorEastAsia" w:hAnsi="Calibri" w:cstheme="majorBidi"/>
      <w:b/>
      <w:iCs/>
      <w:sz w:val="28"/>
    </w:rPr>
  </w:style>
  <w:style w:type="paragraph" w:styleId="Heading5">
    <w:name w:val="heading 5"/>
    <w:basedOn w:val="Normal"/>
    <w:next w:val="Normal"/>
    <w:link w:val="Heading5Char"/>
    <w:uiPriority w:val="9"/>
    <w:unhideWhenUsed/>
    <w:rsid w:val="00872559"/>
    <w:pPr>
      <w:keepNext/>
      <w:keepLines/>
      <w:spacing w:before="40" w:after="0"/>
      <w:outlineLvl w:val="4"/>
    </w:pPr>
    <w:rPr>
      <w:rFonts w:eastAsiaTheme="majorEastAsia" w:cstheme="majorBidi"/>
      <w:b/>
      <w:i/>
      <w:sz w:val="24"/>
    </w:rPr>
  </w:style>
  <w:style w:type="paragraph" w:styleId="Heading6">
    <w:name w:val="heading 6"/>
    <w:basedOn w:val="Normal"/>
    <w:next w:val="Normal"/>
    <w:link w:val="Heading6Char"/>
    <w:uiPriority w:val="9"/>
    <w:semiHidden/>
    <w:unhideWhenUsed/>
    <w:qFormat/>
    <w:rsid w:val="008E77B9"/>
    <w:pPr>
      <w:keepNext/>
      <w:keepLines/>
      <w:numPr>
        <w:ilvl w:val="5"/>
        <w:numId w:val="9"/>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E77B9"/>
    <w:pPr>
      <w:keepNext/>
      <w:keepLines/>
      <w:numPr>
        <w:ilvl w:val="6"/>
        <w:numId w:val="9"/>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E77B9"/>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E77B9"/>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odytext">
    <w:name w:val="B_body_text"/>
    <w:basedOn w:val="Normal"/>
    <w:link w:val="BbodytextChar"/>
    <w:qFormat/>
    <w:rsid w:val="001B45B0"/>
    <w:pPr>
      <w:spacing w:before="120" w:after="120" w:line="240" w:lineRule="auto"/>
    </w:pPr>
    <w:rPr>
      <w:sz w:val="24"/>
    </w:rPr>
  </w:style>
  <w:style w:type="paragraph" w:customStyle="1" w:styleId="BBullet1">
    <w:name w:val="B_Bullet_1"/>
    <w:basedOn w:val="Bbodytext"/>
    <w:link w:val="BBullet1Char"/>
    <w:qFormat/>
    <w:rsid w:val="00E53996"/>
    <w:pPr>
      <w:numPr>
        <w:numId w:val="1"/>
      </w:numPr>
      <w:tabs>
        <w:tab w:val="left" w:pos="357"/>
      </w:tabs>
      <w:spacing w:before="0"/>
      <w:ind w:left="567" w:hanging="567"/>
    </w:pPr>
  </w:style>
  <w:style w:type="character" w:customStyle="1" w:styleId="BbodytextChar">
    <w:name w:val="B_body_text Char"/>
    <w:basedOn w:val="DefaultParagraphFont"/>
    <w:link w:val="Bbodytext"/>
    <w:rsid w:val="001B45B0"/>
    <w:rPr>
      <w:sz w:val="24"/>
    </w:rPr>
  </w:style>
  <w:style w:type="paragraph" w:styleId="Header">
    <w:name w:val="header"/>
    <w:basedOn w:val="Normal"/>
    <w:link w:val="HeaderChar"/>
    <w:uiPriority w:val="99"/>
    <w:unhideWhenUsed/>
    <w:rsid w:val="00C339EF"/>
    <w:pPr>
      <w:tabs>
        <w:tab w:val="center" w:pos="4513"/>
        <w:tab w:val="right" w:pos="9026"/>
      </w:tabs>
      <w:spacing w:after="0" w:line="240" w:lineRule="auto"/>
    </w:pPr>
  </w:style>
  <w:style w:type="character" w:customStyle="1" w:styleId="BBullet1Char">
    <w:name w:val="B_Bullet_1 Char"/>
    <w:basedOn w:val="BbodytextChar"/>
    <w:link w:val="BBullet1"/>
    <w:rsid w:val="00E53996"/>
    <w:rPr>
      <w:sz w:val="24"/>
    </w:rPr>
  </w:style>
  <w:style w:type="character" w:customStyle="1" w:styleId="HeaderChar">
    <w:name w:val="Header Char"/>
    <w:basedOn w:val="DefaultParagraphFont"/>
    <w:link w:val="Header"/>
    <w:uiPriority w:val="99"/>
    <w:rsid w:val="00C339EF"/>
  </w:style>
  <w:style w:type="paragraph" w:styleId="Footer">
    <w:name w:val="footer"/>
    <w:basedOn w:val="Normal"/>
    <w:link w:val="FooterChar"/>
    <w:uiPriority w:val="99"/>
    <w:unhideWhenUsed/>
    <w:rsid w:val="00C339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39EF"/>
  </w:style>
  <w:style w:type="paragraph" w:styleId="BalloonText">
    <w:name w:val="Balloon Text"/>
    <w:basedOn w:val="Normal"/>
    <w:link w:val="BalloonTextChar"/>
    <w:uiPriority w:val="99"/>
    <w:semiHidden/>
    <w:unhideWhenUsed/>
    <w:rsid w:val="00132947"/>
    <w:pPr>
      <w:spacing w:after="0" w:line="240" w:lineRule="auto"/>
    </w:pPr>
    <w:rPr>
      <w:rFonts w:ascii="Segoe UI" w:hAnsi="Segoe UI" w:cs="Segoe UI"/>
      <w:sz w:val="18"/>
      <w:szCs w:val="18"/>
    </w:rPr>
  </w:style>
  <w:style w:type="paragraph" w:customStyle="1" w:styleId="BFooter">
    <w:name w:val="B_Footer"/>
    <w:basedOn w:val="Footer"/>
    <w:link w:val="BFooterChar"/>
    <w:qFormat/>
    <w:rsid w:val="00BA7876"/>
    <w:pPr>
      <w:ind w:left="-284" w:right="-329"/>
    </w:pPr>
    <w:rPr>
      <w:i/>
      <w:sz w:val="20"/>
    </w:rPr>
  </w:style>
  <w:style w:type="character" w:customStyle="1" w:styleId="BalloonTextChar">
    <w:name w:val="Balloon Text Char"/>
    <w:basedOn w:val="DefaultParagraphFont"/>
    <w:link w:val="BalloonText"/>
    <w:uiPriority w:val="99"/>
    <w:semiHidden/>
    <w:rsid w:val="00132947"/>
    <w:rPr>
      <w:rFonts w:ascii="Segoe UI" w:hAnsi="Segoe UI" w:cs="Segoe UI"/>
      <w:sz w:val="18"/>
      <w:szCs w:val="18"/>
    </w:rPr>
  </w:style>
  <w:style w:type="character" w:customStyle="1" w:styleId="Heading1Char">
    <w:name w:val="Heading 1 Char"/>
    <w:basedOn w:val="DefaultParagraphFont"/>
    <w:link w:val="Heading1"/>
    <w:uiPriority w:val="9"/>
    <w:rsid w:val="00CB4C52"/>
    <w:rPr>
      <w:rFonts w:ascii="Calibri" w:eastAsiaTheme="majorEastAsia" w:hAnsi="Calibri" w:cstheme="majorBidi"/>
      <w:b/>
      <w:caps/>
      <w:kern w:val="28"/>
      <w:sz w:val="36"/>
      <w:szCs w:val="32"/>
    </w:rPr>
  </w:style>
  <w:style w:type="character" w:customStyle="1" w:styleId="BFooterChar">
    <w:name w:val="B_Footer Char"/>
    <w:basedOn w:val="FooterChar"/>
    <w:link w:val="BFooter"/>
    <w:rsid w:val="00BA7876"/>
    <w:rPr>
      <w:i/>
      <w:sz w:val="20"/>
    </w:rPr>
  </w:style>
  <w:style w:type="paragraph" w:customStyle="1" w:styleId="BBullet2">
    <w:name w:val="B_Bullet_2"/>
    <w:basedOn w:val="BBullet1"/>
    <w:link w:val="BBullet2Char"/>
    <w:qFormat/>
    <w:rsid w:val="00E53996"/>
    <w:pPr>
      <w:numPr>
        <w:numId w:val="2"/>
      </w:numPr>
      <w:ind w:left="1134" w:hanging="567"/>
    </w:pPr>
  </w:style>
  <w:style w:type="character" w:customStyle="1" w:styleId="BBullet2Char">
    <w:name w:val="B_Bullet_2 Char"/>
    <w:basedOn w:val="BBullet1Char"/>
    <w:link w:val="BBullet2"/>
    <w:rsid w:val="00E53996"/>
    <w:rPr>
      <w:sz w:val="24"/>
    </w:rPr>
  </w:style>
  <w:style w:type="character" w:customStyle="1" w:styleId="Heading2Char">
    <w:name w:val="Heading 2 Char"/>
    <w:basedOn w:val="DefaultParagraphFont"/>
    <w:link w:val="Heading2"/>
    <w:uiPriority w:val="9"/>
    <w:rsid w:val="00930757"/>
    <w:rPr>
      <w:rFonts w:ascii="Calibri" w:eastAsiaTheme="majorEastAsia" w:hAnsi="Calibri" w:cstheme="majorBidi"/>
      <w:b/>
      <w:caps/>
      <w:color w:val="472D8C"/>
      <w:sz w:val="36"/>
      <w:szCs w:val="26"/>
    </w:rPr>
  </w:style>
  <w:style w:type="character" w:customStyle="1" w:styleId="Heading3Char">
    <w:name w:val="Heading 3 Char"/>
    <w:basedOn w:val="DefaultParagraphFont"/>
    <w:link w:val="Heading3"/>
    <w:uiPriority w:val="9"/>
    <w:rsid w:val="00930757"/>
    <w:rPr>
      <w:rFonts w:ascii="Calibri" w:eastAsiaTheme="majorEastAsia" w:hAnsi="Calibri" w:cstheme="majorBidi"/>
      <w:b/>
      <w:color w:val="999789"/>
      <w:sz w:val="32"/>
      <w:szCs w:val="24"/>
    </w:rPr>
  </w:style>
  <w:style w:type="character" w:customStyle="1" w:styleId="Heading4Char">
    <w:name w:val="Heading 4 Char"/>
    <w:basedOn w:val="DefaultParagraphFont"/>
    <w:link w:val="Heading4"/>
    <w:uiPriority w:val="9"/>
    <w:rsid w:val="00872559"/>
    <w:rPr>
      <w:rFonts w:ascii="Calibri" w:eastAsiaTheme="majorEastAsia" w:hAnsi="Calibri" w:cstheme="majorBidi"/>
      <w:b/>
      <w:iCs/>
      <w:sz w:val="28"/>
    </w:rPr>
  </w:style>
  <w:style w:type="paragraph" w:styleId="Caption">
    <w:name w:val="caption"/>
    <w:basedOn w:val="Normal"/>
    <w:next w:val="Normal"/>
    <w:uiPriority w:val="35"/>
    <w:unhideWhenUsed/>
    <w:qFormat/>
    <w:rsid w:val="00111524"/>
    <w:pPr>
      <w:keepNext/>
      <w:spacing w:before="240" w:after="200" w:line="240" w:lineRule="auto"/>
    </w:pPr>
    <w:rPr>
      <w:b/>
      <w:iCs/>
      <w:color w:val="472D8C"/>
      <w:szCs w:val="18"/>
    </w:rPr>
  </w:style>
  <w:style w:type="paragraph" w:customStyle="1" w:styleId="BTableHeadingRowRightAligned">
    <w:name w:val="B_Table Heading Row Right Aligned"/>
    <w:basedOn w:val="Normal"/>
    <w:qFormat/>
    <w:rsid w:val="006925B5"/>
    <w:pPr>
      <w:spacing w:after="0" w:line="240" w:lineRule="auto"/>
      <w:ind w:left="227" w:hanging="227"/>
      <w:jc w:val="right"/>
    </w:pPr>
    <w:rPr>
      <w:rFonts w:ascii="Calibri" w:hAnsi="Calibri"/>
      <w:b/>
      <w:sz w:val="20"/>
    </w:rPr>
  </w:style>
  <w:style w:type="paragraph" w:customStyle="1" w:styleId="BTableHeadingRowCentreAligned">
    <w:name w:val="B_Table Heading Row Centre Aligned"/>
    <w:basedOn w:val="BTableHeadingRowRightAligned"/>
    <w:qFormat/>
    <w:rsid w:val="00EC74DB"/>
    <w:pPr>
      <w:jc w:val="center"/>
    </w:pPr>
  </w:style>
  <w:style w:type="paragraph" w:customStyle="1" w:styleId="Btabletextbold">
    <w:name w:val="B_table text bold"/>
    <w:basedOn w:val="Normal"/>
    <w:qFormat/>
    <w:rsid w:val="006925B5"/>
    <w:pPr>
      <w:spacing w:after="0" w:line="240" w:lineRule="auto"/>
      <w:ind w:left="227" w:hanging="227"/>
    </w:pPr>
    <w:rPr>
      <w:rFonts w:ascii="Calibri" w:hAnsi="Calibri"/>
      <w:b/>
      <w:sz w:val="20"/>
    </w:rPr>
  </w:style>
  <w:style w:type="paragraph" w:customStyle="1" w:styleId="Btabletextunbold">
    <w:name w:val="B_ table text unbold"/>
    <w:basedOn w:val="Btabletextbold"/>
    <w:qFormat/>
    <w:rsid w:val="006925B5"/>
    <w:rPr>
      <w:b w:val="0"/>
    </w:rPr>
  </w:style>
  <w:style w:type="paragraph" w:customStyle="1" w:styleId="Style1">
    <w:name w:val="Style1"/>
    <w:basedOn w:val="Btabletextunbold"/>
    <w:rsid w:val="00EC74DB"/>
  </w:style>
  <w:style w:type="paragraph" w:customStyle="1" w:styleId="Btablefigureunbold">
    <w:name w:val="B_table figure unbold"/>
    <w:basedOn w:val="Btabletextunbold"/>
    <w:qFormat/>
    <w:rsid w:val="006925B5"/>
    <w:pPr>
      <w:jc w:val="right"/>
    </w:pPr>
  </w:style>
  <w:style w:type="paragraph" w:customStyle="1" w:styleId="BNote">
    <w:name w:val="B_Note"/>
    <w:basedOn w:val="Normal"/>
    <w:qFormat/>
    <w:rsid w:val="006925B5"/>
    <w:pPr>
      <w:keepNext/>
      <w:spacing w:after="0" w:line="240" w:lineRule="auto"/>
    </w:pPr>
    <w:rPr>
      <w:rFonts w:ascii="Calibri" w:hAnsi="Calibri"/>
      <w:sz w:val="18"/>
    </w:rPr>
  </w:style>
  <w:style w:type="paragraph" w:customStyle="1" w:styleId="BNoteBold">
    <w:name w:val="B_Note Bold"/>
    <w:basedOn w:val="Normal"/>
    <w:qFormat/>
    <w:rsid w:val="006925B5"/>
    <w:pPr>
      <w:keepNext/>
      <w:spacing w:before="120" w:after="0" w:line="240" w:lineRule="auto"/>
    </w:pPr>
    <w:rPr>
      <w:rFonts w:ascii="Calibri" w:hAnsi="Calibri"/>
      <w:b/>
      <w:sz w:val="18"/>
    </w:rPr>
  </w:style>
  <w:style w:type="paragraph" w:customStyle="1" w:styleId="BNotelist">
    <w:name w:val="B_Note list"/>
    <w:basedOn w:val="BNoteBold"/>
    <w:qFormat/>
    <w:rsid w:val="006925B5"/>
    <w:pPr>
      <w:numPr>
        <w:numId w:val="3"/>
      </w:numPr>
      <w:spacing w:before="0"/>
    </w:pPr>
    <w:rPr>
      <w:b w:val="0"/>
    </w:rPr>
  </w:style>
  <w:style w:type="paragraph" w:styleId="IntenseQuote">
    <w:name w:val="Intense Quote"/>
    <w:basedOn w:val="Normal"/>
    <w:next w:val="Normal"/>
    <w:link w:val="IntenseQuoteChar"/>
    <w:uiPriority w:val="30"/>
    <w:rsid w:val="00E84C0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84C08"/>
    <w:rPr>
      <w:i/>
      <w:iCs/>
      <w:color w:val="4472C4" w:themeColor="accent1"/>
    </w:rPr>
  </w:style>
  <w:style w:type="paragraph" w:customStyle="1" w:styleId="BTablefigureBold">
    <w:name w:val="B_Table figure Bold"/>
    <w:basedOn w:val="Btablefigureunbold"/>
    <w:qFormat/>
    <w:rsid w:val="00B23F5E"/>
    <w:rPr>
      <w:b/>
    </w:rPr>
  </w:style>
  <w:style w:type="paragraph" w:customStyle="1" w:styleId="BCoversheetHeading1">
    <w:name w:val="B_Coversheet Heading 1"/>
    <w:basedOn w:val="Normal"/>
    <w:qFormat/>
    <w:rsid w:val="00F54EBE"/>
    <w:pPr>
      <w:spacing w:before="480" w:after="1080"/>
      <w:jc w:val="center"/>
    </w:pPr>
    <w:rPr>
      <w:rFonts w:ascii="Calibri" w:hAnsi="Calibri"/>
      <w:b/>
      <w:sz w:val="36"/>
    </w:rPr>
  </w:style>
  <w:style w:type="paragraph" w:customStyle="1" w:styleId="BCoversheetHeading2">
    <w:name w:val="B_Coversheet Heading 2"/>
    <w:basedOn w:val="BCoversheetHeading1"/>
    <w:qFormat/>
    <w:rsid w:val="00F54EBE"/>
    <w:pPr>
      <w:spacing w:before="240" w:after="480" w:line="240" w:lineRule="auto"/>
      <w:jc w:val="left"/>
    </w:pPr>
    <w:rPr>
      <w:sz w:val="28"/>
    </w:rPr>
  </w:style>
  <w:style w:type="character" w:customStyle="1" w:styleId="Heading5Char">
    <w:name w:val="Heading 5 Char"/>
    <w:basedOn w:val="DefaultParagraphFont"/>
    <w:link w:val="Heading5"/>
    <w:uiPriority w:val="9"/>
    <w:rsid w:val="00872559"/>
    <w:rPr>
      <w:rFonts w:eastAsiaTheme="majorEastAsia" w:cstheme="majorBidi"/>
      <w:b/>
      <w:i/>
      <w:sz w:val="24"/>
    </w:rPr>
  </w:style>
  <w:style w:type="paragraph" w:customStyle="1" w:styleId="Btabletextitalic">
    <w:name w:val="B_table text italic"/>
    <w:basedOn w:val="Btabletextunbold"/>
    <w:qFormat/>
    <w:rsid w:val="00F54EBE"/>
    <w:rPr>
      <w:i/>
    </w:rPr>
  </w:style>
  <w:style w:type="paragraph" w:customStyle="1" w:styleId="Btabletextbolditalic">
    <w:name w:val="B_table text bold italic"/>
    <w:basedOn w:val="Btabletextunbold"/>
    <w:qFormat/>
    <w:rsid w:val="00F54EBE"/>
    <w:rPr>
      <w:b/>
      <w:i/>
    </w:rPr>
  </w:style>
  <w:style w:type="character" w:customStyle="1" w:styleId="Heading6Char">
    <w:name w:val="Heading 6 Char"/>
    <w:basedOn w:val="DefaultParagraphFont"/>
    <w:link w:val="Heading6"/>
    <w:uiPriority w:val="9"/>
    <w:semiHidden/>
    <w:rsid w:val="008E77B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E77B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E77B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E77B9"/>
    <w:rPr>
      <w:rFonts w:asciiTheme="majorHAnsi" w:eastAsiaTheme="majorEastAsia" w:hAnsiTheme="majorHAnsi" w:cstheme="majorBidi"/>
      <w:i/>
      <w:iCs/>
      <w:color w:val="272727" w:themeColor="text1" w:themeTint="D8"/>
      <w:sz w:val="21"/>
      <w:szCs w:val="21"/>
    </w:rPr>
  </w:style>
  <w:style w:type="paragraph" w:customStyle="1" w:styleId="Emptycell">
    <w:name w:val="Empty cell"/>
    <w:basedOn w:val="Bbodytext"/>
    <w:qFormat/>
    <w:rsid w:val="004635D4"/>
    <w:pPr>
      <w:numPr>
        <w:numId w:val="7"/>
      </w:numPr>
    </w:pPr>
    <w:rPr>
      <w:color w:val="FFFFFF" w:themeColor="background1"/>
      <w:sz w:val="16"/>
    </w:rPr>
  </w:style>
  <w:style w:type="character" w:styleId="Hyperlink">
    <w:name w:val="Hyperlink"/>
    <w:basedOn w:val="DefaultParagraphFont"/>
    <w:uiPriority w:val="99"/>
    <w:unhideWhenUsed/>
    <w:rsid w:val="00BA7876"/>
    <w:rPr>
      <w:color w:val="0563C1" w:themeColor="hyperlink"/>
      <w:u w:val="single"/>
    </w:rPr>
  </w:style>
  <w:style w:type="paragraph" w:styleId="TOC2">
    <w:name w:val="toc 2"/>
    <w:basedOn w:val="Normal"/>
    <w:next w:val="Normal"/>
    <w:autoRedefine/>
    <w:uiPriority w:val="39"/>
    <w:unhideWhenUsed/>
    <w:rsid w:val="00BA787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EA5F3-0FB5-422C-B6C6-CA445AB1C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2333</Words>
  <Characters>13304</Characters>
  <Application>Microsoft Office Word</Application>
  <DocSecurity>0</DocSecurity>
  <Lines>110</Lines>
  <Paragraphs>31</Paragraphs>
  <ScaleCrop>false</ScaleCrop>
  <Company/>
  <LinksUpToDate>false</LinksUpToDate>
  <CharactersWithSpaces>15606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2021-10-07T00:13:00Z</dcterms:created>
  <dcterms:modified xsi:type="dcterms:W3CDTF">2021-10-07T00:13:00Z</dcterms:modified>
</cp:coreProperties>
</file>