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0D876" w14:textId="77777777" w:rsidR="00AB3195" w:rsidRPr="000D61D1" w:rsidRDefault="00AB3195" w:rsidP="00FD0C23">
      <w:pPr>
        <w:pStyle w:val="Heading1"/>
        <w:rPr>
          <w:lang w:val="en-AU"/>
        </w:rPr>
      </w:pPr>
    </w:p>
    <w:p w14:paraId="0800D3E8" w14:textId="77777777" w:rsidR="00AB3195" w:rsidRPr="000D61D1" w:rsidRDefault="00AB3195" w:rsidP="00335DF1">
      <w:pPr>
        <w:pStyle w:val="Title"/>
        <w:rPr>
          <w:lang w:val="en-AU"/>
        </w:rPr>
      </w:pPr>
      <w:r w:rsidRPr="000D61D1">
        <w:rPr>
          <w:lang w:val="en-AU"/>
        </w:rPr>
        <w:t xml:space="preserve">Analysis of the Impacts and Outcomes of the ACT Tax Reform </w:t>
      </w:r>
    </w:p>
    <w:p w14:paraId="17292978" w14:textId="77777777" w:rsidR="00AB3195" w:rsidRPr="000D61D1" w:rsidRDefault="00AB3195" w:rsidP="00AB3195">
      <w:pPr>
        <w:pStyle w:val="Heading1"/>
        <w:rPr>
          <w:lang w:val="en-AU"/>
        </w:rPr>
      </w:pPr>
    </w:p>
    <w:p w14:paraId="2B9775CB" w14:textId="22CE0E0D" w:rsidR="00AB3195" w:rsidRPr="000D61D1" w:rsidRDefault="00AB3195" w:rsidP="00FD0C23">
      <w:pPr>
        <w:pStyle w:val="Heading1"/>
        <w:rPr>
          <w:lang w:val="en-AU"/>
        </w:rPr>
      </w:pPr>
    </w:p>
    <w:p w14:paraId="55FDC6FD" w14:textId="66A846BF" w:rsidR="00AB3195" w:rsidRPr="000D61D1" w:rsidRDefault="00AB3195" w:rsidP="00AB3195">
      <w:pPr>
        <w:pStyle w:val="BodyText"/>
        <w:rPr>
          <w:lang w:val="en-AU"/>
        </w:rPr>
      </w:pPr>
    </w:p>
    <w:p w14:paraId="60AEEF77" w14:textId="4C2AAF1A" w:rsidR="00AB3195" w:rsidRPr="000D61D1" w:rsidRDefault="00AB3195" w:rsidP="00AB3195">
      <w:pPr>
        <w:pStyle w:val="BodyText"/>
        <w:rPr>
          <w:lang w:val="en-AU"/>
        </w:rPr>
      </w:pPr>
    </w:p>
    <w:p w14:paraId="1C8C6518" w14:textId="510F0BBB" w:rsidR="00AB3195" w:rsidRPr="000D61D1" w:rsidRDefault="00AB3195" w:rsidP="00AB3195">
      <w:pPr>
        <w:pStyle w:val="BodyText"/>
        <w:rPr>
          <w:lang w:val="en-AU"/>
        </w:rPr>
      </w:pPr>
    </w:p>
    <w:p w14:paraId="4941DFBF" w14:textId="7F3181EB" w:rsidR="00AB3195" w:rsidRPr="000D61D1" w:rsidRDefault="00AB3195" w:rsidP="00AB3195">
      <w:pPr>
        <w:pStyle w:val="BodyText"/>
        <w:rPr>
          <w:lang w:val="en-AU"/>
        </w:rPr>
      </w:pPr>
    </w:p>
    <w:p w14:paraId="295204EA" w14:textId="4A935841" w:rsidR="00AB3195" w:rsidRPr="000D61D1" w:rsidRDefault="00AB3195" w:rsidP="00AB3195">
      <w:pPr>
        <w:pStyle w:val="BodyText"/>
        <w:rPr>
          <w:lang w:val="en-AU"/>
        </w:rPr>
      </w:pPr>
    </w:p>
    <w:p w14:paraId="11AD87E3" w14:textId="4942D3E0" w:rsidR="00AB3195" w:rsidRPr="000D61D1" w:rsidRDefault="00AB3195" w:rsidP="00AB3195">
      <w:pPr>
        <w:pStyle w:val="BodyText"/>
        <w:rPr>
          <w:lang w:val="en-AU"/>
        </w:rPr>
      </w:pPr>
    </w:p>
    <w:p w14:paraId="23C70BFF" w14:textId="26240463" w:rsidR="00AB3195" w:rsidRPr="000D61D1" w:rsidRDefault="00AB3195" w:rsidP="00AB3195">
      <w:pPr>
        <w:pStyle w:val="BodyText"/>
        <w:rPr>
          <w:lang w:val="en-AU"/>
        </w:rPr>
      </w:pPr>
    </w:p>
    <w:p w14:paraId="4EC92022" w14:textId="14E28DD9" w:rsidR="00AB3195" w:rsidRPr="000D61D1" w:rsidRDefault="00AB3195" w:rsidP="00AB3195">
      <w:pPr>
        <w:pStyle w:val="BodyText"/>
        <w:rPr>
          <w:lang w:val="en-AU"/>
        </w:rPr>
      </w:pPr>
    </w:p>
    <w:p w14:paraId="52687AF9" w14:textId="77777777" w:rsidR="00AB3195" w:rsidRPr="000D61D1" w:rsidRDefault="00AB3195" w:rsidP="00AB3195">
      <w:pPr>
        <w:pStyle w:val="BodyText"/>
        <w:rPr>
          <w:lang w:val="en-AU"/>
        </w:rPr>
      </w:pPr>
    </w:p>
    <w:p w14:paraId="68656B62" w14:textId="63C68CDE" w:rsidR="00AB3195" w:rsidRPr="000D61D1" w:rsidRDefault="005B3678" w:rsidP="001A5955">
      <w:pPr>
        <w:pStyle w:val="BodyText"/>
        <w:jc w:val="center"/>
        <w:rPr>
          <w:lang w:val="en-AU"/>
        </w:rPr>
      </w:pPr>
      <w:r>
        <w:rPr>
          <w:lang w:val="en-AU"/>
        </w:rPr>
        <w:t>2</w:t>
      </w:r>
      <w:r w:rsidR="003C620A">
        <w:rPr>
          <w:lang w:val="en-AU"/>
        </w:rPr>
        <w:t>4</w:t>
      </w:r>
      <w:r w:rsidR="00CF2A7B">
        <w:rPr>
          <w:lang w:val="en-AU"/>
        </w:rPr>
        <w:t xml:space="preserve"> </w:t>
      </w:r>
      <w:r w:rsidR="003C620A">
        <w:rPr>
          <w:lang w:val="en-AU"/>
        </w:rPr>
        <w:t>June</w:t>
      </w:r>
      <w:r w:rsidR="003C620A" w:rsidRPr="000D61D1">
        <w:rPr>
          <w:lang w:val="en-AU"/>
        </w:rPr>
        <w:t xml:space="preserve"> </w:t>
      </w:r>
      <w:r w:rsidR="00AB3195" w:rsidRPr="000D61D1">
        <w:rPr>
          <w:lang w:val="en-AU"/>
        </w:rPr>
        <w:t>2020</w:t>
      </w:r>
    </w:p>
    <w:p w14:paraId="634BE288" w14:textId="77777777" w:rsidR="00AB3195" w:rsidRPr="000D61D1" w:rsidRDefault="00AB3195" w:rsidP="00335DF1">
      <w:pPr>
        <w:pStyle w:val="BodyText"/>
        <w:jc w:val="center"/>
        <w:rPr>
          <w:lang w:val="en-AU"/>
        </w:rPr>
      </w:pPr>
    </w:p>
    <w:p w14:paraId="63771D45" w14:textId="74D21EBF" w:rsidR="00AB3195" w:rsidRPr="000D61D1" w:rsidRDefault="00AB3195" w:rsidP="00335DF1">
      <w:pPr>
        <w:pStyle w:val="BodyText"/>
        <w:jc w:val="center"/>
        <w:rPr>
          <w:lang w:val="en-AU"/>
        </w:rPr>
      </w:pPr>
      <w:r w:rsidRPr="000D61D1">
        <w:rPr>
          <w:lang w:val="en-AU"/>
        </w:rPr>
        <w:t>Tax and Transfer Policy Institute (TTPI), Australian National University</w:t>
      </w:r>
    </w:p>
    <w:p w14:paraId="3BF26E83" w14:textId="5646530E" w:rsidR="00AB3195" w:rsidRPr="000D61D1" w:rsidRDefault="00AB3195" w:rsidP="00AB3195">
      <w:pPr>
        <w:pStyle w:val="BodyText"/>
        <w:jc w:val="center"/>
        <w:rPr>
          <w:lang w:val="en-AU"/>
        </w:rPr>
      </w:pPr>
      <w:r w:rsidRPr="000D61D1">
        <w:rPr>
          <w:lang w:val="en-AU"/>
        </w:rPr>
        <w:t>National Centre for Social and Economic Model</w:t>
      </w:r>
      <w:r w:rsidR="00727FDA">
        <w:rPr>
          <w:lang w:val="en-AU"/>
        </w:rPr>
        <w:t>l</w:t>
      </w:r>
      <w:r w:rsidRPr="000D61D1">
        <w:rPr>
          <w:lang w:val="en-AU"/>
        </w:rPr>
        <w:t>ing (NATSEM), University of Canberra</w:t>
      </w:r>
    </w:p>
    <w:p w14:paraId="4BE932CC" w14:textId="4C4E944D" w:rsidR="00AB3195" w:rsidRPr="000D61D1" w:rsidRDefault="00AB3195" w:rsidP="00AB3195">
      <w:pPr>
        <w:pStyle w:val="BodyText"/>
        <w:jc w:val="center"/>
        <w:rPr>
          <w:lang w:val="en-AU"/>
        </w:rPr>
      </w:pPr>
    </w:p>
    <w:p w14:paraId="7D9C1FCA" w14:textId="697C9612" w:rsidR="00AB3195" w:rsidRPr="000D61D1" w:rsidRDefault="00AB3195" w:rsidP="00AB3195">
      <w:pPr>
        <w:pStyle w:val="BodyText"/>
        <w:jc w:val="center"/>
        <w:rPr>
          <w:lang w:val="en-AU"/>
        </w:rPr>
      </w:pPr>
    </w:p>
    <w:p w14:paraId="6B961CF5" w14:textId="78E1DCD6" w:rsidR="00AB3195" w:rsidRPr="000D61D1" w:rsidRDefault="00AB3195" w:rsidP="00AB3195">
      <w:pPr>
        <w:pStyle w:val="BodyText"/>
        <w:jc w:val="center"/>
        <w:rPr>
          <w:lang w:val="en-AU"/>
        </w:rPr>
      </w:pPr>
    </w:p>
    <w:p w14:paraId="0BE1E512" w14:textId="741DA998" w:rsidR="00AB3195" w:rsidRPr="000D61D1" w:rsidRDefault="00AB3195" w:rsidP="00AB3195">
      <w:pPr>
        <w:pStyle w:val="BodyText"/>
        <w:jc w:val="center"/>
        <w:rPr>
          <w:lang w:val="en-AU"/>
        </w:rPr>
      </w:pPr>
    </w:p>
    <w:p w14:paraId="3100260E" w14:textId="6DC0A80C" w:rsidR="00AB3195" w:rsidRPr="000D61D1" w:rsidRDefault="00AB3195" w:rsidP="00AB3195">
      <w:pPr>
        <w:pStyle w:val="BodyText"/>
        <w:jc w:val="center"/>
        <w:rPr>
          <w:lang w:val="en-AU"/>
        </w:rPr>
      </w:pPr>
    </w:p>
    <w:p w14:paraId="12FBC0B5" w14:textId="5F1CAC67" w:rsidR="00AB3195" w:rsidRPr="000D61D1" w:rsidRDefault="00AB3195" w:rsidP="00AB3195">
      <w:pPr>
        <w:pStyle w:val="BodyText"/>
        <w:jc w:val="center"/>
        <w:rPr>
          <w:lang w:val="en-AU"/>
        </w:rPr>
      </w:pPr>
    </w:p>
    <w:p w14:paraId="6A0EE4A6" w14:textId="5402721B" w:rsidR="00AB3195" w:rsidRPr="000D61D1" w:rsidRDefault="00AB3195" w:rsidP="00AB3195">
      <w:pPr>
        <w:pStyle w:val="BodyText"/>
        <w:jc w:val="center"/>
        <w:rPr>
          <w:lang w:val="en-AU"/>
        </w:rPr>
      </w:pPr>
    </w:p>
    <w:p w14:paraId="7CE06B5E" w14:textId="4883F520" w:rsidR="002A32BA" w:rsidRPr="000D61D1" w:rsidRDefault="002A32BA" w:rsidP="00AB3195">
      <w:pPr>
        <w:pStyle w:val="BodyText"/>
        <w:jc w:val="center"/>
        <w:rPr>
          <w:lang w:val="en-AU"/>
        </w:rPr>
      </w:pPr>
    </w:p>
    <w:p w14:paraId="095FAFC2" w14:textId="36E664DE" w:rsidR="002A32BA" w:rsidRPr="000D61D1" w:rsidRDefault="002A32BA" w:rsidP="00AB3195">
      <w:pPr>
        <w:pStyle w:val="BodyText"/>
        <w:jc w:val="center"/>
        <w:rPr>
          <w:lang w:val="en-AU"/>
        </w:rPr>
      </w:pPr>
    </w:p>
    <w:sdt>
      <w:sdtPr>
        <w:rPr>
          <w:rFonts w:eastAsiaTheme="minorHAnsi" w:cstheme="minorBidi"/>
          <w:b w:val="0"/>
          <w:color w:val="auto"/>
          <w:sz w:val="24"/>
          <w:szCs w:val="24"/>
          <w:lang w:val="en-AU"/>
        </w:rPr>
        <w:id w:val="-1482684439"/>
        <w:docPartObj>
          <w:docPartGallery w:val="Table of Contents"/>
          <w:docPartUnique/>
        </w:docPartObj>
      </w:sdtPr>
      <w:sdtEndPr>
        <w:rPr>
          <w:bCs/>
          <w:noProof/>
        </w:rPr>
      </w:sdtEndPr>
      <w:sdtContent>
        <w:p w14:paraId="3E71A315" w14:textId="3BD896CE" w:rsidR="002A32BA" w:rsidRPr="000D61D1" w:rsidRDefault="002A32BA">
          <w:pPr>
            <w:pStyle w:val="TOCHeading"/>
            <w:rPr>
              <w:lang w:val="en-AU"/>
            </w:rPr>
          </w:pPr>
          <w:r w:rsidRPr="000D61D1">
            <w:rPr>
              <w:lang w:val="en-AU"/>
            </w:rPr>
            <w:t>Table of Contents</w:t>
          </w:r>
        </w:p>
        <w:p w14:paraId="371123C3" w14:textId="1A0DA187" w:rsidR="003C620A" w:rsidRDefault="002A32BA">
          <w:pPr>
            <w:pStyle w:val="TOC1"/>
            <w:tabs>
              <w:tab w:val="left" w:pos="480"/>
              <w:tab w:val="right" w:leader="dot" w:pos="9016"/>
            </w:tabs>
            <w:rPr>
              <w:rFonts w:eastAsiaTheme="minorEastAsia" w:cstheme="minorBidi"/>
              <w:b w:val="0"/>
              <w:bCs w:val="0"/>
              <w:i w:val="0"/>
              <w:iCs w:val="0"/>
              <w:noProof/>
              <w:sz w:val="22"/>
              <w:szCs w:val="22"/>
              <w:lang w:val="en-AU" w:eastAsia="en-AU"/>
            </w:rPr>
          </w:pPr>
          <w:r w:rsidRPr="000D61D1">
            <w:rPr>
              <w:b w:val="0"/>
              <w:bCs w:val="0"/>
              <w:lang w:val="en-AU"/>
            </w:rPr>
            <w:fldChar w:fldCharType="begin"/>
          </w:r>
          <w:r w:rsidRPr="000D61D1">
            <w:rPr>
              <w:lang w:val="en-AU"/>
            </w:rPr>
            <w:instrText xml:space="preserve"> TOC \o "1-3" \h \z \u </w:instrText>
          </w:r>
          <w:r w:rsidRPr="000D61D1">
            <w:rPr>
              <w:b w:val="0"/>
              <w:bCs w:val="0"/>
              <w:lang w:val="en-AU"/>
            </w:rPr>
            <w:fldChar w:fldCharType="separate"/>
          </w:r>
          <w:hyperlink w:anchor="_Toc43911467" w:history="1">
            <w:r w:rsidR="003C620A" w:rsidRPr="00314465">
              <w:rPr>
                <w:rStyle w:val="Hyperlink"/>
                <w:noProof/>
                <w:lang w:val="en-AU"/>
              </w:rPr>
              <w:t>1.</w:t>
            </w:r>
            <w:r w:rsidR="003C620A">
              <w:rPr>
                <w:rFonts w:eastAsiaTheme="minorEastAsia" w:cstheme="minorBidi"/>
                <w:b w:val="0"/>
                <w:bCs w:val="0"/>
                <w:i w:val="0"/>
                <w:iCs w:val="0"/>
                <w:noProof/>
                <w:sz w:val="22"/>
                <w:szCs w:val="22"/>
                <w:lang w:val="en-AU" w:eastAsia="en-AU"/>
              </w:rPr>
              <w:tab/>
            </w:r>
            <w:r w:rsidR="003C620A" w:rsidRPr="00314465">
              <w:rPr>
                <w:rStyle w:val="Hyperlink"/>
                <w:noProof/>
                <w:lang w:val="en-AU"/>
              </w:rPr>
              <w:t>Introduction</w:t>
            </w:r>
            <w:r w:rsidR="003C620A">
              <w:rPr>
                <w:noProof/>
                <w:webHidden/>
              </w:rPr>
              <w:tab/>
            </w:r>
            <w:r w:rsidR="003C620A">
              <w:rPr>
                <w:noProof/>
                <w:webHidden/>
              </w:rPr>
              <w:fldChar w:fldCharType="begin"/>
            </w:r>
            <w:r w:rsidR="003C620A">
              <w:rPr>
                <w:noProof/>
                <w:webHidden/>
              </w:rPr>
              <w:instrText xml:space="preserve"> PAGEREF _Toc43911467 \h </w:instrText>
            </w:r>
            <w:r w:rsidR="003C620A">
              <w:rPr>
                <w:noProof/>
                <w:webHidden/>
              </w:rPr>
            </w:r>
            <w:r w:rsidR="003C620A">
              <w:rPr>
                <w:noProof/>
                <w:webHidden/>
              </w:rPr>
              <w:fldChar w:fldCharType="separate"/>
            </w:r>
            <w:r w:rsidR="00A763B6">
              <w:rPr>
                <w:noProof/>
                <w:webHidden/>
              </w:rPr>
              <w:t>4</w:t>
            </w:r>
            <w:r w:rsidR="003C620A">
              <w:rPr>
                <w:noProof/>
                <w:webHidden/>
              </w:rPr>
              <w:fldChar w:fldCharType="end"/>
            </w:r>
          </w:hyperlink>
        </w:p>
        <w:p w14:paraId="2795AE2F" w14:textId="1B16FBB9" w:rsidR="003C620A" w:rsidRDefault="00A6304C">
          <w:pPr>
            <w:pStyle w:val="TOC2"/>
            <w:tabs>
              <w:tab w:val="right" w:leader="dot" w:pos="9016"/>
            </w:tabs>
            <w:rPr>
              <w:rFonts w:eastAsiaTheme="minorEastAsia" w:cstheme="minorBidi"/>
              <w:b w:val="0"/>
              <w:bCs w:val="0"/>
              <w:noProof/>
              <w:lang w:val="en-AU" w:eastAsia="en-AU"/>
            </w:rPr>
          </w:pPr>
          <w:hyperlink w:anchor="_Toc43911468" w:history="1">
            <w:r w:rsidR="003C620A" w:rsidRPr="00314465">
              <w:rPr>
                <w:rStyle w:val="Hyperlink"/>
                <w:noProof/>
                <w:lang w:val="en-AU"/>
              </w:rPr>
              <w:t>1.1 – Part 1: Distributional impacts of the ACT Government tax reform</w:t>
            </w:r>
            <w:r w:rsidR="003C620A">
              <w:rPr>
                <w:noProof/>
                <w:webHidden/>
              </w:rPr>
              <w:tab/>
            </w:r>
            <w:r w:rsidR="003C620A">
              <w:rPr>
                <w:noProof/>
                <w:webHidden/>
              </w:rPr>
              <w:fldChar w:fldCharType="begin"/>
            </w:r>
            <w:r w:rsidR="003C620A">
              <w:rPr>
                <w:noProof/>
                <w:webHidden/>
              </w:rPr>
              <w:instrText xml:space="preserve"> PAGEREF _Toc43911468 \h </w:instrText>
            </w:r>
            <w:r w:rsidR="003C620A">
              <w:rPr>
                <w:noProof/>
                <w:webHidden/>
              </w:rPr>
            </w:r>
            <w:r w:rsidR="003C620A">
              <w:rPr>
                <w:noProof/>
                <w:webHidden/>
              </w:rPr>
              <w:fldChar w:fldCharType="separate"/>
            </w:r>
            <w:r w:rsidR="00A763B6">
              <w:rPr>
                <w:noProof/>
                <w:webHidden/>
              </w:rPr>
              <w:t>4</w:t>
            </w:r>
            <w:r w:rsidR="003C620A">
              <w:rPr>
                <w:noProof/>
                <w:webHidden/>
              </w:rPr>
              <w:fldChar w:fldCharType="end"/>
            </w:r>
          </w:hyperlink>
        </w:p>
        <w:p w14:paraId="3447F959" w14:textId="7AE1F29D" w:rsidR="003C620A" w:rsidRDefault="00A6304C">
          <w:pPr>
            <w:pStyle w:val="TOC2"/>
            <w:tabs>
              <w:tab w:val="right" w:leader="dot" w:pos="9016"/>
            </w:tabs>
            <w:rPr>
              <w:rFonts w:eastAsiaTheme="minorEastAsia" w:cstheme="minorBidi"/>
              <w:b w:val="0"/>
              <w:bCs w:val="0"/>
              <w:noProof/>
              <w:lang w:val="en-AU" w:eastAsia="en-AU"/>
            </w:rPr>
          </w:pPr>
          <w:hyperlink w:anchor="_Toc43911469" w:history="1">
            <w:r w:rsidR="003C620A" w:rsidRPr="00314465">
              <w:rPr>
                <w:rStyle w:val="Hyperlink"/>
                <w:noProof/>
                <w:lang w:val="en-AU"/>
              </w:rPr>
              <w:t>1.2 – Part 2: Economic and affordability impacts of the ACT Government tax reform</w:t>
            </w:r>
            <w:r w:rsidR="003C620A">
              <w:rPr>
                <w:noProof/>
                <w:webHidden/>
              </w:rPr>
              <w:tab/>
            </w:r>
            <w:r w:rsidR="003C620A">
              <w:rPr>
                <w:noProof/>
                <w:webHidden/>
              </w:rPr>
              <w:fldChar w:fldCharType="begin"/>
            </w:r>
            <w:r w:rsidR="003C620A">
              <w:rPr>
                <w:noProof/>
                <w:webHidden/>
              </w:rPr>
              <w:instrText xml:space="preserve"> PAGEREF _Toc43911469 \h </w:instrText>
            </w:r>
            <w:r w:rsidR="003C620A">
              <w:rPr>
                <w:noProof/>
                <w:webHidden/>
              </w:rPr>
            </w:r>
            <w:r w:rsidR="003C620A">
              <w:rPr>
                <w:noProof/>
                <w:webHidden/>
              </w:rPr>
              <w:fldChar w:fldCharType="separate"/>
            </w:r>
            <w:r w:rsidR="00A763B6">
              <w:rPr>
                <w:noProof/>
                <w:webHidden/>
              </w:rPr>
              <w:t>5</w:t>
            </w:r>
            <w:r w:rsidR="003C620A">
              <w:rPr>
                <w:noProof/>
                <w:webHidden/>
              </w:rPr>
              <w:fldChar w:fldCharType="end"/>
            </w:r>
          </w:hyperlink>
        </w:p>
        <w:p w14:paraId="48358E9E" w14:textId="3A7379FB" w:rsidR="003C620A" w:rsidRDefault="00A6304C">
          <w:pPr>
            <w:pStyle w:val="TOC2"/>
            <w:tabs>
              <w:tab w:val="right" w:leader="dot" w:pos="9016"/>
            </w:tabs>
            <w:rPr>
              <w:rFonts w:eastAsiaTheme="minorEastAsia" w:cstheme="minorBidi"/>
              <w:b w:val="0"/>
              <w:bCs w:val="0"/>
              <w:noProof/>
              <w:lang w:val="en-AU" w:eastAsia="en-AU"/>
            </w:rPr>
          </w:pPr>
          <w:hyperlink w:anchor="_Toc43911470" w:history="1">
            <w:r w:rsidR="003C620A" w:rsidRPr="00314465">
              <w:rPr>
                <w:rStyle w:val="Hyperlink"/>
                <w:noProof/>
                <w:lang w:val="en-AU"/>
              </w:rPr>
              <w:t>1.3 – Structure of this report</w:t>
            </w:r>
            <w:r w:rsidR="003C620A">
              <w:rPr>
                <w:noProof/>
                <w:webHidden/>
              </w:rPr>
              <w:tab/>
            </w:r>
            <w:r w:rsidR="003C620A">
              <w:rPr>
                <w:noProof/>
                <w:webHidden/>
              </w:rPr>
              <w:fldChar w:fldCharType="begin"/>
            </w:r>
            <w:r w:rsidR="003C620A">
              <w:rPr>
                <w:noProof/>
                <w:webHidden/>
              </w:rPr>
              <w:instrText xml:space="preserve"> PAGEREF _Toc43911470 \h </w:instrText>
            </w:r>
            <w:r w:rsidR="003C620A">
              <w:rPr>
                <w:noProof/>
                <w:webHidden/>
              </w:rPr>
            </w:r>
            <w:r w:rsidR="003C620A">
              <w:rPr>
                <w:noProof/>
                <w:webHidden/>
              </w:rPr>
              <w:fldChar w:fldCharType="separate"/>
            </w:r>
            <w:r w:rsidR="00A763B6">
              <w:rPr>
                <w:noProof/>
                <w:webHidden/>
              </w:rPr>
              <w:t>5</w:t>
            </w:r>
            <w:r w:rsidR="003C620A">
              <w:rPr>
                <w:noProof/>
                <w:webHidden/>
              </w:rPr>
              <w:fldChar w:fldCharType="end"/>
            </w:r>
          </w:hyperlink>
        </w:p>
        <w:p w14:paraId="49AD2195" w14:textId="674B057F" w:rsidR="003C620A" w:rsidRDefault="00A6304C">
          <w:pPr>
            <w:pStyle w:val="TOC1"/>
            <w:tabs>
              <w:tab w:val="left" w:pos="480"/>
              <w:tab w:val="right" w:leader="dot" w:pos="9016"/>
            </w:tabs>
            <w:rPr>
              <w:rFonts w:eastAsiaTheme="minorEastAsia" w:cstheme="minorBidi"/>
              <w:b w:val="0"/>
              <w:bCs w:val="0"/>
              <w:i w:val="0"/>
              <w:iCs w:val="0"/>
              <w:noProof/>
              <w:sz w:val="22"/>
              <w:szCs w:val="22"/>
              <w:lang w:val="en-AU" w:eastAsia="en-AU"/>
            </w:rPr>
          </w:pPr>
          <w:hyperlink w:anchor="_Toc43911471" w:history="1">
            <w:r w:rsidR="003C620A" w:rsidRPr="00314465">
              <w:rPr>
                <w:rStyle w:val="Hyperlink"/>
                <w:noProof/>
                <w:lang w:val="en-AU"/>
              </w:rPr>
              <w:t>2.</w:t>
            </w:r>
            <w:r w:rsidR="003C620A">
              <w:rPr>
                <w:rFonts w:eastAsiaTheme="minorEastAsia" w:cstheme="minorBidi"/>
                <w:b w:val="0"/>
                <w:bCs w:val="0"/>
                <w:i w:val="0"/>
                <w:iCs w:val="0"/>
                <w:noProof/>
                <w:sz w:val="22"/>
                <w:szCs w:val="22"/>
                <w:lang w:val="en-AU" w:eastAsia="en-AU"/>
              </w:rPr>
              <w:tab/>
            </w:r>
            <w:r w:rsidR="003C620A" w:rsidRPr="00314465">
              <w:rPr>
                <w:rStyle w:val="Hyperlink"/>
                <w:noProof/>
                <w:lang w:val="en-AU"/>
              </w:rPr>
              <w:t>Methods</w:t>
            </w:r>
            <w:r w:rsidR="003C620A">
              <w:rPr>
                <w:noProof/>
                <w:webHidden/>
              </w:rPr>
              <w:tab/>
            </w:r>
            <w:r w:rsidR="003C620A">
              <w:rPr>
                <w:noProof/>
                <w:webHidden/>
              </w:rPr>
              <w:fldChar w:fldCharType="begin"/>
            </w:r>
            <w:r w:rsidR="003C620A">
              <w:rPr>
                <w:noProof/>
                <w:webHidden/>
              </w:rPr>
              <w:instrText xml:space="preserve"> PAGEREF _Toc43911471 \h </w:instrText>
            </w:r>
            <w:r w:rsidR="003C620A">
              <w:rPr>
                <w:noProof/>
                <w:webHidden/>
              </w:rPr>
            </w:r>
            <w:r w:rsidR="003C620A">
              <w:rPr>
                <w:noProof/>
                <w:webHidden/>
              </w:rPr>
              <w:fldChar w:fldCharType="separate"/>
            </w:r>
            <w:r w:rsidR="00A763B6">
              <w:rPr>
                <w:noProof/>
                <w:webHidden/>
              </w:rPr>
              <w:t>5</w:t>
            </w:r>
            <w:r w:rsidR="003C620A">
              <w:rPr>
                <w:noProof/>
                <w:webHidden/>
              </w:rPr>
              <w:fldChar w:fldCharType="end"/>
            </w:r>
          </w:hyperlink>
        </w:p>
        <w:p w14:paraId="11EE3756" w14:textId="6926AE18" w:rsidR="003C620A" w:rsidRDefault="00A6304C">
          <w:pPr>
            <w:pStyle w:val="TOC2"/>
            <w:tabs>
              <w:tab w:val="right" w:leader="dot" w:pos="9016"/>
            </w:tabs>
            <w:rPr>
              <w:rFonts w:eastAsiaTheme="minorEastAsia" w:cstheme="minorBidi"/>
              <w:b w:val="0"/>
              <w:bCs w:val="0"/>
              <w:noProof/>
              <w:lang w:val="en-AU" w:eastAsia="en-AU"/>
            </w:rPr>
          </w:pPr>
          <w:hyperlink w:anchor="_Toc43911472" w:history="1">
            <w:r w:rsidR="003C620A" w:rsidRPr="00314465">
              <w:rPr>
                <w:rStyle w:val="Hyperlink"/>
                <w:noProof/>
                <w:lang w:val="en-AU"/>
              </w:rPr>
              <w:t>2.1 - Distributional impacts of the ACT Government tax reform (Part 1): A microsimulation model</w:t>
            </w:r>
            <w:r w:rsidR="003C620A">
              <w:rPr>
                <w:noProof/>
                <w:webHidden/>
              </w:rPr>
              <w:tab/>
            </w:r>
            <w:r w:rsidR="003C620A">
              <w:rPr>
                <w:noProof/>
                <w:webHidden/>
              </w:rPr>
              <w:fldChar w:fldCharType="begin"/>
            </w:r>
            <w:r w:rsidR="003C620A">
              <w:rPr>
                <w:noProof/>
                <w:webHidden/>
              </w:rPr>
              <w:instrText xml:space="preserve"> PAGEREF _Toc43911472 \h </w:instrText>
            </w:r>
            <w:r w:rsidR="003C620A">
              <w:rPr>
                <w:noProof/>
                <w:webHidden/>
              </w:rPr>
            </w:r>
            <w:r w:rsidR="003C620A">
              <w:rPr>
                <w:noProof/>
                <w:webHidden/>
              </w:rPr>
              <w:fldChar w:fldCharType="separate"/>
            </w:r>
            <w:r w:rsidR="00A763B6">
              <w:rPr>
                <w:noProof/>
                <w:webHidden/>
              </w:rPr>
              <w:t>5</w:t>
            </w:r>
            <w:r w:rsidR="003C620A">
              <w:rPr>
                <w:noProof/>
                <w:webHidden/>
              </w:rPr>
              <w:fldChar w:fldCharType="end"/>
            </w:r>
          </w:hyperlink>
        </w:p>
        <w:p w14:paraId="7ACD886C" w14:textId="52CAB160" w:rsidR="003C620A" w:rsidRDefault="00A6304C">
          <w:pPr>
            <w:pStyle w:val="TOC2"/>
            <w:tabs>
              <w:tab w:val="right" w:leader="dot" w:pos="9016"/>
            </w:tabs>
            <w:rPr>
              <w:rFonts w:eastAsiaTheme="minorEastAsia" w:cstheme="minorBidi"/>
              <w:b w:val="0"/>
              <w:bCs w:val="0"/>
              <w:noProof/>
              <w:lang w:val="en-AU" w:eastAsia="en-AU"/>
            </w:rPr>
          </w:pPr>
          <w:hyperlink w:anchor="_Toc43911473" w:history="1">
            <w:r w:rsidR="003C620A" w:rsidRPr="00314465">
              <w:rPr>
                <w:rStyle w:val="Hyperlink"/>
                <w:noProof/>
                <w:lang w:val="en-AU"/>
              </w:rPr>
              <w:t xml:space="preserve">Step 5: Calculate what would have happened without tax reform </w:t>
            </w:r>
            <w:r w:rsidR="003C620A" w:rsidRPr="00314465">
              <w:rPr>
                <w:rStyle w:val="Hyperlink"/>
                <w:noProof/>
              </w:rPr>
              <w:t>using stamp duty and rates settings that would have prevailed without tax reform</w:t>
            </w:r>
            <w:r w:rsidR="003C620A" w:rsidRPr="00314465">
              <w:rPr>
                <w:rStyle w:val="Hyperlink"/>
                <w:noProof/>
                <w:lang w:val="en-AU"/>
              </w:rPr>
              <w:t>.</w:t>
            </w:r>
            <w:r w:rsidR="003C620A">
              <w:rPr>
                <w:noProof/>
                <w:webHidden/>
              </w:rPr>
              <w:tab/>
            </w:r>
            <w:r w:rsidR="003C620A">
              <w:rPr>
                <w:noProof/>
                <w:webHidden/>
              </w:rPr>
              <w:fldChar w:fldCharType="begin"/>
            </w:r>
            <w:r w:rsidR="003C620A">
              <w:rPr>
                <w:noProof/>
                <w:webHidden/>
              </w:rPr>
              <w:instrText xml:space="preserve"> PAGEREF _Toc43911473 \h </w:instrText>
            </w:r>
            <w:r w:rsidR="003C620A">
              <w:rPr>
                <w:noProof/>
                <w:webHidden/>
              </w:rPr>
            </w:r>
            <w:r w:rsidR="003C620A">
              <w:rPr>
                <w:noProof/>
                <w:webHidden/>
              </w:rPr>
              <w:fldChar w:fldCharType="separate"/>
            </w:r>
            <w:r w:rsidR="00A763B6">
              <w:rPr>
                <w:noProof/>
                <w:webHidden/>
              </w:rPr>
              <w:t>8</w:t>
            </w:r>
            <w:r w:rsidR="003C620A">
              <w:rPr>
                <w:noProof/>
                <w:webHidden/>
              </w:rPr>
              <w:fldChar w:fldCharType="end"/>
            </w:r>
          </w:hyperlink>
        </w:p>
        <w:p w14:paraId="39F7A18D" w14:textId="36B82145" w:rsidR="003C620A" w:rsidRDefault="00A6304C">
          <w:pPr>
            <w:pStyle w:val="TOC2"/>
            <w:tabs>
              <w:tab w:val="right" w:leader="dot" w:pos="9016"/>
            </w:tabs>
            <w:rPr>
              <w:rFonts w:eastAsiaTheme="minorEastAsia" w:cstheme="minorBidi"/>
              <w:b w:val="0"/>
              <w:bCs w:val="0"/>
              <w:noProof/>
              <w:lang w:val="en-AU" w:eastAsia="en-AU"/>
            </w:rPr>
          </w:pPr>
          <w:hyperlink w:anchor="_Toc43911474" w:history="1">
            <w:r w:rsidR="003C620A" w:rsidRPr="00314465">
              <w:rPr>
                <w:rStyle w:val="Hyperlink"/>
                <w:noProof/>
                <w:lang w:val="en-AU"/>
              </w:rPr>
              <w:t>2.2 - Economic and affordability impacts of the ACT Government tax reform (Part 2): A difference-in-difference econometric analysis</w:t>
            </w:r>
            <w:r w:rsidR="003C620A">
              <w:rPr>
                <w:noProof/>
                <w:webHidden/>
              </w:rPr>
              <w:tab/>
            </w:r>
            <w:r w:rsidR="003C620A">
              <w:rPr>
                <w:noProof/>
                <w:webHidden/>
              </w:rPr>
              <w:fldChar w:fldCharType="begin"/>
            </w:r>
            <w:r w:rsidR="003C620A">
              <w:rPr>
                <w:noProof/>
                <w:webHidden/>
              </w:rPr>
              <w:instrText xml:space="preserve"> PAGEREF _Toc43911474 \h </w:instrText>
            </w:r>
            <w:r w:rsidR="003C620A">
              <w:rPr>
                <w:noProof/>
                <w:webHidden/>
              </w:rPr>
            </w:r>
            <w:r w:rsidR="003C620A">
              <w:rPr>
                <w:noProof/>
                <w:webHidden/>
              </w:rPr>
              <w:fldChar w:fldCharType="separate"/>
            </w:r>
            <w:r w:rsidR="00A763B6">
              <w:rPr>
                <w:noProof/>
                <w:webHidden/>
              </w:rPr>
              <w:t>8</w:t>
            </w:r>
            <w:r w:rsidR="003C620A">
              <w:rPr>
                <w:noProof/>
                <w:webHidden/>
              </w:rPr>
              <w:fldChar w:fldCharType="end"/>
            </w:r>
          </w:hyperlink>
        </w:p>
        <w:p w14:paraId="6BFD840C" w14:textId="68C4F94C" w:rsidR="003C620A" w:rsidRDefault="00A6304C">
          <w:pPr>
            <w:pStyle w:val="TOC3"/>
            <w:tabs>
              <w:tab w:val="right" w:leader="dot" w:pos="9016"/>
            </w:tabs>
            <w:rPr>
              <w:rFonts w:eastAsiaTheme="minorEastAsia" w:cstheme="minorBidi"/>
              <w:noProof/>
              <w:sz w:val="22"/>
              <w:szCs w:val="22"/>
              <w:lang w:val="en-AU" w:eastAsia="en-AU"/>
            </w:rPr>
          </w:pPr>
          <w:hyperlink w:anchor="_Toc43911475" w:history="1">
            <w:r w:rsidR="003C620A" w:rsidRPr="00314465">
              <w:rPr>
                <w:rStyle w:val="Hyperlink"/>
                <w:noProof/>
                <w:lang w:val="en-AU" w:bidi="bn-BD"/>
              </w:rPr>
              <w:t>Data</w:t>
            </w:r>
            <w:r w:rsidR="003C620A">
              <w:rPr>
                <w:noProof/>
                <w:webHidden/>
              </w:rPr>
              <w:tab/>
            </w:r>
            <w:r w:rsidR="003C620A">
              <w:rPr>
                <w:noProof/>
                <w:webHidden/>
              </w:rPr>
              <w:fldChar w:fldCharType="begin"/>
            </w:r>
            <w:r w:rsidR="003C620A">
              <w:rPr>
                <w:noProof/>
                <w:webHidden/>
              </w:rPr>
              <w:instrText xml:space="preserve"> PAGEREF _Toc43911475 \h </w:instrText>
            </w:r>
            <w:r w:rsidR="003C620A">
              <w:rPr>
                <w:noProof/>
                <w:webHidden/>
              </w:rPr>
            </w:r>
            <w:r w:rsidR="003C620A">
              <w:rPr>
                <w:noProof/>
                <w:webHidden/>
              </w:rPr>
              <w:fldChar w:fldCharType="separate"/>
            </w:r>
            <w:r w:rsidR="00A763B6">
              <w:rPr>
                <w:noProof/>
                <w:webHidden/>
              </w:rPr>
              <w:t>10</w:t>
            </w:r>
            <w:r w:rsidR="003C620A">
              <w:rPr>
                <w:noProof/>
                <w:webHidden/>
              </w:rPr>
              <w:fldChar w:fldCharType="end"/>
            </w:r>
          </w:hyperlink>
        </w:p>
        <w:p w14:paraId="77BFBACA" w14:textId="04CF50EA" w:rsidR="003C620A" w:rsidRDefault="00A6304C">
          <w:pPr>
            <w:pStyle w:val="TOC1"/>
            <w:tabs>
              <w:tab w:val="left" w:pos="480"/>
              <w:tab w:val="right" w:leader="dot" w:pos="9016"/>
            </w:tabs>
            <w:rPr>
              <w:rFonts w:eastAsiaTheme="minorEastAsia" w:cstheme="minorBidi"/>
              <w:b w:val="0"/>
              <w:bCs w:val="0"/>
              <w:i w:val="0"/>
              <w:iCs w:val="0"/>
              <w:noProof/>
              <w:sz w:val="22"/>
              <w:szCs w:val="22"/>
              <w:lang w:val="en-AU" w:eastAsia="en-AU"/>
            </w:rPr>
          </w:pPr>
          <w:hyperlink w:anchor="_Toc43911476" w:history="1">
            <w:r w:rsidR="003C620A" w:rsidRPr="00314465">
              <w:rPr>
                <w:rStyle w:val="Hyperlink"/>
                <w:noProof/>
                <w:lang w:val="en-AU"/>
              </w:rPr>
              <w:t>3.</w:t>
            </w:r>
            <w:r w:rsidR="003C620A">
              <w:rPr>
                <w:rFonts w:eastAsiaTheme="minorEastAsia" w:cstheme="minorBidi"/>
                <w:b w:val="0"/>
                <w:bCs w:val="0"/>
                <w:i w:val="0"/>
                <w:iCs w:val="0"/>
                <w:noProof/>
                <w:sz w:val="22"/>
                <w:szCs w:val="22"/>
                <w:lang w:val="en-AU" w:eastAsia="en-AU"/>
              </w:rPr>
              <w:tab/>
            </w:r>
            <w:r w:rsidR="003C620A" w:rsidRPr="00314465">
              <w:rPr>
                <w:rStyle w:val="Hyperlink"/>
                <w:noProof/>
                <w:lang w:val="en-AU"/>
              </w:rPr>
              <w:t>Results for distributional impacts of the ACT Government tax reform (Part 1)</w:t>
            </w:r>
            <w:r w:rsidR="003C620A">
              <w:rPr>
                <w:noProof/>
                <w:webHidden/>
              </w:rPr>
              <w:tab/>
            </w:r>
            <w:r w:rsidR="003C620A">
              <w:rPr>
                <w:noProof/>
                <w:webHidden/>
              </w:rPr>
              <w:fldChar w:fldCharType="begin"/>
            </w:r>
            <w:r w:rsidR="003C620A">
              <w:rPr>
                <w:noProof/>
                <w:webHidden/>
              </w:rPr>
              <w:instrText xml:space="preserve"> PAGEREF _Toc43911476 \h </w:instrText>
            </w:r>
            <w:r w:rsidR="003C620A">
              <w:rPr>
                <w:noProof/>
                <w:webHidden/>
              </w:rPr>
            </w:r>
            <w:r w:rsidR="003C620A">
              <w:rPr>
                <w:noProof/>
                <w:webHidden/>
              </w:rPr>
              <w:fldChar w:fldCharType="separate"/>
            </w:r>
            <w:r w:rsidR="00A763B6">
              <w:rPr>
                <w:noProof/>
                <w:webHidden/>
              </w:rPr>
              <w:t>12</w:t>
            </w:r>
            <w:r w:rsidR="003C620A">
              <w:rPr>
                <w:noProof/>
                <w:webHidden/>
              </w:rPr>
              <w:fldChar w:fldCharType="end"/>
            </w:r>
          </w:hyperlink>
        </w:p>
        <w:p w14:paraId="116DD018" w14:textId="1744EC46" w:rsidR="003C620A" w:rsidRDefault="00A6304C">
          <w:pPr>
            <w:pStyle w:val="TOC3"/>
            <w:tabs>
              <w:tab w:val="right" w:leader="dot" w:pos="9016"/>
            </w:tabs>
            <w:rPr>
              <w:rFonts w:eastAsiaTheme="minorEastAsia" w:cstheme="minorBidi"/>
              <w:noProof/>
              <w:sz w:val="22"/>
              <w:szCs w:val="22"/>
              <w:lang w:val="en-AU" w:eastAsia="en-AU"/>
            </w:rPr>
          </w:pPr>
          <w:hyperlink w:anchor="_Toc43911477" w:history="1">
            <w:r w:rsidR="003C620A" w:rsidRPr="00314465">
              <w:rPr>
                <w:rStyle w:val="Hyperlink"/>
                <w:noProof/>
                <w:lang w:val="en-AU"/>
              </w:rPr>
              <w:t>Results for sub-groups of the population</w:t>
            </w:r>
            <w:r w:rsidR="003C620A">
              <w:rPr>
                <w:noProof/>
                <w:webHidden/>
              </w:rPr>
              <w:tab/>
            </w:r>
            <w:r w:rsidR="003C620A">
              <w:rPr>
                <w:noProof/>
                <w:webHidden/>
              </w:rPr>
              <w:fldChar w:fldCharType="begin"/>
            </w:r>
            <w:r w:rsidR="003C620A">
              <w:rPr>
                <w:noProof/>
                <w:webHidden/>
              </w:rPr>
              <w:instrText xml:space="preserve"> PAGEREF _Toc43911477 \h </w:instrText>
            </w:r>
            <w:r w:rsidR="003C620A">
              <w:rPr>
                <w:noProof/>
                <w:webHidden/>
              </w:rPr>
            </w:r>
            <w:r w:rsidR="003C620A">
              <w:rPr>
                <w:noProof/>
                <w:webHidden/>
              </w:rPr>
              <w:fldChar w:fldCharType="separate"/>
            </w:r>
            <w:r w:rsidR="00A763B6">
              <w:rPr>
                <w:noProof/>
                <w:webHidden/>
              </w:rPr>
              <w:t>13</w:t>
            </w:r>
            <w:r w:rsidR="003C620A">
              <w:rPr>
                <w:noProof/>
                <w:webHidden/>
              </w:rPr>
              <w:fldChar w:fldCharType="end"/>
            </w:r>
          </w:hyperlink>
        </w:p>
        <w:p w14:paraId="3CD4F42C" w14:textId="20AD7F97" w:rsidR="003C620A" w:rsidRDefault="00A6304C">
          <w:pPr>
            <w:pStyle w:val="TOC3"/>
            <w:tabs>
              <w:tab w:val="right" w:leader="dot" w:pos="9016"/>
            </w:tabs>
            <w:rPr>
              <w:rFonts w:eastAsiaTheme="minorEastAsia" w:cstheme="minorBidi"/>
              <w:noProof/>
              <w:sz w:val="22"/>
              <w:szCs w:val="22"/>
              <w:lang w:val="en-AU" w:eastAsia="en-AU"/>
            </w:rPr>
          </w:pPr>
          <w:hyperlink w:anchor="_Toc43911478" w:history="1">
            <w:r w:rsidR="003C620A" w:rsidRPr="00314465">
              <w:rPr>
                <w:rStyle w:val="Hyperlink"/>
                <w:noProof/>
                <w:lang w:val="en-AU"/>
              </w:rPr>
              <w:t>Results by income quintile</w:t>
            </w:r>
            <w:r w:rsidR="003C620A">
              <w:rPr>
                <w:noProof/>
                <w:webHidden/>
              </w:rPr>
              <w:tab/>
            </w:r>
            <w:r w:rsidR="003C620A">
              <w:rPr>
                <w:noProof/>
                <w:webHidden/>
              </w:rPr>
              <w:fldChar w:fldCharType="begin"/>
            </w:r>
            <w:r w:rsidR="003C620A">
              <w:rPr>
                <w:noProof/>
                <w:webHidden/>
              </w:rPr>
              <w:instrText xml:space="preserve"> PAGEREF _Toc43911478 \h </w:instrText>
            </w:r>
            <w:r w:rsidR="003C620A">
              <w:rPr>
                <w:noProof/>
                <w:webHidden/>
              </w:rPr>
            </w:r>
            <w:r w:rsidR="003C620A">
              <w:rPr>
                <w:noProof/>
                <w:webHidden/>
              </w:rPr>
              <w:fldChar w:fldCharType="separate"/>
            </w:r>
            <w:r w:rsidR="00A763B6">
              <w:rPr>
                <w:noProof/>
                <w:webHidden/>
              </w:rPr>
              <w:t>18</w:t>
            </w:r>
            <w:r w:rsidR="003C620A">
              <w:rPr>
                <w:noProof/>
                <w:webHidden/>
              </w:rPr>
              <w:fldChar w:fldCharType="end"/>
            </w:r>
          </w:hyperlink>
        </w:p>
        <w:p w14:paraId="50A81273" w14:textId="399B98ED" w:rsidR="003C620A" w:rsidRDefault="00A6304C">
          <w:pPr>
            <w:pStyle w:val="TOC3"/>
            <w:tabs>
              <w:tab w:val="right" w:leader="dot" w:pos="9016"/>
            </w:tabs>
            <w:rPr>
              <w:rFonts w:eastAsiaTheme="minorEastAsia" w:cstheme="minorBidi"/>
              <w:noProof/>
              <w:sz w:val="22"/>
              <w:szCs w:val="22"/>
              <w:lang w:val="en-AU" w:eastAsia="en-AU"/>
            </w:rPr>
          </w:pPr>
          <w:hyperlink w:anchor="_Toc43911479" w:history="1">
            <w:r w:rsidR="003C620A" w:rsidRPr="00314465">
              <w:rPr>
                <w:rStyle w:val="Hyperlink"/>
                <w:noProof/>
                <w:lang w:val="en-AU"/>
              </w:rPr>
              <w:t>Results by wealth quintile</w:t>
            </w:r>
            <w:r w:rsidR="003C620A">
              <w:rPr>
                <w:noProof/>
                <w:webHidden/>
              </w:rPr>
              <w:tab/>
            </w:r>
            <w:r w:rsidR="003C620A">
              <w:rPr>
                <w:noProof/>
                <w:webHidden/>
              </w:rPr>
              <w:fldChar w:fldCharType="begin"/>
            </w:r>
            <w:r w:rsidR="003C620A">
              <w:rPr>
                <w:noProof/>
                <w:webHidden/>
              </w:rPr>
              <w:instrText xml:space="preserve"> PAGEREF _Toc43911479 \h </w:instrText>
            </w:r>
            <w:r w:rsidR="003C620A">
              <w:rPr>
                <w:noProof/>
                <w:webHidden/>
              </w:rPr>
            </w:r>
            <w:r w:rsidR="003C620A">
              <w:rPr>
                <w:noProof/>
                <w:webHidden/>
              </w:rPr>
              <w:fldChar w:fldCharType="separate"/>
            </w:r>
            <w:r w:rsidR="00A763B6">
              <w:rPr>
                <w:noProof/>
                <w:webHidden/>
              </w:rPr>
              <w:t>22</w:t>
            </w:r>
            <w:r w:rsidR="003C620A">
              <w:rPr>
                <w:noProof/>
                <w:webHidden/>
              </w:rPr>
              <w:fldChar w:fldCharType="end"/>
            </w:r>
          </w:hyperlink>
        </w:p>
        <w:p w14:paraId="5AD8B724" w14:textId="29A2C481" w:rsidR="003C620A" w:rsidRDefault="00A6304C">
          <w:pPr>
            <w:pStyle w:val="TOC3"/>
            <w:tabs>
              <w:tab w:val="right" w:leader="dot" w:pos="9016"/>
            </w:tabs>
            <w:rPr>
              <w:rFonts w:eastAsiaTheme="minorEastAsia" w:cstheme="minorBidi"/>
              <w:noProof/>
              <w:sz w:val="22"/>
              <w:szCs w:val="22"/>
              <w:lang w:val="en-AU" w:eastAsia="en-AU"/>
            </w:rPr>
          </w:pPr>
          <w:hyperlink w:anchor="_Toc43911480" w:history="1">
            <w:r w:rsidR="003C620A" w:rsidRPr="00314465">
              <w:rPr>
                <w:rStyle w:val="Hyperlink"/>
                <w:noProof/>
                <w:lang w:val="en-AU"/>
              </w:rPr>
              <w:t>Discussion</w:t>
            </w:r>
            <w:r w:rsidR="003C620A">
              <w:rPr>
                <w:noProof/>
                <w:webHidden/>
              </w:rPr>
              <w:tab/>
            </w:r>
            <w:r w:rsidR="003C620A">
              <w:rPr>
                <w:noProof/>
                <w:webHidden/>
              </w:rPr>
              <w:fldChar w:fldCharType="begin"/>
            </w:r>
            <w:r w:rsidR="003C620A">
              <w:rPr>
                <w:noProof/>
                <w:webHidden/>
              </w:rPr>
              <w:instrText xml:space="preserve"> PAGEREF _Toc43911480 \h </w:instrText>
            </w:r>
            <w:r w:rsidR="003C620A">
              <w:rPr>
                <w:noProof/>
                <w:webHidden/>
              </w:rPr>
            </w:r>
            <w:r w:rsidR="003C620A">
              <w:rPr>
                <w:noProof/>
                <w:webHidden/>
              </w:rPr>
              <w:fldChar w:fldCharType="separate"/>
            </w:r>
            <w:r w:rsidR="00A763B6">
              <w:rPr>
                <w:noProof/>
                <w:webHidden/>
              </w:rPr>
              <w:t>24</w:t>
            </w:r>
            <w:r w:rsidR="003C620A">
              <w:rPr>
                <w:noProof/>
                <w:webHidden/>
              </w:rPr>
              <w:fldChar w:fldCharType="end"/>
            </w:r>
          </w:hyperlink>
        </w:p>
        <w:p w14:paraId="46F6D976" w14:textId="4F191F84" w:rsidR="003C620A" w:rsidRDefault="00A6304C">
          <w:pPr>
            <w:pStyle w:val="TOC1"/>
            <w:tabs>
              <w:tab w:val="left" w:pos="480"/>
              <w:tab w:val="right" w:leader="dot" w:pos="9016"/>
            </w:tabs>
            <w:rPr>
              <w:rFonts w:eastAsiaTheme="minorEastAsia" w:cstheme="minorBidi"/>
              <w:b w:val="0"/>
              <w:bCs w:val="0"/>
              <w:i w:val="0"/>
              <w:iCs w:val="0"/>
              <w:noProof/>
              <w:sz w:val="22"/>
              <w:szCs w:val="22"/>
              <w:lang w:val="en-AU" w:eastAsia="en-AU"/>
            </w:rPr>
          </w:pPr>
          <w:hyperlink w:anchor="_Toc43911481" w:history="1">
            <w:r w:rsidR="003C620A" w:rsidRPr="00314465">
              <w:rPr>
                <w:rStyle w:val="Hyperlink"/>
                <w:noProof/>
                <w:lang w:val="en-AU"/>
              </w:rPr>
              <w:t>4.</w:t>
            </w:r>
            <w:r w:rsidR="003C620A">
              <w:rPr>
                <w:rFonts w:eastAsiaTheme="minorEastAsia" w:cstheme="minorBidi"/>
                <w:b w:val="0"/>
                <w:bCs w:val="0"/>
                <w:i w:val="0"/>
                <w:iCs w:val="0"/>
                <w:noProof/>
                <w:sz w:val="22"/>
                <w:szCs w:val="22"/>
                <w:lang w:val="en-AU" w:eastAsia="en-AU"/>
              </w:rPr>
              <w:tab/>
            </w:r>
            <w:r w:rsidR="003C620A" w:rsidRPr="00314465">
              <w:rPr>
                <w:rStyle w:val="Hyperlink"/>
                <w:noProof/>
                <w:lang w:val="en-AU"/>
              </w:rPr>
              <w:t>Results for economic and affordability impacts of the ACT tax reform (Part 2)</w:t>
            </w:r>
            <w:r w:rsidR="003C620A">
              <w:rPr>
                <w:noProof/>
                <w:webHidden/>
              </w:rPr>
              <w:tab/>
            </w:r>
            <w:r w:rsidR="003C620A">
              <w:rPr>
                <w:noProof/>
                <w:webHidden/>
              </w:rPr>
              <w:fldChar w:fldCharType="begin"/>
            </w:r>
            <w:r w:rsidR="003C620A">
              <w:rPr>
                <w:noProof/>
                <w:webHidden/>
              </w:rPr>
              <w:instrText xml:space="preserve"> PAGEREF _Toc43911481 \h </w:instrText>
            </w:r>
            <w:r w:rsidR="003C620A">
              <w:rPr>
                <w:noProof/>
                <w:webHidden/>
              </w:rPr>
            </w:r>
            <w:r w:rsidR="003C620A">
              <w:rPr>
                <w:noProof/>
                <w:webHidden/>
              </w:rPr>
              <w:fldChar w:fldCharType="separate"/>
            </w:r>
            <w:r w:rsidR="00A763B6">
              <w:rPr>
                <w:noProof/>
                <w:webHidden/>
              </w:rPr>
              <w:t>25</w:t>
            </w:r>
            <w:r w:rsidR="003C620A">
              <w:rPr>
                <w:noProof/>
                <w:webHidden/>
              </w:rPr>
              <w:fldChar w:fldCharType="end"/>
            </w:r>
          </w:hyperlink>
        </w:p>
        <w:p w14:paraId="0701679A" w14:textId="18A72D78" w:rsidR="003C620A" w:rsidRDefault="00A6304C">
          <w:pPr>
            <w:pStyle w:val="TOC3"/>
            <w:tabs>
              <w:tab w:val="right" w:leader="dot" w:pos="9016"/>
            </w:tabs>
            <w:rPr>
              <w:rFonts w:eastAsiaTheme="minorEastAsia" w:cstheme="minorBidi"/>
              <w:noProof/>
              <w:sz w:val="22"/>
              <w:szCs w:val="22"/>
              <w:lang w:val="en-AU" w:eastAsia="en-AU"/>
            </w:rPr>
          </w:pPr>
          <w:hyperlink w:anchor="_Toc43911482" w:history="1">
            <w:r w:rsidR="003C620A" w:rsidRPr="00314465">
              <w:rPr>
                <w:rStyle w:val="Hyperlink"/>
                <w:noProof/>
                <w:lang w:val="en-AU"/>
              </w:rPr>
              <w:t>Results for the effect on the economy</w:t>
            </w:r>
            <w:r w:rsidR="003C620A">
              <w:rPr>
                <w:noProof/>
                <w:webHidden/>
              </w:rPr>
              <w:tab/>
            </w:r>
            <w:r w:rsidR="003C620A">
              <w:rPr>
                <w:noProof/>
                <w:webHidden/>
              </w:rPr>
              <w:fldChar w:fldCharType="begin"/>
            </w:r>
            <w:r w:rsidR="003C620A">
              <w:rPr>
                <w:noProof/>
                <w:webHidden/>
              </w:rPr>
              <w:instrText xml:space="preserve"> PAGEREF _Toc43911482 \h </w:instrText>
            </w:r>
            <w:r w:rsidR="003C620A">
              <w:rPr>
                <w:noProof/>
                <w:webHidden/>
              </w:rPr>
            </w:r>
            <w:r w:rsidR="003C620A">
              <w:rPr>
                <w:noProof/>
                <w:webHidden/>
              </w:rPr>
              <w:fldChar w:fldCharType="separate"/>
            </w:r>
            <w:r w:rsidR="00A763B6">
              <w:rPr>
                <w:noProof/>
                <w:webHidden/>
              </w:rPr>
              <w:t>25</w:t>
            </w:r>
            <w:r w:rsidR="003C620A">
              <w:rPr>
                <w:noProof/>
                <w:webHidden/>
              </w:rPr>
              <w:fldChar w:fldCharType="end"/>
            </w:r>
          </w:hyperlink>
        </w:p>
        <w:p w14:paraId="5BF0295A" w14:textId="5E6263EF" w:rsidR="003C620A" w:rsidRDefault="00A6304C">
          <w:pPr>
            <w:pStyle w:val="TOC3"/>
            <w:tabs>
              <w:tab w:val="right" w:leader="dot" w:pos="9016"/>
            </w:tabs>
            <w:rPr>
              <w:rFonts w:eastAsiaTheme="minorEastAsia" w:cstheme="minorBidi"/>
              <w:noProof/>
              <w:sz w:val="22"/>
              <w:szCs w:val="22"/>
              <w:lang w:val="en-AU" w:eastAsia="en-AU"/>
            </w:rPr>
          </w:pPr>
          <w:hyperlink w:anchor="_Toc43911483" w:history="1">
            <w:r w:rsidR="003C620A" w:rsidRPr="00314465">
              <w:rPr>
                <w:rStyle w:val="Hyperlink"/>
                <w:noProof/>
                <w:lang w:val="en-AU"/>
              </w:rPr>
              <w:t>Results for the effect on property prices</w:t>
            </w:r>
            <w:r w:rsidR="003C620A">
              <w:rPr>
                <w:noProof/>
                <w:webHidden/>
              </w:rPr>
              <w:tab/>
            </w:r>
            <w:r w:rsidR="003C620A">
              <w:rPr>
                <w:noProof/>
                <w:webHidden/>
              </w:rPr>
              <w:fldChar w:fldCharType="begin"/>
            </w:r>
            <w:r w:rsidR="003C620A">
              <w:rPr>
                <w:noProof/>
                <w:webHidden/>
              </w:rPr>
              <w:instrText xml:space="preserve"> PAGEREF _Toc43911483 \h </w:instrText>
            </w:r>
            <w:r w:rsidR="003C620A">
              <w:rPr>
                <w:noProof/>
                <w:webHidden/>
              </w:rPr>
            </w:r>
            <w:r w:rsidR="003C620A">
              <w:rPr>
                <w:noProof/>
                <w:webHidden/>
              </w:rPr>
              <w:fldChar w:fldCharType="separate"/>
            </w:r>
            <w:r w:rsidR="00A763B6">
              <w:rPr>
                <w:noProof/>
                <w:webHidden/>
              </w:rPr>
              <w:t>27</w:t>
            </w:r>
            <w:r w:rsidR="003C620A">
              <w:rPr>
                <w:noProof/>
                <w:webHidden/>
              </w:rPr>
              <w:fldChar w:fldCharType="end"/>
            </w:r>
          </w:hyperlink>
        </w:p>
        <w:p w14:paraId="276F5A8E" w14:textId="510D80EE" w:rsidR="003C620A" w:rsidRDefault="00A6304C">
          <w:pPr>
            <w:pStyle w:val="TOC3"/>
            <w:tabs>
              <w:tab w:val="right" w:leader="dot" w:pos="9016"/>
            </w:tabs>
            <w:rPr>
              <w:rFonts w:eastAsiaTheme="minorEastAsia" w:cstheme="minorBidi"/>
              <w:noProof/>
              <w:sz w:val="22"/>
              <w:szCs w:val="22"/>
              <w:lang w:val="en-AU" w:eastAsia="en-AU"/>
            </w:rPr>
          </w:pPr>
          <w:hyperlink w:anchor="_Toc43911484" w:history="1">
            <w:r w:rsidR="003C620A" w:rsidRPr="00314465">
              <w:rPr>
                <w:rStyle w:val="Hyperlink"/>
                <w:noProof/>
                <w:lang w:val="en-AU"/>
              </w:rPr>
              <w:t>Results for the effect on the numbers of properties sold</w:t>
            </w:r>
            <w:r w:rsidR="003C620A">
              <w:rPr>
                <w:noProof/>
                <w:webHidden/>
              </w:rPr>
              <w:tab/>
            </w:r>
            <w:r w:rsidR="003C620A">
              <w:rPr>
                <w:noProof/>
                <w:webHidden/>
              </w:rPr>
              <w:fldChar w:fldCharType="begin"/>
            </w:r>
            <w:r w:rsidR="003C620A">
              <w:rPr>
                <w:noProof/>
                <w:webHidden/>
              </w:rPr>
              <w:instrText xml:space="preserve"> PAGEREF _Toc43911484 \h </w:instrText>
            </w:r>
            <w:r w:rsidR="003C620A">
              <w:rPr>
                <w:noProof/>
                <w:webHidden/>
              </w:rPr>
            </w:r>
            <w:r w:rsidR="003C620A">
              <w:rPr>
                <w:noProof/>
                <w:webHidden/>
              </w:rPr>
              <w:fldChar w:fldCharType="separate"/>
            </w:r>
            <w:r w:rsidR="00A763B6">
              <w:rPr>
                <w:noProof/>
                <w:webHidden/>
              </w:rPr>
              <w:t>28</w:t>
            </w:r>
            <w:r w:rsidR="003C620A">
              <w:rPr>
                <w:noProof/>
                <w:webHidden/>
              </w:rPr>
              <w:fldChar w:fldCharType="end"/>
            </w:r>
          </w:hyperlink>
        </w:p>
        <w:p w14:paraId="75F1D2E6" w14:textId="49055FAE" w:rsidR="003C620A" w:rsidRDefault="00A6304C">
          <w:pPr>
            <w:pStyle w:val="TOC3"/>
            <w:tabs>
              <w:tab w:val="right" w:leader="dot" w:pos="9016"/>
            </w:tabs>
            <w:rPr>
              <w:rFonts w:eastAsiaTheme="minorEastAsia" w:cstheme="minorBidi"/>
              <w:noProof/>
              <w:sz w:val="22"/>
              <w:szCs w:val="22"/>
              <w:lang w:val="en-AU" w:eastAsia="en-AU"/>
            </w:rPr>
          </w:pPr>
          <w:hyperlink w:anchor="_Toc43911485" w:history="1">
            <w:r w:rsidR="003C620A" w:rsidRPr="00314465">
              <w:rPr>
                <w:rStyle w:val="Hyperlink"/>
                <w:noProof/>
                <w:lang w:val="en-AU"/>
              </w:rPr>
              <w:t>Results for housing affordability</w:t>
            </w:r>
            <w:r w:rsidR="003C620A">
              <w:rPr>
                <w:noProof/>
                <w:webHidden/>
              </w:rPr>
              <w:tab/>
            </w:r>
            <w:r w:rsidR="003C620A">
              <w:rPr>
                <w:noProof/>
                <w:webHidden/>
              </w:rPr>
              <w:fldChar w:fldCharType="begin"/>
            </w:r>
            <w:r w:rsidR="003C620A">
              <w:rPr>
                <w:noProof/>
                <w:webHidden/>
              </w:rPr>
              <w:instrText xml:space="preserve"> PAGEREF _Toc43911485 \h </w:instrText>
            </w:r>
            <w:r w:rsidR="003C620A">
              <w:rPr>
                <w:noProof/>
                <w:webHidden/>
              </w:rPr>
            </w:r>
            <w:r w:rsidR="003C620A">
              <w:rPr>
                <w:noProof/>
                <w:webHidden/>
              </w:rPr>
              <w:fldChar w:fldCharType="separate"/>
            </w:r>
            <w:r w:rsidR="00A763B6">
              <w:rPr>
                <w:noProof/>
                <w:webHidden/>
              </w:rPr>
              <w:t>29</w:t>
            </w:r>
            <w:r w:rsidR="003C620A">
              <w:rPr>
                <w:noProof/>
                <w:webHidden/>
              </w:rPr>
              <w:fldChar w:fldCharType="end"/>
            </w:r>
          </w:hyperlink>
        </w:p>
        <w:p w14:paraId="5934AF2C" w14:textId="6E819FF5" w:rsidR="003C620A" w:rsidRDefault="00A6304C">
          <w:pPr>
            <w:pStyle w:val="TOC3"/>
            <w:tabs>
              <w:tab w:val="right" w:leader="dot" w:pos="9016"/>
            </w:tabs>
            <w:rPr>
              <w:rFonts w:eastAsiaTheme="minorEastAsia" w:cstheme="minorBidi"/>
              <w:noProof/>
              <w:sz w:val="22"/>
              <w:szCs w:val="22"/>
              <w:lang w:val="en-AU" w:eastAsia="en-AU"/>
            </w:rPr>
          </w:pPr>
          <w:hyperlink w:anchor="_Toc43911486" w:history="1">
            <w:r w:rsidR="003C620A" w:rsidRPr="00314465">
              <w:rPr>
                <w:rStyle w:val="Hyperlink"/>
                <w:noProof/>
                <w:lang w:val="en-AU"/>
              </w:rPr>
              <w:t>Discussion</w:t>
            </w:r>
            <w:r w:rsidR="003C620A">
              <w:rPr>
                <w:noProof/>
                <w:webHidden/>
              </w:rPr>
              <w:tab/>
            </w:r>
            <w:r w:rsidR="003C620A">
              <w:rPr>
                <w:noProof/>
                <w:webHidden/>
              </w:rPr>
              <w:fldChar w:fldCharType="begin"/>
            </w:r>
            <w:r w:rsidR="003C620A">
              <w:rPr>
                <w:noProof/>
                <w:webHidden/>
              </w:rPr>
              <w:instrText xml:space="preserve"> PAGEREF _Toc43911486 \h </w:instrText>
            </w:r>
            <w:r w:rsidR="003C620A">
              <w:rPr>
                <w:noProof/>
                <w:webHidden/>
              </w:rPr>
            </w:r>
            <w:r w:rsidR="003C620A">
              <w:rPr>
                <w:noProof/>
                <w:webHidden/>
              </w:rPr>
              <w:fldChar w:fldCharType="separate"/>
            </w:r>
            <w:r w:rsidR="00A763B6">
              <w:rPr>
                <w:noProof/>
                <w:webHidden/>
              </w:rPr>
              <w:t>32</w:t>
            </w:r>
            <w:r w:rsidR="003C620A">
              <w:rPr>
                <w:noProof/>
                <w:webHidden/>
              </w:rPr>
              <w:fldChar w:fldCharType="end"/>
            </w:r>
          </w:hyperlink>
        </w:p>
        <w:p w14:paraId="5531214C" w14:textId="748E13F7" w:rsidR="003C620A" w:rsidRDefault="00A6304C">
          <w:pPr>
            <w:pStyle w:val="TOC1"/>
            <w:tabs>
              <w:tab w:val="left" w:pos="480"/>
              <w:tab w:val="right" w:leader="dot" w:pos="9016"/>
            </w:tabs>
            <w:rPr>
              <w:rFonts w:eastAsiaTheme="minorEastAsia" w:cstheme="minorBidi"/>
              <w:b w:val="0"/>
              <w:bCs w:val="0"/>
              <w:i w:val="0"/>
              <w:iCs w:val="0"/>
              <w:noProof/>
              <w:sz w:val="22"/>
              <w:szCs w:val="22"/>
              <w:lang w:val="en-AU" w:eastAsia="en-AU"/>
            </w:rPr>
          </w:pPr>
          <w:hyperlink w:anchor="_Toc43911487" w:history="1">
            <w:r w:rsidR="003C620A" w:rsidRPr="00314465">
              <w:rPr>
                <w:rStyle w:val="Hyperlink"/>
                <w:noProof/>
                <w:lang w:val="en-AU"/>
              </w:rPr>
              <w:t>5.</w:t>
            </w:r>
            <w:r w:rsidR="003C620A">
              <w:rPr>
                <w:rFonts w:eastAsiaTheme="minorEastAsia" w:cstheme="minorBidi"/>
                <w:b w:val="0"/>
                <w:bCs w:val="0"/>
                <w:i w:val="0"/>
                <w:iCs w:val="0"/>
                <w:noProof/>
                <w:sz w:val="22"/>
                <w:szCs w:val="22"/>
                <w:lang w:val="en-AU" w:eastAsia="en-AU"/>
              </w:rPr>
              <w:tab/>
            </w:r>
            <w:r w:rsidR="003C620A" w:rsidRPr="00314465">
              <w:rPr>
                <w:rStyle w:val="Hyperlink"/>
                <w:noProof/>
                <w:lang w:val="en-AU"/>
              </w:rPr>
              <w:t>Conclusions</w:t>
            </w:r>
            <w:r w:rsidR="003C620A">
              <w:rPr>
                <w:noProof/>
                <w:webHidden/>
              </w:rPr>
              <w:tab/>
            </w:r>
            <w:r w:rsidR="003C620A">
              <w:rPr>
                <w:noProof/>
                <w:webHidden/>
              </w:rPr>
              <w:fldChar w:fldCharType="begin"/>
            </w:r>
            <w:r w:rsidR="003C620A">
              <w:rPr>
                <w:noProof/>
                <w:webHidden/>
              </w:rPr>
              <w:instrText xml:space="preserve"> PAGEREF _Toc43911487 \h </w:instrText>
            </w:r>
            <w:r w:rsidR="003C620A">
              <w:rPr>
                <w:noProof/>
                <w:webHidden/>
              </w:rPr>
            </w:r>
            <w:r w:rsidR="003C620A">
              <w:rPr>
                <w:noProof/>
                <w:webHidden/>
              </w:rPr>
              <w:fldChar w:fldCharType="separate"/>
            </w:r>
            <w:r w:rsidR="00A763B6">
              <w:rPr>
                <w:noProof/>
                <w:webHidden/>
              </w:rPr>
              <w:t>35</w:t>
            </w:r>
            <w:r w:rsidR="003C620A">
              <w:rPr>
                <w:noProof/>
                <w:webHidden/>
              </w:rPr>
              <w:fldChar w:fldCharType="end"/>
            </w:r>
          </w:hyperlink>
        </w:p>
        <w:p w14:paraId="288A222A" w14:textId="000EED63" w:rsidR="002A32BA" w:rsidRPr="000D61D1" w:rsidRDefault="002A32BA">
          <w:pPr>
            <w:rPr>
              <w:lang w:val="en-AU"/>
            </w:rPr>
          </w:pPr>
          <w:r w:rsidRPr="000D61D1">
            <w:rPr>
              <w:b/>
              <w:bCs/>
              <w:noProof/>
              <w:lang w:val="en-AU"/>
            </w:rPr>
            <w:fldChar w:fldCharType="end"/>
          </w:r>
        </w:p>
      </w:sdtContent>
    </w:sdt>
    <w:p w14:paraId="3FB865C0" w14:textId="68E1ED6D" w:rsidR="002A32BA" w:rsidRPr="000D61D1" w:rsidRDefault="002A32BA" w:rsidP="00AB3195">
      <w:pPr>
        <w:pStyle w:val="BodyText"/>
        <w:jc w:val="center"/>
        <w:rPr>
          <w:lang w:val="en-AU"/>
        </w:rPr>
      </w:pPr>
    </w:p>
    <w:p w14:paraId="3E5E4E95" w14:textId="42F977C1" w:rsidR="002A32BA" w:rsidRPr="000D61D1" w:rsidRDefault="002A32BA" w:rsidP="00AB3195">
      <w:pPr>
        <w:pStyle w:val="BodyText"/>
        <w:jc w:val="center"/>
        <w:rPr>
          <w:lang w:val="en-AU"/>
        </w:rPr>
      </w:pPr>
    </w:p>
    <w:p w14:paraId="777407D8" w14:textId="49A4B2B1" w:rsidR="002A32BA" w:rsidRPr="000D61D1" w:rsidRDefault="002A32BA" w:rsidP="00AB3195">
      <w:pPr>
        <w:pStyle w:val="BodyText"/>
        <w:jc w:val="center"/>
        <w:rPr>
          <w:lang w:val="en-AU"/>
        </w:rPr>
      </w:pPr>
    </w:p>
    <w:p w14:paraId="4E681D05" w14:textId="2841A4D5" w:rsidR="002A32BA" w:rsidRPr="000D61D1" w:rsidRDefault="002A32BA" w:rsidP="00AB3195">
      <w:pPr>
        <w:pStyle w:val="BodyText"/>
        <w:jc w:val="center"/>
        <w:rPr>
          <w:lang w:val="en-AU"/>
        </w:rPr>
      </w:pPr>
    </w:p>
    <w:p w14:paraId="795D4C8D" w14:textId="5A26D2DD" w:rsidR="002A32BA" w:rsidRPr="000D61D1" w:rsidRDefault="002A32BA" w:rsidP="00AB3195">
      <w:pPr>
        <w:pStyle w:val="BodyText"/>
        <w:jc w:val="center"/>
        <w:rPr>
          <w:lang w:val="en-AU"/>
        </w:rPr>
      </w:pPr>
    </w:p>
    <w:p w14:paraId="1E743BFC" w14:textId="3ED1A831" w:rsidR="002A32BA" w:rsidRPr="000D61D1" w:rsidRDefault="002A32BA" w:rsidP="00AB3195">
      <w:pPr>
        <w:pStyle w:val="BodyText"/>
        <w:jc w:val="center"/>
        <w:rPr>
          <w:lang w:val="en-AU"/>
        </w:rPr>
      </w:pPr>
    </w:p>
    <w:p w14:paraId="0C2E40FC" w14:textId="1F1F1E68" w:rsidR="002A32BA" w:rsidRPr="000D61D1" w:rsidRDefault="002A32BA" w:rsidP="00AB3195">
      <w:pPr>
        <w:pStyle w:val="BodyText"/>
        <w:jc w:val="center"/>
        <w:rPr>
          <w:lang w:val="en-AU"/>
        </w:rPr>
      </w:pPr>
    </w:p>
    <w:p w14:paraId="07DE4C2F" w14:textId="4A1578E2" w:rsidR="002A32BA" w:rsidRPr="000D61D1" w:rsidRDefault="002A32BA" w:rsidP="00AB3195">
      <w:pPr>
        <w:pStyle w:val="BodyText"/>
        <w:jc w:val="center"/>
        <w:rPr>
          <w:lang w:val="en-AU"/>
        </w:rPr>
      </w:pPr>
    </w:p>
    <w:p w14:paraId="34CB5184" w14:textId="600843EF" w:rsidR="002A32BA" w:rsidRPr="000D61D1" w:rsidRDefault="002A32BA" w:rsidP="00AB3195">
      <w:pPr>
        <w:pStyle w:val="BodyText"/>
        <w:jc w:val="center"/>
        <w:rPr>
          <w:lang w:val="en-AU"/>
        </w:rPr>
      </w:pPr>
    </w:p>
    <w:p w14:paraId="38230A6E" w14:textId="6D45EB70" w:rsidR="002A32BA" w:rsidRPr="000D61D1" w:rsidRDefault="002A32BA" w:rsidP="00AB3195">
      <w:pPr>
        <w:pStyle w:val="BodyText"/>
        <w:jc w:val="center"/>
        <w:rPr>
          <w:lang w:val="en-AU"/>
        </w:rPr>
      </w:pPr>
    </w:p>
    <w:p w14:paraId="2E6623EC" w14:textId="684827C7" w:rsidR="002A32BA" w:rsidRPr="000D61D1" w:rsidRDefault="002A32BA" w:rsidP="00AB3195">
      <w:pPr>
        <w:pStyle w:val="BodyText"/>
        <w:jc w:val="center"/>
        <w:rPr>
          <w:lang w:val="en-AU"/>
        </w:rPr>
      </w:pPr>
    </w:p>
    <w:p w14:paraId="332AEB24" w14:textId="0FC5DF81" w:rsidR="002A32BA" w:rsidRPr="000D61D1" w:rsidRDefault="002A32BA" w:rsidP="00AB3195">
      <w:pPr>
        <w:pStyle w:val="BodyText"/>
        <w:jc w:val="center"/>
        <w:rPr>
          <w:lang w:val="en-AU"/>
        </w:rPr>
      </w:pPr>
    </w:p>
    <w:p w14:paraId="351C13CF" w14:textId="6CFA0FAB" w:rsidR="002A32BA" w:rsidRPr="000D61D1" w:rsidRDefault="002A32BA" w:rsidP="00AB3195">
      <w:pPr>
        <w:pStyle w:val="BodyText"/>
        <w:jc w:val="center"/>
        <w:rPr>
          <w:lang w:val="en-AU"/>
        </w:rPr>
      </w:pPr>
    </w:p>
    <w:p w14:paraId="50381499" w14:textId="19C7C0C5" w:rsidR="009C532C" w:rsidRPr="000D61D1" w:rsidRDefault="009C532C" w:rsidP="009C532C">
      <w:pPr>
        <w:pStyle w:val="BodyText"/>
        <w:jc w:val="left"/>
        <w:rPr>
          <w:b/>
          <w:bCs/>
          <w:color w:val="244061" w:themeColor="accent1" w:themeShade="80"/>
          <w:sz w:val="28"/>
          <w:szCs w:val="28"/>
          <w:lang w:val="en-AU"/>
        </w:rPr>
      </w:pPr>
      <w:r w:rsidRPr="000D61D1">
        <w:rPr>
          <w:b/>
          <w:bCs/>
          <w:color w:val="244061" w:themeColor="accent1" w:themeShade="80"/>
          <w:sz w:val="28"/>
          <w:szCs w:val="28"/>
          <w:lang w:val="en-AU"/>
        </w:rPr>
        <w:t>List of Tables</w:t>
      </w:r>
    </w:p>
    <w:p w14:paraId="67DA4796" w14:textId="27E0A480" w:rsidR="003C620A" w:rsidRDefault="002A32BA">
      <w:pPr>
        <w:pStyle w:val="TableofFigures"/>
        <w:tabs>
          <w:tab w:val="right" w:leader="dot" w:pos="9016"/>
        </w:tabs>
        <w:rPr>
          <w:rFonts w:eastAsiaTheme="minorEastAsia"/>
          <w:noProof/>
          <w:sz w:val="22"/>
          <w:szCs w:val="22"/>
          <w:lang w:val="en-AU" w:eastAsia="en-AU"/>
        </w:rPr>
      </w:pPr>
      <w:r w:rsidRPr="000D61D1">
        <w:rPr>
          <w:lang w:val="en-AU"/>
        </w:rPr>
        <w:fldChar w:fldCharType="begin"/>
      </w:r>
      <w:r w:rsidRPr="000D61D1">
        <w:rPr>
          <w:lang w:val="en-AU"/>
        </w:rPr>
        <w:instrText xml:space="preserve"> TOC \h \z \c "Table" </w:instrText>
      </w:r>
      <w:r w:rsidRPr="000D61D1">
        <w:rPr>
          <w:lang w:val="en-AU"/>
        </w:rPr>
        <w:fldChar w:fldCharType="separate"/>
      </w:r>
      <w:hyperlink w:anchor="_Toc43911488" w:history="1">
        <w:r w:rsidR="003C620A" w:rsidRPr="00DB5FB2">
          <w:rPr>
            <w:rStyle w:val="Hyperlink"/>
            <w:noProof/>
            <w:lang w:val="en-AU"/>
          </w:rPr>
          <w:t>Table 1 - The impact of tax reform on the number of residential properties purchased with no price increase, 2012 - 2018</w:t>
        </w:r>
        <w:r w:rsidR="003C620A">
          <w:rPr>
            <w:noProof/>
            <w:webHidden/>
          </w:rPr>
          <w:tab/>
        </w:r>
        <w:r w:rsidR="003C620A">
          <w:rPr>
            <w:noProof/>
            <w:webHidden/>
          </w:rPr>
          <w:fldChar w:fldCharType="begin"/>
        </w:r>
        <w:r w:rsidR="003C620A">
          <w:rPr>
            <w:noProof/>
            <w:webHidden/>
          </w:rPr>
          <w:instrText xml:space="preserve"> PAGEREF _Toc43911488 \h </w:instrText>
        </w:r>
        <w:r w:rsidR="003C620A">
          <w:rPr>
            <w:noProof/>
            <w:webHidden/>
          </w:rPr>
        </w:r>
        <w:r w:rsidR="003C620A">
          <w:rPr>
            <w:noProof/>
            <w:webHidden/>
          </w:rPr>
          <w:fldChar w:fldCharType="separate"/>
        </w:r>
        <w:r w:rsidR="00A763B6">
          <w:rPr>
            <w:noProof/>
            <w:webHidden/>
          </w:rPr>
          <w:t>12</w:t>
        </w:r>
        <w:r w:rsidR="003C620A">
          <w:rPr>
            <w:noProof/>
            <w:webHidden/>
          </w:rPr>
          <w:fldChar w:fldCharType="end"/>
        </w:r>
      </w:hyperlink>
    </w:p>
    <w:p w14:paraId="3BF94326" w14:textId="3A78B1C1" w:rsidR="003C620A" w:rsidRDefault="00A6304C">
      <w:pPr>
        <w:pStyle w:val="TableofFigures"/>
        <w:tabs>
          <w:tab w:val="right" w:leader="dot" w:pos="9016"/>
        </w:tabs>
        <w:rPr>
          <w:rFonts w:eastAsiaTheme="minorEastAsia"/>
          <w:noProof/>
          <w:sz w:val="22"/>
          <w:szCs w:val="22"/>
          <w:lang w:val="en-AU" w:eastAsia="en-AU"/>
        </w:rPr>
      </w:pPr>
      <w:hyperlink w:anchor="_Toc43911489" w:history="1">
        <w:r w:rsidR="003C620A" w:rsidRPr="00DB5FB2">
          <w:rPr>
            <w:rStyle w:val="Hyperlink"/>
            <w:noProof/>
            <w:lang w:val="en-AU"/>
          </w:rPr>
          <w:t>Table 2  The impact of tax reform on the number of residential properties purchased, 2012 – 2018</w:t>
        </w:r>
        <w:r w:rsidR="003C620A">
          <w:rPr>
            <w:noProof/>
            <w:webHidden/>
          </w:rPr>
          <w:tab/>
        </w:r>
        <w:r w:rsidR="003C620A">
          <w:rPr>
            <w:noProof/>
            <w:webHidden/>
          </w:rPr>
          <w:fldChar w:fldCharType="begin"/>
        </w:r>
        <w:r w:rsidR="003C620A">
          <w:rPr>
            <w:noProof/>
            <w:webHidden/>
          </w:rPr>
          <w:instrText xml:space="preserve"> PAGEREF _Toc43911489 \h </w:instrText>
        </w:r>
        <w:r w:rsidR="003C620A">
          <w:rPr>
            <w:noProof/>
            <w:webHidden/>
          </w:rPr>
        </w:r>
        <w:r w:rsidR="003C620A">
          <w:rPr>
            <w:noProof/>
            <w:webHidden/>
          </w:rPr>
          <w:fldChar w:fldCharType="separate"/>
        </w:r>
        <w:r w:rsidR="00A763B6">
          <w:rPr>
            <w:noProof/>
            <w:webHidden/>
          </w:rPr>
          <w:t>13</w:t>
        </w:r>
        <w:r w:rsidR="003C620A">
          <w:rPr>
            <w:noProof/>
            <w:webHidden/>
          </w:rPr>
          <w:fldChar w:fldCharType="end"/>
        </w:r>
      </w:hyperlink>
    </w:p>
    <w:p w14:paraId="6491D3BB" w14:textId="3D45C0BF" w:rsidR="003C620A" w:rsidRDefault="00A6304C">
      <w:pPr>
        <w:pStyle w:val="TableofFigures"/>
        <w:tabs>
          <w:tab w:val="right" w:leader="dot" w:pos="9016"/>
        </w:tabs>
        <w:rPr>
          <w:rFonts w:eastAsiaTheme="minorEastAsia"/>
          <w:noProof/>
          <w:sz w:val="22"/>
          <w:szCs w:val="22"/>
          <w:lang w:val="en-AU" w:eastAsia="en-AU"/>
        </w:rPr>
      </w:pPr>
      <w:hyperlink w:anchor="_Toc43911490" w:history="1">
        <w:r w:rsidR="003C620A" w:rsidRPr="00DB5FB2">
          <w:rPr>
            <w:rStyle w:val="Hyperlink"/>
            <w:noProof/>
            <w:lang w:val="en-AU"/>
          </w:rPr>
          <w:t>Table 3 - The impact of tax reform on the number of residential properties purchased by sub-groups, 2012 – 2018</w:t>
        </w:r>
        <w:r w:rsidR="003C620A">
          <w:rPr>
            <w:noProof/>
            <w:webHidden/>
          </w:rPr>
          <w:tab/>
        </w:r>
        <w:r w:rsidR="003C620A">
          <w:rPr>
            <w:noProof/>
            <w:webHidden/>
          </w:rPr>
          <w:fldChar w:fldCharType="begin"/>
        </w:r>
        <w:r w:rsidR="003C620A">
          <w:rPr>
            <w:noProof/>
            <w:webHidden/>
          </w:rPr>
          <w:instrText xml:space="preserve"> PAGEREF _Toc43911490 \h </w:instrText>
        </w:r>
        <w:r w:rsidR="003C620A">
          <w:rPr>
            <w:noProof/>
            <w:webHidden/>
          </w:rPr>
        </w:r>
        <w:r w:rsidR="003C620A">
          <w:rPr>
            <w:noProof/>
            <w:webHidden/>
          </w:rPr>
          <w:fldChar w:fldCharType="separate"/>
        </w:r>
        <w:r w:rsidR="00A763B6">
          <w:rPr>
            <w:noProof/>
            <w:webHidden/>
          </w:rPr>
          <w:t>14</w:t>
        </w:r>
        <w:r w:rsidR="003C620A">
          <w:rPr>
            <w:noProof/>
            <w:webHidden/>
          </w:rPr>
          <w:fldChar w:fldCharType="end"/>
        </w:r>
      </w:hyperlink>
    </w:p>
    <w:p w14:paraId="49749F59" w14:textId="7B66BA53" w:rsidR="003C620A" w:rsidRDefault="00A6304C">
      <w:pPr>
        <w:pStyle w:val="TableofFigures"/>
        <w:tabs>
          <w:tab w:val="right" w:leader="dot" w:pos="9016"/>
        </w:tabs>
        <w:rPr>
          <w:rFonts w:eastAsiaTheme="minorEastAsia"/>
          <w:noProof/>
          <w:sz w:val="22"/>
          <w:szCs w:val="22"/>
          <w:lang w:val="en-AU" w:eastAsia="en-AU"/>
        </w:rPr>
      </w:pPr>
      <w:hyperlink w:anchor="_Toc43911491" w:history="1">
        <w:r w:rsidR="003C620A" w:rsidRPr="00DB5FB2">
          <w:rPr>
            <w:rStyle w:val="Hyperlink"/>
            <w:noProof/>
            <w:lang w:val="en-AU"/>
          </w:rPr>
          <w:t>Table 4 - The impact of tax reform on rates and stamp duty paid by sub-group, average 2012 - 2018</w:t>
        </w:r>
        <w:r w:rsidR="003C620A">
          <w:rPr>
            <w:noProof/>
            <w:webHidden/>
          </w:rPr>
          <w:tab/>
        </w:r>
        <w:r w:rsidR="003C620A">
          <w:rPr>
            <w:noProof/>
            <w:webHidden/>
          </w:rPr>
          <w:fldChar w:fldCharType="begin"/>
        </w:r>
        <w:r w:rsidR="003C620A">
          <w:rPr>
            <w:noProof/>
            <w:webHidden/>
          </w:rPr>
          <w:instrText xml:space="preserve"> PAGEREF _Toc43911491 \h </w:instrText>
        </w:r>
        <w:r w:rsidR="003C620A">
          <w:rPr>
            <w:noProof/>
            <w:webHidden/>
          </w:rPr>
        </w:r>
        <w:r w:rsidR="003C620A">
          <w:rPr>
            <w:noProof/>
            <w:webHidden/>
          </w:rPr>
          <w:fldChar w:fldCharType="separate"/>
        </w:r>
        <w:r w:rsidR="00A763B6">
          <w:rPr>
            <w:noProof/>
            <w:webHidden/>
          </w:rPr>
          <w:t>17</w:t>
        </w:r>
        <w:r w:rsidR="003C620A">
          <w:rPr>
            <w:noProof/>
            <w:webHidden/>
          </w:rPr>
          <w:fldChar w:fldCharType="end"/>
        </w:r>
      </w:hyperlink>
    </w:p>
    <w:p w14:paraId="1A12012F" w14:textId="3BBB65C1" w:rsidR="003C620A" w:rsidRDefault="00A6304C">
      <w:pPr>
        <w:pStyle w:val="TableofFigures"/>
        <w:tabs>
          <w:tab w:val="right" w:leader="dot" w:pos="9016"/>
        </w:tabs>
        <w:rPr>
          <w:rFonts w:eastAsiaTheme="minorEastAsia"/>
          <w:noProof/>
          <w:sz w:val="22"/>
          <w:szCs w:val="22"/>
          <w:lang w:val="en-AU" w:eastAsia="en-AU"/>
        </w:rPr>
      </w:pPr>
      <w:hyperlink w:anchor="_Toc43911492" w:history="1">
        <w:r w:rsidR="003C620A" w:rsidRPr="00DB5FB2">
          <w:rPr>
            <w:rStyle w:val="Hyperlink"/>
            <w:noProof/>
            <w:lang w:val="en-AU"/>
          </w:rPr>
          <w:t>Table 5 - The impact of tax reform on the general rate distribution (net of rebate) by income quintile, average 2012 – 2018</w:t>
        </w:r>
        <w:r w:rsidR="003C620A">
          <w:rPr>
            <w:noProof/>
            <w:webHidden/>
          </w:rPr>
          <w:tab/>
        </w:r>
        <w:r w:rsidR="003C620A">
          <w:rPr>
            <w:noProof/>
            <w:webHidden/>
          </w:rPr>
          <w:fldChar w:fldCharType="begin"/>
        </w:r>
        <w:r w:rsidR="003C620A">
          <w:rPr>
            <w:noProof/>
            <w:webHidden/>
          </w:rPr>
          <w:instrText xml:space="preserve"> PAGEREF _Toc43911492 \h </w:instrText>
        </w:r>
        <w:r w:rsidR="003C620A">
          <w:rPr>
            <w:noProof/>
            <w:webHidden/>
          </w:rPr>
        </w:r>
        <w:r w:rsidR="003C620A">
          <w:rPr>
            <w:noProof/>
            <w:webHidden/>
          </w:rPr>
          <w:fldChar w:fldCharType="separate"/>
        </w:r>
        <w:r w:rsidR="00A763B6">
          <w:rPr>
            <w:noProof/>
            <w:webHidden/>
          </w:rPr>
          <w:t>18</w:t>
        </w:r>
        <w:r w:rsidR="003C620A">
          <w:rPr>
            <w:noProof/>
            <w:webHidden/>
          </w:rPr>
          <w:fldChar w:fldCharType="end"/>
        </w:r>
      </w:hyperlink>
    </w:p>
    <w:p w14:paraId="3FC43879" w14:textId="454CB776" w:rsidR="003C620A" w:rsidRDefault="00A6304C">
      <w:pPr>
        <w:pStyle w:val="TableofFigures"/>
        <w:tabs>
          <w:tab w:val="right" w:leader="dot" w:pos="9016"/>
        </w:tabs>
        <w:rPr>
          <w:rFonts w:eastAsiaTheme="minorEastAsia"/>
          <w:noProof/>
          <w:sz w:val="22"/>
          <w:szCs w:val="22"/>
          <w:lang w:val="en-AU" w:eastAsia="en-AU"/>
        </w:rPr>
      </w:pPr>
      <w:hyperlink w:anchor="_Toc43911493" w:history="1">
        <w:r w:rsidR="003C620A" w:rsidRPr="00DB5FB2">
          <w:rPr>
            <w:rStyle w:val="Hyperlink"/>
            <w:noProof/>
            <w:lang w:val="en-AU"/>
          </w:rPr>
          <w:t>Table 6 - The impact of tax reform on the stamp duty distribution (including concession) by income quintile, average 2012 – 2018</w:t>
        </w:r>
        <w:r w:rsidR="003C620A">
          <w:rPr>
            <w:noProof/>
            <w:webHidden/>
          </w:rPr>
          <w:tab/>
        </w:r>
        <w:r w:rsidR="003C620A">
          <w:rPr>
            <w:noProof/>
            <w:webHidden/>
          </w:rPr>
          <w:fldChar w:fldCharType="begin"/>
        </w:r>
        <w:r w:rsidR="003C620A">
          <w:rPr>
            <w:noProof/>
            <w:webHidden/>
          </w:rPr>
          <w:instrText xml:space="preserve"> PAGEREF _Toc43911493 \h </w:instrText>
        </w:r>
        <w:r w:rsidR="003C620A">
          <w:rPr>
            <w:noProof/>
            <w:webHidden/>
          </w:rPr>
        </w:r>
        <w:r w:rsidR="003C620A">
          <w:rPr>
            <w:noProof/>
            <w:webHidden/>
          </w:rPr>
          <w:fldChar w:fldCharType="separate"/>
        </w:r>
        <w:r w:rsidR="00A763B6">
          <w:rPr>
            <w:noProof/>
            <w:webHidden/>
          </w:rPr>
          <w:t>19</w:t>
        </w:r>
        <w:r w:rsidR="003C620A">
          <w:rPr>
            <w:noProof/>
            <w:webHidden/>
          </w:rPr>
          <w:fldChar w:fldCharType="end"/>
        </w:r>
      </w:hyperlink>
    </w:p>
    <w:p w14:paraId="65B74FF9" w14:textId="14051A13" w:rsidR="003C620A" w:rsidRDefault="00A6304C">
      <w:pPr>
        <w:pStyle w:val="TableofFigures"/>
        <w:tabs>
          <w:tab w:val="right" w:leader="dot" w:pos="9016"/>
        </w:tabs>
        <w:rPr>
          <w:rFonts w:eastAsiaTheme="minorEastAsia"/>
          <w:noProof/>
          <w:sz w:val="22"/>
          <w:szCs w:val="22"/>
          <w:lang w:val="en-AU" w:eastAsia="en-AU"/>
        </w:rPr>
      </w:pPr>
      <w:hyperlink w:anchor="_Toc43911494" w:history="1">
        <w:r w:rsidR="003C620A" w:rsidRPr="00DB5FB2">
          <w:rPr>
            <w:rStyle w:val="Hyperlink"/>
            <w:noProof/>
            <w:lang w:val="en-AU"/>
          </w:rPr>
          <w:t>Table 7 - The impact of tax reform on the number of residential properties purchased by income quintile, 2012 – 2018</w:t>
        </w:r>
        <w:r w:rsidR="003C620A">
          <w:rPr>
            <w:noProof/>
            <w:webHidden/>
          </w:rPr>
          <w:tab/>
        </w:r>
        <w:r w:rsidR="003C620A">
          <w:rPr>
            <w:noProof/>
            <w:webHidden/>
          </w:rPr>
          <w:fldChar w:fldCharType="begin"/>
        </w:r>
        <w:r w:rsidR="003C620A">
          <w:rPr>
            <w:noProof/>
            <w:webHidden/>
          </w:rPr>
          <w:instrText xml:space="preserve"> PAGEREF _Toc43911494 \h </w:instrText>
        </w:r>
        <w:r w:rsidR="003C620A">
          <w:rPr>
            <w:noProof/>
            <w:webHidden/>
          </w:rPr>
        </w:r>
        <w:r w:rsidR="003C620A">
          <w:rPr>
            <w:noProof/>
            <w:webHidden/>
          </w:rPr>
          <w:fldChar w:fldCharType="separate"/>
        </w:r>
        <w:r w:rsidR="00A763B6">
          <w:rPr>
            <w:noProof/>
            <w:webHidden/>
          </w:rPr>
          <w:t>20</w:t>
        </w:r>
        <w:r w:rsidR="003C620A">
          <w:rPr>
            <w:noProof/>
            <w:webHidden/>
          </w:rPr>
          <w:fldChar w:fldCharType="end"/>
        </w:r>
      </w:hyperlink>
    </w:p>
    <w:p w14:paraId="4483F160" w14:textId="211B7CA5" w:rsidR="003C620A" w:rsidRDefault="00A6304C">
      <w:pPr>
        <w:pStyle w:val="TableofFigures"/>
        <w:tabs>
          <w:tab w:val="right" w:leader="dot" w:pos="9016"/>
        </w:tabs>
        <w:rPr>
          <w:rFonts w:eastAsiaTheme="minorEastAsia"/>
          <w:noProof/>
          <w:sz w:val="22"/>
          <w:szCs w:val="22"/>
          <w:lang w:val="en-AU" w:eastAsia="en-AU"/>
        </w:rPr>
      </w:pPr>
      <w:hyperlink w:anchor="_Toc43911495" w:history="1">
        <w:r w:rsidR="003C620A" w:rsidRPr="00DB5FB2">
          <w:rPr>
            <w:rStyle w:val="Hyperlink"/>
            <w:noProof/>
            <w:lang w:val="en-AU"/>
          </w:rPr>
          <w:t>Table 8 - The impact of tax reform on rates and stamp duty paid by income quintile, average 2012 – 2018</w:t>
        </w:r>
        <w:r w:rsidR="003C620A">
          <w:rPr>
            <w:noProof/>
            <w:webHidden/>
          </w:rPr>
          <w:tab/>
        </w:r>
        <w:r w:rsidR="003C620A">
          <w:rPr>
            <w:noProof/>
            <w:webHidden/>
          </w:rPr>
          <w:fldChar w:fldCharType="begin"/>
        </w:r>
        <w:r w:rsidR="003C620A">
          <w:rPr>
            <w:noProof/>
            <w:webHidden/>
          </w:rPr>
          <w:instrText xml:space="preserve"> PAGEREF _Toc43911495 \h </w:instrText>
        </w:r>
        <w:r w:rsidR="003C620A">
          <w:rPr>
            <w:noProof/>
            <w:webHidden/>
          </w:rPr>
        </w:r>
        <w:r w:rsidR="003C620A">
          <w:rPr>
            <w:noProof/>
            <w:webHidden/>
          </w:rPr>
          <w:fldChar w:fldCharType="separate"/>
        </w:r>
        <w:r w:rsidR="00A763B6">
          <w:rPr>
            <w:noProof/>
            <w:webHidden/>
          </w:rPr>
          <w:t>21</w:t>
        </w:r>
        <w:r w:rsidR="003C620A">
          <w:rPr>
            <w:noProof/>
            <w:webHidden/>
          </w:rPr>
          <w:fldChar w:fldCharType="end"/>
        </w:r>
      </w:hyperlink>
    </w:p>
    <w:p w14:paraId="14CFDBA0" w14:textId="5590522F" w:rsidR="003C620A" w:rsidRDefault="00A6304C">
      <w:pPr>
        <w:pStyle w:val="TableofFigures"/>
        <w:tabs>
          <w:tab w:val="right" w:leader="dot" w:pos="9016"/>
        </w:tabs>
        <w:rPr>
          <w:rFonts w:eastAsiaTheme="minorEastAsia"/>
          <w:noProof/>
          <w:sz w:val="22"/>
          <w:szCs w:val="22"/>
          <w:lang w:val="en-AU" w:eastAsia="en-AU"/>
        </w:rPr>
      </w:pPr>
      <w:hyperlink w:anchor="_Toc43911496" w:history="1">
        <w:r w:rsidR="003C620A" w:rsidRPr="00DB5FB2">
          <w:rPr>
            <w:rStyle w:val="Hyperlink"/>
            <w:noProof/>
            <w:lang w:val="en-AU"/>
          </w:rPr>
          <w:t>Table 9 - The impact of tax reform on the number of residential properties purchased by wealth quintile, 2012 – 2018</w:t>
        </w:r>
        <w:r w:rsidR="003C620A">
          <w:rPr>
            <w:noProof/>
            <w:webHidden/>
          </w:rPr>
          <w:tab/>
        </w:r>
        <w:r w:rsidR="003C620A">
          <w:rPr>
            <w:noProof/>
            <w:webHidden/>
          </w:rPr>
          <w:fldChar w:fldCharType="begin"/>
        </w:r>
        <w:r w:rsidR="003C620A">
          <w:rPr>
            <w:noProof/>
            <w:webHidden/>
          </w:rPr>
          <w:instrText xml:space="preserve"> PAGEREF _Toc43911496 \h </w:instrText>
        </w:r>
        <w:r w:rsidR="003C620A">
          <w:rPr>
            <w:noProof/>
            <w:webHidden/>
          </w:rPr>
        </w:r>
        <w:r w:rsidR="003C620A">
          <w:rPr>
            <w:noProof/>
            <w:webHidden/>
          </w:rPr>
          <w:fldChar w:fldCharType="separate"/>
        </w:r>
        <w:r w:rsidR="00A763B6">
          <w:rPr>
            <w:noProof/>
            <w:webHidden/>
          </w:rPr>
          <w:t>22</w:t>
        </w:r>
        <w:r w:rsidR="003C620A">
          <w:rPr>
            <w:noProof/>
            <w:webHidden/>
          </w:rPr>
          <w:fldChar w:fldCharType="end"/>
        </w:r>
      </w:hyperlink>
    </w:p>
    <w:p w14:paraId="0529443F" w14:textId="519450B8" w:rsidR="003C620A" w:rsidRDefault="00A6304C">
      <w:pPr>
        <w:pStyle w:val="TableofFigures"/>
        <w:tabs>
          <w:tab w:val="right" w:leader="dot" w:pos="9016"/>
        </w:tabs>
        <w:rPr>
          <w:rFonts w:eastAsiaTheme="minorEastAsia"/>
          <w:noProof/>
          <w:sz w:val="22"/>
          <w:szCs w:val="22"/>
          <w:lang w:val="en-AU" w:eastAsia="en-AU"/>
        </w:rPr>
      </w:pPr>
      <w:hyperlink w:anchor="_Toc43911497" w:history="1">
        <w:r w:rsidR="003C620A" w:rsidRPr="00DB5FB2">
          <w:rPr>
            <w:rStyle w:val="Hyperlink"/>
            <w:noProof/>
            <w:lang w:val="en-AU"/>
          </w:rPr>
          <w:t>Table 10 - The impact of tax reform on rates and stamp duty paid by wealth quintile, average 2012 – 2018</w:t>
        </w:r>
        <w:r w:rsidR="003C620A">
          <w:rPr>
            <w:noProof/>
            <w:webHidden/>
          </w:rPr>
          <w:tab/>
        </w:r>
        <w:r w:rsidR="003C620A">
          <w:rPr>
            <w:noProof/>
            <w:webHidden/>
          </w:rPr>
          <w:fldChar w:fldCharType="begin"/>
        </w:r>
        <w:r w:rsidR="003C620A">
          <w:rPr>
            <w:noProof/>
            <w:webHidden/>
          </w:rPr>
          <w:instrText xml:space="preserve"> PAGEREF _Toc43911497 \h </w:instrText>
        </w:r>
        <w:r w:rsidR="003C620A">
          <w:rPr>
            <w:noProof/>
            <w:webHidden/>
          </w:rPr>
        </w:r>
        <w:r w:rsidR="003C620A">
          <w:rPr>
            <w:noProof/>
            <w:webHidden/>
          </w:rPr>
          <w:fldChar w:fldCharType="separate"/>
        </w:r>
        <w:r w:rsidR="00A763B6">
          <w:rPr>
            <w:noProof/>
            <w:webHidden/>
          </w:rPr>
          <w:t>23</w:t>
        </w:r>
        <w:r w:rsidR="003C620A">
          <w:rPr>
            <w:noProof/>
            <w:webHidden/>
          </w:rPr>
          <w:fldChar w:fldCharType="end"/>
        </w:r>
      </w:hyperlink>
    </w:p>
    <w:p w14:paraId="1B2BE46E" w14:textId="343344D4" w:rsidR="003C620A" w:rsidRDefault="00A6304C">
      <w:pPr>
        <w:pStyle w:val="TableofFigures"/>
        <w:tabs>
          <w:tab w:val="right" w:leader="dot" w:pos="9016"/>
        </w:tabs>
        <w:rPr>
          <w:rFonts w:eastAsiaTheme="minorEastAsia"/>
          <w:noProof/>
          <w:sz w:val="22"/>
          <w:szCs w:val="22"/>
          <w:lang w:val="en-AU" w:eastAsia="en-AU"/>
        </w:rPr>
      </w:pPr>
      <w:hyperlink w:anchor="_Toc43911498" w:history="1">
        <w:r w:rsidR="003C620A" w:rsidRPr="00DB5FB2">
          <w:rPr>
            <w:rStyle w:val="Hyperlink"/>
            <w:noProof/>
            <w:lang w:val="en-AU"/>
          </w:rPr>
          <w:t>Table 11 - Effect of the tax reform on the housing market - estimations in logs</w:t>
        </w:r>
        <w:r w:rsidR="003C620A">
          <w:rPr>
            <w:noProof/>
            <w:webHidden/>
          </w:rPr>
          <w:tab/>
        </w:r>
        <w:r w:rsidR="003C620A">
          <w:rPr>
            <w:noProof/>
            <w:webHidden/>
          </w:rPr>
          <w:fldChar w:fldCharType="begin"/>
        </w:r>
        <w:r w:rsidR="003C620A">
          <w:rPr>
            <w:noProof/>
            <w:webHidden/>
          </w:rPr>
          <w:instrText xml:space="preserve"> PAGEREF _Toc43911498 \h </w:instrText>
        </w:r>
        <w:r w:rsidR="003C620A">
          <w:rPr>
            <w:noProof/>
            <w:webHidden/>
          </w:rPr>
        </w:r>
        <w:r w:rsidR="003C620A">
          <w:rPr>
            <w:noProof/>
            <w:webHidden/>
          </w:rPr>
          <w:fldChar w:fldCharType="separate"/>
        </w:r>
        <w:r w:rsidR="00A763B6">
          <w:rPr>
            <w:noProof/>
            <w:webHidden/>
          </w:rPr>
          <w:t>25</w:t>
        </w:r>
        <w:r w:rsidR="003C620A">
          <w:rPr>
            <w:noProof/>
            <w:webHidden/>
          </w:rPr>
          <w:fldChar w:fldCharType="end"/>
        </w:r>
      </w:hyperlink>
    </w:p>
    <w:p w14:paraId="7DE704A2" w14:textId="27157DBB" w:rsidR="003C620A" w:rsidRDefault="00A6304C">
      <w:pPr>
        <w:pStyle w:val="TableofFigures"/>
        <w:tabs>
          <w:tab w:val="right" w:leader="dot" w:pos="9016"/>
        </w:tabs>
        <w:rPr>
          <w:rFonts w:eastAsiaTheme="minorEastAsia"/>
          <w:noProof/>
          <w:sz w:val="22"/>
          <w:szCs w:val="22"/>
          <w:lang w:val="en-AU" w:eastAsia="en-AU"/>
        </w:rPr>
      </w:pPr>
      <w:hyperlink w:anchor="_Toc43911499" w:history="1">
        <w:r w:rsidR="003C620A" w:rsidRPr="00DB5FB2">
          <w:rPr>
            <w:rStyle w:val="Hyperlink"/>
            <w:noProof/>
            <w:lang w:val="en-AU"/>
          </w:rPr>
          <w:t>Table 12 - Trend in the effect of the tax reform on the housing market - estimations in logs</w:t>
        </w:r>
        <w:r w:rsidR="003C620A">
          <w:rPr>
            <w:noProof/>
            <w:webHidden/>
          </w:rPr>
          <w:tab/>
        </w:r>
        <w:r w:rsidR="003C620A">
          <w:rPr>
            <w:noProof/>
            <w:webHidden/>
          </w:rPr>
          <w:fldChar w:fldCharType="begin"/>
        </w:r>
        <w:r w:rsidR="003C620A">
          <w:rPr>
            <w:noProof/>
            <w:webHidden/>
          </w:rPr>
          <w:instrText xml:space="preserve"> PAGEREF _Toc43911499 \h </w:instrText>
        </w:r>
        <w:r w:rsidR="003C620A">
          <w:rPr>
            <w:noProof/>
            <w:webHidden/>
          </w:rPr>
        </w:r>
        <w:r w:rsidR="003C620A">
          <w:rPr>
            <w:noProof/>
            <w:webHidden/>
          </w:rPr>
          <w:fldChar w:fldCharType="separate"/>
        </w:r>
        <w:r w:rsidR="00A763B6">
          <w:rPr>
            <w:noProof/>
            <w:webHidden/>
          </w:rPr>
          <w:t>26</w:t>
        </w:r>
        <w:r w:rsidR="003C620A">
          <w:rPr>
            <w:noProof/>
            <w:webHidden/>
          </w:rPr>
          <w:fldChar w:fldCharType="end"/>
        </w:r>
      </w:hyperlink>
    </w:p>
    <w:p w14:paraId="22A9AF4B" w14:textId="561575D7" w:rsidR="003C620A" w:rsidRDefault="00A6304C">
      <w:pPr>
        <w:pStyle w:val="TableofFigures"/>
        <w:tabs>
          <w:tab w:val="right" w:leader="dot" w:pos="9016"/>
        </w:tabs>
        <w:rPr>
          <w:rFonts w:eastAsiaTheme="minorEastAsia"/>
          <w:noProof/>
          <w:sz w:val="22"/>
          <w:szCs w:val="22"/>
          <w:lang w:val="en-AU" w:eastAsia="en-AU"/>
        </w:rPr>
      </w:pPr>
      <w:hyperlink w:anchor="_Toc43911500" w:history="1">
        <w:r w:rsidR="003C620A" w:rsidRPr="00DB5FB2">
          <w:rPr>
            <w:rStyle w:val="Hyperlink"/>
            <w:noProof/>
            <w:lang w:val="en-AU"/>
          </w:rPr>
          <w:t>Table 13. Trend in the effect of the tax reform on the unit market - estimations in logs</w:t>
        </w:r>
        <w:r w:rsidR="003C620A">
          <w:rPr>
            <w:noProof/>
            <w:webHidden/>
          </w:rPr>
          <w:tab/>
        </w:r>
        <w:r w:rsidR="003C620A">
          <w:rPr>
            <w:noProof/>
            <w:webHidden/>
          </w:rPr>
          <w:fldChar w:fldCharType="begin"/>
        </w:r>
        <w:r w:rsidR="003C620A">
          <w:rPr>
            <w:noProof/>
            <w:webHidden/>
          </w:rPr>
          <w:instrText xml:space="preserve"> PAGEREF _Toc43911500 \h </w:instrText>
        </w:r>
        <w:r w:rsidR="003C620A">
          <w:rPr>
            <w:noProof/>
            <w:webHidden/>
          </w:rPr>
        </w:r>
        <w:r w:rsidR="003C620A">
          <w:rPr>
            <w:noProof/>
            <w:webHidden/>
          </w:rPr>
          <w:fldChar w:fldCharType="separate"/>
        </w:r>
        <w:r w:rsidR="00A763B6">
          <w:rPr>
            <w:noProof/>
            <w:webHidden/>
          </w:rPr>
          <w:t>27</w:t>
        </w:r>
        <w:r w:rsidR="003C620A">
          <w:rPr>
            <w:noProof/>
            <w:webHidden/>
          </w:rPr>
          <w:fldChar w:fldCharType="end"/>
        </w:r>
      </w:hyperlink>
    </w:p>
    <w:p w14:paraId="62B68E36" w14:textId="64A65BB4" w:rsidR="003C620A" w:rsidRDefault="00A6304C">
      <w:pPr>
        <w:pStyle w:val="TableofFigures"/>
        <w:tabs>
          <w:tab w:val="right" w:leader="dot" w:pos="9016"/>
        </w:tabs>
        <w:rPr>
          <w:rFonts w:eastAsiaTheme="minorEastAsia"/>
          <w:noProof/>
          <w:sz w:val="22"/>
          <w:szCs w:val="22"/>
          <w:lang w:val="en-AU" w:eastAsia="en-AU"/>
        </w:rPr>
      </w:pPr>
      <w:hyperlink w:anchor="_Toc43911501" w:history="1">
        <w:r w:rsidR="003C620A" w:rsidRPr="00DB5FB2">
          <w:rPr>
            <w:rStyle w:val="Hyperlink"/>
            <w:noProof/>
            <w:lang w:val="en-AU"/>
          </w:rPr>
          <w:t>Table 14 - Effect of the tax reform on property prices - estimations in logs</w:t>
        </w:r>
        <w:r w:rsidR="003C620A">
          <w:rPr>
            <w:noProof/>
            <w:webHidden/>
          </w:rPr>
          <w:tab/>
        </w:r>
        <w:r w:rsidR="003C620A">
          <w:rPr>
            <w:noProof/>
            <w:webHidden/>
          </w:rPr>
          <w:fldChar w:fldCharType="begin"/>
        </w:r>
        <w:r w:rsidR="003C620A">
          <w:rPr>
            <w:noProof/>
            <w:webHidden/>
          </w:rPr>
          <w:instrText xml:space="preserve"> PAGEREF _Toc43911501 \h </w:instrText>
        </w:r>
        <w:r w:rsidR="003C620A">
          <w:rPr>
            <w:noProof/>
            <w:webHidden/>
          </w:rPr>
        </w:r>
        <w:r w:rsidR="003C620A">
          <w:rPr>
            <w:noProof/>
            <w:webHidden/>
          </w:rPr>
          <w:fldChar w:fldCharType="separate"/>
        </w:r>
        <w:r w:rsidR="00A763B6">
          <w:rPr>
            <w:noProof/>
            <w:webHidden/>
          </w:rPr>
          <w:t>28</w:t>
        </w:r>
        <w:r w:rsidR="003C620A">
          <w:rPr>
            <w:noProof/>
            <w:webHidden/>
          </w:rPr>
          <w:fldChar w:fldCharType="end"/>
        </w:r>
      </w:hyperlink>
    </w:p>
    <w:p w14:paraId="107A8FC7" w14:textId="23129069" w:rsidR="003C620A" w:rsidRDefault="00A6304C">
      <w:pPr>
        <w:pStyle w:val="TableofFigures"/>
        <w:tabs>
          <w:tab w:val="right" w:leader="dot" w:pos="9016"/>
        </w:tabs>
        <w:rPr>
          <w:rFonts w:eastAsiaTheme="minorEastAsia"/>
          <w:noProof/>
          <w:sz w:val="22"/>
          <w:szCs w:val="22"/>
          <w:lang w:val="en-AU" w:eastAsia="en-AU"/>
        </w:rPr>
      </w:pPr>
      <w:hyperlink w:anchor="_Toc43911502" w:history="1">
        <w:r w:rsidR="003C620A" w:rsidRPr="00DB5FB2">
          <w:rPr>
            <w:rStyle w:val="Hyperlink"/>
            <w:noProof/>
            <w:lang w:val="en-AU"/>
          </w:rPr>
          <w:t>Table 15 - Effect of the tax reform on the number of property sales - estimations in logs</w:t>
        </w:r>
        <w:r w:rsidR="003C620A">
          <w:rPr>
            <w:noProof/>
            <w:webHidden/>
          </w:rPr>
          <w:tab/>
        </w:r>
        <w:r w:rsidR="003C620A">
          <w:rPr>
            <w:noProof/>
            <w:webHidden/>
          </w:rPr>
          <w:fldChar w:fldCharType="begin"/>
        </w:r>
        <w:r w:rsidR="003C620A">
          <w:rPr>
            <w:noProof/>
            <w:webHidden/>
          </w:rPr>
          <w:instrText xml:space="preserve"> PAGEREF _Toc43911502 \h </w:instrText>
        </w:r>
        <w:r w:rsidR="003C620A">
          <w:rPr>
            <w:noProof/>
            <w:webHidden/>
          </w:rPr>
        </w:r>
        <w:r w:rsidR="003C620A">
          <w:rPr>
            <w:noProof/>
            <w:webHidden/>
          </w:rPr>
          <w:fldChar w:fldCharType="separate"/>
        </w:r>
        <w:r w:rsidR="00A763B6">
          <w:rPr>
            <w:noProof/>
            <w:webHidden/>
          </w:rPr>
          <w:t>28</w:t>
        </w:r>
        <w:r w:rsidR="003C620A">
          <w:rPr>
            <w:noProof/>
            <w:webHidden/>
          </w:rPr>
          <w:fldChar w:fldCharType="end"/>
        </w:r>
      </w:hyperlink>
    </w:p>
    <w:p w14:paraId="48EA76D2" w14:textId="5FE38E3C" w:rsidR="003C620A" w:rsidRDefault="00A6304C">
      <w:pPr>
        <w:pStyle w:val="TableofFigures"/>
        <w:tabs>
          <w:tab w:val="right" w:leader="dot" w:pos="9016"/>
        </w:tabs>
        <w:rPr>
          <w:rFonts w:eastAsiaTheme="minorEastAsia"/>
          <w:noProof/>
          <w:sz w:val="22"/>
          <w:szCs w:val="22"/>
          <w:lang w:val="en-AU" w:eastAsia="en-AU"/>
        </w:rPr>
      </w:pPr>
      <w:hyperlink w:anchor="_Toc43911503" w:history="1">
        <w:r w:rsidR="003C620A" w:rsidRPr="00DB5FB2">
          <w:rPr>
            <w:rStyle w:val="Hyperlink"/>
            <w:noProof/>
            <w:lang w:val="en-AU"/>
          </w:rPr>
          <w:t>Table 16 - Tax reform effect on rental prices - estimations in logs</w:t>
        </w:r>
        <w:r w:rsidR="003C620A">
          <w:rPr>
            <w:noProof/>
            <w:webHidden/>
          </w:rPr>
          <w:tab/>
        </w:r>
        <w:r w:rsidR="003C620A">
          <w:rPr>
            <w:noProof/>
            <w:webHidden/>
          </w:rPr>
          <w:fldChar w:fldCharType="begin"/>
        </w:r>
        <w:r w:rsidR="003C620A">
          <w:rPr>
            <w:noProof/>
            <w:webHidden/>
          </w:rPr>
          <w:instrText xml:space="preserve"> PAGEREF _Toc43911503 \h </w:instrText>
        </w:r>
        <w:r w:rsidR="003C620A">
          <w:rPr>
            <w:noProof/>
            <w:webHidden/>
          </w:rPr>
        </w:r>
        <w:r w:rsidR="003C620A">
          <w:rPr>
            <w:noProof/>
            <w:webHidden/>
          </w:rPr>
          <w:fldChar w:fldCharType="separate"/>
        </w:r>
        <w:r w:rsidR="00A763B6">
          <w:rPr>
            <w:noProof/>
            <w:webHidden/>
          </w:rPr>
          <w:t>29</w:t>
        </w:r>
        <w:r w:rsidR="003C620A">
          <w:rPr>
            <w:noProof/>
            <w:webHidden/>
          </w:rPr>
          <w:fldChar w:fldCharType="end"/>
        </w:r>
      </w:hyperlink>
    </w:p>
    <w:p w14:paraId="65DD3299" w14:textId="6F392CF3" w:rsidR="003C620A" w:rsidRDefault="00A6304C">
      <w:pPr>
        <w:pStyle w:val="TableofFigures"/>
        <w:tabs>
          <w:tab w:val="right" w:leader="dot" w:pos="9016"/>
        </w:tabs>
        <w:rPr>
          <w:rFonts w:eastAsiaTheme="minorEastAsia"/>
          <w:noProof/>
          <w:sz w:val="22"/>
          <w:szCs w:val="22"/>
          <w:lang w:val="en-AU" w:eastAsia="en-AU"/>
        </w:rPr>
      </w:pPr>
      <w:hyperlink w:anchor="_Toc43911504" w:history="1">
        <w:r w:rsidR="003C620A" w:rsidRPr="00DB5FB2">
          <w:rPr>
            <w:rStyle w:val="Hyperlink"/>
            <w:noProof/>
            <w:lang w:val="en-AU"/>
          </w:rPr>
          <w:t>Table 17 - Tax reform effect on house rental prices - quantile estimations in logs</w:t>
        </w:r>
        <w:r w:rsidR="003C620A">
          <w:rPr>
            <w:noProof/>
            <w:webHidden/>
          </w:rPr>
          <w:tab/>
        </w:r>
        <w:r w:rsidR="003C620A">
          <w:rPr>
            <w:noProof/>
            <w:webHidden/>
          </w:rPr>
          <w:fldChar w:fldCharType="begin"/>
        </w:r>
        <w:r w:rsidR="003C620A">
          <w:rPr>
            <w:noProof/>
            <w:webHidden/>
          </w:rPr>
          <w:instrText xml:space="preserve"> PAGEREF _Toc43911504 \h </w:instrText>
        </w:r>
        <w:r w:rsidR="003C620A">
          <w:rPr>
            <w:noProof/>
            <w:webHidden/>
          </w:rPr>
        </w:r>
        <w:r w:rsidR="003C620A">
          <w:rPr>
            <w:noProof/>
            <w:webHidden/>
          </w:rPr>
          <w:fldChar w:fldCharType="separate"/>
        </w:r>
        <w:r w:rsidR="00A763B6">
          <w:rPr>
            <w:noProof/>
            <w:webHidden/>
          </w:rPr>
          <w:t>30</w:t>
        </w:r>
        <w:r w:rsidR="003C620A">
          <w:rPr>
            <w:noProof/>
            <w:webHidden/>
          </w:rPr>
          <w:fldChar w:fldCharType="end"/>
        </w:r>
      </w:hyperlink>
    </w:p>
    <w:p w14:paraId="71EB0F64" w14:textId="2B4BBB2E" w:rsidR="003C620A" w:rsidRDefault="00A6304C">
      <w:pPr>
        <w:pStyle w:val="TableofFigures"/>
        <w:tabs>
          <w:tab w:val="right" w:leader="dot" w:pos="9016"/>
        </w:tabs>
        <w:rPr>
          <w:rFonts w:eastAsiaTheme="minorEastAsia"/>
          <w:noProof/>
          <w:sz w:val="22"/>
          <w:szCs w:val="22"/>
          <w:lang w:val="en-AU" w:eastAsia="en-AU"/>
        </w:rPr>
      </w:pPr>
      <w:hyperlink w:anchor="_Toc43911505" w:history="1">
        <w:r w:rsidR="003C620A" w:rsidRPr="00DB5FB2">
          <w:rPr>
            <w:rStyle w:val="Hyperlink"/>
            <w:bCs/>
            <w:noProof/>
            <w:lang w:val="en-AU"/>
          </w:rPr>
          <w:t>Table 18. Tax reform effect on unit rental prices - quintile estimations in logs</w:t>
        </w:r>
        <w:r w:rsidR="003C620A">
          <w:rPr>
            <w:noProof/>
            <w:webHidden/>
          </w:rPr>
          <w:tab/>
        </w:r>
        <w:r w:rsidR="003C620A">
          <w:rPr>
            <w:noProof/>
            <w:webHidden/>
          </w:rPr>
          <w:fldChar w:fldCharType="begin"/>
        </w:r>
        <w:r w:rsidR="003C620A">
          <w:rPr>
            <w:noProof/>
            <w:webHidden/>
          </w:rPr>
          <w:instrText xml:space="preserve"> PAGEREF _Toc43911505 \h </w:instrText>
        </w:r>
        <w:r w:rsidR="003C620A">
          <w:rPr>
            <w:noProof/>
            <w:webHidden/>
          </w:rPr>
        </w:r>
        <w:r w:rsidR="003C620A">
          <w:rPr>
            <w:noProof/>
            <w:webHidden/>
          </w:rPr>
          <w:fldChar w:fldCharType="separate"/>
        </w:r>
        <w:r w:rsidR="00A763B6">
          <w:rPr>
            <w:noProof/>
            <w:webHidden/>
          </w:rPr>
          <w:t>30</w:t>
        </w:r>
        <w:r w:rsidR="003C620A">
          <w:rPr>
            <w:noProof/>
            <w:webHidden/>
          </w:rPr>
          <w:fldChar w:fldCharType="end"/>
        </w:r>
      </w:hyperlink>
    </w:p>
    <w:p w14:paraId="61BA5A2D" w14:textId="483B379B" w:rsidR="003C620A" w:rsidRDefault="00A6304C">
      <w:pPr>
        <w:pStyle w:val="TableofFigures"/>
        <w:tabs>
          <w:tab w:val="right" w:leader="dot" w:pos="9016"/>
        </w:tabs>
        <w:rPr>
          <w:rFonts w:eastAsiaTheme="minorEastAsia"/>
          <w:noProof/>
          <w:sz w:val="22"/>
          <w:szCs w:val="22"/>
          <w:lang w:val="en-AU" w:eastAsia="en-AU"/>
        </w:rPr>
      </w:pPr>
      <w:hyperlink w:anchor="_Toc43911506" w:history="1">
        <w:r w:rsidR="003C620A" w:rsidRPr="00DB5FB2">
          <w:rPr>
            <w:rStyle w:val="Hyperlink"/>
            <w:noProof/>
            <w:lang w:val="en-AU"/>
          </w:rPr>
          <w:t>Table 19 - Effect of the tax reform on number of new rentals - time series analysis</w:t>
        </w:r>
        <w:r w:rsidR="003C620A">
          <w:rPr>
            <w:noProof/>
            <w:webHidden/>
          </w:rPr>
          <w:tab/>
        </w:r>
        <w:r w:rsidR="003C620A">
          <w:rPr>
            <w:noProof/>
            <w:webHidden/>
          </w:rPr>
          <w:fldChar w:fldCharType="begin"/>
        </w:r>
        <w:r w:rsidR="003C620A">
          <w:rPr>
            <w:noProof/>
            <w:webHidden/>
          </w:rPr>
          <w:instrText xml:space="preserve"> PAGEREF _Toc43911506 \h </w:instrText>
        </w:r>
        <w:r w:rsidR="003C620A">
          <w:rPr>
            <w:noProof/>
            <w:webHidden/>
          </w:rPr>
        </w:r>
        <w:r w:rsidR="003C620A">
          <w:rPr>
            <w:noProof/>
            <w:webHidden/>
          </w:rPr>
          <w:fldChar w:fldCharType="separate"/>
        </w:r>
        <w:r w:rsidR="00A763B6">
          <w:rPr>
            <w:noProof/>
            <w:webHidden/>
          </w:rPr>
          <w:t>31</w:t>
        </w:r>
        <w:r w:rsidR="003C620A">
          <w:rPr>
            <w:noProof/>
            <w:webHidden/>
          </w:rPr>
          <w:fldChar w:fldCharType="end"/>
        </w:r>
      </w:hyperlink>
    </w:p>
    <w:p w14:paraId="3122A545" w14:textId="5B625EC3" w:rsidR="002A32BA" w:rsidRPr="000D61D1" w:rsidRDefault="002A32BA" w:rsidP="00AB3195">
      <w:pPr>
        <w:pStyle w:val="BodyText"/>
        <w:jc w:val="center"/>
        <w:rPr>
          <w:lang w:val="en-AU"/>
        </w:rPr>
      </w:pPr>
      <w:r w:rsidRPr="000D61D1">
        <w:rPr>
          <w:lang w:val="en-AU"/>
        </w:rPr>
        <w:fldChar w:fldCharType="end"/>
      </w:r>
    </w:p>
    <w:p w14:paraId="0B079F8A" w14:textId="3E802D13" w:rsidR="000F06B9" w:rsidRPr="000D61D1" w:rsidRDefault="000F06B9" w:rsidP="00AB3195">
      <w:pPr>
        <w:pStyle w:val="BodyText"/>
        <w:jc w:val="center"/>
        <w:rPr>
          <w:lang w:val="en-AU"/>
        </w:rPr>
      </w:pPr>
    </w:p>
    <w:p w14:paraId="564E17BB" w14:textId="0D4A2CF0" w:rsidR="000F06B9" w:rsidRPr="000D61D1" w:rsidRDefault="000F06B9" w:rsidP="00AB3195">
      <w:pPr>
        <w:pStyle w:val="BodyText"/>
        <w:jc w:val="center"/>
        <w:rPr>
          <w:lang w:val="en-AU"/>
        </w:rPr>
      </w:pPr>
    </w:p>
    <w:p w14:paraId="71AAA683" w14:textId="4B7C9293" w:rsidR="000F06B9" w:rsidRPr="000D61D1" w:rsidRDefault="000F06B9" w:rsidP="00AB3195">
      <w:pPr>
        <w:pStyle w:val="BodyText"/>
        <w:jc w:val="center"/>
        <w:rPr>
          <w:lang w:val="en-AU"/>
        </w:rPr>
      </w:pPr>
    </w:p>
    <w:p w14:paraId="050FEE8B" w14:textId="5191C549" w:rsidR="000F06B9" w:rsidRPr="000D61D1" w:rsidRDefault="000F06B9" w:rsidP="00AB3195">
      <w:pPr>
        <w:pStyle w:val="BodyText"/>
        <w:jc w:val="center"/>
        <w:rPr>
          <w:lang w:val="en-AU"/>
        </w:rPr>
      </w:pPr>
    </w:p>
    <w:p w14:paraId="604A6818" w14:textId="25BA8746" w:rsidR="000F06B9" w:rsidRPr="000D61D1" w:rsidRDefault="000F06B9" w:rsidP="00AB3195">
      <w:pPr>
        <w:pStyle w:val="BodyText"/>
        <w:jc w:val="center"/>
        <w:rPr>
          <w:lang w:val="en-AU"/>
        </w:rPr>
      </w:pPr>
    </w:p>
    <w:p w14:paraId="7FE44E7C" w14:textId="1745A5E2" w:rsidR="000F06B9" w:rsidRPr="000D61D1" w:rsidRDefault="000F06B9" w:rsidP="00AB3195">
      <w:pPr>
        <w:pStyle w:val="BodyText"/>
        <w:jc w:val="center"/>
        <w:rPr>
          <w:lang w:val="en-AU"/>
        </w:rPr>
      </w:pPr>
    </w:p>
    <w:p w14:paraId="65F98725" w14:textId="77777777" w:rsidR="000F06B9" w:rsidRPr="000D61D1" w:rsidRDefault="000F06B9" w:rsidP="00335DF1">
      <w:pPr>
        <w:pStyle w:val="BodyText"/>
        <w:jc w:val="center"/>
        <w:rPr>
          <w:lang w:val="en-AU"/>
        </w:rPr>
      </w:pPr>
    </w:p>
    <w:p w14:paraId="61F10D0F" w14:textId="01C26F55" w:rsidR="001B1D56" w:rsidRPr="000D61D1" w:rsidRDefault="005A4AE0" w:rsidP="00A407FF">
      <w:pPr>
        <w:pStyle w:val="Heading1"/>
        <w:numPr>
          <w:ilvl w:val="0"/>
          <w:numId w:val="16"/>
        </w:numPr>
        <w:rPr>
          <w:lang w:val="en-AU"/>
        </w:rPr>
      </w:pPr>
      <w:bookmarkStart w:id="0" w:name="_Toc43911467"/>
      <w:r w:rsidRPr="000D61D1">
        <w:rPr>
          <w:lang w:val="en-AU"/>
        </w:rPr>
        <w:t>Introduction</w:t>
      </w:r>
      <w:bookmarkEnd w:id="0"/>
    </w:p>
    <w:p w14:paraId="7B73B6E8" w14:textId="37D7C5A1" w:rsidR="00364B29" w:rsidRPr="000D61D1" w:rsidRDefault="00364B29" w:rsidP="00364B29">
      <w:pPr>
        <w:pStyle w:val="FirstParagraph"/>
        <w:rPr>
          <w:lang w:val="en-AU"/>
        </w:rPr>
      </w:pPr>
      <w:r w:rsidRPr="000D61D1">
        <w:rPr>
          <w:lang w:val="en-AU"/>
        </w:rPr>
        <w:t xml:space="preserve">In 2012, the ACT Government began a 20-year program to modernise the Territory’s taxation system. This reform program has broadened the tax base by </w:t>
      </w:r>
      <w:r w:rsidR="00335DF1" w:rsidRPr="000D61D1">
        <w:rPr>
          <w:lang w:val="en-AU"/>
        </w:rPr>
        <w:t xml:space="preserve">moving towards replacing </w:t>
      </w:r>
      <w:r w:rsidRPr="000D61D1">
        <w:rPr>
          <w:lang w:val="en-AU"/>
        </w:rPr>
        <w:t>inefficient taxes, such as stamp duty and insurance duty, with a broad-based land tax through the general rates system. Importantly, the program was designed not to raise the overall tax burden on the ACT community, with the forgone revenues resulting from reductions in stamp duty being replaced by an efficient and more equitable rates system.</w:t>
      </w:r>
    </w:p>
    <w:p w14:paraId="364B3212" w14:textId="07CE2E72" w:rsidR="00364B29" w:rsidRPr="000D61D1" w:rsidRDefault="00364B29" w:rsidP="00364B29">
      <w:pPr>
        <w:pStyle w:val="FirstParagraph"/>
        <w:rPr>
          <w:lang w:val="en-AU"/>
        </w:rPr>
      </w:pPr>
      <w:r w:rsidRPr="000D61D1">
        <w:rPr>
          <w:lang w:val="en-AU"/>
        </w:rPr>
        <w:t>Since 2012, the ACT Government has significantly cut conveyance duties. Decreases in residential conveyance duties every year have led the ACT to be among states with the lowest stamp duty rates in Australia. The first stage of this reform program includes: (</w:t>
      </w:r>
      <w:proofErr w:type="spellStart"/>
      <w:r w:rsidRPr="000D61D1">
        <w:rPr>
          <w:lang w:val="en-AU"/>
        </w:rPr>
        <w:t>i</w:t>
      </w:r>
      <w:proofErr w:type="spellEnd"/>
      <w:r w:rsidRPr="000D61D1">
        <w:rPr>
          <w:lang w:val="en-AU"/>
        </w:rPr>
        <w:t>) abolishing duty on insurance policies over five years; (ii) phasing out conveyance duty over 20 years; (iii) abolishing commercial land tax, with a portion of the commercial general rate settings providing revenue replacement for commercial land tax; (iv) increasing the tax-free threshold for payroll tax; and (v) making residential land tax and the general rate system more progressive.</w:t>
      </w:r>
    </w:p>
    <w:p w14:paraId="0BD87767" w14:textId="14764794" w:rsidR="001B1D56" w:rsidRPr="000D61D1" w:rsidRDefault="001B1D56" w:rsidP="001B1D56">
      <w:pPr>
        <w:pStyle w:val="BodyText"/>
        <w:rPr>
          <w:lang w:val="en-AU"/>
        </w:rPr>
      </w:pPr>
      <w:r w:rsidRPr="000D61D1">
        <w:rPr>
          <w:lang w:val="en-AU"/>
        </w:rPr>
        <w:t xml:space="preserve">This report </w:t>
      </w:r>
      <w:r w:rsidR="00335DF1" w:rsidRPr="000D61D1">
        <w:rPr>
          <w:lang w:val="en-AU"/>
        </w:rPr>
        <w:t>examines</w:t>
      </w:r>
      <w:r w:rsidRPr="000D61D1">
        <w:rPr>
          <w:lang w:val="en-AU"/>
        </w:rPr>
        <w:t xml:space="preserve"> the distributional, economic and affordability impacts of the ACT Government tax reform.</w:t>
      </w:r>
    </w:p>
    <w:p w14:paraId="00E261CA" w14:textId="7A65F062" w:rsidR="001B1D56" w:rsidRPr="000D61D1" w:rsidRDefault="00EE0477" w:rsidP="00EE0477">
      <w:pPr>
        <w:pStyle w:val="Heading2"/>
        <w:rPr>
          <w:lang w:val="en-AU"/>
        </w:rPr>
      </w:pPr>
      <w:bookmarkStart w:id="1" w:name="_Toc43911468"/>
      <w:r w:rsidRPr="000D61D1">
        <w:rPr>
          <w:lang w:val="en-AU"/>
        </w:rPr>
        <w:t xml:space="preserve">1.1 – </w:t>
      </w:r>
      <w:r w:rsidR="009624B2" w:rsidRPr="000D61D1">
        <w:rPr>
          <w:lang w:val="en-AU"/>
        </w:rPr>
        <w:t xml:space="preserve">Part 1: </w:t>
      </w:r>
      <w:r w:rsidR="001B1D56" w:rsidRPr="000D61D1">
        <w:rPr>
          <w:lang w:val="en-AU"/>
        </w:rPr>
        <w:t>Distributional impacts of the ACT Government tax reform</w:t>
      </w:r>
      <w:bookmarkEnd w:id="1"/>
    </w:p>
    <w:p w14:paraId="4AD407E9" w14:textId="5DDDE529" w:rsidR="00FD0C23" w:rsidRPr="000D61D1" w:rsidRDefault="00FD0C23" w:rsidP="00FD0C23">
      <w:pPr>
        <w:pStyle w:val="BodyText"/>
        <w:rPr>
          <w:lang w:val="en-AU"/>
        </w:rPr>
      </w:pPr>
      <w:r w:rsidRPr="000D61D1">
        <w:rPr>
          <w:lang w:val="en-AU"/>
        </w:rPr>
        <w:t xml:space="preserve">To support the ACT government in its process of reviewing this tax modernisation program, in this </w:t>
      </w:r>
      <w:r w:rsidR="009624B2" w:rsidRPr="000D61D1">
        <w:rPr>
          <w:lang w:val="en-AU"/>
        </w:rPr>
        <w:t xml:space="preserve">first </w:t>
      </w:r>
      <w:r w:rsidRPr="000D61D1">
        <w:rPr>
          <w:lang w:val="en-AU"/>
        </w:rPr>
        <w:t>part of the analysis, we will answer two research questions:</w:t>
      </w:r>
    </w:p>
    <w:p w14:paraId="43405E05" w14:textId="18A4B83C" w:rsidR="00FD0C23" w:rsidRPr="000D61D1" w:rsidRDefault="00FD0C23" w:rsidP="00FD0C23">
      <w:pPr>
        <w:numPr>
          <w:ilvl w:val="0"/>
          <w:numId w:val="1"/>
        </w:numPr>
        <w:rPr>
          <w:lang w:val="en-AU"/>
        </w:rPr>
      </w:pPr>
      <w:r w:rsidRPr="000D61D1">
        <w:rPr>
          <w:lang w:val="en-AU"/>
        </w:rPr>
        <w:t xml:space="preserve">What has been the impact of tax reform on different household types and cohorts, </w:t>
      </w:r>
      <w:proofErr w:type="gramStart"/>
      <w:r w:rsidRPr="000D61D1">
        <w:rPr>
          <w:lang w:val="en-AU"/>
        </w:rPr>
        <w:t>taking into account</w:t>
      </w:r>
      <w:proofErr w:type="gramEnd"/>
      <w:r w:rsidRPr="000D61D1">
        <w:rPr>
          <w:lang w:val="en-AU"/>
        </w:rPr>
        <w:t xml:space="preserve"> available concessions and deferral programs? This analysis is undertaken </w:t>
      </w:r>
      <w:r w:rsidR="00335DF1" w:rsidRPr="000D61D1">
        <w:rPr>
          <w:lang w:val="en-AU"/>
        </w:rPr>
        <w:t>with respect to</w:t>
      </w:r>
      <w:r w:rsidRPr="000D61D1">
        <w:rPr>
          <w:lang w:val="en-AU"/>
        </w:rPr>
        <w:t xml:space="preserve"> household income and wealth levels and </w:t>
      </w:r>
      <w:proofErr w:type="gramStart"/>
      <w:r w:rsidRPr="000D61D1">
        <w:rPr>
          <w:lang w:val="en-AU"/>
        </w:rPr>
        <w:t>takes into account</w:t>
      </w:r>
      <w:proofErr w:type="gramEnd"/>
      <w:r w:rsidRPr="000D61D1">
        <w:rPr>
          <w:lang w:val="en-AU"/>
        </w:rPr>
        <w:t xml:space="preserve"> the wealth effects of property.</w:t>
      </w:r>
    </w:p>
    <w:p w14:paraId="1763C0A2" w14:textId="712CAFBA" w:rsidR="00FD0C23" w:rsidRPr="000D61D1" w:rsidRDefault="00FD0C23" w:rsidP="00FD0C23">
      <w:pPr>
        <w:numPr>
          <w:ilvl w:val="0"/>
          <w:numId w:val="1"/>
        </w:numPr>
        <w:rPr>
          <w:lang w:val="en-AU"/>
        </w:rPr>
      </w:pPr>
      <w:r w:rsidRPr="000D61D1">
        <w:rPr>
          <w:lang w:val="en-AU"/>
        </w:rPr>
        <w:t xml:space="preserve">What has been the impact of tax reform on the progressivity and equity of the ACT tax system, considering the incidence of property purchases by households </w:t>
      </w:r>
      <w:r w:rsidR="000C531F" w:rsidRPr="000D61D1">
        <w:rPr>
          <w:lang w:val="en-AU"/>
        </w:rPr>
        <w:t xml:space="preserve">with </w:t>
      </w:r>
      <w:r w:rsidRPr="000D61D1">
        <w:rPr>
          <w:lang w:val="en-AU"/>
        </w:rPr>
        <w:t xml:space="preserve">different </w:t>
      </w:r>
      <w:r w:rsidR="000C531F" w:rsidRPr="000D61D1">
        <w:rPr>
          <w:lang w:val="en-AU"/>
        </w:rPr>
        <w:t xml:space="preserve">levels of </w:t>
      </w:r>
      <w:r w:rsidRPr="000D61D1">
        <w:rPr>
          <w:lang w:val="en-AU"/>
        </w:rPr>
        <w:t xml:space="preserve">income and wealth? How has tax reform affected the alignment of residential property taxation with </w:t>
      </w:r>
      <w:r w:rsidR="00517F03" w:rsidRPr="000D61D1">
        <w:rPr>
          <w:lang w:val="en-AU"/>
        </w:rPr>
        <w:t xml:space="preserve">respect to </w:t>
      </w:r>
      <w:r w:rsidRPr="000D61D1">
        <w:rPr>
          <w:lang w:val="en-AU"/>
        </w:rPr>
        <w:t xml:space="preserve">ability to pay, taking account </w:t>
      </w:r>
      <w:r w:rsidR="00335DF1" w:rsidRPr="000D61D1">
        <w:rPr>
          <w:lang w:val="en-AU"/>
        </w:rPr>
        <w:t xml:space="preserve">of </w:t>
      </w:r>
      <w:r w:rsidRPr="000D61D1">
        <w:rPr>
          <w:lang w:val="en-AU"/>
        </w:rPr>
        <w:t>relevant related factors including changes in land values and land use by household income level and household wealth level? Is there any evidence that higher annual general rates (in place of higher stamp duty) have impacted welfare or behaviour?</w:t>
      </w:r>
    </w:p>
    <w:p w14:paraId="68E1C005" w14:textId="1D9BC4FF" w:rsidR="00FD0C23" w:rsidRPr="000D61D1" w:rsidRDefault="00FD0C23" w:rsidP="00FD0C23">
      <w:pPr>
        <w:pStyle w:val="FirstParagraph"/>
        <w:rPr>
          <w:lang w:val="en-AU"/>
        </w:rPr>
      </w:pPr>
      <w:r w:rsidRPr="000D61D1">
        <w:rPr>
          <w:lang w:val="en-AU"/>
        </w:rPr>
        <w:t xml:space="preserve">To answer these questions, we have adopted a microsimulation model to create a baseline, where the </w:t>
      </w:r>
      <w:r w:rsidR="000C531F" w:rsidRPr="000D61D1">
        <w:rPr>
          <w:lang w:val="en-AU"/>
        </w:rPr>
        <w:t xml:space="preserve">current and complex </w:t>
      </w:r>
      <w:r w:rsidRPr="000D61D1">
        <w:rPr>
          <w:lang w:val="en-AU"/>
        </w:rPr>
        <w:t xml:space="preserve">ACT rules are applied, to compare with a counterfactual case where the regulations without the tax reform are employed. We use the 2009-10 and 2011-12 Surveys of Income and Housing (SIHs) </w:t>
      </w:r>
      <w:r w:rsidR="0089568C" w:rsidRPr="000D61D1">
        <w:rPr>
          <w:lang w:val="en-AU"/>
        </w:rPr>
        <w:t xml:space="preserve">and the 2011 Census </w:t>
      </w:r>
      <w:r w:rsidRPr="000D61D1">
        <w:rPr>
          <w:lang w:val="en-AU"/>
        </w:rPr>
        <w:t xml:space="preserve">to generate a synthetic population for the ACT before the reform and then use data from the ACT government to determine what the ACT would have looked like now without the reforms. We also use other data from the </w:t>
      </w:r>
      <w:r w:rsidR="005E186C" w:rsidRPr="000D61D1">
        <w:rPr>
          <w:lang w:val="en-AU"/>
        </w:rPr>
        <w:t>Australian Bureau of Statistics (</w:t>
      </w:r>
      <w:r w:rsidRPr="000D61D1">
        <w:rPr>
          <w:lang w:val="en-AU"/>
        </w:rPr>
        <w:t>ABS</w:t>
      </w:r>
      <w:r w:rsidR="005E186C" w:rsidRPr="000D61D1">
        <w:rPr>
          <w:lang w:val="en-AU"/>
        </w:rPr>
        <w:t>)</w:t>
      </w:r>
      <w:r w:rsidRPr="000D61D1">
        <w:rPr>
          <w:lang w:val="en-AU"/>
        </w:rPr>
        <w:t xml:space="preserve"> and other sources to derive these projections of what the ACT would have looked like if reform hadn’t happened.</w:t>
      </w:r>
    </w:p>
    <w:p w14:paraId="7A8B6AA2" w14:textId="361F0F1E" w:rsidR="001B1D56" w:rsidRPr="000D61D1" w:rsidRDefault="00EE0477" w:rsidP="00EE0477">
      <w:pPr>
        <w:pStyle w:val="Heading2"/>
        <w:rPr>
          <w:lang w:val="en-AU"/>
        </w:rPr>
      </w:pPr>
      <w:bookmarkStart w:id="2" w:name="_Toc43911469"/>
      <w:r w:rsidRPr="000D61D1">
        <w:rPr>
          <w:lang w:val="en-AU"/>
        </w:rPr>
        <w:lastRenderedPageBreak/>
        <w:t xml:space="preserve">1.2 – </w:t>
      </w:r>
      <w:r w:rsidR="009624B2" w:rsidRPr="000D61D1">
        <w:rPr>
          <w:lang w:val="en-AU"/>
        </w:rPr>
        <w:t xml:space="preserve">Part 2: </w:t>
      </w:r>
      <w:r w:rsidR="001B1D56" w:rsidRPr="000D61D1">
        <w:rPr>
          <w:lang w:val="en-AU"/>
        </w:rPr>
        <w:t>Economic and affordability impacts of the ACT Government tax reform</w:t>
      </w:r>
      <w:bookmarkEnd w:id="2"/>
      <w:r w:rsidR="001B1D56" w:rsidRPr="000D61D1">
        <w:rPr>
          <w:lang w:val="en-AU"/>
        </w:rPr>
        <w:t xml:space="preserve"> </w:t>
      </w:r>
    </w:p>
    <w:p w14:paraId="31A92BD9" w14:textId="6CACD68B" w:rsidR="001B1D56" w:rsidRPr="000D61D1" w:rsidRDefault="001B1D56" w:rsidP="001B1D56">
      <w:pPr>
        <w:pStyle w:val="BodyText"/>
        <w:rPr>
          <w:lang w:val="en-AU"/>
        </w:rPr>
      </w:pPr>
      <w:r w:rsidRPr="000D61D1">
        <w:rPr>
          <w:lang w:val="en-AU"/>
        </w:rPr>
        <w:t xml:space="preserve">In this </w:t>
      </w:r>
      <w:r w:rsidR="009624B2" w:rsidRPr="000D61D1">
        <w:rPr>
          <w:lang w:val="en-AU"/>
        </w:rPr>
        <w:t xml:space="preserve">second </w:t>
      </w:r>
      <w:r w:rsidRPr="000D61D1">
        <w:rPr>
          <w:lang w:val="en-AU"/>
        </w:rPr>
        <w:t>part of the analysis, we will answer three research questions:</w:t>
      </w:r>
    </w:p>
    <w:p w14:paraId="3791B5CD" w14:textId="77777777" w:rsidR="001B1D56" w:rsidRPr="000D61D1" w:rsidRDefault="001B1D56" w:rsidP="001B1D56">
      <w:pPr>
        <w:numPr>
          <w:ilvl w:val="0"/>
          <w:numId w:val="1"/>
        </w:numPr>
        <w:rPr>
          <w:lang w:val="en-AU"/>
        </w:rPr>
      </w:pPr>
      <w:r w:rsidRPr="000D61D1">
        <w:rPr>
          <w:lang w:val="en-AU"/>
        </w:rPr>
        <w:t>Are the impacts of tax reform on the ACT economy to date able to be measured? Are the marginal impacts from each dollar of stamp duty reduction expected to increase or decrease as tax reform progresses? Is there any evidence that ACT residential property prices are higher or lower than they would have been in the absence of tax reform? Is residential property turnover in the ACT higher or lower than it would have been in the absence of tax reform?</w:t>
      </w:r>
    </w:p>
    <w:p w14:paraId="6BF84CA4" w14:textId="77777777" w:rsidR="001B1D56" w:rsidRPr="000D61D1" w:rsidRDefault="001B1D56" w:rsidP="001B1D56">
      <w:pPr>
        <w:numPr>
          <w:ilvl w:val="0"/>
          <w:numId w:val="1"/>
        </w:numPr>
        <w:rPr>
          <w:lang w:val="en-AU"/>
        </w:rPr>
      </w:pPr>
      <w:r w:rsidRPr="000D61D1">
        <w:rPr>
          <w:lang w:val="en-AU"/>
        </w:rPr>
        <w:t xml:space="preserve">To what extent is the upfront cost of residential property in the ACT (i.e. purchase price and stamp duty) less than it would have been in the absence of tax reform? As a result of paying lower stamp duty than they would have in the absence of tax reform, are home buyers spending less overall on property purchases or buying higher priced properties (i.e. adding the stamp duty saved to their purchasing budget)? </w:t>
      </w:r>
    </w:p>
    <w:p w14:paraId="2FA1213F" w14:textId="129CE089" w:rsidR="001B1D56" w:rsidRPr="000D61D1" w:rsidRDefault="001B1D56" w:rsidP="001B1D56">
      <w:pPr>
        <w:numPr>
          <w:ilvl w:val="0"/>
          <w:numId w:val="1"/>
        </w:numPr>
        <w:rPr>
          <w:lang w:val="en-AU"/>
        </w:rPr>
      </w:pPr>
      <w:r w:rsidRPr="000D61D1">
        <w:rPr>
          <w:lang w:val="en-AU"/>
        </w:rPr>
        <w:t xml:space="preserve">Is rental housing </w:t>
      </w:r>
      <w:proofErr w:type="gramStart"/>
      <w:r w:rsidRPr="000D61D1">
        <w:rPr>
          <w:lang w:val="en-AU"/>
        </w:rPr>
        <w:t>more or less affordable</w:t>
      </w:r>
      <w:proofErr w:type="gramEnd"/>
      <w:r w:rsidRPr="000D61D1">
        <w:rPr>
          <w:lang w:val="en-AU"/>
        </w:rPr>
        <w:t xml:space="preserve"> than it would have been in the absence of tax reform? Is the increased rates charge being passed through to renters? If so, how much? Are the impacts different at different rental price levels (i.e. rent quintiles)? Has tax reform impacted the supply of rental properties?</w:t>
      </w:r>
    </w:p>
    <w:p w14:paraId="5385367E" w14:textId="7D60678F" w:rsidR="001B1D56" w:rsidRPr="000D61D1" w:rsidRDefault="001B1D56" w:rsidP="00D64539">
      <w:pPr>
        <w:spacing w:before="180" w:after="180"/>
        <w:rPr>
          <w:lang w:val="en-AU"/>
        </w:rPr>
      </w:pPr>
      <w:r w:rsidRPr="000D61D1">
        <w:rPr>
          <w:lang w:val="en-AU"/>
        </w:rPr>
        <w:t>To answer these questions, we use a</w:t>
      </w:r>
      <w:r w:rsidR="00335DF1" w:rsidRPr="000D61D1">
        <w:rPr>
          <w:lang w:val="en-AU"/>
        </w:rPr>
        <w:t xml:space="preserve"> data-intensive</w:t>
      </w:r>
      <w:r w:rsidRPr="000D61D1">
        <w:rPr>
          <w:lang w:val="en-AU"/>
        </w:rPr>
        <w:t xml:space="preserve"> econometric approach, where we employ nationwide suburb level data, in order to identify the effects of the ACT tax reform by using the other states and </w:t>
      </w:r>
      <w:r w:rsidR="00335DF1" w:rsidRPr="000D61D1">
        <w:rPr>
          <w:lang w:val="en-AU"/>
        </w:rPr>
        <w:t>the Northern T</w:t>
      </w:r>
      <w:r w:rsidRPr="000D61D1">
        <w:rPr>
          <w:lang w:val="en-AU"/>
        </w:rPr>
        <w:t xml:space="preserve">erritory as control group. For this difference-in difference analysis we use </w:t>
      </w:r>
      <w:proofErr w:type="spellStart"/>
      <w:r w:rsidRPr="000D61D1">
        <w:rPr>
          <w:lang w:val="en-AU"/>
        </w:rPr>
        <w:t>Corelogic</w:t>
      </w:r>
      <w:proofErr w:type="spellEnd"/>
      <w:r w:rsidRPr="000D61D1">
        <w:rPr>
          <w:lang w:val="en-AU"/>
        </w:rPr>
        <w:t xml:space="preserve"> monthly suburb level data from 2009-2019. We also use data from the ABS and the Australian Public Service Commission to control for time varying state s</w:t>
      </w:r>
      <w:r w:rsidR="00D64539" w:rsidRPr="000D61D1">
        <w:rPr>
          <w:lang w:val="en-AU"/>
        </w:rPr>
        <w:t xml:space="preserve">pecific effects. In a separate analysis we use </w:t>
      </w:r>
      <w:r w:rsidR="007B644D" w:rsidRPr="000D61D1">
        <w:rPr>
          <w:lang w:val="en-AU" w:bidi="bn-BD"/>
        </w:rPr>
        <w:t>property price data sourced directly from the ACT and NSW governments</w:t>
      </w:r>
      <w:r w:rsidR="00D64539" w:rsidRPr="000D61D1">
        <w:rPr>
          <w:lang w:val="en-AU"/>
        </w:rPr>
        <w:t xml:space="preserve"> as an alternative source of information.</w:t>
      </w:r>
    </w:p>
    <w:p w14:paraId="26DE004A" w14:textId="28568C64" w:rsidR="00EE0477" w:rsidRPr="000D61D1" w:rsidRDefault="00EE0477" w:rsidP="00EE0477">
      <w:pPr>
        <w:pStyle w:val="Heading2"/>
        <w:rPr>
          <w:lang w:val="en-AU"/>
        </w:rPr>
      </w:pPr>
      <w:bookmarkStart w:id="3" w:name="_Toc43911470"/>
      <w:r w:rsidRPr="000D61D1">
        <w:rPr>
          <w:lang w:val="en-AU"/>
        </w:rPr>
        <w:t>1.3 – Structure of this report</w:t>
      </w:r>
      <w:bookmarkEnd w:id="3"/>
    </w:p>
    <w:p w14:paraId="399B1503" w14:textId="4FCF1B33" w:rsidR="001B1D56" w:rsidRPr="000D61D1" w:rsidRDefault="009624B2" w:rsidP="001B1D56">
      <w:pPr>
        <w:pStyle w:val="BodyText"/>
        <w:rPr>
          <w:lang w:val="en-AU"/>
        </w:rPr>
      </w:pPr>
      <w:r w:rsidRPr="000D61D1">
        <w:rPr>
          <w:lang w:val="en-AU"/>
        </w:rPr>
        <w:t xml:space="preserve">This report is structured as followed. </w:t>
      </w:r>
      <w:r w:rsidR="0037297F" w:rsidRPr="000D61D1">
        <w:rPr>
          <w:lang w:val="en-AU"/>
        </w:rPr>
        <w:t>I</w:t>
      </w:r>
      <w:r w:rsidRPr="000D61D1">
        <w:rPr>
          <w:lang w:val="en-AU"/>
        </w:rPr>
        <w:t xml:space="preserve">n chapter 2, the </w:t>
      </w:r>
      <w:r w:rsidR="007850E7" w:rsidRPr="000D61D1">
        <w:rPr>
          <w:lang w:val="en-AU"/>
        </w:rPr>
        <w:t xml:space="preserve">different </w:t>
      </w:r>
      <w:r w:rsidRPr="000D61D1">
        <w:rPr>
          <w:lang w:val="en-AU"/>
        </w:rPr>
        <w:t xml:space="preserve">methods </w:t>
      </w:r>
      <w:r w:rsidR="007850E7" w:rsidRPr="000D61D1">
        <w:rPr>
          <w:lang w:val="en-AU"/>
        </w:rPr>
        <w:t>applied</w:t>
      </w:r>
      <w:r w:rsidRPr="000D61D1">
        <w:rPr>
          <w:lang w:val="en-AU"/>
        </w:rPr>
        <w:t xml:space="preserve"> to the first and second part of the </w:t>
      </w:r>
      <w:r w:rsidR="007850E7" w:rsidRPr="000D61D1">
        <w:rPr>
          <w:lang w:val="en-AU"/>
        </w:rPr>
        <w:t>report</w:t>
      </w:r>
      <w:r w:rsidRPr="000D61D1">
        <w:rPr>
          <w:lang w:val="en-AU"/>
        </w:rPr>
        <w:t xml:space="preserve"> are described in greater detail. </w:t>
      </w:r>
      <w:r w:rsidR="004A1A79" w:rsidRPr="000D61D1">
        <w:rPr>
          <w:lang w:val="en-AU"/>
        </w:rPr>
        <w:t>C</w:t>
      </w:r>
      <w:r w:rsidRPr="000D61D1">
        <w:rPr>
          <w:lang w:val="en-AU"/>
        </w:rPr>
        <w:t xml:space="preserve">hapter 3 describes and discusses the results from part 1 of the report, which considers the distributional impacts of the ACT Government tax reform. Chapter 4 presents the results </w:t>
      </w:r>
      <w:r w:rsidR="004A1A79" w:rsidRPr="000D61D1">
        <w:rPr>
          <w:lang w:val="en-AU"/>
        </w:rPr>
        <w:t>and discussed the second part of the report, which focuses on the economic and affordability impacts of the reform. Chapter 5 discusses the overall conclusions from the entire report.</w:t>
      </w:r>
    </w:p>
    <w:p w14:paraId="2C6C752B" w14:textId="029DE2B5" w:rsidR="00FD0C23" w:rsidRPr="000D61D1" w:rsidRDefault="00FD0C23" w:rsidP="00A407FF">
      <w:pPr>
        <w:pStyle w:val="Heading1"/>
        <w:numPr>
          <w:ilvl w:val="0"/>
          <w:numId w:val="16"/>
        </w:numPr>
        <w:rPr>
          <w:lang w:val="en-AU"/>
        </w:rPr>
      </w:pPr>
      <w:bookmarkStart w:id="4" w:name="_Toc43911471"/>
      <w:r w:rsidRPr="000D61D1">
        <w:rPr>
          <w:lang w:val="en-AU"/>
        </w:rPr>
        <w:t>Method</w:t>
      </w:r>
      <w:r w:rsidR="00A407FF" w:rsidRPr="000D61D1">
        <w:rPr>
          <w:lang w:val="en-AU"/>
        </w:rPr>
        <w:t>s</w:t>
      </w:r>
      <w:bookmarkEnd w:id="4"/>
    </w:p>
    <w:p w14:paraId="26FF15E9" w14:textId="77777777" w:rsidR="001903F7" w:rsidRPr="000D61D1" w:rsidRDefault="001903F7" w:rsidP="001903F7">
      <w:pPr>
        <w:pStyle w:val="Heading2"/>
        <w:rPr>
          <w:lang w:val="en-AU"/>
        </w:rPr>
      </w:pPr>
    </w:p>
    <w:p w14:paraId="07658A89" w14:textId="77777777" w:rsidR="003C620A" w:rsidRPr="000D61D1" w:rsidRDefault="003C620A" w:rsidP="003C620A">
      <w:pPr>
        <w:pStyle w:val="Heading2"/>
        <w:rPr>
          <w:lang w:val="en-AU"/>
        </w:rPr>
      </w:pPr>
      <w:bookmarkStart w:id="5" w:name="_Toc43911472"/>
      <w:r w:rsidRPr="000D61D1">
        <w:rPr>
          <w:lang w:val="en-AU"/>
        </w:rPr>
        <w:t>2.1 - Distributional impacts of the ACT Government tax reform (Part 1): A microsimulation model</w:t>
      </w:r>
      <w:bookmarkEnd w:id="5"/>
    </w:p>
    <w:p w14:paraId="5D806D6E" w14:textId="77777777" w:rsidR="003C620A" w:rsidRPr="000D61D1" w:rsidRDefault="003C620A" w:rsidP="003C620A">
      <w:pPr>
        <w:pStyle w:val="BodyText"/>
        <w:rPr>
          <w:lang w:val="en-AU"/>
        </w:rPr>
      </w:pPr>
      <w:r w:rsidRPr="000D61D1">
        <w:rPr>
          <w:lang w:val="en-AU"/>
        </w:rPr>
        <w:t>A full description of the method is in our technical paper, so this paper only outlines the method, data and assumptions; those requiring the technical details are referred to the associated technical paper.</w:t>
      </w:r>
    </w:p>
    <w:p w14:paraId="22F2EFA0" w14:textId="77777777" w:rsidR="003C620A" w:rsidRPr="000D61D1" w:rsidRDefault="003C620A" w:rsidP="003C620A">
      <w:pPr>
        <w:pStyle w:val="BodyText"/>
        <w:rPr>
          <w:lang w:val="en-AU"/>
        </w:rPr>
      </w:pPr>
      <w:r w:rsidRPr="000D61D1">
        <w:rPr>
          <w:lang w:val="en-AU"/>
        </w:rPr>
        <w:lastRenderedPageBreak/>
        <w:t>In our analysis, we separate families</w:t>
      </w:r>
      <w:r w:rsidRPr="000D61D1">
        <w:rPr>
          <w:rStyle w:val="FootnoteReference"/>
          <w:lang w:val="en-AU"/>
        </w:rPr>
        <w:footnoteReference w:id="2"/>
      </w:r>
      <w:r w:rsidRPr="000D61D1">
        <w:rPr>
          <w:lang w:val="en-AU"/>
        </w:rPr>
        <w:t xml:space="preserve"> into low, middle and high-income groups based on the </w:t>
      </w:r>
      <w:r>
        <w:rPr>
          <w:lang w:val="en-AU"/>
        </w:rPr>
        <w:t>family</w:t>
      </w:r>
      <w:r w:rsidRPr="000D61D1">
        <w:rPr>
          <w:lang w:val="en-AU"/>
        </w:rPr>
        <w:t xml:space="preserve"> income per capita. Low-income families have an income in the lowest 40% of incomes in the ACT. </w:t>
      </w:r>
      <w:r w:rsidRPr="000D61D1">
        <w:rPr>
          <w:iCs/>
          <w:lang w:val="en-AU"/>
        </w:rPr>
        <w:t>Middle-income families are families with incomes in the m</w:t>
      </w:r>
      <w:r w:rsidRPr="000D61D1">
        <w:rPr>
          <w:lang w:val="en-AU"/>
        </w:rPr>
        <w:t>iddle 41-60% income group in the ACT.</w:t>
      </w:r>
    </w:p>
    <w:p w14:paraId="5CDF9EB8" w14:textId="77777777" w:rsidR="003C620A" w:rsidRPr="000D61D1" w:rsidRDefault="003C620A" w:rsidP="003C620A">
      <w:pPr>
        <w:pStyle w:val="BodyText"/>
        <w:rPr>
          <w:lang w:val="en-AU"/>
        </w:rPr>
      </w:pPr>
      <w:r w:rsidRPr="000D61D1">
        <w:rPr>
          <w:iCs/>
          <w:lang w:val="en-AU"/>
        </w:rPr>
        <w:t>Pensioners and fixed-income retirees</w:t>
      </w:r>
      <w:r w:rsidRPr="000D61D1">
        <w:rPr>
          <w:lang w:val="en-AU"/>
        </w:rPr>
        <w:t xml:space="preserve"> are families who have at least one person aged from 65 years old or receiving </w:t>
      </w:r>
      <w:r>
        <w:rPr>
          <w:lang w:val="en-AU"/>
        </w:rPr>
        <w:t xml:space="preserve">an </w:t>
      </w:r>
      <w:r w:rsidRPr="000D61D1">
        <w:rPr>
          <w:lang w:val="en-AU"/>
        </w:rPr>
        <w:t xml:space="preserve">age pension. </w:t>
      </w:r>
      <w:r w:rsidRPr="000D61D1">
        <w:rPr>
          <w:iCs/>
          <w:lang w:val="en-AU"/>
        </w:rPr>
        <w:t xml:space="preserve">Female-headed income units </w:t>
      </w:r>
      <w:r w:rsidRPr="000D61D1">
        <w:rPr>
          <w:lang w:val="en-AU"/>
        </w:rPr>
        <w:t>include those where the reference person (or the oldest person in the income unit) is female.</w:t>
      </w:r>
    </w:p>
    <w:p w14:paraId="09D8F1A2" w14:textId="77777777" w:rsidR="003C620A" w:rsidRPr="000D61D1" w:rsidRDefault="003C620A" w:rsidP="003C620A">
      <w:pPr>
        <w:pStyle w:val="BodyText"/>
        <w:rPr>
          <w:lang w:val="en-AU"/>
        </w:rPr>
      </w:pPr>
      <w:r w:rsidRPr="000D61D1">
        <w:rPr>
          <w:lang w:val="en-AU"/>
        </w:rPr>
        <w:t xml:space="preserve">We also classify income units by </w:t>
      </w:r>
      <w:r w:rsidRPr="000D61D1">
        <w:rPr>
          <w:iCs/>
          <w:lang w:val="en-AU"/>
        </w:rPr>
        <w:t xml:space="preserve">net wealth </w:t>
      </w:r>
      <w:proofErr w:type="gramStart"/>
      <w:r w:rsidRPr="000D61D1">
        <w:rPr>
          <w:iCs/>
          <w:lang w:val="en-AU"/>
        </w:rPr>
        <w:t>level, and</w:t>
      </w:r>
      <w:proofErr w:type="gramEnd"/>
      <w:r w:rsidRPr="000D61D1">
        <w:rPr>
          <w:iCs/>
          <w:lang w:val="en-AU"/>
        </w:rPr>
        <w:t xml:space="preserve"> use net wealth for the deposit constraint </w:t>
      </w:r>
      <w:r>
        <w:rPr>
          <w:iCs/>
          <w:lang w:val="en-AU"/>
        </w:rPr>
        <w:t xml:space="preserve">in our model </w:t>
      </w:r>
      <w:r w:rsidRPr="000D61D1">
        <w:rPr>
          <w:iCs/>
          <w:lang w:val="en-AU"/>
        </w:rPr>
        <w:t xml:space="preserve">(10% of the value of the </w:t>
      </w:r>
      <w:r>
        <w:rPr>
          <w:iCs/>
          <w:lang w:val="en-AU"/>
        </w:rPr>
        <w:t>property</w:t>
      </w:r>
      <w:r w:rsidRPr="000D61D1">
        <w:rPr>
          <w:iCs/>
          <w:lang w:val="en-AU"/>
        </w:rPr>
        <w:t xml:space="preserve"> is available in liquid assets or net </w:t>
      </w:r>
      <w:r>
        <w:rPr>
          <w:iCs/>
          <w:lang w:val="en-AU"/>
        </w:rPr>
        <w:t>property</w:t>
      </w:r>
      <w:r w:rsidRPr="000D61D1">
        <w:rPr>
          <w:iCs/>
          <w:lang w:val="en-AU"/>
        </w:rPr>
        <w:t xml:space="preserve"> value for homeowners)</w:t>
      </w:r>
      <w:r w:rsidRPr="000D61D1">
        <w:rPr>
          <w:lang w:val="en-AU"/>
        </w:rPr>
        <w:t xml:space="preserve">. </w:t>
      </w:r>
      <w:r>
        <w:rPr>
          <w:lang w:val="en-AU"/>
        </w:rPr>
        <w:t>In our model, wealth</w:t>
      </w:r>
      <w:r w:rsidRPr="000D61D1">
        <w:rPr>
          <w:lang w:val="en-AU"/>
        </w:rPr>
        <w:t xml:space="preserve"> includes financial assets (savings, offset, and superannuation accounts; value of shares and trusts; business value, loans to other people), non-financial assets (property values, value of vehicles) net of liabilities (mortgage, investment, personal and study loans; loan from other people; credit card debt). </w:t>
      </w:r>
    </w:p>
    <w:p w14:paraId="62BA7FD5" w14:textId="77777777" w:rsidR="003C620A" w:rsidRPr="00CA27C9" w:rsidRDefault="003C620A" w:rsidP="003C620A">
      <w:pPr>
        <w:rPr>
          <w:color w:val="000000" w:themeColor="text1"/>
          <w:lang w:val="en-AU"/>
        </w:rPr>
      </w:pPr>
      <w:r w:rsidRPr="00CA27C9">
        <w:rPr>
          <w:iCs/>
          <w:color w:val="000000" w:themeColor="text1"/>
          <w:lang w:val="en-AU"/>
        </w:rPr>
        <w:t xml:space="preserve">For calculating stamp duty, we need to identify families that can buy a </w:t>
      </w:r>
      <w:r>
        <w:rPr>
          <w:iCs/>
          <w:color w:val="000000" w:themeColor="text1"/>
          <w:lang w:val="en-AU"/>
        </w:rPr>
        <w:t>property</w:t>
      </w:r>
      <w:r w:rsidRPr="00CA27C9">
        <w:rPr>
          <w:iCs/>
          <w:color w:val="000000" w:themeColor="text1"/>
          <w:lang w:val="en-AU"/>
        </w:rPr>
        <w:t xml:space="preserve"> based on their savings and income. We then allocate a suitable </w:t>
      </w:r>
      <w:r>
        <w:rPr>
          <w:iCs/>
          <w:color w:val="000000" w:themeColor="text1"/>
          <w:lang w:val="en-AU"/>
        </w:rPr>
        <w:t>property</w:t>
      </w:r>
      <w:r w:rsidRPr="00CA27C9">
        <w:rPr>
          <w:iCs/>
          <w:color w:val="000000" w:themeColor="text1"/>
          <w:lang w:val="en-AU"/>
        </w:rPr>
        <w:t xml:space="preserve"> to them based on the family characteristics, and affordability, from the ACT Government’s list of sales each year.</w:t>
      </w:r>
      <w:r w:rsidRPr="00CA27C9">
        <w:rPr>
          <w:color w:val="000000" w:themeColor="text1"/>
          <w:lang w:val="en-AU"/>
        </w:rPr>
        <w:t xml:space="preserve"> </w:t>
      </w:r>
    </w:p>
    <w:p w14:paraId="27C7001F" w14:textId="77777777" w:rsidR="003C620A" w:rsidRPr="000D61D1" w:rsidRDefault="003C620A" w:rsidP="003C620A">
      <w:pPr>
        <w:rPr>
          <w:lang w:val="en-AU"/>
        </w:rPr>
      </w:pPr>
      <w:r w:rsidRPr="000D61D1">
        <w:rPr>
          <w:lang w:val="en-AU"/>
        </w:rPr>
        <w:t xml:space="preserve">We assume that renters will decide to buy an appropriate dwelling instead of renting if all borrowing constraints are met. We assume that all renters purchasing are first home buyers, and that some of these will be purchasing new </w:t>
      </w:r>
      <w:r>
        <w:rPr>
          <w:lang w:val="en-AU"/>
        </w:rPr>
        <w:t>properties</w:t>
      </w:r>
      <w:r w:rsidRPr="000D61D1">
        <w:rPr>
          <w:lang w:val="en-AU"/>
        </w:rPr>
        <w:t xml:space="preserve"> and will be eligible for reduced stamp duty and the First </w:t>
      </w:r>
      <w:proofErr w:type="gramStart"/>
      <w:r w:rsidRPr="000D61D1">
        <w:rPr>
          <w:lang w:val="en-AU"/>
        </w:rPr>
        <w:t>Home Owners</w:t>
      </w:r>
      <w:proofErr w:type="gramEnd"/>
      <w:r w:rsidRPr="000D61D1">
        <w:rPr>
          <w:lang w:val="en-AU"/>
        </w:rPr>
        <w:t xml:space="preserve"> Grant (FHOG)</w:t>
      </w:r>
      <w:r w:rsidRPr="000D61D1">
        <w:rPr>
          <w:rStyle w:val="FootnoteReference"/>
          <w:lang w:val="en-AU"/>
        </w:rPr>
        <w:footnoteReference w:id="3"/>
      </w:r>
      <w:r w:rsidRPr="000D61D1">
        <w:rPr>
          <w:lang w:val="en-AU"/>
        </w:rPr>
        <w:t xml:space="preserve">. To identify those who may buy a new </w:t>
      </w:r>
      <w:r>
        <w:rPr>
          <w:lang w:val="en-AU"/>
        </w:rPr>
        <w:t>property</w:t>
      </w:r>
      <w:r w:rsidRPr="000D61D1">
        <w:rPr>
          <w:lang w:val="en-AU"/>
        </w:rPr>
        <w:t>, we randomly assign a probability to them based on their age and the probabilities in SIH.</w:t>
      </w:r>
    </w:p>
    <w:p w14:paraId="185C74C3" w14:textId="77777777" w:rsidR="003C620A" w:rsidRPr="00071521" w:rsidRDefault="003C620A" w:rsidP="003C620A">
      <w:pPr>
        <w:rPr>
          <w:color w:val="000000" w:themeColor="text1"/>
          <w:lang w:val="en-AU"/>
        </w:rPr>
      </w:pPr>
      <w:r w:rsidRPr="00071521">
        <w:rPr>
          <w:color w:val="000000" w:themeColor="text1"/>
          <w:lang w:val="en-AU"/>
        </w:rPr>
        <w:t xml:space="preserve">Testing this assumption, we found that about 39% of buyers in our model are first home buyers. This proportion is </w:t>
      </w:r>
      <w:proofErr w:type="gramStart"/>
      <w:r w:rsidRPr="00071521">
        <w:rPr>
          <w:color w:val="000000" w:themeColor="text1"/>
          <w:lang w:val="en-AU"/>
        </w:rPr>
        <w:t>similar to</w:t>
      </w:r>
      <w:proofErr w:type="gramEnd"/>
      <w:r w:rsidRPr="00071521">
        <w:rPr>
          <w:color w:val="000000" w:themeColor="text1"/>
          <w:lang w:val="en-AU"/>
        </w:rPr>
        <w:t xml:space="preserve"> the proportion of first home buyers amongst recent buyers found in the ABS Survey of Income and Housing (SIH). </w:t>
      </w:r>
    </w:p>
    <w:p w14:paraId="2DF82BF7" w14:textId="77777777" w:rsidR="003C620A" w:rsidRPr="00A06E52" w:rsidRDefault="003C620A" w:rsidP="003C620A">
      <w:pPr>
        <w:pStyle w:val="BodyText"/>
        <w:rPr>
          <w:color w:val="FF0000"/>
          <w:lang w:val="en-AU"/>
        </w:rPr>
      </w:pPr>
      <w:r w:rsidRPr="000D61D1">
        <w:rPr>
          <w:lang w:val="en-AU"/>
        </w:rPr>
        <w:t xml:space="preserve">For homeowners, we model those who can afford to buy properties for investment (again based on wealth and income levels) or change their residential home (downsizing or upsizing). We randomly assign a probability on the decision of purchasing a property to all eligible homeowners based on the borrowing constraints until the total number of residential properties purchased in each year is reached, and the proportion of homebuyers who are investors across the territory is reached. </w:t>
      </w:r>
      <w:r w:rsidRPr="006F601B">
        <w:rPr>
          <w:color w:val="000000" w:themeColor="text1"/>
          <w:lang w:val="en-AU"/>
        </w:rPr>
        <w:t xml:space="preserve">This is a complex </w:t>
      </w:r>
      <w:proofErr w:type="gramStart"/>
      <w:r w:rsidRPr="006F601B">
        <w:rPr>
          <w:color w:val="000000" w:themeColor="text1"/>
          <w:lang w:val="en-AU"/>
        </w:rPr>
        <w:t>process, and</w:t>
      </w:r>
      <w:proofErr w:type="gramEnd"/>
      <w:r w:rsidRPr="006F601B">
        <w:rPr>
          <w:color w:val="000000" w:themeColor="text1"/>
          <w:lang w:val="en-AU"/>
        </w:rPr>
        <w:t xml:space="preserve"> is described further with a flowchart in the technical paper.</w:t>
      </w:r>
    </w:p>
    <w:p w14:paraId="24BB7561" w14:textId="77777777" w:rsidR="003C620A" w:rsidRPr="000D61D1" w:rsidRDefault="003C620A" w:rsidP="003C620A">
      <w:pPr>
        <w:rPr>
          <w:lang w:val="en-AU"/>
        </w:rPr>
      </w:pPr>
      <w:r w:rsidRPr="000D61D1">
        <w:rPr>
          <w:lang w:val="en-AU"/>
        </w:rPr>
        <w:t xml:space="preserve">Not all home buyers purchase a newly constructed home. The chances of buying a new property are randomly assigned to the group of potential home buyers based on the probability of recent home buyers buying a new </w:t>
      </w:r>
      <w:r>
        <w:rPr>
          <w:lang w:val="en-AU"/>
        </w:rPr>
        <w:t>property</w:t>
      </w:r>
      <w:r w:rsidRPr="000D61D1">
        <w:rPr>
          <w:lang w:val="en-AU"/>
        </w:rPr>
        <w:t>.</w:t>
      </w:r>
    </w:p>
    <w:p w14:paraId="4692CB20" w14:textId="77777777" w:rsidR="003C620A" w:rsidRPr="000D61D1" w:rsidRDefault="003C620A" w:rsidP="003C620A">
      <w:pPr>
        <w:rPr>
          <w:lang w:val="en-AU"/>
        </w:rPr>
      </w:pPr>
      <w:r w:rsidRPr="000D61D1">
        <w:rPr>
          <w:lang w:val="en-AU"/>
        </w:rPr>
        <w:lastRenderedPageBreak/>
        <w:t xml:space="preserve">Home buyers who meet the borrowing constraints may also benefit from the home buyer concession scheme (HBCS) or pensioner duty concession scheme (PDCS) if they meet eligibility requirements, and these are incorporated in our modelling. There is also a pensioner duty deferral scheme, which we have not </w:t>
      </w:r>
      <w:proofErr w:type="gramStart"/>
      <w:r w:rsidRPr="000D61D1">
        <w:rPr>
          <w:lang w:val="en-AU"/>
        </w:rPr>
        <w:t>taken into account</w:t>
      </w:r>
      <w:proofErr w:type="gramEnd"/>
      <w:r w:rsidRPr="000D61D1">
        <w:rPr>
          <w:lang w:val="en-AU"/>
        </w:rPr>
        <w:t xml:space="preserve"> in our modelling due to the </w:t>
      </w:r>
      <w:r>
        <w:rPr>
          <w:lang w:val="en-AU"/>
        </w:rPr>
        <w:t>fact that it was introduced on the 1 July 2019, so wasn’t available under the old policy.</w:t>
      </w:r>
      <w:r w:rsidRPr="000D61D1">
        <w:rPr>
          <w:lang w:val="en-AU"/>
        </w:rPr>
        <w:t xml:space="preserve"> </w:t>
      </w:r>
    </w:p>
    <w:p w14:paraId="08877002" w14:textId="77777777" w:rsidR="003C620A" w:rsidRDefault="003C620A" w:rsidP="003C620A">
      <w:pPr>
        <w:rPr>
          <w:lang w:val="en-AU"/>
        </w:rPr>
      </w:pPr>
      <w:r w:rsidRPr="000D61D1">
        <w:rPr>
          <w:lang w:val="en-AU"/>
        </w:rPr>
        <w:t xml:space="preserve">For any expenditure data, we have inflated the values using the Consumer Price Index (CPI); and for incomes we have inflated the values using average weekly earnings. We have also inflated </w:t>
      </w:r>
      <w:r>
        <w:rPr>
          <w:lang w:val="en-AU"/>
        </w:rPr>
        <w:t>property</w:t>
      </w:r>
      <w:r w:rsidRPr="000D61D1">
        <w:rPr>
          <w:lang w:val="en-AU"/>
        </w:rPr>
        <w:t xml:space="preserve"> prices for the new policy scenario by using the </w:t>
      </w:r>
      <w:r>
        <w:rPr>
          <w:lang w:val="en-AU"/>
        </w:rPr>
        <w:t>residential property</w:t>
      </w:r>
      <w:r w:rsidRPr="000D61D1">
        <w:rPr>
          <w:lang w:val="en-AU"/>
        </w:rPr>
        <w:t xml:space="preserve"> price index (</w:t>
      </w:r>
      <w:r>
        <w:rPr>
          <w:lang w:val="en-AU"/>
        </w:rPr>
        <w:t>RPPI</w:t>
      </w:r>
      <w:r w:rsidRPr="000D61D1">
        <w:rPr>
          <w:lang w:val="en-AU"/>
        </w:rPr>
        <w:t>)</w:t>
      </w:r>
      <w:r>
        <w:rPr>
          <w:lang w:val="en-AU"/>
        </w:rPr>
        <w:t xml:space="preserve"> from the Australian Bureau of Statistics</w:t>
      </w:r>
      <w:r w:rsidRPr="000D61D1">
        <w:rPr>
          <w:lang w:val="en-AU"/>
        </w:rPr>
        <w:t>.</w:t>
      </w:r>
    </w:p>
    <w:p w14:paraId="4EE0A6FC" w14:textId="77777777" w:rsidR="003C620A" w:rsidRDefault="003C620A" w:rsidP="003C620A">
      <w:r>
        <w:t>Three cases were considered for the old policy scenario. The difference between these three cases was how property prices were inflated in comparison to the new policy scenario, where property prices were inflated by RPPI every year. The three cases for the old policy scenario were:</w:t>
      </w:r>
    </w:p>
    <w:p w14:paraId="1B72FC79" w14:textId="77777777" w:rsidR="003C620A" w:rsidRPr="000B4925" w:rsidRDefault="003C620A" w:rsidP="003C620A">
      <w:pPr>
        <w:pStyle w:val="ListParagraph"/>
        <w:numPr>
          <w:ilvl w:val="0"/>
          <w:numId w:val="20"/>
        </w:numPr>
        <w:spacing w:after="160" w:line="259" w:lineRule="auto"/>
        <w:jc w:val="left"/>
      </w:pPr>
      <w:r w:rsidRPr="000B4925">
        <w:t xml:space="preserve">assume tax reform has had no significant impact on </w:t>
      </w:r>
      <w:r w:rsidRPr="00181C57">
        <w:t>property</w:t>
      </w:r>
      <w:r w:rsidRPr="000B4925">
        <w:t xml:space="preserve"> prices, and therefore, </w:t>
      </w:r>
      <w:r w:rsidRPr="00181C57">
        <w:t>property</w:t>
      </w:r>
      <w:r w:rsidRPr="000B4925">
        <w:t xml:space="preserve"> prices are inflated by RPPI every year in the old policy scenario;</w:t>
      </w:r>
    </w:p>
    <w:p w14:paraId="254C6927" w14:textId="77777777" w:rsidR="003C620A" w:rsidRPr="000B4925" w:rsidRDefault="003C620A" w:rsidP="003C620A">
      <w:pPr>
        <w:pStyle w:val="ListParagraph"/>
        <w:numPr>
          <w:ilvl w:val="0"/>
          <w:numId w:val="20"/>
        </w:numPr>
        <w:spacing w:after="160" w:line="259" w:lineRule="auto"/>
        <w:jc w:val="left"/>
      </w:pPr>
      <w:r w:rsidRPr="00234837">
        <w:t xml:space="preserve">assume that the reduction in stamp duty has been fully absorbed by higher </w:t>
      </w:r>
      <w:r w:rsidRPr="005C1154">
        <w:t>property</w:t>
      </w:r>
      <w:r w:rsidRPr="000B4925">
        <w:t xml:space="preserve"> prices in the new policy scenario</w:t>
      </w:r>
      <w:r>
        <w:t>. T</w:t>
      </w:r>
      <w:r w:rsidRPr="000B4925">
        <w:t xml:space="preserve">he average reduction in stamp duty as a ratio of the average </w:t>
      </w:r>
      <w:r w:rsidRPr="00816530">
        <w:t>property</w:t>
      </w:r>
      <w:r w:rsidRPr="000B4925">
        <w:t xml:space="preserve"> price varies from 0</w:t>
      </w:r>
      <w:r w:rsidRPr="00234837">
        <w:t>.35% in 2012 to 0.50% in 2013, 0.61% in 2014, 0.77% in 2015, 0.98% in 2016, 1.15% in 2017, and 1.30% in 2018</w:t>
      </w:r>
      <w:r>
        <w:t xml:space="preserve">. These resulted in </w:t>
      </w:r>
      <w:r w:rsidRPr="005C1154">
        <w:t>property</w:t>
      </w:r>
      <w:r w:rsidRPr="000B4925">
        <w:t xml:space="preserve"> prices </w:t>
      </w:r>
      <w:r>
        <w:t>for the old policy being</w:t>
      </w:r>
      <w:r w:rsidRPr="000B4925">
        <w:t xml:space="preserve"> inflated by between 99.65% </w:t>
      </w:r>
      <w:r>
        <w:t xml:space="preserve">(2012) </w:t>
      </w:r>
      <w:r w:rsidRPr="000B4925">
        <w:t>and 98.7%</w:t>
      </w:r>
      <w:r>
        <w:t xml:space="preserve"> (2018)</w:t>
      </w:r>
      <w:r w:rsidRPr="000B4925">
        <w:t xml:space="preserve"> of the RPPI</w:t>
      </w:r>
      <w:r>
        <w:t>, or an average of 0.8% per year</w:t>
      </w:r>
      <w:proofErr w:type="gramStart"/>
      <w:r>
        <w:t xml:space="preserve">. </w:t>
      </w:r>
      <w:r w:rsidRPr="000B4925">
        <w:t>;</w:t>
      </w:r>
      <w:proofErr w:type="gramEnd"/>
      <w:r w:rsidRPr="000B4925">
        <w:t xml:space="preserve"> and</w:t>
      </w:r>
    </w:p>
    <w:p w14:paraId="7F6AC3AC" w14:textId="77777777" w:rsidR="003C620A" w:rsidRPr="00181C57" w:rsidRDefault="003C620A" w:rsidP="003C620A">
      <w:pPr>
        <w:pStyle w:val="ListParagraph"/>
        <w:numPr>
          <w:ilvl w:val="0"/>
          <w:numId w:val="20"/>
        </w:numPr>
        <w:spacing w:after="160" w:line="259" w:lineRule="auto"/>
        <w:jc w:val="left"/>
      </w:pPr>
      <w:r w:rsidRPr="000B4925">
        <w:t xml:space="preserve">take the findings from </w:t>
      </w:r>
      <w:r>
        <w:t>the Tax and Transfer Policy Institute analysis</w:t>
      </w:r>
      <w:r w:rsidRPr="000B4925">
        <w:t xml:space="preserve">, where tax reform is estimated to have increased </w:t>
      </w:r>
      <w:r w:rsidRPr="00181C57">
        <w:t>property</w:t>
      </w:r>
      <w:r w:rsidRPr="000B4925">
        <w:t xml:space="preserve"> prices </w:t>
      </w:r>
      <w:r>
        <w:t xml:space="preserve">(both houses and units) </w:t>
      </w:r>
      <w:r w:rsidRPr="000B4925">
        <w:t xml:space="preserve">by </w:t>
      </w:r>
      <w:bookmarkStart w:id="6" w:name="_Hlk41982872"/>
      <w:r w:rsidRPr="000B4925">
        <w:t xml:space="preserve">1.7% </w:t>
      </w:r>
      <w:r>
        <w:t xml:space="preserve">per year </w:t>
      </w:r>
      <w:r w:rsidRPr="000B4925">
        <w:t xml:space="preserve">under the alternative/preferred specification and assumes that </w:t>
      </w:r>
      <w:r w:rsidRPr="009A172B">
        <w:t>the gradual change in propert</w:t>
      </w:r>
      <w:r w:rsidRPr="00234837">
        <w:t>y prices in this case is similar to the change in the second case</w:t>
      </w:r>
      <w:bookmarkEnd w:id="6"/>
      <w:r w:rsidRPr="00234837">
        <w:t xml:space="preserve"> (i.e. 1.24% in 2012, 1.39% in 2013, 1.50% in 2014, 1.66% in 2015, 1.87% in 2016, 2.04% in 2017, 2.19% in 2018), and therefore, </w:t>
      </w:r>
      <w:r w:rsidRPr="00181C57">
        <w:t>property</w:t>
      </w:r>
      <w:r w:rsidRPr="000B4925">
        <w:t xml:space="preserve"> prices from the </w:t>
      </w:r>
      <w:r w:rsidRPr="00181C57">
        <w:t>initial year</w:t>
      </w:r>
      <w:r w:rsidRPr="000B4925">
        <w:t xml:space="preserve"> are inflated by between 98.76% and 97.81% of the RPPI for the </w:t>
      </w:r>
      <w:r w:rsidRPr="00181C57">
        <w:t>relevant year</w:t>
      </w:r>
      <w:r w:rsidRPr="000B4925">
        <w:t xml:space="preserve"> in the old policy scenario.</w:t>
      </w:r>
    </w:p>
    <w:p w14:paraId="3DE19AC4" w14:textId="77777777" w:rsidR="003C620A" w:rsidRDefault="003C620A" w:rsidP="003C620A">
      <w:pPr>
        <w:rPr>
          <w:lang w:val="en-AU"/>
        </w:rPr>
      </w:pPr>
      <w:r w:rsidRPr="000D61D1">
        <w:rPr>
          <w:lang w:val="en-AU"/>
        </w:rPr>
        <w:t>Rates are easier to calculate</w:t>
      </w:r>
      <w:r>
        <w:rPr>
          <w:lang w:val="en-AU"/>
        </w:rPr>
        <w:t xml:space="preserve"> compared to stamp duty, where we had to identify purchasers. E</w:t>
      </w:r>
      <w:r w:rsidRPr="000D61D1">
        <w:rPr>
          <w:lang w:val="en-AU"/>
        </w:rPr>
        <w:t xml:space="preserve">veryone who owns a </w:t>
      </w:r>
      <w:r>
        <w:rPr>
          <w:lang w:val="en-AU"/>
        </w:rPr>
        <w:t>property</w:t>
      </w:r>
      <w:r w:rsidRPr="000D61D1">
        <w:rPr>
          <w:lang w:val="en-AU"/>
        </w:rPr>
        <w:t xml:space="preserve"> pays </w:t>
      </w:r>
      <w:r>
        <w:rPr>
          <w:lang w:val="en-AU"/>
        </w:rPr>
        <w:t>rates,</w:t>
      </w:r>
      <w:r w:rsidRPr="000D61D1">
        <w:rPr>
          <w:lang w:val="en-AU"/>
        </w:rPr>
        <w:t xml:space="preserve"> and the</w:t>
      </w:r>
      <w:r>
        <w:rPr>
          <w:lang w:val="en-AU"/>
        </w:rPr>
        <w:t>y</w:t>
      </w:r>
      <w:r w:rsidRPr="000D61D1">
        <w:rPr>
          <w:lang w:val="en-AU"/>
        </w:rPr>
        <w:t xml:space="preserve"> are based on the land value. </w:t>
      </w:r>
      <w:r>
        <w:t>To compute the land value for different years under the new tax policies, we merged the ACT government rates data with their stamp duty data and calculated the average land-to-value ratios by year, which range between 46.2% and 56.5%. These ratios are then used to estimate the land value for properties expected to be purchased in each year. We keep land value unchanged between the old and new tax policies. It is worth noting that if tax reform has resulted in increased property prices, as two of our scenarios assume, tax reform could theoretically result in increased Unimproved Value of Land. In our model, having the same land values for the new and old tax policies means that if the Unimproved Value of Land is lower under the old tax policy (higher under the new tax policy), then the rates payments would be lower; and we may have had more families satisfying the income constraint under the old tax policy.</w:t>
      </w:r>
      <w:r>
        <w:rPr>
          <w:lang w:val="en-AU"/>
        </w:rPr>
        <w:t xml:space="preserve"> We expect this would have a small impact as the reduced rates goes through the income constraint to get a loan, and the main barrier to getting a loan is the deposit constraint.</w:t>
      </w:r>
    </w:p>
    <w:p w14:paraId="12FB1FA8" w14:textId="77777777" w:rsidR="003C620A" w:rsidRPr="000D61D1" w:rsidRDefault="003C620A" w:rsidP="003C620A">
      <w:pPr>
        <w:rPr>
          <w:lang w:val="en-AU"/>
        </w:rPr>
      </w:pPr>
      <w:r w:rsidRPr="000D61D1">
        <w:rPr>
          <w:lang w:val="en-AU"/>
        </w:rPr>
        <w:lastRenderedPageBreak/>
        <w:t>We have also calculated land tax for those with an investment property, based on the land value.</w:t>
      </w:r>
    </w:p>
    <w:p w14:paraId="06369822" w14:textId="77777777" w:rsidR="003C620A" w:rsidRPr="000D61D1" w:rsidRDefault="003C620A" w:rsidP="003C620A">
      <w:pPr>
        <w:pStyle w:val="FirstParagraph"/>
        <w:rPr>
          <w:lang w:val="en-AU"/>
        </w:rPr>
      </w:pPr>
      <w:r w:rsidRPr="000D61D1">
        <w:rPr>
          <w:lang w:val="en-AU"/>
        </w:rPr>
        <w:t>The steps followed for the model were:</w:t>
      </w:r>
    </w:p>
    <w:p w14:paraId="77770BFE" w14:textId="77777777" w:rsidR="003C620A" w:rsidRPr="000D61D1" w:rsidRDefault="003C620A" w:rsidP="003C620A">
      <w:pPr>
        <w:rPr>
          <w:lang w:val="en-AU"/>
        </w:rPr>
      </w:pPr>
      <w:r w:rsidRPr="000D61D1">
        <w:rPr>
          <w:i/>
          <w:lang w:val="en-AU"/>
        </w:rPr>
        <w:t>Step 1:</w:t>
      </w:r>
      <w:r w:rsidRPr="000D61D1">
        <w:rPr>
          <w:lang w:val="en-AU"/>
        </w:rPr>
        <w:t xml:space="preserve"> Create the synthetic population for the ACT from 2012-13 to 2018-19.</w:t>
      </w:r>
    </w:p>
    <w:p w14:paraId="2D13FF98" w14:textId="77777777" w:rsidR="003C620A" w:rsidRPr="000D61D1" w:rsidRDefault="003C620A" w:rsidP="003C620A">
      <w:pPr>
        <w:rPr>
          <w:lang w:val="en-AU"/>
        </w:rPr>
      </w:pPr>
      <w:r w:rsidRPr="000D61D1">
        <w:rPr>
          <w:i/>
          <w:lang w:val="en-AU"/>
        </w:rPr>
        <w:t>Step 2:</w:t>
      </w:r>
      <w:r w:rsidRPr="000D61D1">
        <w:rPr>
          <w:lang w:val="en-AU"/>
        </w:rPr>
        <w:t xml:space="preserve"> Calculate rates, stamp duties and land taxes, including FHOG, HBCS, PDCS and rebates, for the baseline (the tax reform) and the counterfactual (no-tax reform);</w:t>
      </w:r>
    </w:p>
    <w:p w14:paraId="7341287B" w14:textId="77777777" w:rsidR="003C620A" w:rsidRPr="000D61D1" w:rsidRDefault="003C620A" w:rsidP="003C620A">
      <w:pPr>
        <w:rPr>
          <w:lang w:val="en-AU"/>
        </w:rPr>
      </w:pPr>
      <w:r w:rsidRPr="000D61D1">
        <w:rPr>
          <w:i/>
          <w:lang w:val="en-AU"/>
        </w:rPr>
        <w:t>Step 3:</w:t>
      </w:r>
      <w:r w:rsidRPr="000D61D1">
        <w:rPr>
          <w:lang w:val="en-AU"/>
        </w:rPr>
        <w:t xml:space="preserve"> Identify whether renters and/or homeowners can afford to purchase a property and assign them to home buyers if they can meet borrowing requirements or can afford to buy without a loan. The Federal government regulations on income tax, </w:t>
      </w:r>
      <w:proofErr w:type="spellStart"/>
      <w:r w:rsidRPr="000D61D1">
        <w:rPr>
          <w:lang w:val="en-AU"/>
        </w:rPr>
        <w:t>medicare</w:t>
      </w:r>
      <w:proofErr w:type="spellEnd"/>
      <w:r w:rsidRPr="000D61D1">
        <w:rPr>
          <w:lang w:val="en-AU"/>
        </w:rPr>
        <w:t xml:space="preserve"> levy, low-income tax offset (LITO) and low- and middle-income tax offset (LMITO) are also incorporated into our model.</w:t>
      </w:r>
    </w:p>
    <w:p w14:paraId="25BAF4B7" w14:textId="77777777" w:rsidR="003C620A" w:rsidRPr="000D61D1" w:rsidRDefault="003C620A" w:rsidP="003C620A">
      <w:pPr>
        <w:rPr>
          <w:lang w:val="en-AU"/>
        </w:rPr>
      </w:pPr>
      <w:r w:rsidRPr="000D61D1">
        <w:rPr>
          <w:i/>
          <w:lang w:val="en-AU"/>
        </w:rPr>
        <w:t>Step 4:</w:t>
      </w:r>
      <w:r w:rsidRPr="000D61D1">
        <w:rPr>
          <w:lang w:val="en-AU"/>
        </w:rPr>
        <w:t xml:space="preserve"> Inflate income, savings, land and </w:t>
      </w:r>
      <w:r>
        <w:rPr>
          <w:lang w:val="en-AU"/>
        </w:rPr>
        <w:t>property</w:t>
      </w:r>
      <w:r w:rsidRPr="000D61D1">
        <w:rPr>
          <w:lang w:val="en-AU"/>
        </w:rPr>
        <w:t xml:space="preserve"> values to the next year and repeat Steps 1 to 3 until the financial year of 2018-19 is reached.</w:t>
      </w:r>
    </w:p>
    <w:p w14:paraId="586E14F7" w14:textId="77777777" w:rsidR="003C620A" w:rsidRDefault="003C620A" w:rsidP="003C620A">
      <w:pPr>
        <w:pStyle w:val="BodyText"/>
        <w:rPr>
          <w:lang w:val="en-AU"/>
        </w:rPr>
      </w:pPr>
      <w:bookmarkStart w:id="7" w:name="_Toc43911473"/>
      <w:r w:rsidRPr="003C620A">
        <w:rPr>
          <w:i/>
          <w:lang w:val="en-AU"/>
        </w:rPr>
        <w:t>Step 5:</w:t>
      </w:r>
      <w:r w:rsidRPr="003C620A">
        <w:rPr>
          <w:lang w:val="en-AU"/>
        </w:rPr>
        <w:t xml:space="preserve"> Calculate what would have happened without tax reform </w:t>
      </w:r>
      <w:r w:rsidRPr="003C620A">
        <w:t>using stamp duty and rates settings that would have prevailed without tax reform</w:t>
      </w:r>
      <w:r w:rsidRPr="000D61D1">
        <w:rPr>
          <w:lang w:val="en-AU"/>
        </w:rPr>
        <w:t>.</w:t>
      </w:r>
      <w:bookmarkEnd w:id="7"/>
    </w:p>
    <w:p w14:paraId="5BD4B094" w14:textId="77777777" w:rsidR="0016647F" w:rsidRPr="000D61D1" w:rsidRDefault="0016647F" w:rsidP="0016647F">
      <w:pPr>
        <w:ind w:left="480"/>
        <w:rPr>
          <w:lang w:val="en-AU"/>
        </w:rPr>
      </w:pPr>
    </w:p>
    <w:p w14:paraId="52A875B0" w14:textId="207AEE95" w:rsidR="0016647F" w:rsidRPr="000D61D1" w:rsidRDefault="001903F7" w:rsidP="001903F7">
      <w:pPr>
        <w:pStyle w:val="Heading2"/>
        <w:rPr>
          <w:lang w:val="en-AU"/>
        </w:rPr>
      </w:pPr>
      <w:bookmarkStart w:id="8" w:name="_Toc43911474"/>
      <w:r w:rsidRPr="000D61D1">
        <w:rPr>
          <w:lang w:val="en-AU"/>
        </w:rPr>
        <w:t>2.2 - Economic and affordability impacts of the ACT Government tax reform</w:t>
      </w:r>
      <w:r w:rsidR="007850E7" w:rsidRPr="000D61D1">
        <w:rPr>
          <w:lang w:val="en-AU"/>
        </w:rPr>
        <w:t xml:space="preserve"> (Part 2)</w:t>
      </w:r>
      <w:r w:rsidRPr="000D61D1">
        <w:rPr>
          <w:lang w:val="en-AU"/>
        </w:rPr>
        <w:t xml:space="preserve">: </w:t>
      </w:r>
      <w:r w:rsidR="0016647F" w:rsidRPr="000D61D1">
        <w:rPr>
          <w:lang w:val="en-AU"/>
        </w:rPr>
        <w:t>A difference-in-difference econometric analysis</w:t>
      </w:r>
      <w:bookmarkEnd w:id="8"/>
      <w:r w:rsidR="0016647F" w:rsidRPr="000D61D1">
        <w:rPr>
          <w:lang w:val="en-AU"/>
        </w:rPr>
        <w:t xml:space="preserve"> </w:t>
      </w:r>
    </w:p>
    <w:p w14:paraId="23B7BB61" w14:textId="2681DA7F" w:rsidR="0016647F" w:rsidRPr="000D61D1" w:rsidRDefault="0016647F" w:rsidP="0016647F">
      <w:pPr>
        <w:pStyle w:val="BodyText"/>
        <w:rPr>
          <w:lang w:val="en-AU"/>
        </w:rPr>
      </w:pPr>
      <w:r w:rsidRPr="000D61D1">
        <w:rPr>
          <w:lang w:val="en-AU"/>
        </w:rPr>
        <w:t>This main report outlines the method, data and assumptions</w:t>
      </w:r>
      <w:r w:rsidR="009653DC" w:rsidRPr="000D61D1">
        <w:rPr>
          <w:lang w:val="en-AU"/>
        </w:rPr>
        <w:t>,</w:t>
      </w:r>
      <w:r w:rsidRPr="000D61D1">
        <w:rPr>
          <w:lang w:val="en-AU"/>
        </w:rPr>
        <w:t xml:space="preserve"> but is </w:t>
      </w:r>
      <w:r w:rsidR="002C3D4E" w:rsidRPr="000D61D1">
        <w:rPr>
          <w:lang w:val="en-AU"/>
        </w:rPr>
        <w:t xml:space="preserve">intentionally </w:t>
      </w:r>
      <w:r w:rsidRPr="000D61D1">
        <w:rPr>
          <w:lang w:val="en-AU"/>
        </w:rPr>
        <w:t>ke</w:t>
      </w:r>
      <w:r w:rsidR="009653DC" w:rsidRPr="000D61D1">
        <w:rPr>
          <w:lang w:val="en-AU"/>
        </w:rPr>
        <w:t>pt</w:t>
      </w:r>
      <w:r w:rsidRPr="000D61D1">
        <w:rPr>
          <w:lang w:val="en-AU"/>
        </w:rPr>
        <w:t xml:space="preserve"> brief. Those </w:t>
      </w:r>
      <w:r w:rsidR="009653DC" w:rsidRPr="000D61D1">
        <w:rPr>
          <w:lang w:val="en-AU"/>
        </w:rPr>
        <w:t xml:space="preserve">requiring more </w:t>
      </w:r>
      <w:r w:rsidRPr="000D61D1">
        <w:rPr>
          <w:lang w:val="en-AU"/>
        </w:rPr>
        <w:t xml:space="preserve">detail on the data or </w:t>
      </w:r>
      <w:r w:rsidR="00C161A4" w:rsidRPr="000D61D1">
        <w:rPr>
          <w:lang w:val="en-AU"/>
        </w:rPr>
        <w:t xml:space="preserve">the </w:t>
      </w:r>
      <w:r w:rsidRPr="000D61D1">
        <w:rPr>
          <w:lang w:val="en-AU"/>
        </w:rPr>
        <w:t xml:space="preserve">assumptions </w:t>
      </w:r>
      <w:r w:rsidR="00C161A4" w:rsidRPr="000D61D1">
        <w:rPr>
          <w:lang w:val="en-AU"/>
        </w:rPr>
        <w:t xml:space="preserve">and our attempts to verify the validity of the assumptions </w:t>
      </w:r>
      <w:r w:rsidRPr="000D61D1">
        <w:rPr>
          <w:lang w:val="en-AU"/>
        </w:rPr>
        <w:t xml:space="preserve">are referred to the associated technical </w:t>
      </w:r>
      <w:r w:rsidR="00690B05" w:rsidRPr="000D61D1">
        <w:rPr>
          <w:lang w:val="en-AU"/>
        </w:rPr>
        <w:t>appendix</w:t>
      </w:r>
      <w:r w:rsidRPr="000D61D1">
        <w:rPr>
          <w:lang w:val="en-AU"/>
        </w:rPr>
        <w:t>.</w:t>
      </w:r>
    </w:p>
    <w:p w14:paraId="30BD6BC0" w14:textId="7671E330" w:rsidR="002C3D4E" w:rsidRPr="000D61D1" w:rsidRDefault="0016647F" w:rsidP="0016647F">
      <w:pPr>
        <w:pStyle w:val="BodyText"/>
        <w:rPr>
          <w:lang w:val="en-AU"/>
        </w:rPr>
      </w:pPr>
      <w:r w:rsidRPr="000D61D1">
        <w:rPr>
          <w:lang w:val="en-AU"/>
        </w:rPr>
        <w:t xml:space="preserve">The main </w:t>
      </w:r>
      <w:r w:rsidR="009653DC" w:rsidRPr="000D61D1">
        <w:rPr>
          <w:lang w:val="en-AU"/>
        </w:rPr>
        <w:t>challenge</w:t>
      </w:r>
      <w:r w:rsidRPr="000D61D1">
        <w:rPr>
          <w:lang w:val="en-AU"/>
        </w:rPr>
        <w:t xml:space="preserve"> when empirically evaluating a given policy is to establish what the outcomes would have looked like in the absence of the new policy. In other words, we would like to observe a counterfactual to measure changes caused by the reform</w:t>
      </w:r>
      <w:r w:rsidR="002C3D4E" w:rsidRPr="000D61D1">
        <w:rPr>
          <w:lang w:val="en-AU"/>
        </w:rPr>
        <w:t xml:space="preserve">.  A parallel universe where we observe the evolution of the housing market in the ACT without the </w:t>
      </w:r>
      <w:proofErr w:type="gramStart"/>
      <w:r w:rsidR="002C3D4E" w:rsidRPr="000D61D1">
        <w:rPr>
          <w:lang w:val="en-AU"/>
        </w:rPr>
        <w:t>reform</w:t>
      </w:r>
      <w:r w:rsidR="00F15819" w:rsidRPr="000D61D1">
        <w:rPr>
          <w:lang w:val="en-AU"/>
        </w:rPr>
        <w:t>,</w:t>
      </w:r>
      <w:r w:rsidR="002C3D4E" w:rsidRPr="000D61D1">
        <w:rPr>
          <w:lang w:val="en-AU"/>
        </w:rPr>
        <w:t xml:space="preserve"> but</w:t>
      </w:r>
      <w:proofErr w:type="gramEnd"/>
      <w:r w:rsidR="002C3D4E" w:rsidRPr="000D61D1">
        <w:rPr>
          <w:lang w:val="en-AU"/>
        </w:rPr>
        <w:t xml:space="preserve"> keeping everything else the same would be perfect. Obviously, we have no such parallel universe that we can observe.  </w:t>
      </w:r>
    </w:p>
    <w:p w14:paraId="15DF77B3" w14:textId="46C92806" w:rsidR="002C3D4E" w:rsidRPr="000D61D1" w:rsidRDefault="002C3D4E" w:rsidP="0016647F">
      <w:pPr>
        <w:pStyle w:val="BodyText"/>
        <w:rPr>
          <w:lang w:val="en-AU"/>
        </w:rPr>
      </w:pPr>
      <w:r w:rsidRPr="000D61D1">
        <w:rPr>
          <w:lang w:val="en-AU"/>
        </w:rPr>
        <w:t xml:space="preserve">Another option would be another urban area exactly like the ACT where the housing market evolves similarly to the market in the ACT.  </w:t>
      </w:r>
      <w:proofErr w:type="gramStart"/>
      <w:r w:rsidRPr="000D61D1">
        <w:rPr>
          <w:lang w:val="en-AU"/>
        </w:rPr>
        <w:t>Unfortunately</w:t>
      </w:r>
      <w:proofErr w:type="gramEnd"/>
      <w:r w:rsidRPr="000D61D1">
        <w:rPr>
          <w:lang w:val="en-AU"/>
        </w:rPr>
        <w:t xml:space="preserve"> this is also not available.  The large government presence in the ACT and its geographic position make it unlike any other city in Australia.  A cursory glance at the housing market over the past 20 years suggests that the ACT does not really behave like other jurisdictions.  It has lower volatility in house prices and a noticeably different cycle in property price increases and decreases.</w:t>
      </w:r>
    </w:p>
    <w:p w14:paraId="5A9C34EE" w14:textId="21059AA5" w:rsidR="0016647F" w:rsidRPr="000D61D1" w:rsidRDefault="002C3D4E" w:rsidP="0016647F">
      <w:pPr>
        <w:pStyle w:val="BodyText"/>
        <w:rPr>
          <w:lang w:val="en-AU"/>
        </w:rPr>
      </w:pPr>
      <w:r w:rsidRPr="000D61D1">
        <w:rPr>
          <w:lang w:val="en-AU"/>
        </w:rPr>
        <w:t>It is thus quite difficult to find a convincing coun</w:t>
      </w:r>
      <w:r w:rsidR="00F15819" w:rsidRPr="000D61D1">
        <w:rPr>
          <w:lang w:val="en-AU"/>
        </w:rPr>
        <w:t>t</w:t>
      </w:r>
      <w:r w:rsidRPr="000D61D1">
        <w:rPr>
          <w:lang w:val="en-AU"/>
        </w:rPr>
        <w:t xml:space="preserve">er-factual/comparison group for the analysis which we undertake. </w:t>
      </w:r>
      <w:r w:rsidR="00526D5F">
        <w:t xml:space="preserve">As we are not sure about the best counterfactual for the </w:t>
      </w:r>
      <w:proofErr w:type="gramStart"/>
      <w:r w:rsidR="00526D5F">
        <w:t>ACT</w:t>
      </w:r>
      <w:proofErr w:type="gramEnd"/>
      <w:r w:rsidR="00526D5F">
        <w:t xml:space="preserve"> we use a number of different subsets of the rest of Australia as controls. </w:t>
      </w:r>
      <w:r w:rsidRPr="000D61D1">
        <w:rPr>
          <w:lang w:val="en-AU"/>
        </w:rPr>
        <w:t xml:space="preserve"> </w:t>
      </w:r>
    </w:p>
    <w:p w14:paraId="35A76D3F" w14:textId="5E879C2D" w:rsidR="0016647F" w:rsidRPr="000D61D1" w:rsidRDefault="00526D5F" w:rsidP="0016647F">
      <w:pPr>
        <w:pStyle w:val="BodyText"/>
        <w:rPr>
          <w:lang w:val="en-AU"/>
        </w:rPr>
      </w:pPr>
      <w:r>
        <w:rPr>
          <w:lang w:val="en-AU"/>
        </w:rPr>
        <w:t>Conditional on finding a reasonable counter-factual,</w:t>
      </w:r>
      <w:r w:rsidR="000D61D1">
        <w:rPr>
          <w:lang w:val="en-AU"/>
        </w:rPr>
        <w:t xml:space="preserve"> a</w:t>
      </w:r>
      <w:r w:rsidR="000D61D1" w:rsidRPr="000D61D1">
        <w:rPr>
          <w:lang w:val="en-AU"/>
        </w:rPr>
        <w:t xml:space="preserve"> </w:t>
      </w:r>
      <w:proofErr w:type="spellStart"/>
      <w:proofErr w:type="gramStart"/>
      <w:r w:rsidR="0016647F" w:rsidRPr="000D61D1">
        <w:rPr>
          <w:lang w:val="en-AU"/>
        </w:rPr>
        <w:t>well established</w:t>
      </w:r>
      <w:proofErr w:type="spellEnd"/>
      <w:proofErr w:type="gramEnd"/>
      <w:r w:rsidR="0016647F" w:rsidRPr="000D61D1">
        <w:rPr>
          <w:lang w:val="en-AU"/>
        </w:rPr>
        <w:t xml:space="preserve"> method to overcome </w:t>
      </w:r>
      <w:r w:rsidR="000D61D1">
        <w:rPr>
          <w:lang w:val="en-AU"/>
        </w:rPr>
        <w:t>the</w:t>
      </w:r>
      <w:r w:rsidR="000D61D1" w:rsidRPr="000D61D1">
        <w:rPr>
          <w:lang w:val="en-AU"/>
        </w:rPr>
        <w:t xml:space="preserve"> </w:t>
      </w:r>
      <w:r w:rsidR="0016647F" w:rsidRPr="000D61D1">
        <w:rPr>
          <w:lang w:val="en-AU"/>
        </w:rPr>
        <w:t xml:space="preserve">issue </w:t>
      </w:r>
      <w:r w:rsidR="000D61D1">
        <w:rPr>
          <w:lang w:val="en-AU"/>
        </w:rPr>
        <w:t xml:space="preserve">of not observing a world without the reform </w:t>
      </w:r>
      <w:r w:rsidR="0016647F" w:rsidRPr="000D61D1">
        <w:rPr>
          <w:lang w:val="en-AU"/>
        </w:rPr>
        <w:t xml:space="preserve">is the difference-in-difference estimation approach. The idea behind difference-in-difference estimation is to use another </w:t>
      </w:r>
      <w:r w:rsidR="0016647F" w:rsidRPr="000D61D1">
        <w:rPr>
          <w:lang w:val="en-AU"/>
        </w:rPr>
        <w:lastRenderedPageBreak/>
        <w:t>group or geographical area which is not affected by the policy change as the counterfactual to identify the causal impact. The method compares the outcomes for a treatment group (affected by the policy) to the outcomes for a control group (the counterfactual, not affected by the policy).</w:t>
      </w:r>
    </w:p>
    <w:p w14:paraId="7316DB1B" w14:textId="2310C8C9" w:rsidR="0016647F" w:rsidRPr="000D61D1" w:rsidRDefault="0016647F" w:rsidP="0016647F">
      <w:pPr>
        <w:pStyle w:val="BodyText"/>
        <w:rPr>
          <w:lang w:val="en-AU"/>
        </w:rPr>
      </w:pPr>
      <w:r w:rsidRPr="000D61D1">
        <w:rPr>
          <w:lang w:val="en-AU"/>
        </w:rPr>
        <w:t xml:space="preserve">The difference-in-difference methodology can only be implemented using data where we observe both </w:t>
      </w:r>
      <w:r w:rsidR="008E2B90" w:rsidRPr="000D61D1">
        <w:rPr>
          <w:lang w:val="en-AU"/>
        </w:rPr>
        <w:t xml:space="preserve">the </w:t>
      </w:r>
      <w:r w:rsidRPr="000D61D1">
        <w:rPr>
          <w:lang w:val="en-AU"/>
        </w:rPr>
        <w:t>treatment and control group</w:t>
      </w:r>
      <w:r w:rsidR="008E2B90" w:rsidRPr="000D61D1">
        <w:rPr>
          <w:lang w:val="en-AU"/>
        </w:rPr>
        <w:t>s</w:t>
      </w:r>
      <w:r w:rsidRPr="000D61D1">
        <w:rPr>
          <w:lang w:val="en-AU"/>
        </w:rPr>
        <w:t xml:space="preserve"> for some time before the policy is implemented</w:t>
      </w:r>
      <w:r w:rsidR="008E2B90" w:rsidRPr="000D61D1">
        <w:rPr>
          <w:lang w:val="en-AU"/>
        </w:rPr>
        <w:t>,</w:t>
      </w:r>
      <w:r w:rsidRPr="000D61D1">
        <w:rPr>
          <w:lang w:val="en-AU"/>
        </w:rPr>
        <w:t xml:space="preserve"> as well as after. The estimation method will then be able to control for specific</w:t>
      </w:r>
      <w:r w:rsidR="00C161A4" w:rsidRPr="000D61D1">
        <w:rPr>
          <w:lang w:val="en-AU"/>
        </w:rPr>
        <w:t xml:space="preserve">, persistent </w:t>
      </w:r>
      <w:r w:rsidRPr="000D61D1">
        <w:rPr>
          <w:lang w:val="en-AU"/>
        </w:rPr>
        <w:t>differences in the treatment and control group</w:t>
      </w:r>
      <w:r w:rsidR="00C161A4" w:rsidRPr="000D61D1">
        <w:rPr>
          <w:lang w:val="en-AU"/>
        </w:rPr>
        <w:t>s</w:t>
      </w:r>
      <w:r w:rsidRPr="000D61D1">
        <w:rPr>
          <w:lang w:val="en-AU"/>
        </w:rPr>
        <w:t xml:space="preserve"> and any external events that affect both groups over time. </w:t>
      </w:r>
    </w:p>
    <w:p w14:paraId="4EE0971D" w14:textId="137F4D1B" w:rsidR="0016647F" w:rsidRPr="000D61D1" w:rsidRDefault="0016647F" w:rsidP="0016647F">
      <w:pPr>
        <w:pStyle w:val="BodyText"/>
        <w:rPr>
          <w:lang w:val="en-AU"/>
        </w:rPr>
      </w:pPr>
      <w:r w:rsidRPr="000D61D1">
        <w:rPr>
          <w:lang w:val="en-AU"/>
        </w:rPr>
        <w:t xml:space="preserve">Difference-in-difference estimation works </w:t>
      </w:r>
      <w:r w:rsidR="002C3D4E" w:rsidRPr="000D61D1">
        <w:rPr>
          <w:lang w:val="en-AU"/>
        </w:rPr>
        <w:t>well when</w:t>
      </w:r>
      <w:r w:rsidRPr="000D61D1">
        <w:rPr>
          <w:lang w:val="en-AU"/>
        </w:rPr>
        <w:t xml:space="preserve"> the trend over time in the outcomes of the control group would have applied to the treatment group in the absence of the policy.</w:t>
      </w:r>
      <w:r w:rsidRPr="000D61D1">
        <w:rPr>
          <w:rStyle w:val="FootnoteReference"/>
          <w:lang w:val="en-AU"/>
        </w:rPr>
        <w:footnoteReference w:id="4"/>
      </w:r>
      <w:r w:rsidRPr="000D61D1">
        <w:rPr>
          <w:lang w:val="en-AU"/>
        </w:rPr>
        <w:t xml:space="preserve"> Any deviation from that expected outcome is attributed to the policy. Therefore, the second identifying assumption of the difference-in-difference method, is that there are no other policy changes that affect outcomes differently for </w:t>
      </w:r>
      <w:r w:rsidR="005E186C" w:rsidRPr="000D61D1">
        <w:rPr>
          <w:lang w:val="en-AU"/>
        </w:rPr>
        <w:t xml:space="preserve">the </w:t>
      </w:r>
      <w:r w:rsidRPr="000D61D1">
        <w:rPr>
          <w:lang w:val="en-AU"/>
        </w:rPr>
        <w:t>treatment and control group</w:t>
      </w:r>
      <w:r w:rsidR="005E186C" w:rsidRPr="000D61D1">
        <w:rPr>
          <w:lang w:val="en-AU"/>
        </w:rPr>
        <w:t>s</w:t>
      </w:r>
      <w:r w:rsidRPr="000D61D1">
        <w:rPr>
          <w:lang w:val="en-AU"/>
        </w:rPr>
        <w:t xml:space="preserve">. We will verify in our analysis if these assumptions hold. See the </w:t>
      </w:r>
      <w:r w:rsidR="005E186C" w:rsidRPr="000D61D1">
        <w:rPr>
          <w:lang w:val="en-AU"/>
        </w:rPr>
        <w:t xml:space="preserve">technical </w:t>
      </w:r>
      <w:r w:rsidRPr="000D61D1">
        <w:rPr>
          <w:lang w:val="en-AU"/>
        </w:rPr>
        <w:t>appendix.</w:t>
      </w:r>
    </w:p>
    <w:p w14:paraId="19121A90" w14:textId="77777777" w:rsidR="0016647F" w:rsidRPr="000D61D1" w:rsidRDefault="0016647F" w:rsidP="0016647F">
      <w:pPr>
        <w:pStyle w:val="BodyText"/>
        <w:rPr>
          <w:lang w:val="en-AU"/>
        </w:rPr>
      </w:pPr>
      <w:r w:rsidRPr="000D61D1">
        <w:rPr>
          <w:lang w:val="en-AU"/>
        </w:rPr>
        <w:t xml:space="preserve">Applying this methodology to the evaluation of the ACT tax reform we will use the general regression model shown in the following equation: </w:t>
      </w:r>
    </w:p>
    <w:p w14:paraId="2292E6E0" w14:textId="23B28A77" w:rsidR="00A949CF" w:rsidRDefault="0016647F" w:rsidP="00A949CF">
      <w:pPr>
        <w:pStyle w:val="Caption"/>
        <w:jc w:val="left"/>
        <w:rPr>
          <w:noProof/>
          <w:lang w:val="en-AU"/>
        </w:rPr>
      </w:pPr>
      <w:bookmarkStart w:id="9" w:name="_Ref30280533"/>
      <w:r w:rsidRPr="000D61D1">
        <w:rPr>
          <w:lang w:val="en-AU"/>
        </w:rPr>
        <w:t xml:space="preserve">Equation </w:t>
      </w:r>
      <w:r w:rsidRPr="000D61D1">
        <w:rPr>
          <w:lang w:val="en-AU"/>
        </w:rPr>
        <w:fldChar w:fldCharType="begin"/>
      </w:r>
      <w:r w:rsidRPr="000D61D1">
        <w:rPr>
          <w:lang w:val="en-AU"/>
        </w:rPr>
        <w:instrText xml:space="preserve"> SEQ Equation \* ARABIC </w:instrText>
      </w:r>
      <w:r w:rsidRPr="000D61D1">
        <w:rPr>
          <w:lang w:val="en-AU"/>
        </w:rPr>
        <w:fldChar w:fldCharType="separate"/>
      </w:r>
      <w:r w:rsidR="00A763B6">
        <w:rPr>
          <w:noProof/>
          <w:lang w:val="en-AU"/>
        </w:rPr>
        <w:t>1</w:t>
      </w:r>
      <w:r w:rsidRPr="000D61D1">
        <w:rPr>
          <w:noProof/>
          <w:lang w:val="en-AU"/>
        </w:rPr>
        <w:fldChar w:fldCharType="end"/>
      </w:r>
      <w:bookmarkEnd w:id="9"/>
    </w:p>
    <w:p w14:paraId="03E9BA02" w14:textId="69D0BE34" w:rsidR="0016647F" w:rsidRPr="000D61D1" w:rsidRDefault="00A6304C" w:rsidP="00870105">
      <w:pPr>
        <w:pStyle w:val="Caption"/>
        <w:jc w:val="left"/>
        <w:rPr>
          <w:rFonts w:ascii="Times New Roman" w:eastAsia="Times New Roman" w:hAnsi="Times New Roman" w:cs="Times New Roman"/>
          <w:lang w:val="en-AU"/>
        </w:rPr>
      </w:pPr>
      <m:oMathPara>
        <m:oMath>
          <m:func>
            <m:funcPr>
              <m:ctrlPr>
                <w:rPr>
                  <w:rFonts w:ascii="Cambria Math" w:hAnsi="Cambria Math"/>
                  <w:noProof/>
                  <w:lang w:val="en-AU"/>
                </w:rPr>
              </m:ctrlPr>
            </m:funcPr>
            <m:fName>
              <m:r>
                <w:rPr>
                  <w:rFonts w:ascii="Cambria Math" w:hAnsi="Cambria Math"/>
                  <w:noProof/>
                  <w:lang w:val="en-AU"/>
                </w:rPr>
                <m:t>log</m:t>
              </m:r>
            </m:fName>
            <m:e>
              <m:sSub>
                <m:sSubPr>
                  <m:ctrlPr>
                    <w:rPr>
                      <w:rFonts w:ascii="Cambria Math" w:hAnsi="Cambria Math"/>
                      <w:noProof/>
                      <w:lang w:val="en-AU"/>
                    </w:rPr>
                  </m:ctrlPr>
                </m:sSubPr>
                <m:e>
                  <m:r>
                    <w:rPr>
                      <w:rFonts w:ascii="Cambria Math" w:hAnsi="Cambria Math"/>
                      <w:noProof/>
                      <w:lang w:val="en-AU"/>
                    </w:rPr>
                    <m:t>(Y)</m:t>
                  </m:r>
                </m:e>
                <m:sub>
                  <m:r>
                    <w:rPr>
                      <w:rFonts w:ascii="Cambria Math" w:hAnsi="Cambria Math"/>
                      <w:noProof/>
                      <w:lang w:val="en-AU"/>
                    </w:rPr>
                    <m:t>s,t</m:t>
                  </m:r>
                </m:sub>
              </m:sSub>
              <m:r>
                <w:rPr>
                  <w:rFonts w:ascii="Cambria Math" w:hAnsi="Cambria Math"/>
                  <w:noProof/>
                  <w:lang w:val="en-AU"/>
                </w:rPr>
                <m:t>= β</m:t>
              </m:r>
              <m:sSub>
                <m:sSubPr>
                  <m:ctrlPr>
                    <w:rPr>
                      <w:rFonts w:ascii="Cambria Math" w:hAnsi="Cambria Math"/>
                      <w:noProof/>
                      <w:lang w:val="en-AU"/>
                    </w:rPr>
                  </m:ctrlPr>
                </m:sSubPr>
                <m:e>
                  <m:d>
                    <m:dPr>
                      <m:ctrlPr>
                        <w:rPr>
                          <w:rFonts w:ascii="Cambria Math" w:hAnsi="Cambria Math"/>
                          <w:noProof/>
                          <w:lang w:val="en-AU"/>
                        </w:rPr>
                      </m:ctrlPr>
                    </m:dPr>
                    <m:e>
                      <m:r>
                        <w:rPr>
                          <w:rFonts w:ascii="Cambria Math" w:hAnsi="Cambria Math"/>
                          <w:noProof/>
                          <w:lang w:val="en-AU"/>
                        </w:rPr>
                        <m:t>reform dummy</m:t>
                      </m:r>
                    </m:e>
                  </m:d>
                </m:e>
                <m:sub>
                  <m:r>
                    <w:rPr>
                      <w:rFonts w:ascii="Cambria Math" w:hAnsi="Cambria Math"/>
                      <w:noProof/>
                      <w:lang w:val="en-AU"/>
                    </w:rPr>
                    <m:t>s,t</m:t>
                  </m:r>
                </m:sub>
              </m:sSub>
              <m:r>
                <w:rPr>
                  <w:rFonts w:ascii="Cambria Math" w:hAnsi="Cambria Math"/>
                  <w:noProof/>
                  <w:lang w:val="en-AU"/>
                </w:rPr>
                <m:t>+</m:t>
              </m:r>
              <m:sSub>
                <m:sSubPr>
                  <m:ctrlPr>
                    <w:rPr>
                      <w:rFonts w:ascii="Cambria Math" w:hAnsi="Cambria Math"/>
                      <w:noProof/>
                      <w:lang w:val="en-AU"/>
                    </w:rPr>
                  </m:ctrlPr>
                </m:sSubPr>
                <m:e>
                  <m:r>
                    <w:rPr>
                      <w:rFonts w:ascii="Cambria Math" w:hAnsi="Cambria Math"/>
                      <w:noProof/>
                      <w:lang w:val="en-AU"/>
                    </w:rPr>
                    <m:t>a</m:t>
                  </m:r>
                </m:e>
                <m:sub>
                  <m:r>
                    <w:rPr>
                      <w:rFonts w:ascii="Cambria Math" w:hAnsi="Cambria Math"/>
                      <w:noProof/>
                      <w:lang w:val="en-AU"/>
                    </w:rPr>
                    <m:t>s</m:t>
                  </m:r>
                </m:sub>
              </m:sSub>
              <m:r>
                <w:rPr>
                  <w:rFonts w:ascii="Cambria Math" w:hAnsi="Cambria Math"/>
                  <w:noProof/>
                  <w:lang w:val="en-AU"/>
                </w:rPr>
                <m:t>+</m:t>
              </m:r>
              <m:sSub>
                <m:sSubPr>
                  <m:ctrlPr>
                    <w:rPr>
                      <w:rFonts w:ascii="Cambria Math" w:hAnsi="Cambria Math"/>
                      <w:noProof/>
                      <w:lang w:val="en-AU"/>
                    </w:rPr>
                  </m:ctrlPr>
                </m:sSubPr>
                <m:e>
                  <m:r>
                    <w:rPr>
                      <w:rFonts w:ascii="Cambria Math" w:hAnsi="Cambria Math"/>
                      <w:noProof/>
                      <w:lang w:val="en-AU"/>
                    </w:rPr>
                    <m:t>b</m:t>
                  </m:r>
                </m:e>
                <m:sub>
                  <m:r>
                    <w:rPr>
                      <w:rFonts w:ascii="Cambria Math" w:hAnsi="Cambria Math"/>
                      <w:noProof/>
                      <w:lang w:val="en-AU"/>
                    </w:rPr>
                    <m:t>t</m:t>
                  </m:r>
                </m:sub>
              </m:sSub>
              <m:r>
                <w:rPr>
                  <w:rFonts w:ascii="Cambria Math" w:hAnsi="Cambria Math"/>
                  <w:noProof/>
                  <w:lang w:val="en-AU"/>
                </w:rPr>
                <m:t>+</m:t>
              </m:r>
              <m:sSub>
                <m:sSubPr>
                  <m:ctrlPr>
                    <w:rPr>
                      <w:rFonts w:ascii="Cambria Math" w:hAnsi="Cambria Math"/>
                      <w:noProof/>
                      <w:lang w:val="en-AU"/>
                    </w:rPr>
                  </m:ctrlPr>
                </m:sSubPr>
                <m:e>
                  <m:func>
                    <m:funcPr>
                      <m:ctrlPr>
                        <w:rPr>
                          <w:rFonts w:ascii="Cambria Math" w:hAnsi="Cambria Math"/>
                          <w:i w:val="0"/>
                          <w:noProof/>
                          <w:lang w:val="en-AU"/>
                        </w:rPr>
                      </m:ctrlPr>
                    </m:funcPr>
                    <m:fName>
                      <m:r>
                        <w:rPr>
                          <w:rFonts w:ascii="Cambria Math" w:hAnsi="Cambria Math"/>
                          <w:noProof/>
                          <w:lang w:val="en-AU"/>
                        </w:rPr>
                        <m:t>log</m:t>
                      </m:r>
                    </m:fName>
                    <m:e>
                      <m:d>
                        <m:dPr>
                          <m:ctrlPr>
                            <w:rPr>
                              <w:rFonts w:ascii="Cambria Math" w:hAnsi="Cambria Math"/>
                              <w:noProof/>
                              <w:lang w:val="en-AU"/>
                            </w:rPr>
                          </m:ctrlPr>
                        </m:dPr>
                        <m:e>
                          <m:r>
                            <w:rPr>
                              <w:rFonts w:ascii="Cambria Math" w:hAnsi="Cambria Math"/>
                              <w:noProof/>
                              <w:lang w:val="en-AU"/>
                            </w:rPr>
                            <m:t>X</m:t>
                          </m:r>
                        </m:e>
                      </m:d>
                    </m:e>
                  </m:func>
                </m:e>
                <m:sub>
                  <m:r>
                    <w:rPr>
                      <w:rFonts w:ascii="Cambria Math" w:hAnsi="Cambria Math"/>
                      <w:noProof/>
                      <w:lang w:val="en-AU"/>
                    </w:rPr>
                    <m:t>s,t</m:t>
                  </m:r>
                </m:sub>
              </m:sSub>
              <m:r>
                <w:rPr>
                  <w:rFonts w:ascii="Cambria Math" w:hAnsi="Cambria Math"/>
                  <w:noProof/>
                  <w:lang w:val="en-AU"/>
                </w:rPr>
                <m:t>δ</m:t>
              </m:r>
            </m:e>
          </m:func>
          <m:r>
            <w:rPr>
              <w:rFonts w:ascii="Cambria Math" w:hAnsi="Cambria Math"/>
              <w:noProof/>
              <w:lang w:val="en-AU"/>
            </w:rPr>
            <m:t>+</m:t>
          </m:r>
          <m:sSub>
            <m:sSubPr>
              <m:ctrlPr>
                <w:rPr>
                  <w:rFonts w:ascii="Cambria Math" w:hAnsi="Cambria Math"/>
                  <w:noProof/>
                  <w:lang w:val="en-AU"/>
                </w:rPr>
              </m:ctrlPr>
            </m:sSubPr>
            <m:e>
              <m:r>
                <w:rPr>
                  <w:rFonts w:ascii="Cambria Math" w:hAnsi="Cambria Math"/>
                  <w:noProof/>
                  <w:lang w:val="en-AU"/>
                </w:rPr>
                <m:t>ε</m:t>
              </m:r>
            </m:e>
            <m:sub>
              <m:r>
                <w:rPr>
                  <w:rFonts w:ascii="Cambria Math" w:hAnsi="Cambria Math"/>
                  <w:noProof/>
                  <w:lang w:val="en-AU"/>
                </w:rPr>
                <m:t>s,t</m:t>
              </m:r>
            </m:sub>
          </m:sSub>
        </m:oMath>
      </m:oMathPara>
    </w:p>
    <w:p w14:paraId="3891A22A" w14:textId="77777777" w:rsidR="0016647F" w:rsidRPr="000D61D1" w:rsidRDefault="0016647F" w:rsidP="0016647F">
      <w:pPr>
        <w:pStyle w:val="BodyText"/>
        <w:rPr>
          <w:lang w:val="en-AU" w:bidi="bn-BD"/>
        </w:rPr>
      </w:pPr>
      <w:r w:rsidRPr="000D61D1">
        <w:rPr>
          <w:lang w:val="en-AU" w:bidi="bn-BD"/>
        </w:rPr>
        <w:t xml:space="preserve">Where </w:t>
      </w:r>
      <w:r w:rsidRPr="000D61D1">
        <w:rPr>
          <w:i/>
          <w:lang w:val="en-AU" w:bidi="bn-BD"/>
        </w:rPr>
        <w:t>Y</w:t>
      </w:r>
      <w:r w:rsidRPr="000D61D1">
        <w:rPr>
          <w:lang w:val="en-AU" w:bidi="bn-BD"/>
        </w:rPr>
        <w:t xml:space="preserve"> is the outcome variable of interest. In our analysis </w:t>
      </w:r>
      <w:r w:rsidRPr="000D61D1">
        <w:rPr>
          <w:i/>
          <w:lang w:val="en-AU" w:bidi="bn-BD"/>
        </w:rPr>
        <w:t>Y</w:t>
      </w:r>
      <w:r w:rsidRPr="000D61D1">
        <w:rPr>
          <w:lang w:val="en-AU" w:bidi="bn-BD"/>
        </w:rPr>
        <w:t xml:space="preserve"> will be total sales value, property price, property turnover or rental price. On the </w:t>
      </w:r>
      <w:proofErr w:type="gramStart"/>
      <w:r w:rsidRPr="000D61D1">
        <w:rPr>
          <w:lang w:val="en-AU" w:bidi="bn-BD"/>
        </w:rPr>
        <w:t>left hand</w:t>
      </w:r>
      <w:proofErr w:type="gramEnd"/>
      <w:r w:rsidRPr="000D61D1">
        <w:rPr>
          <w:lang w:val="en-AU" w:bidi="bn-BD"/>
        </w:rPr>
        <w:t xml:space="preserve"> side, we capture the effect of the ACT reform as β, the coefficient on the treatment dummy. A suburb fixed effect </w:t>
      </w:r>
      <w:r w:rsidRPr="000D61D1">
        <w:rPr>
          <w:i/>
          <w:lang w:val="en-AU" w:bidi="bn-BD"/>
        </w:rPr>
        <w:t>a</w:t>
      </w:r>
      <w:r w:rsidRPr="000D61D1">
        <w:rPr>
          <w:i/>
          <w:vertAlign w:val="subscript"/>
          <w:lang w:val="en-AU" w:bidi="bn-BD"/>
        </w:rPr>
        <w:t>s</w:t>
      </w:r>
      <w:r w:rsidRPr="000D61D1">
        <w:rPr>
          <w:lang w:val="en-AU" w:bidi="bn-BD"/>
        </w:rPr>
        <w:t xml:space="preserve">, captures all time-invariant characteristics </w:t>
      </w:r>
      <w:proofErr w:type="gramStart"/>
      <w:r w:rsidRPr="000D61D1">
        <w:rPr>
          <w:lang w:val="en-AU" w:bidi="bn-BD"/>
        </w:rPr>
        <w:t>in a given</w:t>
      </w:r>
      <w:proofErr w:type="gramEnd"/>
      <w:r w:rsidRPr="000D61D1">
        <w:rPr>
          <w:lang w:val="en-AU" w:bidi="bn-BD"/>
        </w:rPr>
        <w:t xml:space="preserve"> suburb. The fixed effect variable is 1 for a specific suburb </w:t>
      </w:r>
      <w:r w:rsidRPr="000D61D1">
        <w:rPr>
          <w:i/>
          <w:lang w:val="en-AU" w:bidi="bn-BD"/>
        </w:rPr>
        <w:t>s</w:t>
      </w:r>
      <w:r w:rsidRPr="000D61D1">
        <w:rPr>
          <w:lang w:val="en-AU" w:bidi="bn-BD"/>
        </w:rPr>
        <w:t xml:space="preserve"> over all periods and zero otherwise. A time-specific effect, </w:t>
      </w:r>
      <w:proofErr w:type="spellStart"/>
      <w:r w:rsidRPr="000D61D1">
        <w:rPr>
          <w:i/>
          <w:lang w:val="en-AU" w:bidi="bn-BD"/>
        </w:rPr>
        <w:t>b</w:t>
      </w:r>
      <w:r w:rsidRPr="000D61D1">
        <w:rPr>
          <w:i/>
          <w:vertAlign w:val="subscript"/>
          <w:lang w:val="en-AU" w:bidi="bn-BD"/>
        </w:rPr>
        <w:t>t</w:t>
      </w:r>
      <w:proofErr w:type="spellEnd"/>
      <w:r w:rsidRPr="000D61D1">
        <w:rPr>
          <w:lang w:val="en-AU" w:bidi="bn-BD"/>
        </w:rPr>
        <w:t>,</w:t>
      </w:r>
      <w:r w:rsidRPr="000D61D1">
        <w:rPr>
          <w:lang w:val="en-AU"/>
        </w:rPr>
        <w:t xml:space="preserve"> </w:t>
      </w:r>
      <w:r w:rsidRPr="000D61D1">
        <w:rPr>
          <w:lang w:val="en-AU" w:bidi="bn-BD"/>
        </w:rPr>
        <w:t xml:space="preserve">controls for common shocks to the across jurisdictions affecting both treated and untreated groups. This could be business cycle effects or common changes to federal regulation. The time fixed effects variable is 1 for a specific month </w:t>
      </w:r>
      <w:r w:rsidRPr="000D61D1">
        <w:rPr>
          <w:i/>
          <w:lang w:val="en-AU" w:bidi="bn-BD"/>
        </w:rPr>
        <w:t>t</w:t>
      </w:r>
      <w:r w:rsidRPr="000D61D1">
        <w:rPr>
          <w:lang w:val="en-AU" w:bidi="bn-BD"/>
        </w:rPr>
        <w:t xml:space="preserve"> across all suburbs and zero otherwise. </w:t>
      </w:r>
    </w:p>
    <w:p w14:paraId="4606EB04" w14:textId="0D6124F5" w:rsidR="0016647F" w:rsidRPr="000D61D1" w:rsidRDefault="0016647F" w:rsidP="0016647F">
      <w:pPr>
        <w:pStyle w:val="BodyText"/>
        <w:rPr>
          <w:lang w:val="en-AU" w:bidi="bn-BD"/>
        </w:rPr>
      </w:pPr>
      <w:r w:rsidRPr="000D61D1">
        <w:rPr>
          <w:lang w:val="en-AU" w:bidi="bn-BD"/>
        </w:rPr>
        <w:t>While this</w:t>
      </w:r>
      <w:r w:rsidR="002B5D25" w:rsidRPr="000D61D1">
        <w:rPr>
          <w:lang w:val="en-AU" w:bidi="bn-BD"/>
        </w:rPr>
        <w:t xml:space="preserve"> generalised</w:t>
      </w:r>
      <w:r w:rsidR="002B5D25" w:rsidRPr="000D61D1" w:rsidDel="002B5D25">
        <w:rPr>
          <w:lang w:val="en-AU" w:bidi="bn-BD"/>
        </w:rPr>
        <w:t xml:space="preserve"> </w:t>
      </w:r>
      <w:r w:rsidRPr="000D61D1">
        <w:rPr>
          <w:lang w:val="en-AU" w:bidi="bn-BD"/>
        </w:rPr>
        <w:t xml:space="preserve">difference-in-difference specification can control for group specific effects and common effects over time, it does not control for group specific effect which vary over time. For example, if the ACT </w:t>
      </w:r>
      <w:r w:rsidR="007A35C3" w:rsidRPr="000D61D1">
        <w:rPr>
          <w:lang w:val="en-AU" w:bidi="bn-BD"/>
        </w:rPr>
        <w:t>experienced</w:t>
      </w:r>
      <w:r w:rsidRPr="000D61D1">
        <w:rPr>
          <w:lang w:val="en-AU" w:bidi="bn-BD"/>
        </w:rPr>
        <w:t xml:space="preserve"> </w:t>
      </w:r>
      <w:r w:rsidR="007A35C3" w:rsidRPr="000D61D1">
        <w:rPr>
          <w:lang w:val="en-AU" w:bidi="bn-BD"/>
        </w:rPr>
        <w:t>dis</w:t>
      </w:r>
      <w:r w:rsidRPr="000D61D1">
        <w:rPr>
          <w:lang w:val="en-AU" w:bidi="bn-BD"/>
        </w:rPr>
        <w:t>proportional</w:t>
      </w:r>
      <w:r w:rsidR="007A35C3" w:rsidRPr="000D61D1">
        <w:rPr>
          <w:lang w:val="en-AU" w:bidi="bn-BD"/>
        </w:rPr>
        <w:t>ly</w:t>
      </w:r>
      <w:r w:rsidRPr="000D61D1">
        <w:rPr>
          <w:lang w:val="en-AU" w:bidi="bn-BD"/>
        </w:rPr>
        <w:t xml:space="preserve"> large immigration</w:t>
      </w:r>
      <w:r w:rsidR="007A35C3" w:rsidRPr="000D61D1">
        <w:rPr>
          <w:lang w:val="en-AU" w:bidi="bn-BD"/>
        </w:rPr>
        <w:t>,</w:t>
      </w:r>
      <w:r w:rsidRPr="000D61D1">
        <w:rPr>
          <w:lang w:val="en-AU" w:bidi="bn-BD"/>
        </w:rPr>
        <w:t xml:space="preserve"> compared to all other states, </w:t>
      </w:r>
      <w:r w:rsidR="007A35C3" w:rsidRPr="000D61D1">
        <w:rPr>
          <w:lang w:val="en-AU" w:bidi="bn-BD"/>
        </w:rPr>
        <w:t xml:space="preserve">this </w:t>
      </w:r>
      <w:r w:rsidRPr="000D61D1">
        <w:rPr>
          <w:lang w:val="en-AU" w:bidi="bn-BD"/>
        </w:rPr>
        <w:t xml:space="preserve">might in turn </w:t>
      </w:r>
      <w:r w:rsidR="007A35C3" w:rsidRPr="000D61D1">
        <w:rPr>
          <w:lang w:val="en-AU" w:bidi="bn-BD"/>
        </w:rPr>
        <w:t>a</w:t>
      </w:r>
      <w:r w:rsidRPr="000D61D1">
        <w:rPr>
          <w:lang w:val="en-AU" w:bidi="bn-BD"/>
        </w:rPr>
        <w:t>ffect the housing market. In order to control for such effects, we might want to use extra state level controls. The variable</w:t>
      </w:r>
      <w:r w:rsidR="005E186C" w:rsidRPr="000D61D1">
        <w:rPr>
          <w:lang w:val="en-AU" w:bidi="bn-BD"/>
        </w:rPr>
        <w:t>s</w:t>
      </w:r>
      <w:r w:rsidRPr="000D61D1">
        <w:rPr>
          <w:lang w:val="en-AU" w:bidi="bn-BD"/>
        </w:rPr>
        <w:t xml:space="preserve"> </w:t>
      </w:r>
      <w:proofErr w:type="spellStart"/>
      <w:r w:rsidRPr="000D61D1">
        <w:rPr>
          <w:i/>
          <w:lang w:val="en-AU" w:bidi="bn-BD"/>
        </w:rPr>
        <w:t>X</w:t>
      </w:r>
      <w:r w:rsidRPr="000D61D1">
        <w:rPr>
          <w:i/>
          <w:vertAlign w:val="subscript"/>
          <w:lang w:val="en-AU" w:bidi="bn-BD"/>
        </w:rPr>
        <w:t>st</w:t>
      </w:r>
      <w:proofErr w:type="spellEnd"/>
      <w:r w:rsidRPr="000D61D1">
        <w:rPr>
          <w:lang w:val="en-AU" w:bidi="bn-BD"/>
        </w:rPr>
        <w:t xml:space="preserve"> represent such extra controls in the specification. </w:t>
      </w:r>
    </w:p>
    <w:p w14:paraId="029B0C77" w14:textId="514B8002" w:rsidR="002A07F4" w:rsidRPr="000D61D1" w:rsidRDefault="0016647F" w:rsidP="0016647F">
      <w:pPr>
        <w:pStyle w:val="BodyText"/>
        <w:rPr>
          <w:lang w:val="en-AU" w:bidi="bn-BD"/>
        </w:rPr>
      </w:pPr>
      <w:r w:rsidRPr="000D61D1">
        <w:rPr>
          <w:lang w:val="en-AU" w:bidi="bn-BD"/>
        </w:rPr>
        <w:t>We use quarterly population data from the ABS</w:t>
      </w:r>
      <w:r w:rsidRPr="000D61D1">
        <w:rPr>
          <w:rStyle w:val="FootnoteReference"/>
          <w:rFonts w:cstheme="minorHAnsi"/>
          <w:lang w:val="en-AU" w:bidi="bn-BD"/>
        </w:rPr>
        <w:footnoteReference w:id="5"/>
      </w:r>
      <w:r w:rsidRPr="000D61D1">
        <w:rPr>
          <w:lang w:val="en-AU" w:bidi="bn-BD"/>
        </w:rPr>
        <w:t xml:space="preserve"> as well as data on States’ average annual disposable income from the ABS</w:t>
      </w:r>
      <w:r w:rsidRPr="000D61D1">
        <w:rPr>
          <w:rStyle w:val="FootnoteReference"/>
          <w:rFonts w:cstheme="minorHAnsi"/>
          <w:lang w:val="en-AU" w:bidi="bn-BD"/>
        </w:rPr>
        <w:footnoteReference w:id="6"/>
      </w:r>
      <w:r w:rsidRPr="000D61D1">
        <w:rPr>
          <w:lang w:val="en-AU" w:bidi="bn-BD"/>
        </w:rPr>
        <w:t xml:space="preserve">. We also source annual federal public service employee data </w:t>
      </w:r>
      <w:r w:rsidRPr="000D61D1">
        <w:rPr>
          <w:lang w:val="en-AU" w:bidi="bn-BD"/>
        </w:rPr>
        <w:lastRenderedPageBreak/>
        <w:t xml:space="preserve">by location from the </w:t>
      </w:r>
      <w:r w:rsidR="002A07F4" w:rsidRPr="000D61D1">
        <w:rPr>
          <w:lang w:val="en-AU" w:bidi="bn-BD"/>
        </w:rPr>
        <w:t>Australian Public Service (</w:t>
      </w:r>
      <w:r w:rsidRPr="000D61D1">
        <w:rPr>
          <w:lang w:val="en-AU" w:bidi="bn-BD"/>
        </w:rPr>
        <w:t>APS</w:t>
      </w:r>
      <w:r w:rsidR="002A07F4" w:rsidRPr="000D61D1">
        <w:rPr>
          <w:lang w:val="en-AU" w:bidi="bn-BD"/>
        </w:rPr>
        <w:t>)</w:t>
      </w:r>
      <w:r w:rsidRPr="000D61D1">
        <w:rPr>
          <w:lang w:val="en-AU" w:bidi="bn-BD"/>
        </w:rPr>
        <w:t>.</w:t>
      </w:r>
      <w:r w:rsidR="00BB4E4B" w:rsidRPr="000D61D1">
        <w:rPr>
          <w:rStyle w:val="FootnoteReference"/>
          <w:lang w:val="en-AU" w:bidi="bn-BD"/>
        </w:rPr>
        <w:footnoteReference w:id="7"/>
      </w:r>
      <w:r w:rsidRPr="000D61D1">
        <w:rPr>
          <w:lang w:val="en-AU" w:bidi="bn-BD"/>
        </w:rPr>
        <w:t xml:space="preserve"> </w:t>
      </w:r>
      <w:r w:rsidR="002A07F4" w:rsidRPr="000D61D1">
        <w:rPr>
          <w:lang w:val="en-AU" w:bidi="bn-BD"/>
        </w:rPr>
        <w:t xml:space="preserve">The advantage of adding extra control variables into the regression is two-fold.  First, we explain more of the variation in house prices which leads to a more precise estimate of the policy effect.  Secondly, if there are differences in the housing markets in different areas which are captured by the </w:t>
      </w:r>
      <w:r w:rsidR="005060E0" w:rsidRPr="000D61D1">
        <w:rPr>
          <w:lang w:val="en-AU" w:bidi="bn-BD"/>
        </w:rPr>
        <w:t>control</w:t>
      </w:r>
      <w:r w:rsidR="00C717F6" w:rsidRPr="000D61D1">
        <w:rPr>
          <w:lang w:val="en-AU" w:bidi="bn-BD"/>
        </w:rPr>
        <w:t xml:space="preserve"> variable</w:t>
      </w:r>
      <w:r w:rsidR="005060E0" w:rsidRPr="000D61D1">
        <w:rPr>
          <w:lang w:val="en-AU" w:bidi="bn-BD"/>
        </w:rPr>
        <w:t>s</w:t>
      </w:r>
      <w:r w:rsidR="002A07F4" w:rsidRPr="000D61D1">
        <w:rPr>
          <w:lang w:val="en-AU" w:bidi="bn-BD"/>
        </w:rPr>
        <w:t xml:space="preserve">, we are less likely to erroneously attribute other changes to the policy.  Of course, this would not be true if the evolution of those control variables happened in coincidence with the policy changes.  In this latter case, we would not be able to separate the effects of the policy from the effects of the changes in the control variables.  </w:t>
      </w:r>
    </w:p>
    <w:p w14:paraId="5A9871CE" w14:textId="507CAE82" w:rsidR="0016647F" w:rsidRPr="000D61D1" w:rsidRDefault="0016647F" w:rsidP="0016647F">
      <w:pPr>
        <w:pStyle w:val="BodyText"/>
        <w:rPr>
          <w:lang w:val="en-AU" w:bidi="bn-BD"/>
        </w:rPr>
      </w:pPr>
      <w:r w:rsidRPr="000D61D1">
        <w:rPr>
          <w:lang w:val="en-AU" w:bidi="bn-BD"/>
        </w:rPr>
        <w:t xml:space="preserve">We check for </w:t>
      </w:r>
      <w:r w:rsidR="002A07F4" w:rsidRPr="000D61D1">
        <w:rPr>
          <w:lang w:val="en-AU" w:bidi="bn-BD"/>
        </w:rPr>
        <w:t xml:space="preserve">this problem of co-movement between the reform and important control variables </w:t>
      </w:r>
      <w:r w:rsidRPr="000D61D1">
        <w:rPr>
          <w:lang w:val="en-AU" w:bidi="bn-BD"/>
        </w:rPr>
        <w:t>with a post-regression analysis of the correlation matrix. The more correlation between the reform variable and any of the added controls</w:t>
      </w:r>
      <w:r w:rsidR="007A35C3" w:rsidRPr="000D61D1">
        <w:rPr>
          <w:lang w:val="en-AU" w:bidi="bn-BD"/>
        </w:rPr>
        <w:t>,</w:t>
      </w:r>
      <w:r w:rsidRPr="000D61D1">
        <w:rPr>
          <w:lang w:val="en-AU" w:bidi="bn-BD"/>
        </w:rPr>
        <w:t xml:space="preserve"> the </w:t>
      </w:r>
      <w:r w:rsidR="002A07F4" w:rsidRPr="000D61D1">
        <w:rPr>
          <w:lang w:val="en-AU" w:bidi="bn-BD"/>
        </w:rPr>
        <w:t>more difficult it will be to estimate the impact of the reform</w:t>
      </w:r>
      <w:r w:rsidRPr="000D61D1">
        <w:rPr>
          <w:lang w:val="en-AU" w:bidi="bn-BD"/>
        </w:rPr>
        <w:t>. Correlation values in excess of 0.55 should give great concern. In the results section we therefore report</w:t>
      </w:r>
      <w:r w:rsidR="007A35C3" w:rsidRPr="000D61D1">
        <w:rPr>
          <w:lang w:val="en-AU" w:bidi="bn-BD"/>
        </w:rPr>
        <w:t>,</w:t>
      </w:r>
      <w:r w:rsidRPr="000D61D1">
        <w:rPr>
          <w:lang w:val="en-AU" w:bidi="bn-BD"/>
        </w:rPr>
        <w:t xml:space="preserve"> for each specification</w:t>
      </w:r>
      <w:r w:rsidR="007A35C3" w:rsidRPr="000D61D1">
        <w:rPr>
          <w:lang w:val="en-AU" w:bidi="bn-BD"/>
        </w:rPr>
        <w:t>,</w:t>
      </w:r>
      <w:r w:rsidRPr="000D61D1">
        <w:rPr>
          <w:lang w:val="en-AU" w:bidi="bn-BD"/>
        </w:rPr>
        <w:t xml:space="preserve"> a measure of the severity of multicollinearity. Since reporting the whole correlation matrix i</w:t>
      </w:r>
      <w:r w:rsidR="002A07F4" w:rsidRPr="000D61D1">
        <w:rPr>
          <w:lang w:val="en-AU" w:bidi="bn-BD"/>
        </w:rPr>
        <w:t>s</w:t>
      </w:r>
      <w:r w:rsidRPr="000D61D1">
        <w:rPr>
          <w:lang w:val="en-AU" w:bidi="bn-BD"/>
        </w:rPr>
        <w:t xml:space="preserve"> impractical</w:t>
      </w:r>
      <w:r w:rsidR="007A35C3" w:rsidRPr="000D61D1">
        <w:rPr>
          <w:lang w:val="en-AU" w:bidi="bn-BD"/>
        </w:rPr>
        <w:t>,</w:t>
      </w:r>
      <w:r w:rsidRPr="000D61D1">
        <w:rPr>
          <w:lang w:val="en-AU" w:bidi="bn-BD"/>
        </w:rPr>
        <w:t xml:space="preserve"> we report the largest correlation value from the correlation matrix as an indicator for each regression. </w:t>
      </w:r>
    </w:p>
    <w:p w14:paraId="2552C8C0" w14:textId="20F858AB" w:rsidR="0016647F" w:rsidRPr="000D61D1" w:rsidRDefault="0016647F" w:rsidP="0016647F">
      <w:pPr>
        <w:pStyle w:val="BodyText"/>
        <w:rPr>
          <w:lang w:val="en-AU" w:bidi="bn-BD"/>
        </w:rPr>
      </w:pPr>
      <w:r w:rsidRPr="000D61D1">
        <w:rPr>
          <w:lang w:val="en-AU" w:bidi="bn-BD"/>
        </w:rPr>
        <w:t>To verify the first assumption of the difference-in</w:t>
      </w:r>
      <w:r w:rsidR="007A35C3" w:rsidRPr="000D61D1">
        <w:rPr>
          <w:lang w:val="en-AU" w:bidi="bn-BD"/>
        </w:rPr>
        <w:t>-</w:t>
      </w:r>
      <w:r w:rsidRPr="000D61D1">
        <w:rPr>
          <w:lang w:val="en-AU" w:bidi="bn-BD"/>
        </w:rPr>
        <w:t xml:space="preserve">difference specification, the common trends assumption, we test if the pre-treatment trends in the treatment and control groups are similar. A typical way to test this assumption is to </w:t>
      </w:r>
      <w:r w:rsidR="002A07F4" w:rsidRPr="000D61D1">
        <w:rPr>
          <w:lang w:val="en-AU" w:bidi="bn-BD"/>
        </w:rPr>
        <w:t>estimate</w:t>
      </w:r>
      <w:r w:rsidRPr="000D61D1">
        <w:rPr>
          <w:lang w:val="en-AU" w:bidi="bn-BD"/>
        </w:rPr>
        <w:t xml:space="preserve"> a regression for the period before the policy implementation with a time trend specific to the treatment group. If the coefficient on the trend variable is significant it means that there is significant variation between treatment and control group</w:t>
      </w:r>
      <w:r w:rsidR="002A07F4" w:rsidRPr="000D61D1">
        <w:rPr>
          <w:lang w:val="en-AU" w:bidi="bn-BD"/>
        </w:rPr>
        <w:t>s</w:t>
      </w:r>
      <w:r w:rsidRPr="000D61D1">
        <w:rPr>
          <w:lang w:val="en-AU" w:bidi="bn-BD"/>
        </w:rPr>
        <w:t xml:space="preserve">. In this </w:t>
      </w:r>
      <w:r w:rsidR="007A35C3" w:rsidRPr="000D61D1">
        <w:rPr>
          <w:lang w:val="en-AU" w:bidi="bn-BD"/>
        </w:rPr>
        <w:t xml:space="preserve">case, the </w:t>
      </w:r>
      <w:r w:rsidRPr="000D61D1">
        <w:rPr>
          <w:lang w:val="en-AU" w:bidi="bn-BD"/>
        </w:rPr>
        <w:t xml:space="preserve">common trends assumption fails. If we </w:t>
      </w:r>
      <w:r w:rsidR="002A07F4" w:rsidRPr="000D61D1">
        <w:rPr>
          <w:lang w:val="en-AU" w:bidi="bn-BD"/>
        </w:rPr>
        <w:t xml:space="preserve">fail to </w:t>
      </w:r>
      <w:r w:rsidRPr="000D61D1">
        <w:rPr>
          <w:lang w:val="en-AU" w:bidi="bn-BD"/>
        </w:rPr>
        <w:t xml:space="preserve">reject </w:t>
      </w:r>
      <w:r w:rsidR="002A07F4" w:rsidRPr="000D61D1">
        <w:rPr>
          <w:lang w:val="en-AU" w:bidi="bn-BD"/>
        </w:rPr>
        <w:t xml:space="preserve">that </w:t>
      </w:r>
      <w:r w:rsidRPr="000D61D1">
        <w:rPr>
          <w:lang w:val="en-AU" w:bidi="bn-BD"/>
        </w:rPr>
        <w:t>the</w:t>
      </w:r>
      <w:r w:rsidR="002A07F4" w:rsidRPr="000D61D1">
        <w:rPr>
          <w:lang w:val="en-AU" w:bidi="bn-BD"/>
        </w:rPr>
        <w:t xml:space="preserve"> time</w:t>
      </w:r>
      <w:r w:rsidRPr="000D61D1">
        <w:rPr>
          <w:lang w:val="en-AU" w:bidi="bn-BD"/>
        </w:rPr>
        <w:t xml:space="preserve"> trend coefficient </w:t>
      </w:r>
      <w:r w:rsidR="002A07F4" w:rsidRPr="000D61D1">
        <w:rPr>
          <w:lang w:val="en-AU" w:bidi="bn-BD"/>
        </w:rPr>
        <w:t>i</w:t>
      </w:r>
      <w:r w:rsidR="007A35C3" w:rsidRPr="000D61D1">
        <w:rPr>
          <w:lang w:val="en-AU" w:bidi="bn-BD"/>
        </w:rPr>
        <w:t>s significantly</w:t>
      </w:r>
      <w:r w:rsidRPr="000D61D1">
        <w:rPr>
          <w:lang w:val="en-AU" w:bidi="bn-BD"/>
        </w:rPr>
        <w:t xml:space="preserve"> different from zero, we take this as support for our assumption</w:t>
      </w:r>
      <w:r w:rsidR="007A35C3" w:rsidRPr="000D61D1">
        <w:rPr>
          <w:lang w:val="en-AU" w:bidi="bn-BD"/>
        </w:rPr>
        <w:t xml:space="preserve"> of common trends</w:t>
      </w:r>
      <w:r w:rsidRPr="000D61D1">
        <w:rPr>
          <w:lang w:val="en-AU" w:bidi="bn-BD"/>
        </w:rPr>
        <w:t xml:space="preserve">. </w:t>
      </w:r>
      <w:r w:rsidR="004E149D" w:rsidRPr="000D61D1">
        <w:rPr>
          <w:lang w:val="en-AU" w:bidi="bn-BD"/>
        </w:rPr>
        <w:t>We discuss t</w:t>
      </w:r>
      <w:r w:rsidRPr="000D61D1">
        <w:rPr>
          <w:lang w:val="en-AU" w:bidi="bn-BD"/>
        </w:rPr>
        <w:t xml:space="preserve">est results and </w:t>
      </w:r>
      <w:r w:rsidR="004E149D" w:rsidRPr="000D61D1">
        <w:rPr>
          <w:lang w:val="en-AU" w:bidi="bn-BD"/>
        </w:rPr>
        <w:t xml:space="preserve">limitations </w:t>
      </w:r>
      <w:r w:rsidRPr="000D61D1">
        <w:rPr>
          <w:lang w:val="en-AU" w:bidi="bn-BD"/>
        </w:rPr>
        <w:t xml:space="preserve">in the </w:t>
      </w:r>
      <w:r w:rsidR="00AF5A2D" w:rsidRPr="000D61D1">
        <w:rPr>
          <w:lang w:val="en-AU"/>
        </w:rPr>
        <w:t xml:space="preserve">technical </w:t>
      </w:r>
      <w:r w:rsidRPr="000D61D1">
        <w:rPr>
          <w:lang w:val="en-AU" w:bidi="bn-BD"/>
        </w:rPr>
        <w:t xml:space="preserve">appendix.     </w:t>
      </w:r>
    </w:p>
    <w:p w14:paraId="73EC2A37" w14:textId="77777777" w:rsidR="0016647F" w:rsidRPr="000D61D1" w:rsidRDefault="0016647F" w:rsidP="00B64B3D">
      <w:pPr>
        <w:pStyle w:val="Heading3"/>
        <w:rPr>
          <w:lang w:val="en-AU"/>
        </w:rPr>
      </w:pPr>
      <w:bookmarkStart w:id="10" w:name="_Toc43911475"/>
      <w:r w:rsidRPr="000D61D1">
        <w:rPr>
          <w:lang w:val="en-AU" w:bidi="bn-BD"/>
        </w:rPr>
        <w:t>Data</w:t>
      </w:r>
      <w:bookmarkEnd w:id="10"/>
    </w:p>
    <w:p w14:paraId="461C7039" w14:textId="27FF993C" w:rsidR="0016647F" w:rsidRPr="000D61D1" w:rsidRDefault="0016647F" w:rsidP="0016647F">
      <w:pPr>
        <w:pStyle w:val="BodyText"/>
        <w:rPr>
          <w:lang w:val="en-AU"/>
        </w:rPr>
      </w:pPr>
      <w:r w:rsidRPr="000D61D1">
        <w:rPr>
          <w:lang w:val="en-AU"/>
        </w:rPr>
        <w:t xml:space="preserve">The main data we use for the analysis </w:t>
      </w:r>
      <w:r w:rsidR="002A07F4" w:rsidRPr="000D61D1">
        <w:rPr>
          <w:lang w:val="en-AU"/>
        </w:rPr>
        <w:t>are</w:t>
      </w:r>
      <w:r w:rsidRPr="000D61D1">
        <w:rPr>
          <w:lang w:val="en-AU"/>
        </w:rPr>
        <w:t xml:space="preserve"> monthly</w:t>
      </w:r>
      <w:r w:rsidR="00023032" w:rsidRPr="000D61D1">
        <w:rPr>
          <w:lang w:val="en-AU"/>
        </w:rPr>
        <w:t>,</w:t>
      </w:r>
      <w:r w:rsidRPr="000D61D1">
        <w:rPr>
          <w:lang w:val="en-AU"/>
        </w:rPr>
        <w:t xml:space="preserve"> suburb</w:t>
      </w:r>
      <w:r w:rsidR="00023032" w:rsidRPr="000D61D1">
        <w:rPr>
          <w:lang w:val="en-AU"/>
        </w:rPr>
        <w:t>-l</w:t>
      </w:r>
      <w:r w:rsidRPr="000D61D1">
        <w:rPr>
          <w:lang w:val="en-AU"/>
        </w:rPr>
        <w:t xml:space="preserve">evel property sales data from </w:t>
      </w:r>
      <w:proofErr w:type="spellStart"/>
      <w:r w:rsidRPr="000D61D1">
        <w:rPr>
          <w:lang w:val="en-AU"/>
        </w:rPr>
        <w:t>Corelogic</w:t>
      </w:r>
      <w:proofErr w:type="spellEnd"/>
      <w:r w:rsidRPr="000D61D1">
        <w:rPr>
          <w:lang w:val="en-AU"/>
        </w:rPr>
        <w:t>. The data capture 3 years before the ACT reform and 7 years after the reform from 2009-2019 th</w:t>
      </w:r>
      <w:r w:rsidR="004E6121" w:rsidRPr="000D61D1">
        <w:rPr>
          <w:lang w:val="en-AU"/>
        </w:rPr>
        <w:t>us</w:t>
      </w:r>
      <w:r w:rsidRPr="000D61D1">
        <w:rPr>
          <w:lang w:val="en-AU"/>
        </w:rPr>
        <w:t xml:space="preserve"> allow</w:t>
      </w:r>
      <w:r w:rsidR="004E6121" w:rsidRPr="000D61D1">
        <w:rPr>
          <w:lang w:val="en-AU"/>
        </w:rPr>
        <w:t>ing</w:t>
      </w:r>
      <w:r w:rsidRPr="000D61D1">
        <w:rPr>
          <w:lang w:val="en-AU"/>
        </w:rPr>
        <w:t xml:space="preserve"> us to implement a difference-in-difference methodology. </w:t>
      </w:r>
    </w:p>
    <w:p w14:paraId="4C0A1871" w14:textId="49F1FD08" w:rsidR="0016647F" w:rsidRPr="000D61D1" w:rsidRDefault="0016647F" w:rsidP="0016647F">
      <w:pPr>
        <w:pStyle w:val="BodyText"/>
        <w:rPr>
          <w:lang w:val="en-AU"/>
        </w:rPr>
      </w:pPr>
      <w:r w:rsidRPr="000D61D1">
        <w:rPr>
          <w:lang w:val="en-AU"/>
        </w:rPr>
        <w:t>We observe over 10</w:t>
      </w:r>
      <w:r w:rsidR="005E673C" w:rsidRPr="000D61D1">
        <w:rPr>
          <w:lang w:val="en-AU"/>
        </w:rPr>
        <w:t>,</w:t>
      </w:r>
      <w:r w:rsidRPr="000D61D1">
        <w:rPr>
          <w:lang w:val="en-AU"/>
        </w:rPr>
        <w:t>000 suburbs</w:t>
      </w:r>
      <w:r w:rsidRPr="000D61D1">
        <w:rPr>
          <w:rStyle w:val="FootnoteReference"/>
          <w:lang w:val="en-AU"/>
        </w:rPr>
        <w:footnoteReference w:id="8"/>
      </w:r>
      <w:r w:rsidRPr="000D61D1">
        <w:rPr>
          <w:lang w:val="en-AU"/>
        </w:rPr>
        <w:t xml:space="preserve"> across all states and territories in the data</w:t>
      </w:r>
      <w:r w:rsidR="004E6121" w:rsidRPr="000D61D1">
        <w:rPr>
          <w:lang w:val="en-AU"/>
        </w:rPr>
        <w:t xml:space="preserve"> for a</w:t>
      </w:r>
      <w:r w:rsidRPr="000D61D1">
        <w:rPr>
          <w:lang w:val="en-AU"/>
        </w:rPr>
        <w:t xml:space="preserve"> total of 770</w:t>
      </w:r>
      <w:r w:rsidR="005E673C" w:rsidRPr="000D61D1">
        <w:rPr>
          <w:lang w:val="en-AU"/>
        </w:rPr>
        <w:t>,</w:t>
      </w:r>
      <w:r w:rsidRPr="000D61D1">
        <w:rPr>
          <w:lang w:val="en-AU"/>
        </w:rPr>
        <w:t>000 suburb-month observations where there was at least one sold property.</w:t>
      </w:r>
      <w:r w:rsidR="004E149D" w:rsidRPr="000D61D1">
        <w:rPr>
          <w:rStyle w:val="FootnoteReference"/>
          <w:lang w:val="en-AU"/>
        </w:rPr>
        <w:footnoteReference w:id="9"/>
      </w:r>
      <w:r w:rsidRPr="000D61D1">
        <w:rPr>
          <w:lang w:val="en-AU"/>
        </w:rPr>
        <w:t xml:space="preserve"> The </w:t>
      </w:r>
      <w:proofErr w:type="spellStart"/>
      <w:r w:rsidRPr="000D61D1">
        <w:rPr>
          <w:lang w:val="en-AU"/>
        </w:rPr>
        <w:t>Corelogic</w:t>
      </w:r>
      <w:proofErr w:type="spellEnd"/>
      <w:r w:rsidRPr="000D61D1">
        <w:rPr>
          <w:lang w:val="en-AU"/>
        </w:rPr>
        <w:t xml:space="preserve"> data contain</w:t>
      </w:r>
      <w:r w:rsidR="00EF3900" w:rsidRPr="000D61D1">
        <w:rPr>
          <w:lang w:val="en-AU"/>
        </w:rPr>
        <w:t>,</w:t>
      </w:r>
      <w:r w:rsidRPr="000D61D1">
        <w:rPr>
          <w:lang w:val="en-AU"/>
        </w:rPr>
        <w:t xml:space="preserve"> for each property type (Houses or Units)</w:t>
      </w:r>
      <w:r w:rsidR="00EF3900" w:rsidRPr="000D61D1">
        <w:rPr>
          <w:lang w:val="en-AU"/>
        </w:rPr>
        <w:t>,</w:t>
      </w:r>
      <w:r w:rsidRPr="000D61D1">
        <w:rPr>
          <w:lang w:val="en-AU"/>
        </w:rPr>
        <w:t xml:space="preserve"> the number of properties </w:t>
      </w:r>
      <w:r w:rsidR="00EF3900" w:rsidRPr="000D61D1">
        <w:rPr>
          <w:lang w:val="en-AU"/>
        </w:rPr>
        <w:t xml:space="preserve">sold </w:t>
      </w:r>
      <w:r w:rsidRPr="000D61D1">
        <w:rPr>
          <w:lang w:val="en-AU"/>
        </w:rPr>
        <w:t>in the suburb</w:t>
      </w:r>
      <w:r w:rsidR="00EF3900" w:rsidRPr="000D61D1">
        <w:rPr>
          <w:lang w:val="en-AU"/>
        </w:rPr>
        <w:t xml:space="preserve"> each month and</w:t>
      </w:r>
      <w:r w:rsidRPr="000D61D1">
        <w:rPr>
          <w:lang w:val="en-AU"/>
        </w:rPr>
        <w:t xml:space="preserve"> the median sale price for the suburb</w:t>
      </w:r>
      <w:r w:rsidR="00EF3900" w:rsidRPr="000D61D1">
        <w:rPr>
          <w:lang w:val="en-AU"/>
        </w:rPr>
        <w:t xml:space="preserve">. </w:t>
      </w:r>
      <w:r w:rsidRPr="000D61D1">
        <w:rPr>
          <w:lang w:val="en-AU"/>
        </w:rPr>
        <w:t xml:space="preserve"> </w:t>
      </w:r>
      <w:r w:rsidR="00EF3900" w:rsidRPr="000D61D1">
        <w:rPr>
          <w:lang w:val="en-AU"/>
        </w:rPr>
        <w:t>T</w:t>
      </w:r>
      <w:r w:rsidRPr="000D61D1">
        <w:rPr>
          <w:lang w:val="en-AU"/>
        </w:rPr>
        <w:t xml:space="preserve">he </w:t>
      </w:r>
      <w:r w:rsidR="00EF3900" w:rsidRPr="000D61D1">
        <w:rPr>
          <w:lang w:val="en-AU"/>
        </w:rPr>
        <w:t xml:space="preserve">data also contain the </w:t>
      </w:r>
      <w:r w:rsidRPr="000D61D1">
        <w:rPr>
          <w:lang w:val="en-AU"/>
        </w:rPr>
        <w:t xml:space="preserve">median value of advertised weekly rent in </w:t>
      </w:r>
      <w:r w:rsidR="00EF3900" w:rsidRPr="000D61D1">
        <w:rPr>
          <w:lang w:val="en-AU"/>
        </w:rPr>
        <w:t>each</w:t>
      </w:r>
      <w:r w:rsidRPr="000D61D1">
        <w:rPr>
          <w:lang w:val="en-AU"/>
        </w:rPr>
        <w:t xml:space="preserve"> suburb. More details on the </w:t>
      </w:r>
      <w:proofErr w:type="spellStart"/>
      <w:r w:rsidRPr="000D61D1">
        <w:rPr>
          <w:lang w:val="en-AU"/>
        </w:rPr>
        <w:t>Corelogic</w:t>
      </w:r>
      <w:proofErr w:type="spellEnd"/>
      <w:r w:rsidRPr="000D61D1">
        <w:rPr>
          <w:lang w:val="en-AU"/>
        </w:rPr>
        <w:t xml:space="preserve"> data and visualizations of the outcome variables over time can be found in the </w:t>
      </w:r>
      <w:r w:rsidR="00AF5A2D" w:rsidRPr="000D61D1">
        <w:rPr>
          <w:lang w:val="en-AU"/>
        </w:rPr>
        <w:t>technical</w:t>
      </w:r>
      <w:r w:rsidR="000144EC" w:rsidRPr="000D61D1">
        <w:rPr>
          <w:lang w:val="en-AU"/>
        </w:rPr>
        <w:t xml:space="preserve"> </w:t>
      </w:r>
      <w:r w:rsidRPr="000D61D1">
        <w:rPr>
          <w:lang w:val="en-AU"/>
        </w:rPr>
        <w:t xml:space="preserve">appendix. </w:t>
      </w:r>
    </w:p>
    <w:p w14:paraId="7A38C8BB" w14:textId="546F715D" w:rsidR="00EF3900" w:rsidRPr="000D61D1" w:rsidRDefault="0016647F" w:rsidP="0016647F">
      <w:pPr>
        <w:pStyle w:val="BodyText"/>
        <w:rPr>
          <w:lang w:val="en-AU"/>
        </w:rPr>
      </w:pPr>
      <w:r w:rsidRPr="000D61D1">
        <w:rPr>
          <w:lang w:val="en-AU"/>
        </w:rPr>
        <w:t>All suburbs in the ACT belong to the treatment group</w:t>
      </w:r>
      <w:r w:rsidR="00EF3900" w:rsidRPr="000D61D1">
        <w:rPr>
          <w:lang w:val="en-AU"/>
        </w:rPr>
        <w:t>,</w:t>
      </w:r>
      <w:r w:rsidRPr="000D61D1">
        <w:rPr>
          <w:lang w:val="en-AU"/>
        </w:rPr>
        <w:t xml:space="preserve"> which had the tax reform introduced in 2012, all other states and territories are part of the control group. While this approach </w:t>
      </w:r>
      <w:r w:rsidR="008F4BBA">
        <w:rPr>
          <w:lang w:val="en-AU"/>
        </w:rPr>
        <w:t>uses</w:t>
      </w:r>
      <w:r w:rsidRPr="000D61D1">
        <w:rPr>
          <w:lang w:val="en-AU"/>
        </w:rPr>
        <w:t xml:space="preserve"> the maximum </w:t>
      </w:r>
      <w:r w:rsidR="00EF3900" w:rsidRPr="000D61D1">
        <w:rPr>
          <w:lang w:val="en-AU"/>
        </w:rPr>
        <w:t xml:space="preserve">quantity </w:t>
      </w:r>
      <w:r w:rsidRPr="000D61D1">
        <w:rPr>
          <w:lang w:val="en-AU"/>
        </w:rPr>
        <w:t>of available data</w:t>
      </w:r>
      <w:r w:rsidR="00EF3900" w:rsidRPr="000D61D1">
        <w:rPr>
          <w:lang w:val="en-AU"/>
        </w:rPr>
        <w:t>,</w:t>
      </w:r>
      <w:r w:rsidRPr="000D61D1">
        <w:rPr>
          <w:lang w:val="en-AU"/>
        </w:rPr>
        <w:t xml:space="preserve"> it is not clear if the entirety of suburbs </w:t>
      </w:r>
      <w:r w:rsidR="004E6121" w:rsidRPr="000D61D1">
        <w:rPr>
          <w:lang w:val="en-AU"/>
        </w:rPr>
        <w:t>Australia-</w:t>
      </w:r>
      <w:r w:rsidR="004E6121" w:rsidRPr="000D61D1">
        <w:rPr>
          <w:lang w:val="en-AU"/>
        </w:rPr>
        <w:lastRenderedPageBreak/>
        <w:t xml:space="preserve">wide </w:t>
      </w:r>
      <w:r w:rsidRPr="000D61D1">
        <w:rPr>
          <w:lang w:val="en-AU"/>
        </w:rPr>
        <w:t>outside of the ACT is</w:t>
      </w:r>
      <w:r w:rsidR="00EF3900" w:rsidRPr="000D61D1">
        <w:rPr>
          <w:lang w:val="en-AU"/>
        </w:rPr>
        <w:t xml:space="preserve"> the appropriate</w:t>
      </w:r>
      <w:r w:rsidRPr="000D61D1">
        <w:rPr>
          <w:lang w:val="en-AU"/>
        </w:rPr>
        <w:t xml:space="preserve"> control group. </w:t>
      </w:r>
      <w:r w:rsidR="00EF3900" w:rsidRPr="000D61D1">
        <w:rPr>
          <w:lang w:val="en-AU"/>
        </w:rPr>
        <w:t>Recall that the control group should be formed from those areas whose property markets evolve similarly to that in the ACT.</w:t>
      </w:r>
    </w:p>
    <w:p w14:paraId="2DDD0006" w14:textId="2C2CA12E" w:rsidR="008F4BBA" w:rsidRDefault="008F4BBA" w:rsidP="0016647F">
      <w:pPr>
        <w:pStyle w:val="BodyText"/>
        <w:rPr>
          <w:lang w:val="en-AU"/>
        </w:rPr>
      </w:pPr>
      <w:r>
        <w:rPr>
          <w:lang w:val="en-AU"/>
        </w:rPr>
        <w:t>Therefore, w</w:t>
      </w:r>
      <w:r w:rsidR="0016647F" w:rsidRPr="000D61D1">
        <w:rPr>
          <w:lang w:val="en-AU"/>
        </w:rPr>
        <w:t xml:space="preserve">e </w:t>
      </w:r>
      <w:r w:rsidR="004E6121" w:rsidRPr="000D61D1">
        <w:rPr>
          <w:lang w:val="en-AU"/>
        </w:rPr>
        <w:t>also</w:t>
      </w:r>
      <w:r w:rsidR="0016647F" w:rsidRPr="000D61D1">
        <w:rPr>
          <w:lang w:val="en-AU"/>
        </w:rPr>
        <w:t xml:space="preserve"> use different subset</w:t>
      </w:r>
      <w:r w:rsidR="00650A07" w:rsidRPr="000D61D1">
        <w:rPr>
          <w:lang w:val="en-AU"/>
        </w:rPr>
        <w:t>s</w:t>
      </w:r>
      <w:r w:rsidR="0016647F" w:rsidRPr="000D61D1">
        <w:rPr>
          <w:lang w:val="en-AU"/>
        </w:rPr>
        <w:t xml:space="preserve"> of the rest of Australia as alternative control groups in our robustness tests. </w:t>
      </w:r>
      <w:r w:rsidR="00EF3900" w:rsidRPr="000D61D1">
        <w:rPr>
          <w:lang w:val="en-AU"/>
        </w:rPr>
        <w:t xml:space="preserve">We use three </w:t>
      </w:r>
      <w:r w:rsidR="007B644D" w:rsidRPr="000D61D1">
        <w:rPr>
          <w:lang w:val="en-AU"/>
        </w:rPr>
        <w:t xml:space="preserve">regional </w:t>
      </w:r>
      <w:r w:rsidR="00EF3900" w:rsidRPr="000D61D1">
        <w:rPr>
          <w:lang w:val="en-AU"/>
        </w:rPr>
        <w:t>sub</w:t>
      </w:r>
      <w:r w:rsidR="007B644D" w:rsidRPr="000D61D1">
        <w:rPr>
          <w:lang w:val="en-AU"/>
        </w:rPr>
        <w:t xml:space="preserve">groups </w:t>
      </w:r>
      <w:r w:rsidR="00EF3900" w:rsidRPr="000D61D1">
        <w:rPr>
          <w:lang w:val="en-AU"/>
        </w:rPr>
        <w:t xml:space="preserve">to form alternative control groups: </w:t>
      </w:r>
      <w:r w:rsidR="007B644D" w:rsidRPr="000D61D1">
        <w:rPr>
          <w:lang w:val="en-AU"/>
        </w:rPr>
        <w:t>Australian States and Territories</w:t>
      </w:r>
      <w:r w:rsidR="00EF3900" w:rsidRPr="000D61D1">
        <w:rPr>
          <w:lang w:val="en-AU"/>
        </w:rPr>
        <w:t xml:space="preserve"> </w:t>
      </w:r>
      <w:r w:rsidR="0016647F" w:rsidRPr="000D61D1">
        <w:rPr>
          <w:lang w:val="en-AU"/>
        </w:rPr>
        <w:t>capital cities</w:t>
      </w:r>
      <w:r w:rsidR="00EF3900" w:rsidRPr="000D61D1">
        <w:rPr>
          <w:lang w:val="en-AU"/>
        </w:rPr>
        <w:t xml:space="preserve"> only</w:t>
      </w:r>
      <w:r w:rsidR="0016647F" w:rsidRPr="000D61D1">
        <w:rPr>
          <w:lang w:val="en-AU"/>
        </w:rPr>
        <w:t>; suburbs in</w:t>
      </w:r>
      <w:r w:rsidR="00EF3900" w:rsidRPr="000D61D1">
        <w:rPr>
          <w:lang w:val="en-AU"/>
        </w:rPr>
        <w:t xml:space="preserve"> the states of</w:t>
      </w:r>
      <w:r w:rsidR="0016647F" w:rsidRPr="000D61D1">
        <w:rPr>
          <w:lang w:val="en-AU"/>
        </w:rPr>
        <w:t xml:space="preserve"> </w:t>
      </w:r>
      <w:r w:rsidR="00EF3900" w:rsidRPr="000D61D1">
        <w:rPr>
          <w:lang w:val="en-AU"/>
        </w:rPr>
        <w:t>New South Wales (</w:t>
      </w:r>
      <w:r w:rsidR="0016647F" w:rsidRPr="000D61D1">
        <w:rPr>
          <w:lang w:val="en-AU"/>
        </w:rPr>
        <w:t>NSW</w:t>
      </w:r>
      <w:r w:rsidR="00EF3900" w:rsidRPr="000D61D1">
        <w:rPr>
          <w:lang w:val="en-AU"/>
        </w:rPr>
        <w:t>) and</w:t>
      </w:r>
      <w:r w:rsidR="0016647F" w:rsidRPr="000D61D1">
        <w:rPr>
          <w:lang w:val="en-AU"/>
        </w:rPr>
        <w:t xml:space="preserve"> </w:t>
      </w:r>
      <w:r w:rsidR="00EF3900" w:rsidRPr="000D61D1">
        <w:rPr>
          <w:lang w:val="en-AU"/>
        </w:rPr>
        <w:t>Victoria (</w:t>
      </w:r>
      <w:r w:rsidR="0016647F" w:rsidRPr="000D61D1">
        <w:rPr>
          <w:lang w:val="en-AU"/>
        </w:rPr>
        <w:t>VIC</w:t>
      </w:r>
      <w:r w:rsidR="00EF3900" w:rsidRPr="000D61D1">
        <w:rPr>
          <w:lang w:val="en-AU"/>
        </w:rPr>
        <w:t>)</w:t>
      </w:r>
      <w:r w:rsidR="0016647F" w:rsidRPr="000D61D1">
        <w:rPr>
          <w:lang w:val="en-AU"/>
        </w:rPr>
        <w:t xml:space="preserve"> </w:t>
      </w:r>
      <w:r w:rsidR="00EF3900" w:rsidRPr="000D61D1">
        <w:rPr>
          <w:lang w:val="en-AU"/>
        </w:rPr>
        <w:t xml:space="preserve">only; </w:t>
      </w:r>
      <w:r w:rsidR="0016647F" w:rsidRPr="000D61D1">
        <w:rPr>
          <w:lang w:val="en-AU"/>
        </w:rPr>
        <w:t xml:space="preserve">Melbourne and Sydney </w:t>
      </w:r>
      <w:r w:rsidR="00EF3900" w:rsidRPr="000D61D1">
        <w:rPr>
          <w:lang w:val="en-AU"/>
        </w:rPr>
        <w:t>only</w:t>
      </w:r>
      <w:r w:rsidR="0016647F" w:rsidRPr="000D61D1">
        <w:rPr>
          <w:lang w:val="en-AU"/>
        </w:rPr>
        <w:t>. Each of these sets of counterfactuals has fewer and fewer observation</w:t>
      </w:r>
      <w:r w:rsidR="00650A07" w:rsidRPr="000D61D1">
        <w:rPr>
          <w:lang w:val="en-AU"/>
        </w:rPr>
        <w:t>s,</w:t>
      </w:r>
      <w:r w:rsidR="0016647F" w:rsidRPr="000D61D1">
        <w:rPr>
          <w:lang w:val="en-AU"/>
        </w:rPr>
        <w:t xml:space="preserve"> which reduce</w:t>
      </w:r>
      <w:r w:rsidR="001F02DE" w:rsidRPr="000D61D1">
        <w:rPr>
          <w:lang w:val="en-AU"/>
        </w:rPr>
        <w:t>s</w:t>
      </w:r>
      <w:r w:rsidR="0016647F" w:rsidRPr="000D61D1">
        <w:rPr>
          <w:lang w:val="en-AU"/>
        </w:rPr>
        <w:t xml:space="preserve"> </w:t>
      </w:r>
      <w:r w:rsidR="001F02DE" w:rsidRPr="000D61D1">
        <w:rPr>
          <w:lang w:val="en-AU"/>
        </w:rPr>
        <w:t>the precision of the estimates and may negatively impact on</w:t>
      </w:r>
      <w:r w:rsidR="0016647F" w:rsidRPr="000D61D1">
        <w:rPr>
          <w:lang w:val="en-AU"/>
        </w:rPr>
        <w:t xml:space="preserve"> </w:t>
      </w:r>
      <w:r w:rsidR="004E6121" w:rsidRPr="000D61D1">
        <w:rPr>
          <w:lang w:val="en-AU"/>
        </w:rPr>
        <w:t>our ability to find an effect</w:t>
      </w:r>
      <w:r w:rsidR="001F02DE" w:rsidRPr="000D61D1">
        <w:rPr>
          <w:lang w:val="en-AU"/>
        </w:rPr>
        <w:t>.  Smaller samples also have the potential to worsen</w:t>
      </w:r>
      <w:r w:rsidR="0016647F" w:rsidRPr="000D61D1">
        <w:rPr>
          <w:lang w:val="en-AU"/>
        </w:rPr>
        <w:t xml:space="preserve"> the </w:t>
      </w:r>
      <w:r w:rsidR="00AF5A2D" w:rsidRPr="000D61D1">
        <w:rPr>
          <w:lang w:val="en-AU"/>
        </w:rPr>
        <w:t xml:space="preserve">problem of </w:t>
      </w:r>
      <w:r w:rsidR="003E54B0" w:rsidRPr="000D61D1">
        <w:rPr>
          <w:lang w:val="en-AU"/>
        </w:rPr>
        <w:t xml:space="preserve">collinearity </w:t>
      </w:r>
      <w:r w:rsidR="001F02DE" w:rsidRPr="000D61D1">
        <w:rPr>
          <w:lang w:val="en-AU"/>
        </w:rPr>
        <w:t>from</w:t>
      </w:r>
      <w:r w:rsidR="00AF5A2D" w:rsidRPr="000D61D1">
        <w:rPr>
          <w:lang w:val="en-AU"/>
        </w:rPr>
        <w:t xml:space="preserve"> the </w:t>
      </w:r>
      <w:r w:rsidR="003968C2" w:rsidRPr="000D61D1">
        <w:rPr>
          <w:lang w:val="en-AU"/>
        </w:rPr>
        <w:t xml:space="preserve">inclusion </w:t>
      </w:r>
      <w:r w:rsidR="00AF5A2D" w:rsidRPr="000D61D1">
        <w:rPr>
          <w:lang w:val="en-AU"/>
        </w:rPr>
        <w:t>of other control variables</w:t>
      </w:r>
      <w:r w:rsidR="0016647F" w:rsidRPr="000D61D1">
        <w:rPr>
          <w:lang w:val="en-AU"/>
        </w:rPr>
        <w:t xml:space="preserve">. </w:t>
      </w:r>
    </w:p>
    <w:p w14:paraId="3A5889CF" w14:textId="1DDF566E" w:rsidR="0016647F" w:rsidRPr="000D61D1" w:rsidRDefault="0016647F" w:rsidP="0016647F">
      <w:pPr>
        <w:pStyle w:val="BodyText"/>
        <w:rPr>
          <w:lang w:val="en-AU"/>
        </w:rPr>
      </w:pPr>
      <w:r w:rsidRPr="000D61D1">
        <w:rPr>
          <w:lang w:val="en-AU"/>
        </w:rPr>
        <w:t xml:space="preserve">We find that the alternative of only including capital city suburbs as </w:t>
      </w:r>
      <w:r w:rsidR="00650A07" w:rsidRPr="000D61D1">
        <w:rPr>
          <w:lang w:val="en-AU"/>
        </w:rPr>
        <w:t xml:space="preserve">a </w:t>
      </w:r>
      <w:r w:rsidRPr="000D61D1">
        <w:rPr>
          <w:lang w:val="en-AU"/>
        </w:rPr>
        <w:t>control</w:t>
      </w:r>
      <w:r w:rsidR="008F4BBA">
        <w:rPr>
          <w:lang w:val="en-AU"/>
        </w:rPr>
        <w:t xml:space="preserve"> group</w:t>
      </w:r>
      <w:r w:rsidRPr="000D61D1">
        <w:rPr>
          <w:lang w:val="en-AU"/>
        </w:rPr>
        <w:t xml:space="preserve"> is </w:t>
      </w:r>
      <w:r w:rsidR="008F4BBA">
        <w:rPr>
          <w:lang w:val="en-AU"/>
        </w:rPr>
        <w:t xml:space="preserve">probably best from an a priori, intuitive point of view.  The ACT has more in common with these important urban centres than with regional areas in some of Australia’s vast states.  In the main report we thus present </w:t>
      </w:r>
      <w:r w:rsidRPr="000D61D1">
        <w:rPr>
          <w:lang w:val="en-AU"/>
        </w:rPr>
        <w:t>specification</w:t>
      </w:r>
      <w:r w:rsidR="008F4BBA">
        <w:rPr>
          <w:lang w:val="en-AU"/>
        </w:rPr>
        <w:t>s</w:t>
      </w:r>
      <w:r w:rsidRPr="000D61D1">
        <w:rPr>
          <w:lang w:val="en-AU"/>
        </w:rPr>
        <w:t xml:space="preserve"> </w:t>
      </w:r>
      <w:r w:rsidR="008F4BBA">
        <w:rPr>
          <w:lang w:val="en-AU"/>
        </w:rPr>
        <w:t xml:space="preserve">using two control groups: all of Australia and the capital city suburbs only. </w:t>
      </w:r>
      <w:r w:rsidRPr="000D61D1">
        <w:rPr>
          <w:lang w:val="en-AU"/>
        </w:rPr>
        <w:t xml:space="preserve"> The </w:t>
      </w:r>
      <w:r w:rsidR="001F02DE" w:rsidRPr="000D61D1">
        <w:rPr>
          <w:lang w:val="en-AU"/>
        </w:rPr>
        <w:t>technical</w:t>
      </w:r>
      <w:r w:rsidRPr="000D61D1">
        <w:rPr>
          <w:lang w:val="en-AU"/>
        </w:rPr>
        <w:t xml:space="preserve"> appendix </w:t>
      </w:r>
      <w:r w:rsidR="007B644D" w:rsidRPr="000D61D1">
        <w:rPr>
          <w:lang w:val="en-AU"/>
        </w:rPr>
        <w:t xml:space="preserve">presents </w:t>
      </w:r>
      <w:r w:rsidRPr="000D61D1">
        <w:rPr>
          <w:lang w:val="en-AU"/>
        </w:rPr>
        <w:t xml:space="preserve">the full set of </w:t>
      </w:r>
      <w:r w:rsidR="000B7067" w:rsidRPr="000D61D1">
        <w:rPr>
          <w:lang w:val="en-AU"/>
        </w:rPr>
        <w:t xml:space="preserve">results for </w:t>
      </w:r>
      <w:proofErr w:type="gramStart"/>
      <w:r w:rsidR="000B7067" w:rsidRPr="000D61D1">
        <w:rPr>
          <w:lang w:val="en-AU"/>
        </w:rPr>
        <w:t xml:space="preserve">all </w:t>
      </w:r>
      <w:r w:rsidR="008F4BBA">
        <w:rPr>
          <w:lang w:val="en-AU"/>
        </w:rPr>
        <w:t>of</w:t>
      </w:r>
      <w:proofErr w:type="gramEnd"/>
      <w:r w:rsidR="008F4BBA">
        <w:rPr>
          <w:lang w:val="en-AU"/>
        </w:rPr>
        <w:t xml:space="preserve"> the </w:t>
      </w:r>
      <w:r w:rsidRPr="000D61D1">
        <w:rPr>
          <w:lang w:val="en-AU"/>
        </w:rPr>
        <w:t>alternative counterfactuals</w:t>
      </w:r>
      <w:r w:rsidR="008F4BBA">
        <w:rPr>
          <w:lang w:val="en-AU"/>
        </w:rPr>
        <w:t xml:space="preserve"> mentioned above</w:t>
      </w:r>
      <w:r w:rsidRPr="000D61D1">
        <w:rPr>
          <w:lang w:val="en-AU"/>
        </w:rPr>
        <w:t xml:space="preserve">.  </w:t>
      </w:r>
    </w:p>
    <w:p w14:paraId="71AB8D1C" w14:textId="5C53B3F0" w:rsidR="0016647F" w:rsidRPr="000D61D1" w:rsidRDefault="0016647F" w:rsidP="0016647F">
      <w:pPr>
        <w:pStyle w:val="BodyText"/>
        <w:rPr>
          <w:lang w:val="en-AU" w:bidi="bn-BD"/>
        </w:rPr>
      </w:pPr>
      <w:r w:rsidRPr="000D61D1">
        <w:rPr>
          <w:lang w:val="en-AU"/>
        </w:rPr>
        <w:t xml:space="preserve">We also present an overview of the test results of the common trends assumption for the </w:t>
      </w:r>
      <w:proofErr w:type="spellStart"/>
      <w:r w:rsidRPr="000D61D1">
        <w:rPr>
          <w:lang w:val="en-AU"/>
        </w:rPr>
        <w:t>Corelogic</w:t>
      </w:r>
      <w:proofErr w:type="spellEnd"/>
      <w:r w:rsidRPr="000D61D1">
        <w:rPr>
          <w:lang w:val="en-AU"/>
        </w:rPr>
        <w:t xml:space="preserve"> data in the </w:t>
      </w:r>
      <w:r w:rsidR="00FB3206" w:rsidRPr="000D61D1">
        <w:rPr>
          <w:lang w:val="en-AU"/>
        </w:rPr>
        <w:t>technical</w:t>
      </w:r>
      <w:r w:rsidR="000144EC" w:rsidRPr="000D61D1">
        <w:rPr>
          <w:lang w:val="en-AU"/>
        </w:rPr>
        <w:t xml:space="preserve"> </w:t>
      </w:r>
      <w:r w:rsidRPr="000D61D1">
        <w:rPr>
          <w:lang w:val="en-AU"/>
        </w:rPr>
        <w:t xml:space="preserve">appendix. </w:t>
      </w:r>
      <w:r w:rsidR="00EE32E5" w:rsidRPr="000D61D1">
        <w:rPr>
          <w:lang w:val="en-AU"/>
        </w:rPr>
        <w:t xml:space="preserve">Using a statistical test, we are unable to reject common trends.  </w:t>
      </w:r>
      <w:r w:rsidRPr="000D61D1">
        <w:rPr>
          <w:lang w:val="en-AU"/>
        </w:rPr>
        <w:t xml:space="preserve">This holds true when we constrain the control group to only capital cities, to only NSW &amp; VIC or a combination of the two and when we include population and income controls. We test this for </w:t>
      </w:r>
      <w:r w:rsidRPr="000D61D1">
        <w:rPr>
          <w:lang w:val="en-AU" w:bidi="bn-BD"/>
        </w:rPr>
        <w:t>total sales value, property price, property turnover or rental price.</w:t>
      </w:r>
      <w:r w:rsidR="004E6121" w:rsidRPr="000D61D1">
        <w:rPr>
          <w:lang w:val="en-AU" w:bidi="bn-BD"/>
        </w:rPr>
        <w:t xml:space="preserve">  We </w:t>
      </w:r>
      <w:r w:rsidR="005060E0" w:rsidRPr="000D61D1">
        <w:rPr>
          <w:lang w:val="en-AU" w:bidi="bn-BD"/>
        </w:rPr>
        <w:t>cannot</w:t>
      </w:r>
      <w:r w:rsidR="004E6121" w:rsidRPr="000D61D1">
        <w:rPr>
          <w:lang w:val="en-AU" w:bidi="bn-BD"/>
        </w:rPr>
        <w:t xml:space="preserve"> reject common trends for all three variables.</w:t>
      </w:r>
    </w:p>
    <w:p w14:paraId="10DD03DA" w14:textId="33E8AFED" w:rsidR="00ED5A7C" w:rsidRDefault="007B644D" w:rsidP="0016647F">
      <w:pPr>
        <w:pStyle w:val="BodyText"/>
        <w:rPr>
          <w:lang w:val="en-AU" w:bidi="bn-BD"/>
        </w:rPr>
      </w:pPr>
      <w:r w:rsidRPr="000D61D1">
        <w:rPr>
          <w:lang w:val="en-AU" w:bidi="bn-BD"/>
        </w:rPr>
        <w:t xml:space="preserve">There is one further policy change we </w:t>
      </w:r>
      <w:proofErr w:type="gramStart"/>
      <w:r w:rsidRPr="000D61D1">
        <w:rPr>
          <w:lang w:val="en-AU" w:bidi="bn-BD"/>
        </w:rPr>
        <w:t>have to</w:t>
      </w:r>
      <w:proofErr w:type="gramEnd"/>
      <w:r w:rsidRPr="000D61D1">
        <w:rPr>
          <w:lang w:val="en-AU" w:bidi="bn-BD"/>
        </w:rPr>
        <w:t xml:space="preserve"> take into account when analysing the data. In September 2017, the ACT Government introduced a new “Barrier Free model”, making the purchase of a home faster and simpler.  </w:t>
      </w:r>
      <w:r w:rsidR="00D32F2D" w:rsidRPr="00D32F2D">
        <w:rPr>
          <w:lang w:val="en-AU" w:bidi="bn-BD"/>
        </w:rPr>
        <w:t xml:space="preserve">Prior to the change in policy, stamp duty for off-the- plan and land only transactions was payable 12 months after </w:t>
      </w:r>
      <w:proofErr w:type="gramStart"/>
      <w:r w:rsidR="00D32F2D" w:rsidRPr="00D32F2D">
        <w:rPr>
          <w:lang w:val="en-AU" w:bidi="bn-BD"/>
        </w:rPr>
        <w:t>the  execution</w:t>
      </w:r>
      <w:proofErr w:type="gramEnd"/>
      <w:r w:rsidR="00D32F2D" w:rsidRPr="00D32F2D">
        <w:rPr>
          <w:lang w:val="en-AU" w:bidi="bn-BD"/>
        </w:rPr>
        <w:t>/transaction date</w:t>
      </w:r>
      <w:r w:rsidR="00ED5A7C">
        <w:rPr>
          <w:lang w:val="en-AU" w:bidi="bn-BD"/>
        </w:rPr>
        <w:t>.  For off-the-plan and land-only transactions, t</w:t>
      </w:r>
      <w:r w:rsidRPr="000D61D1">
        <w:rPr>
          <w:lang w:val="en-AU" w:bidi="bn-BD"/>
        </w:rPr>
        <w:t xml:space="preserve">his new policy allowed individuals to defer payment of stamp duty until construction is completed.  </w:t>
      </w:r>
      <w:r w:rsidR="00ED5A7C">
        <w:rPr>
          <w:lang w:val="en-AU" w:bidi="bn-BD"/>
        </w:rPr>
        <w:t>This has resulted in some property transactions not yet being included in the current extract of stamp duty data.  These transactions will only appear in the data once stamp duty is paid.</w:t>
      </w:r>
    </w:p>
    <w:p w14:paraId="59A5D331" w14:textId="3CC3A20E" w:rsidR="007F194C" w:rsidRDefault="00ED5A7C" w:rsidP="0016647F">
      <w:pPr>
        <w:pStyle w:val="BodyText"/>
        <w:rPr>
          <w:lang w:val="en-AU" w:bidi="bn-BD"/>
        </w:rPr>
      </w:pPr>
      <w:r>
        <w:rPr>
          <w:lang w:val="en-AU" w:bidi="bn-BD"/>
        </w:rPr>
        <w:t xml:space="preserve"> </w:t>
      </w:r>
      <w:r w:rsidR="007B644D" w:rsidRPr="000D61D1">
        <w:rPr>
          <w:lang w:val="en-AU" w:bidi="bn-BD"/>
        </w:rPr>
        <w:t xml:space="preserve">Because sales are recorded in the official data upon payment of stamp duty, this administrative change produces a one-time drop in the number of </w:t>
      </w:r>
      <w:r w:rsidR="00013D3D">
        <w:rPr>
          <w:lang w:val="en-AU" w:bidi="bn-BD"/>
        </w:rPr>
        <w:t>c</w:t>
      </w:r>
      <w:r w:rsidR="00A91B02">
        <w:rPr>
          <w:lang w:val="en-AU" w:bidi="bn-BD"/>
        </w:rPr>
        <w:t xml:space="preserve">urrently </w:t>
      </w:r>
      <w:r w:rsidR="007B644D" w:rsidRPr="000D61D1">
        <w:rPr>
          <w:lang w:val="en-AU" w:bidi="bn-BD"/>
        </w:rPr>
        <w:t>observed</w:t>
      </w:r>
      <w:r w:rsidR="00013D3D">
        <w:rPr>
          <w:lang w:val="en-AU" w:bidi="bn-BD"/>
        </w:rPr>
        <w:t xml:space="preserve"> transactions</w:t>
      </w:r>
      <w:r w:rsidR="007B644D" w:rsidRPr="000D61D1">
        <w:rPr>
          <w:lang w:val="en-AU" w:bidi="bn-BD"/>
        </w:rPr>
        <w:t xml:space="preserve">.  Readers should keep this in mind when interpreting the results.  We also estimate models using only the pre-September 2017 data to check whether this administrative change impacts our estimates. For details see the discussion on differences in data and the extended result tables in the technical appendix. </w:t>
      </w:r>
    </w:p>
    <w:p w14:paraId="0E80B6D8" w14:textId="1F4D2854" w:rsidR="004E6121" w:rsidRPr="000D61D1" w:rsidRDefault="00CA0140" w:rsidP="0016647F">
      <w:pPr>
        <w:pStyle w:val="BodyText"/>
        <w:rPr>
          <w:lang w:val="en-AU" w:bidi="bn-BD"/>
        </w:rPr>
      </w:pPr>
      <w:r w:rsidRPr="000D61D1">
        <w:rPr>
          <w:lang w:val="en-AU" w:bidi="bn-BD"/>
        </w:rPr>
        <w:t xml:space="preserve">To answer the question of </w:t>
      </w:r>
      <w:r w:rsidR="00D82C8E" w:rsidRPr="000D61D1">
        <w:rPr>
          <w:lang w:val="en-AU" w:bidi="bn-BD"/>
        </w:rPr>
        <w:t xml:space="preserve">the </w:t>
      </w:r>
      <w:r w:rsidRPr="000D61D1">
        <w:rPr>
          <w:lang w:val="en-AU" w:bidi="bn-BD"/>
        </w:rPr>
        <w:t xml:space="preserve">effect </w:t>
      </w:r>
      <w:r w:rsidR="00D82C8E" w:rsidRPr="000D61D1">
        <w:rPr>
          <w:lang w:val="en-AU" w:bidi="bn-BD"/>
        </w:rPr>
        <w:t xml:space="preserve">of the reforms </w:t>
      </w:r>
      <w:r w:rsidRPr="000D61D1">
        <w:rPr>
          <w:lang w:val="en-AU" w:bidi="bn-BD"/>
        </w:rPr>
        <w:t xml:space="preserve">on </w:t>
      </w:r>
      <w:r w:rsidR="00D82C8E" w:rsidRPr="000D61D1">
        <w:rPr>
          <w:lang w:val="en-AU" w:bidi="bn-BD"/>
        </w:rPr>
        <w:t xml:space="preserve">the supply of </w:t>
      </w:r>
      <w:r w:rsidRPr="000D61D1">
        <w:rPr>
          <w:lang w:val="en-AU" w:bidi="bn-BD"/>
        </w:rPr>
        <w:t>rental property</w:t>
      </w:r>
      <w:r w:rsidR="00D82C8E" w:rsidRPr="000D61D1">
        <w:rPr>
          <w:lang w:val="en-AU" w:bidi="bn-BD"/>
        </w:rPr>
        <w:t>,</w:t>
      </w:r>
      <w:r w:rsidRPr="000D61D1">
        <w:rPr>
          <w:lang w:val="en-AU" w:bidi="bn-BD"/>
        </w:rPr>
        <w:t xml:space="preserve"> we undertake a time series analysis of </w:t>
      </w:r>
      <w:r w:rsidR="005D542C" w:rsidRPr="000D61D1">
        <w:rPr>
          <w:lang w:val="en-AU" w:bidi="bn-BD"/>
        </w:rPr>
        <w:t xml:space="preserve">ACT rental bond </w:t>
      </w:r>
      <w:r w:rsidRPr="000D61D1">
        <w:rPr>
          <w:lang w:val="en-AU" w:bidi="bn-BD"/>
        </w:rPr>
        <w:t>records. While we will not have a control group to identify changes, this approach allows us to look at how the reform affected the number of new</w:t>
      </w:r>
      <w:r w:rsidR="005D542C" w:rsidRPr="000D61D1">
        <w:rPr>
          <w:lang w:val="en-AU" w:bidi="bn-BD"/>
        </w:rPr>
        <w:t xml:space="preserve"> </w:t>
      </w:r>
      <w:r w:rsidRPr="000D61D1">
        <w:rPr>
          <w:lang w:val="en-AU" w:bidi="bn-BD"/>
        </w:rPr>
        <w:t xml:space="preserve">rental contracts in the ACT. </w:t>
      </w:r>
      <w:r w:rsidR="00D82C8E" w:rsidRPr="000D61D1">
        <w:rPr>
          <w:lang w:val="en-AU" w:bidi="bn-BD"/>
        </w:rPr>
        <w:t xml:space="preserve">This type of Before-After (BA) analysis is valid to estimate a treatment effect under certain circumstances. </w:t>
      </w:r>
      <w:r w:rsidR="0006511F">
        <w:rPr>
          <w:lang w:val="en-AU" w:bidi="bn-BD"/>
        </w:rPr>
        <w:t xml:space="preserve">The most important of these is that the trend in rental contracts would have been unchanged in the absence of the change to </w:t>
      </w:r>
      <w:r w:rsidR="0006511F">
        <w:rPr>
          <w:lang w:val="en-AU" w:bidi="bn-BD"/>
        </w:rPr>
        <w:lastRenderedPageBreak/>
        <w:t xml:space="preserve">stamp duty—in </w:t>
      </w:r>
      <w:proofErr w:type="spellStart"/>
      <w:r w:rsidR="0006511F">
        <w:rPr>
          <w:lang w:val="en-AU" w:bidi="bn-BD"/>
        </w:rPr>
        <w:t>othe</w:t>
      </w:r>
      <w:proofErr w:type="spellEnd"/>
      <w:r w:rsidR="0006511F">
        <w:rPr>
          <w:lang w:val="en-AU" w:bidi="bn-BD"/>
        </w:rPr>
        <w:t xml:space="preserve"> words, there is no </w:t>
      </w:r>
      <w:r w:rsidR="00497C6D">
        <w:rPr>
          <w:lang w:val="en-AU" w:bidi="bn-BD"/>
        </w:rPr>
        <w:t>other confounding effect on the outcome over the course of the treatment period.</w:t>
      </w:r>
      <w:r w:rsidR="00D82C8E" w:rsidRPr="000D61D1">
        <w:rPr>
          <w:lang w:val="en-AU" w:bidi="bn-BD"/>
        </w:rPr>
        <w:t xml:space="preserve"> </w:t>
      </w:r>
      <w:r w:rsidRPr="000D61D1">
        <w:rPr>
          <w:lang w:val="en-AU" w:bidi="bn-BD"/>
        </w:rPr>
        <w:t xml:space="preserve">More detail can be found in the </w:t>
      </w:r>
      <w:r w:rsidR="00FB3206" w:rsidRPr="000D61D1">
        <w:rPr>
          <w:lang w:val="en-AU" w:bidi="bn-BD"/>
        </w:rPr>
        <w:t>technical</w:t>
      </w:r>
      <w:r w:rsidRPr="000D61D1">
        <w:rPr>
          <w:lang w:val="en-AU" w:bidi="bn-BD"/>
        </w:rPr>
        <w:t xml:space="preserve"> appendix.</w:t>
      </w:r>
    </w:p>
    <w:p w14:paraId="408939CB" w14:textId="77777777" w:rsidR="007810BE" w:rsidRDefault="004E6121" w:rsidP="00013D3D">
      <w:pPr>
        <w:pStyle w:val="BodyText"/>
        <w:rPr>
          <w:lang w:val="en-AU" w:bidi="bn-BD"/>
        </w:rPr>
      </w:pPr>
      <w:r w:rsidRPr="000D61D1">
        <w:rPr>
          <w:lang w:val="en-AU" w:bidi="bn-BD"/>
        </w:rPr>
        <w:t xml:space="preserve">We find some inconsistencies in the CoreLogic data which we were unable to resolve after exploration of the data and communication with the CoreLogic team. </w:t>
      </w:r>
      <w:r w:rsidR="00013D3D">
        <w:rPr>
          <w:lang w:val="en-AU" w:bidi="bn-BD"/>
        </w:rPr>
        <w:t xml:space="preserve">The ACT administrative data show an increase in sales </w:t>
      </w:r>
      <w:r w:rsidR="007F194C" w:rsidRPr="007F194C">
        <w:rPr>
          <w:lang w:val="en-AU" w:bidi="bn-BD"/>
        </w:rPr>
        <w:t>during the first five years of the reform</w:t>
      </w:r>
      <w:r w:rsidR="00013D3D">
        <w:rPr>
          <w:lang w:val="en-AU" w:bidi="bn-BD"/>
        </w:rPr>
        <w:t xml:space="preserve">.  The </w:t>
      </w:r>
      <w:proofErr w:type="spellStart"/>
      <w:r w:rsidR="007F194C" w:rsidRPr="007F194C">
        <w:rPr>
          <w:lang w:val="en-AU" w:bidi="bn-BD"/>
        </w:rPr>
        <w:t>Corelogic</w:t>
      </w:r>
      <w:proofErr w:type="spellEnd"/>
      <w:r w:rsidR="007F194C" w:rsidRPr="007F194C">
        <w:rPr>
          <w:lang w:val="en-AU" w:bidi="bn-BD"/>
        </w:rPr>
        <w:t xml:space="preserve"> data show </w:t>
      </w:r>
      <w:r w:rsidR="00013D3D">
        <w:rPr>
          <w:lang w:val="en-AU" w:bidi="bn-BD"/>
        </w:rPr>
        <w:t>no</w:t>
      </w:r>
      <w:r w:rsidR="007F194C" w:rsidRPr="007F194C">
        <w:rPr>
          <w:lang w:val="en-AU" w:bidi="bn-BD"/>
        </w:rPr>
        <w:t xml:space="preserve"> </w:t>
      </w:r>
      <w:r w:rsidR="00013D3D">
        <w:rPr>
          <w:lang w:val="en-AU" w:bidi="bn-BD"/>
        </w:rPr>
        <w:t>change</w:t>
      </w:r>
      <w:r w:rsidR="007F194C" w:rsidRPr="007F194C">
        <w:rPr>
          <w:lang w:val="en-AU" w:bidi="bn-BD"/>
        </w:rPr>
        <w:t xml:space="preserve"> in sales for th</w:t>
      </w:r>
      <w:r w:rsidR="00013D3D">
        <w:rPr>
          <w:lang w:val="en-AU" w:bidi="bn-BD"/>
        </w:rPr>
        <w:t>e five</w:t>
      </w:r>
      <w:r w:rsidR="007F194C" w:rsidRPr="007F194C">
        <w:rPr>
          <w:lang w:val="en-AU" w:bidi="bn-BD"/>
        </w:rPr>
        <w:t xml:space="preserve"> years after 2012.</w:t>
      </w:r>
      <w:r w:rsidR="007F194C">
        <w:rPr>
          <w:rStyle w:val="FootnoteReference"/>
          <w:lang w:val="en-AU" w:bidi="bn-BD"/>
        </w:rPr>
        <w:footnoteReference w:id="10"/>
      </w:r>
      <w:r w:rsidR="007F194C">
        <w:rPr>
          <w:lang w:val="en-AU" w:bidi="bn-BD"/>
        </w:rPr>
        <w:t xml:space="preserve"> </w:t>
      </w:r>
      <w:r w:rsidR="007F194C" w:rsidRPr="007F194C">
        <w:rPr>
          <w:lang w:val="en-AU" w:bidi="bn-BD"/>
        </w:rPr>
        <w:t xml:space="preserve">This </w:t>
      </w:r>
      <w:r w:rsidR="00013D3D">
        <w:rPr>
          <w:lang w:val="en-AU" w:bidi="bn-BD"/>
        </w:rPr>
        <w:t xml:space="preserve">has the potential to impact our results.  </w:t>
      </w:r>
      <w:proofErr w:type="gramStart"/>
      <w:r w:rsidR="00013D3D">
        <w:rPr>
          <w:lang w:val="en-AU" w:bidi="bn-BD"/>
        </w:rPr>
        <w:t>In particular, we</w:t>
      </w:r>
      <w:proofErr w:type="gramEnd"/>
      <w:r w:rsidR="00013D3D">
        <w:rPr>
          <w:lang w:val="en-AU" w:bidi="bn-BD"/>
        </w:rPr>
        <w:t xml:space="preserve"> would expect to find a smaller impact </w:t>
      </w:r>
      <w:r w:rsidR="007F194C">
        <w:rPr>
          <w:lang w:val="en-AU" w:bidi="bn-BD"/>
        </w:rPr>
        <w:t xml:space="preserve">on </w:t>
      </w:r>
      <w:r w:rsidR="007F194C" w:rsidRPr="007F194C">
        <w:rPr>
          <w:lang w:val="en-AU" w:bidi="bn-BD"/>
        </w:rPr>
        <w:t>both the number of property sales and the overall sales value</w:t>
      </w:r>
      <w:r w:rsidR="007810BE">
        <w:rPr>
          <w:lang w:val="en-AU" w:bidi="bn-BD"/>
        </w:rPr>
        <w:t xml:space="preserve"> using the CoreLogic data</w:t>
      </w:r>
      <w:r w:rsidR="007F194C" w:rsidRPr="007F194C">
        <w:rPr>
          <w:lang w:val="en-AU" w:bidi="bn-BD"/>
        </w:rPr>
        <w:t>.</w:t>
      </w:r>
      <w:r w:rsidRPr="000D61D1">
        <w:rPr>
          <w:lang w:val="en-AU" w:bidi="bn-BD"/>
        </w:rPr>
        <w:t xml:space="preserve"> </w:t>
      </w:r>
    </w:p>
    <w:p w14:paraId="7C9D57FC" w14:textId="776A6021" w:rsidR="005D542C" w:rsidRPr="000D61D1" w:rsidRDefault="004E6121" w:rsidP="00013D3D">
      <w:pPr>
        <w:pStyle w:val="BodyText"/>
        <w:rPr>
          <w:lang w:val="en-AU" w:bidi="bn-BD"/>
        </w:rPr>
      </w:pPr>
      <w:r w:rsidRPr="000D61D1">
        <w:rPr>
          <w:lang w:val="en-AU" w:bidi="bn-BD"/>
        </w:rPr>
        <w:t xml:space="preserve">We thus undertook </w:t>
      </w:r>
      <w:r w:rsidR="007810BE">
        <w:rPr>
          <w:lang w:val="en-AU" w:bidi="bn-BD"/>
        </w:rPr>
        <w:t xml:space="preserve">additional </w:t>
      </w:r>
      <w:r w:rsidRPr="000D61D1">
        <w:rPr>
          <w:lang w:val="en-AU" w:bidi="bn-BD"/>
        </w:rPr>
        <w:t xml:space="preserve">analysis using property price data sourced directly from the ACT and NSW governments. </w:t>
      </w:r>
      <w:r w:rsidR="007810BE">
        <w:rPr>
          <w:lang w:val="en-AU" w:bidi="bn-BD"/>
        </w:rPr>
        <w:t xml:space="preserve">The results </w:t>
      </w:r>
      <w:proofErr w:type="gramStart"/>
      <w:r w:rsidR="007810BE">
        <w:rPr>
          <w:lang w:val="en-AU" w:bidi="bn-BD"/>
        </w:rPr>
        <w:t>is</w:t>
      </w:r>
      <w:proofErr w:type="gramEnd"/>
      <w:r w:rsidR="007810BE">
        <w:rPr>
          <w:lang w:val="en-AU" w:bidi="bn-BD"/>
        </w:rPr>
        <w:t xml:space="preserve"> that w</w:t>
      </w:r>
      <w:r w:rsidR="004A78BC">
        <w:rPr>
          <w:lang w:val="en-AU" w:bidi="bn-BD"/>
        </w:rPr>
        <w:t xml:space="preserve">e find similar results with the administrative data </w:t>
      </w:r>
      <w:r w:rsidR="007810BE">
        <w:rPr>
          <w:lang w:val="en-AU" w:bidi="bn-BD"/>
        </w:rPr>
        <w:t>and</w:t>
      </w:r>
      <w:r w:rsidR="004A78BC">
        <w:rPr>
          <w:lang w:val="en-AU" w:bidi="bn-BD"/>
        </w:rPr>
        <w:t xml:space="preserve"> the </w:t>
      </w:r>
      <w:proofErr w:type="spellStart"/>
      <w:r w:rsidR="004A78BC">
        <w:rPr>
          <w:lang w:val="en-AU" w:bidi="bn-BD"/>
        </w:rPr>
        <w:t>Corelogic</w:t>
      </w:r>
      <w:proofErr w:type="spellEnd"/>
      <w:r w:rsidR="007810BE">
        <w:rPr>
          <w:lang w:val="en-AU" w:bidi="bn-BD"/>
        </w:rPr>
        <w:t xml:space="preserve"> data. H</w:t>
      </w:r>
      <w:r w:rsidR="004A78BC">
        <w:rPr>
          <w:lang w:val="en-AU" w:bidi="bn-BD"/>
        </w:rPr>
        <w:t>ence</w:t>
      </w:r>
      <w:r w:rsidR="007810BE">
        <w:rPr>
          <w:lang w:val="en-AU" w:bidi="bn-BD"/>
        </w:rPr>
        <w:t>, we do not</w:t>
      </w:r>
      <w:r w:rsidR="004A78BC">
        <w:rPr>
          <w:lang w:val="en-AU" w:bidi="bn-BD"/>
        </w:rPr>
        <w:t xml:space="preserve"> think the reported difference</w:t>
      </w:r>
      <w:r w:rsidR="006D5EE8">
        <w:rPr>
          <w:lang w:val="en-AU" w:bidi="bn-BD"/>
        </w:rPr>
        <w:t>s</w:t>
      </w:r>
      <w:r w:rsidR="004A78BC">
        <w:rPr>
          <w:lang w:val="en-AU" w:bidi="bn-BD"/>
        </w:rPr>
        <w:t xml:space="preserve"> in the data are driving the results</w:t>
      </w:r>
      <w:r w:rsidR="007810BE">
        <w:rPr>
          <w:lang w:val="en-AU" w:bidi="bn-BD"/>
        </w:rPr>
        <w:t xml:space="preserve"> presented below</w:t>
      </w:r>
      <w:r w:rsidR="004A78BC">
        <w:rPr>
          <w:lang w:val="en-AU" w:bidi="bn-BD"/>
        </w:rPr>
        <w:t>.</w:t>
      </w:r>
      <w:r w:rsidR="00CA0140" w:rsidRPr="000D61D1">
        <w:rPr>
          <w:lang w:val="en-AU" w:bidi="bn-BD"/>
        </w:rPr>
        <w:t xml:space="preserve"> </w:t>
      </w:r>
    </w:p>
    <w:p w14:paraId="480A248B" w14:textId="73ECF172" w:rsidR="0016647F" w:rsidRPr="000D61D1" w:rsidRDefault="0016647F" w:rsidP="00A407FF">
      <w:pPr>
        <w:pStyle w:val="Heading1"/>
        <w:numPr>
          <w:ilvl w:val="0"/>
          <w:numId w:val="16"/>
        </w:numPr>
        <w:rPr>
          <w:lang w:val="en-AU"/>
        </w:rPr>
      </w:pPr>
      <w:bookmarkStart w:id="11" w:name="_Toc43911476"/>
      <w:r w:rsidRPr="000D61D1">
        <w:rPr>
          <w:lang w:val="en-AU"/>
        </w:rPr>
        <w:t>Results for distributional impacts of the ACT Government tax reform</w:t>
      </w:r>
      <w:r w:rsidR="007850E7" w:rsidRPr="000D61D1">
        <w:rPr>
          <w:lang w:val="en-AU"/>
        </w:rPr>
        <w:t xml:space="preserve"> (Part 1)</w:t>
      </w:r>
      <w:bookmarkEnd w:id="11"/>
    </w:p>
    <w:p w14:paraId="66C7E5E6" w14:textId="77777777" w:rsidR="003C620A" w:rsidRPr="000D61D1" w:rsidRDefault="003C620A" w:rsidP="003C620A">
      <w:pPr>
        <w:pStyle w:val="BodyText"/>
        <w:rPr>
          <w:lang w:val="en-AU"/>
        </w:rPr>
      </w:pPr>
      <w:r w:rsidRPr="000D61D1">
        <w:rPr>
          <w:lang w:val="en-AU"/>
        </w:rPr>
        <w:t xml:space="preserve">This section shows the results from the modelling of the tax reform package. The microsimulation method used means that we can simulate the expected impact of the reforms on different groups in the ACT, for example, </w:t>
      </w:r>
      <w:proofErr w:type="gramStart"/>
      <w:r w:rsidRPr="000D61D1">
        <w:rPr>
          <w:lang w:val="en-AU"/>
        </w:rPr>
        <w:t>low and high income</w:t>
      </w:r>
      <w:proofErr w:type="gramEnd"/>
      <w:r w:rsidRPr="000D61D1">
        <w:rPr>
          <w:lang w:val="en-AU"/>
        </w:rPr>
        <w:t xml:space="preserve"> families; first home buyers; etc.</w:t>
      </w:r>
    </w:p>
    <w:p w14:paraId="1DCB865E" w14:textId="7F31A542" w:rsidR="003C620A" w:rsidRPr="000D61D1" w:rsidRDefault="00A6304C" w:rsidP="003C620A">
      <w:pPr>
        <w:pStyle w:val="BodyText"/>
        <w:rPr>
          <w:lang w:val="en-AU"/>
        </w:rPr>
      </w:pPr>
      <w:r>
        <w:rPr>
          <w:lang w:val="en-AU"/>
        </w:rPr>
        <w:t>Table 1</w:t>
      </w:r>
      <w:r w:rsidR="003C620A" w:rsidRPr="000D61D1">
        <w:rPr>
          <w:lang w:val="en-AU"/>
        </w:rPr>
        <w:t xml:space="preserve"> shows the impact of the reform on the number of properties purchased excluding the impact of any price changes (which would impact on the number of properties purchased). </w:t>
      </w:r>
      <w:proofErr w:type="gramStart"/>
      <w:r w:rsidR="003C620A" w:rsidRPr="000D61D1">
        <w:rPr>
          <w:lang w:val="en-AU"/>
        </w:rPr>
        <w:t>It can be seen that the</w:t>
      </w:r>
      <w:proofErr w:type="gramEnd"/>
      <w:r w:rsidR="003C620A" w:rsidRPr="000D61D1">
        <w:rPr>
          <w:lang w:val="en-AU"/>
        </w:rPr>
        <w:t xml:space="preserve"> impact is an additional 2,</w:t>
      </w:r>
      <w:r w:rsidR="003C620A">
        <w:rPr>
          <w:lang w:val="en-AU"/>
        </w:rPr>
        <w:t>304</w:t>
      </w:r>
      <w:r w:rsidR="003C620A" w:rsidRPr="000D61D1">
        <w:rPr>
          <w:lang w:val="en-AU"/>
        </w:rPr>
        <w:t xml:space="preserve"> properties purchased over the period 2012 – 2018.</w:t>
      </w:r>
    </w:p>
    <w:p w14:paraId="10D16B62" w14:textId="53851A83" w:rsidR="003C620A" w:rsidRPr="000D61D1" w:rsidRDefault="003C620A" w:rsidP="003C620A">
      <w:pPr>
        <w:pStyle w:val="TableCaption"/>
        <w:rPr>
          <w:lang w:val="en-AU"/>
        </w:rPr>
      </w:pPr>
      <w:bookmarkStart w:id="12" w:name="_Toc43911488"/>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1</w:t>
      </w:r>
      <w:r w:rsidRPr="000D61D1">
        <w:rPr>
          <w:lang w:val="en-AU"/>
        </w:rPr>
        <w:fldChar w:fldCharType="end"/>
      </w:r>
      <w:r w:rsidRPr="000D61D1">
        <w:rPr>
          <w:lang w:val="en-AU"/>
        </w:rPr>
        <w:t xml:space="preserve"> - The impact of tax reform on the number of residential properties purchased with no price increase, 2012 - 2018</w:t>
      </w:r>
      <w:bookmarkEnd w:id="12"/>
    </w:p>
    <w:tbl>
      <w:tblPr>
        <w:tblStyle w:val="Table"/>
        <w:tblW w:w="5000" w:type="pct"/>
        <w:jc w:val="center"/>
        <w:tblCellMar>
          <w:left w:w="0" w:type="dxa"/>
          <w:right w:w="0" w:type="dxa"/>
        </w:tblCellMar>
        <w:tblLook w:val="07E0" w:firstRow="1" w:lastRow="1" w:firstColumn="1" w:lastColumn="1" w:noHBand="1" w:noVBand="1"/>
        <w:tblCaption w:val="Table 17 - The impact of tax reform on the number of residential properties purchased by borrowing constraints, 2012 - 2018"/>
      </w:tblPr>
      <w:tblGrid>
        <w:gridCol w:w="3335"/>
        <w:gridCol w:w="694"/>
        <w:gridCol w:w="694"/>
        <w:gridCol w:w="694"/>
        <w:gridCol w:w="693"/>
        <w:gridCol w:w="693"/>
        <w:gridCol w:w="693"/>
        <w:gridCol w:w="693"/>
        <w:gridCol w:w="830"/>
        <w:gridCol w:w="7"/>
      </w:tblGrid>
      <w:tr w:rsidR="003C620A" w:rsidRPr="000D61D1" w14:paraId="2EE4CDF7" w14:textId="77777777" w:rsidTr="003C62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7" w:type="pct"/>
            <w:tcBorders>
              <w:bottom w:val="single" w:sz="0" w:space="0" w:color="auto"/>
            </w:tcBorders>
            <w:vAlign w:val="bottom"/>
          </w:tcPr>
          <w:p w14:paraId="4D114A52" w14:textId="77777777" w:rsidR="003C620A" w:rsidRPr="000D61D1" w:rsidRDefault="003C620A" w:rsidP="003C620A">
            <w:pPr>
              <w:rPr>
                <w:lang w:val="en-AU"/>
              </w:rPr>
            </w:pPr>
          </w:p>
        </w:tc>
        <w:tc>
          <w:tcPr>
            <w:tcW w:w="384" w:type="pct"/>
            <w:tcBorders>
              <w:bottom w:val="single" w:sz="0" w:space="0" w:color="auto"/>
            </w:tcBorders>
            <w:vAlign w:val="bottom"/>
          </w:tcPr>
          <w:p w14:paraId="2B5CFCB7" w14:textId="77777777" w:rsidR="003C620A" w:rsidRPr="000D61D1" w:rsidRDefault="003C620A" w:rsidP="003C620A">
            <w:pPr>
              <w:pStyle w:val="Compact"/>
              <w:jc w:val="center"/>
              <w:cnfStyle w:val="100000000000" w:firstRow="1" w:lastRow="0" w:firstColumn="0" w:lastColumn="0" w:oddVBand="0" w:evenVBand="0" w:oddHBand="0" w:evenHBand="0" w:firstRowFirstColumn="0" w:firstRowLastColumn="0" w:lastRowFirstColumn="0" w:lastRowLastColumn="0"/>
              <w:rPr>
                <w:lang w:val="en-AU"/>
              </w:rPr>
            </w:pPr>
            <w:r w:rsidRPr="000D61D1">
              <w:rPr>
                <w:lang w:val="en-AU"/>
              </w:rPr>
              <w:t>2012</w:t>
            </w:r>
          </w:p>
        </w:tc>
        <w:tc>
          <w:tcPr>
            <w:tcW w:w="384" w:type="pct"/>
            <w:tcBorders>
              <w:bottom w:val="single" w:sz="0" w:space="0" w:color="auto"/>
            </w:tcBorders>
            <w:vAlign w:val="bottom"/>
          </w:tcPr>
          <w:p w14:paraId="2957B28D" w14:textId="77777777" w:rsidR="003C620A" w:rsidRPr="000D61D1" w:rsidRDefault="003C620A" w:rsidP="003C620A">
            <w:pPr>
              <w:pStyle w:val="Compact"/>
              <w:jc w:val="center"/>
              <w:cnfStyle w:val="100000000000" w:firstRow="1" w:lastRow="0" w:firstColumn="0" w:lastColumn="0" w:oddVBand="0" w:evenVBand="0" w:oddHBand="0" w:evenHBand="0" w:firstRowFirstColumn="0" w:firstRowLastColumn="0" w:lastRowFirstColumn="0" w:lastRowLastColumn="0"/>
              <w:rPr>
                <w:lang w:val="en-AU"/>
              </w:rPr>
            </w:pPr>
            <w:r w:rsidRPr="000D61D1">
              <w:rPr>
                <w:lang w:val="en-AU"/>
              </w:rPr>
              <w:t>2013</w:t>
            </w:r>
          </w:p>
        </w:tc>
        <w:tc>
          <w:tcPr>
            <w:tcW w:w="384" w:type="pct"/>
            <w:tcBorders>
              <w:bottom w:val="single" w:sz="0" w:space="0" w:color="auto"/>
            </w:tcBorders>
            <w:vAlign w:val="bottom"/>
          </w:tcPr>
          <w:p w14:paraId="24699C4C" w14:textId="77777777" w:rsidR="003C620A" w:rsidRPr="000D61D1" w:rsidRDefault="003C620A" w:rsidP="003C620A">
            <w:pPr>
              <w:pStyle w:val="Compact"/>
              <w:jc w:val="center"/>
              <w:cnfStyle w:val="100000000000" w:firstRow="1" w:lastRow="0" w:firstColumn="0" w:lastColumn="0" w:oddVBand="0" w:evenVBand="0" w:oddHBand="0" w:evenHBand="0" w:firstRowFirstColumn="0" w:firstRowLastColumn="0" w:lastRowFirstColumn="0" w:lastRowLastColumn="0"/>
              <w:rPr>
                <w:lang w:val="en-AU"/>
              </w:rPr>
            </w:pPr>
            <w:r w:rsidRPr="000D61D1">
              <w:rPr>
                <w:lang w:val="en-AU"/>
              </w:rPr>
              <w:t>2014</w:t>
            </w:r>
          </w:p>
        </w:tc>
        <w:tc>
          <w:tcPr>
            <w:tcW w:w="384" w:type="pct"/>
            <w:tcBorders>
              <w:bottom w:val="single" w:sz="0" w:space="0" w:color="auto"/>
            </w:tcBorders>
            <w:vAlign w:val="bottom"/>
          </w:tcPr>
          <w:p w14:paraId="029DD79F" w14:textId="77777777" w:rsidR="003C620A" w:rsidRPr="000D61D1" w:rsidRDefault="003C620A" w:rsidP="003C620A">
            <w:pPr>
              <w:pStyle w:val="Compact"/>
              <w:jc w:val="center"/>
              <w:cnfStyle w:val="100000000000" w:firstRow="1" w:lastRow="0" w:firstColumn="0" w:lastColumn="0" w:oddVBand="0" w:evenVBand="0" w:oddHBand="0" w:evenHBand="0" w:firstRowFirstColumn="0" w:firstRowLastColumn="0" w:lastRowFirstColumn="0" w:lastRowLastColumn="0"/>
              <w:rPr>
                <w:lang w:val="en-AU"/>
              </w:rPr>
            </w:pPr>
            <w:r w:rsidRPr="000D61D1">
              <w:rPr>
                <w:lang w:val="en-AU"/>
              </w:rPr>
              <w:t>2015</w:t>
            </w:r>
          </w:p>
        </w:tc>
        <w:tc>
          <w:tcPr>
            <w:tcW w:w="384" w:type="pct"/>
            <w:tcBorders>
              <w:bottom w:val="single" w:sz="0" w:space="0" w:color="auto"/>
            </w:tcBorders>
            <w:vAlign w:val="bottom"/>
          </w:tcPr>
          <w:p w14:paraId="7C65913A" w14:textId="77777777" w:rsidR="003C620A" w:rsidRPr="000D61D1" w:rsidRDefault="003C620A" w:rsidP="003C620A">
            <w:pPr>
              <w:pStyle w:val="Compact"/>
              <w:jc w:val="center"/>
              <w:cnfStyle w:val="100000000000" w:firstRow="1" w:lastRow="0" w:firstColumn="0" w:lastColumn="0" w:oddVBand="0" w:evenVBand="0" w:oddHBand="0" w:evenHBand="0" w:firstRowFirstColumn="0" w:firstRowLastColumn="0" w:lastRowFirstColumn="0" w:lastRowLastColumn="0"/>
              <w:rPr>
                <w:lang w:val="en-AU"/>
              </w:rPr>
            </w:pPr>
            <w:r w:rsidRPr="000D61D1">
              <w:rPr>
                <w:lang w:val="en-AU"/>
              </w:rPr>
              <w:t>2016</w:t>
            </w:r>
          </w:p>
        </w:tc>
        <w:tc>
          <w:tcPr>
            <w:tcW w:w="384" w:type="pct"/>
            <w:tcBorders>
              <w:bottom w:val="single" w:sz="0" w:space="0" w:color="auto"/>
            </w:tcBorders>
            <w:vAlign w:val="bottom"/>
          </w:tcPr>
          <w:p w14:paraId="5F814D31" w14:textId="77777777" w:rsidR="003C620A" w:rsidRPr="000D61D1" w:rsidRDefault="003C620A" w:rsidP="003C620A">
            <w:pPr>
              <w:pStyle w:val="Compact"/>
              <w:jc w:val="center"/>
              <w:cnfStyle w:val="100000000000" w:firstRow="1" w:lastRow="0" w:firstColumn="0" w:lastColumn="0" w:oddVBand="0" w:evenVBand="0" w:oddHBand="0" w:evenHBand="0" w:firstRowFirstColumn="0" w:firstRowLastColumn="0" w:lastRowFirstColumn="0" w:lastRowLastColumn="0"/>
              <w:rPr>
                <w:lang w:val="en-AU"/>
              </w:rPr>
            </w:pPr>
            <w:r w:rsidRPr="000D61D1">
              <w:rPr>
                <w:lang w:val="en-AU"/>
              </w:rPr>
              <w:t>2017</w:t>
            </w:r>
          </w:p>
        </w:tc>
        <w:tc>
          <w:tcPr>
            <w:tcW w:w="384" w:type="pct"/>
            <w:tcBorders>
              <w:bottom w:val="single" w:sz="0" w:space="0" w:color="auto"/>
            </w:tcBorders>
            <w:vAlign w:val="bottom"/>
          </w:tcPr>
          <w:p w14:paraId="7E7B2996" w14:textId="77777777" w:rsidR="003C620A" w:rsidRPr="000D61D1" w:rsidRDefault="003C620A" w:rsidP="003C620A">
            <w:pPr>
              <w:pStyle w:val="Compact"/>
              <w:jc w:val="center"/>
              <w:cnfStyle w:val="100000000000" w:firstRow="1" w:lastRow="0" w:firstColumn="0" w:lastColumn="0" w:oddVBand="0" w:evenVBand="0" w:oddHBand="0" w:evenHBand="0" w:firstRowFirstColumn="0" w:firstRowLastColumn="0" w:lastRowFirstColumn="0" w:lastRowLastColumn="0"/>
              <w:rPr>
                <w:lang w:val="en-AU"/>
              </w:rPr>
            </w:pPr>
            <w:r w:rsidRPr="000D61D1">
              <w:rPr>
                <w:lang w:val="en-AU"/>
              </w:rPr>
              <w:t>2018</w:t>
            </w:r>
          </w:p>
        </w:tc>
        <w:tc>
          <w:tcPr>
            <w:tcW w:w="460" w:type="pct"/>
            <w:tcBorders>
              <w:bottom w:val="single" w:sz="0" w:space="0" w:color="auto"/>
            </w:tcBorders>
            <w:vAlign w:val="bottom"/>
          </w:tcPr>
          <w:p w14:paraId="55F7690F" w14:textId="77777777" w:rsidR="003C620A" w:rsidRPr="000D61D1" w:rsidRDefault="003C620A" w:rsidP="003C620A">
            <w:pPr>
              <w:pStyle w:val="Compact"/>
              <w:jc w:val="center"/>
              <w:cnfStyle w:val="100000000000" w:firstRow="1" w:lastRow="0" w:firstColumn="0" w:lastColumn="0" w:oddVBand="0" w:evenVBand="0" w:oddHBand="0" w:evenHBand="0" w:firstRowFirstColumn="0" w:firstRowLastColumn="0" w:lastRowFirstColumn="0" w:lastRowLastColumn="0"/>
              <w:rPr>
                <w:lang w:val="en-AU"/>
              </w:rPr>
            </w:pPr>
            <w:r w:rsidRPr="000D61D1">
              <w:rPr>
                <w:lang w:val="en-AU"/>
              </w:rPr>
              <w:t>Total</w:t>
            </w:r>
          </w:p>
        </w:tc>
        <w:tc>
          <w:tcPr>
            <w:cnfStyle w:val="000100000000" w:firstRow="0" w:lastRow="0" w:firstColumn="0" w:lastColumn="1" w:oddVBand="0" w:evenVBand="0" w:oddHBand="0" w:evenHBand="0" w:firstRowFirstColumn="0" w:firstRowLastColumn="0" w:lastRowFirstColumn="0" w:lastRowLastColumn="0"/>
            <w:tcW w:w="4" w:type="pct"/>
            <w:tcBorders>
              <w:bottom w:val="single" w:sz="0" w:space="0" w:color="auto"/>
            </w:tcBorders>
            <w:vAlign w:val="bottom"/>
          </w:tcPr>
          <w:p w14:paraId="0F86512C" w14:textId="77777777" w:rsidR="003C620A" w:rsidRPr="000D61D1" w:rsidRDefault="003C620A" w:rsidP="003C620A">
            <w:pPr>
              <w:rPr>
                <w:lang w:val="en-AU"/>
              </w:rPr>
            </w:pPr>
          </w:p>
        </w:tc>
      </w:tr>
      <w:tr w:rsidR="003C620A" w:rsidRPr="000D61D1" w14:paraId="5A7118AA" w14:textId="77777777" w:rsidTr="003C620A">
        <w:trPr>
          <w:jc w:val="center"/>
        </w:trPr>
        <w:tc>
          <w:tcPr>
            <w:cnfStyle w:val="001000000000" w:firstRow="0" w:lastRow="0" w:firstColumn="1" w:lastColumn="0" w:oddVBand="0" w:evenVBand="0" w:oddHBand="0" w:evenHBand="0" w:firstRowFirstColumn="0" w:firstRowLastColumn="0" w:lastRowFirstColumn="0" w:lastRowLastColumn="0"/>
            <w:tcW w:w="1847" w:type="pct"/>
          </w:tcPr>
          <w:p w14:paraId="1ABE536D" w14:textId="77777777" w:rsidR="003C620A" w:rsidRPr="000D61D1" w:rsidRDefault="003C620A" w:rsidP="003C620A">
            <w:pPr>
              <w:pStyle w:val="Compact"/>
              <w:rPr>
                <w:lang w:val="en-AU"/>
              </w:rPr>
            </w:pPr>
            <w:r w:rsidRPr="000D61D1">
              <w:rPr>
                <w:b/>
                <w:lang w:val="en-AU"/>
              </w:rPr>
              <w:t>New tax policy</w:t>
            </w:r>
          </w:p>
        </w:tc>
        <w:tc>
          <w:tcPr>
            <w:tcW w:w="384" w:type="pct"/>
          </w:tcPr>
          <w:p w14:paraId="12933625" w14:textId="77777777" w:rsidR="003C620A" w:rsidRPr="000D61D1" w:rsidRDefault="003C620A" w:rsidP="003C620A">
            <w:pPr>
              <w:cnfStyle w:val="000000000000" w:firstRow="0" w:lastRow="0" w:firstColumn="0" w:lastColumn="0" w:oddVBand="0" w:evenVBand="0" w:oddHBand="0" w:evenHBand="0" w:firstRowFirstColumn="0" w:firstRowLastColumn="0" w:lastRowFirstColumn="0" w:lastRowLastColumn="0"/>
              <w:rPr>
                <w:lang w:val="en-AU"/>
              </w:rPr>
            </w:pPr>
          </w:p>
        </w:tc>
        <w:tc>
          <w:tcPr>
            <w:tcW w:w="384" w:type="pct"/>
          </w:tcPr>
          <w:p w14:paraId="3490F01A" w14:textId="77777777" w:rsidR="003C620A" w:rsidRPr="000D61D1" w:rsidRDefault="003C620A" w:rsidP="003C620A">
            <w:pPr>
              <w:cnfStyle w:val="000000000000" w:firstRow="0" w:lastRow="0" w:firstColumn="0" w:lastColumn="0" w:oddVBand="0" w:evenVBand="0" w:oddHBand="0" w:evenHBand="0" w:firstRowFirstColumn="0" w:firstRowLastColumn="0" w:lastRowFirstColumn="0" w:lastRowLastColumn="0"/>
              <w:rPr>
                <w:lang w:val="en-AU"/>
              </w:rPr>
            </w:pPr>
          </w:p>
        </w:tc>
        <w:tc>
          <w:tcPr>
            <w:tcW w:w="384" w:type="pct"/>
          </w:tcPr>
          <w:p w14:paraId="3757D3F0" w14:textId="77777777" w:rsidR="003C620A" w:rsidRPr="000D61D1" w:rsidRDefault="003C620A" w:rsidP="003C620A">
            <w:pPr>
              <w:cnfStyle w:val="000000000000" w:firstRow="0" w:lastRow="0" w:firstColumn="0" w:lastColumn="0" w:oddVBand="0" w:evenVBand="0" w:oddHBand="0" w:evenHBand="0" w:firstRowFirstColumn="0" w:firstRowLastColumn="0" w:lastRowFirstColumn="0" w:lastRowLastColumn="0"/>
              <w:rPr>
                <w:lang w:val="en-AU"/>
              </w:rPr>
            </w:pPr>
          </w:p>
        </w:tc>
        <w:tc>
          <w:tcPr>
            <w:tcW w:w="384" w:type="pct"/>
          </w:tcPr>
          <w:p w14:paraId="3F6A6465" w14:textId="77777777" w:rsidR="003C620A" w:rsidRPr="000D61D1" w:rsidRDefault="003C620A" w:rsidP="003C620A">
            <w:pPr>
              <w:cnfStyle w:val="000000000000" w:firstRow="0" w:lastRow="0" w:firstColumn="0" w:lastColumn="0" w:oddVBand="0" w:evenVBand="0" w:oddHBand="0" w:evenHBand="0" w:firstRowFirstColumn="0" w:firstRowLastColumn="0" w:lastRowFirstColumn="0" w:lastRowLastColumn="0"/>
              <w:rPr>
                <w:lang w:val="en-AU"/>
              </w:rPr>
            </w:pPr>
          </w:p>
        </w:tc>
        <w:tc>
          <w:tcPr>
            <w:tcW w:w="384" w:type="pct"/>
          </w:tcPr>
          <w:p w14:paraId="6F9A5818" w14:textId="77777777" w:rsidR="003C620A" w:rsidRPr="000D61D1" w:rsidRDefault="003C620A" w:rsidP="003C620A">
            <w:pPr>
              <w:cnfStyle w:val="000000000000" w:firstRow="0" w:lastRow="0" w:firstColumn="0" w:lastColumn="0" w:oddVBand="0" w:evenVBand="0" w:oddHBand="0" w:evenHBand="0" w:firstRowFirstColumn="0" w:firstRowLastColumn="0" w:lastRowFirstColumn="0" w:lastRowLastColumn="0"/>
              <w:rPr>
                <w:lang w:val="en-AU"/>
              </w:rPr>
            </w:pPr>
          </w:p>
        </w:tc>
        <w:tc>
          <w:tcPr>
            <w:tcW w:w="384" w:type="pct"/>
          </w:tcPr>
          <w:p w14:paraId="0F329605" w14:textId="77777777" w:rsidR="003C620A" w:rsidRPr="000D61D1" w:rsidRDefault="003C620A" w:rsidP="003C620A">
            <w:pPr>
              <w:cnfStyle w:val="000000000000" w:firstRow="0" w:lastRow="0" w:firstColumn="0" w:lastColumn="0" w:oddVBand="0" w:evenVBand="0" w:oddHBand="0" w:evenHBand="0" w:firstRowFirstColumn="0" w:firstRowLastColumn="0" w:lastRowFirstColumn="0" w:lastRowLastColumn="0"/>
              <w:rPr>
                <w:lang w:val="en-AU"/>
              </w:rPr>
            </w:pPr>
          </w:p>
        </w:tc>
        <w:tc>
          <w:tcPr>
            <w:tcW w:w="384" w:type="pct"/>
          </w:tcPr>
          <w:p w14:paraId="22B1F6B0" w14:textId="77777777" w:rsidR="003C620A" w:rsidRPr="000D61D1" w:rsidRDefault="003C620A" w:rsidP="003C620A">
            <w:pPr>
              <w:cnfStyle w:val="000000000000" w:firstRow="0" w:lastRow="0" w:firstColumn="0" w:lastColumn="0" w:oddVBand="0" w:evenVBand="0" w:oddHBand="0" w:evenHBand="0" w:firstRowFirstColumn="0" w:firstRowLastColumn="0" w:lastRowFirstColumn="0" w:lastRowLastColumn="0"/>
              <w:rPr>
                <w:lang w:val="en-AU"/>
              </w:rPr>
            </w:pPr>
          </w:p>
        </w:tc>
        <w:tc>
          <w:tcPr>
            <w:tcW w:w="460" w:type="pct"/>
          </w:tcPr>
          <w:p w14:paraId="2051929C" w14:textId="77777777" w:rsidR="003C620A" w:rsidRPr="000D61D1" w:rsidRDefault="003C620A" w:rsidP="003C620A">
            <w:pPr>
              <w:cnfStyle w:val="000000000000" w:firstRow="0" w:lastRow="0" w:firstColumn="0" w:lastColumn="0" w:oddVBand="0" w:evenVBand="0" w:oddHBand="0" w:evenHBand="0" w:firstRowFirstColumn="0" w:firstRowLastColumn="0" w:lastRowFirstColumn="0" w:lastRowLastColumn="0"/>
              <w:rPr>
                <w:lang w:val="en-AU"/>
              </w:rPr>
            </w:pPr>
          </w:p>
        </w:tc>
        <w:tc>
          <w:tcPr>
            <w:cnfStyle w:val="000100000000" w:firstRow="0" w:lastRow="0" w:firstColumn="0" w:lastColumn="1" w:oddVBand="0" w:evenVBand="0" w:oddHBand="0" w:evenHBand="0" w:firstRowFirstColumn="0" w:firstRowLastColumn="0" w:lastRowFirstColumn="0" w:lastRowLastColumn="0"/>
            <w:tcW w:w="4" w:type="pct"/>
          </w:tcPr>
          <w:p w14:paraId="747227E3" w14:textId="77777777" w:rsidR="003C620A" w:rsidRPr="000D61D1" w:rsidRDefault="003C620A" w:rsidP="003C620A">
            <w:pPr>
              <w:rPr>
                <w:lang w:val="en-AU"/>
              </w:rPr>
            </w:pPr>
          </w:p>
        </w:tc>
      </w:tr>
      <w:tr w:rsidR="003C620A" w:rsidRPr="000D61D1" w14:paraId="4E9673AA" w14:textId="77777777" w:rsidTr="003C620A">
        <w:trPr>
          <w:jc w:val="center"/>
        </w:trPr>
        <w:tc>
          <w:tcPr>
            <w:cnfStyle w:val="001000000000" w:firstRow="0" w:lastRow="0" w:firstColumn="1" w:lastColumn="0" w:oddVBand="0" w:evenVBand="0" w:oddHBand="0" w:evenHBand="0" w:firstRowFirstColumn="0" w:firstRowLastColumn="0" w:lastRowFirstColumn="0" w:lastRowLastColumn="0"/>
            <w:tcW w:w="1847" w:type="pct"/>
          </w:tcPr>
          <w:p w14:paraId="3FCC0C7F" w14:textId="77777777" w:rsidR="003C620A" w:rsidRPr="000D61D1" w:rsidRDefault="003C620A" w:rsidP="003C620A">
            <w:pPr>
              <w:pStyle w:val="Compact"/>
              <w:rPr>
                <w:lang w:val="en-AU"/>
              </w:rPr>
            </w:pPr>
            <w:r w:rsidRPr="000D61D1">
              <w:rPr>
                <w:lang w:val="en-AU"/>
              </w:rPr>
              <w:t>Meet income and deposit constraints</w:t>
            </w:r>
          </w:p>
        </w:tc>
        <w:tc>
          <w:tcPr>
            <w:tcW w:w="384" w:type="pct"/>
          </w:tcPr>
          <w:p w14:paraId="12083CB5"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rsidRPr="000D61D1">
              <w:rPr>
                <w:lang w:val="en-AU"/>
              </w:rPr>
              <w:t>11,494</w:t>
            </w:r>
          </w:p>
        </w:tc>
        <w:tc>
          <w:tcPr>
            <w:tcW w:w="384" w:type="pct"/>
          </w:tcPr>
          <w:p w14:paraId="610D93B0"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rsidRPr="000D61D1">
              <w:rPr>
                <w:lang w:val="en-AU"/>
              </w:rPr>
              <w:t>12,569</w:t>
            </w:r>
          </w:p>
        </w:tc>
        <w:tc>
          <w:tcPr>
            <w:tcW w:w="384" w:type="pct"/>
          </w:tcPr>
          <w:p w14:paraId="60E7C005"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rsidRPr="000D61D1">
              <w:rPr>
                <w:lang w:val="en-AU"/>
              </w:rPr>
              <w:t>13,317</w:t>
            </w:r>
          </w:p>
        </w:tc>
        <w:tc>
          <w:tcPr>
            <w:tcW w:w="384" w:type="pct"/>
          </w:tcPr>
          <w:p w14:paraId="35BE6E09"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rsidRPr="000D61D1">
              <w:rPr>
                <w:lang w:val="en-AU"/>
              </w:rPr>
              <w:t>14,509</w:t>
            </w:r>
          </w:p>
        </w:tc>
        <w:tc>
          <w:tcPr>
            <w:tcW w:w="384" w:type="pct"/>
          </w:tcPr>
          <w:p w14:paraId="65903086"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rsidRPr="000D61D1">
              <w:rPr>
                <w:lang w:val="en-AU"/>
              </w:rPr>
              <w:t>15,822</w:t>
            </w:r>
          </w:p>
        </w:tc>
        <w:tc>
          <w:tcPr>
            <w:tcW w:w="384" w:type="pct"/>
          </w:tcPr>
          <w:p w14:paraId="67A27C0A"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rsidRPr="000D61D1">
              <w:rPr>
                <w:lang w:val="en-AU"/>
              </w:rPr>
              <w:t>12,423</w:t>
            </w:r>
          </w:p>
        </w:tc>
        <w:tc>
          <w:tcPr>
            <w:tcW w:w="384" w:type="pct"/>
          </w:tcPr>
          <w:p w14:paraId="5F7D7308"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rsidRPr="000D61D1">
              <w:rPr>
                <w:lang w:val="en-AU"/>
              </w:rPr>
              <w:t>9,634</w:t>
            </w:r>
          </w:p>
        </w:tc>
        <w:tc>
          <w:tcPr>
            <w:tcW w:w="460" w:type="pct"/>
          </w:tcPr>
          <w:p w14:paraId="6AB2ED38"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rsidRPr="000D61D1">
              <w:rPr>
                <w:lang w:val="en-AU"/>
              </w:rPr>
              <w:t>89,768</w:t>
            </w:r>
          </w:p>
        </w:tc>
        <w:tc>
          <w:tcPr>
            <w:cnfStyle w:val="000100000000" w:firstRow="0" w:lastRow="0" w:firstColumn="0" w:lastColumn="1" w:oddVBand="0" w:evenVBand="0" w:oddHBand="0" w:evenHBand="0" w:firstRowFirstColumn="0" w:firstRowLastColumn="0" w:lastRowFirstColumn="0" w:lastRowLastColumn="0"/>
            <w:tcW w:w="4" w:type="pct"/>
          </w:tcPr>
          <w:p w14:paraId="6D436C16" w14:textId="77777777" w:rsidR="003C620A" w:rsidRPr="000D61D1" w:rsidRDefault="003C620A" w:rsidP="003C620A">
            <w:pPr>
              <w:rPr>
                <w:lang w:val="en-AU"/>
              </w:rPr>
            </w:pPr>
          </w:p>
        </w:tc>
      </w:tr>
      <w:tr w:rsidR="003C620A" w:rsidRPr="000D61D1" w14:paraId="03122EB5" w14:textId="77777777" w:rsidTr="003C620A">
        <w:trPr>
          <w:jc w:val="center"/>
        </w:trPr>
        <w:tc>
          <w:tcPr>
            <w:cnfStyle w:val="001000000000" w:firstRow="0" w:lastRow="0" w:firstColumn="1" w:lastColumn="0" w:oddVBand="0" w:evenVBand="0" w:oddHBand="0" w:evenHBand="0" w:firstRowFirstColumn="0" w:firstRowLastColumn="0" w:lastRowFirstColumn="0" w:lastRowLastColumn="0"/>
            <w:tcW w:w="1847" w:type="pct"/>
          </w:tcPr>
          <w:p w14:paraId="7CE01B58" w14:textId="77777777" w:rsidR="003C620A" w:rsidRPr="000D61D1" w:rsidRDefault="003C620A" w:rsidP="003C620A">
            <w:pPr>
              <w:pStyle w:val="Compact"/>
              <w:rPr>
                <w:lang w:val="en-AU"/>
              </w:rPr>
            </w:pPr>
            <w:r w:rsidRPr="000D61D1">
              <w:rPr>
                <w:b/>
                <w:lang w:val="en-AU"/>
              </w:rPr>
              <w:t>Old tax policy</w:t>
            </w:r>
          </w:p>
        </w:tc>
        <w:tc>
          <w:tcPr>
            <w:tcW w:w="384" w:type="pct"/>
          </w:tcPr>
          <w:p w14:paraId="3C85EFF6" w14:textId="77777777" w:rsidR="003C620A" w:rsidRPr="000D61D1" w:rsidRDefault="003C620A" w:rsidP="003C620A">
            <w:pPr>
              <w:jc w:val="right"/>
              <w:cnfStyle w:val="000000000000" w:firstRow="0" w:lastRow="0" w:firstColumn="0" w:lastColumn="0" w:oddVBand="0" w:evenVBand="0" w:oddHBand="0" w:evenHBand="0" w:firstRowFirstColumn="0" w:firstRowLastColumn="0" w:lastRowFirstColumn="0" w:lastRowLastColumn="0"/>
              <w:rPr>
                <w:lang w:val="en-AU"/>
              </w:rPr>
            </w:pPr>
          </w:p>
        </w:tc>
        <w:tc>
          <w:tcPr>
            <w:tcW w:w="384" w:type="pct"/>
          </w:tcPr>
          <w:p w14:paraId="795386E8" w14:textId="77777777" w:rsidR="003C620A" w:rsidRPr="000D61D1" w:rsidRDefault="003C620A" w:rsidP="003C620A">
            <w:pPr>
              <w:jc w:val="right"/>
              <w:cnfStyle w:val="000000000000" w:firstRow="0" w:lastRow="0" w:firstColumn="0" w:lastColumn="0" w:oddVBand="0" w:evenVBand="0" w:oddHBand="0" w:evenHBand="0" w:firstRowFirstColumn="0" w:firstRowLastColumn="0" w:lastRowFirstColumn="0" w:lastRowLastColumn="0"/>
              <w:rPr>
                <w:lang w:val="en-AU"/>
              </w:rPr>
            </w:pPr>
          </w:p>
        </w:tc>
        <w:tc>
          <w:tcPr>
            <w:tcW w:w="384" w:type="pct"/>
          </w:tcPr>
          <w:p w14:paraId="146B6A9E" w14:textId="77777777" w:rsidR="003C620A" w:rsidRPr="000D61D1" w:rsidRDefault="003C620A" w:rsidP="003C620A">
            <w:pPr>
              <w:jc w:val="right"/>
              <w:cnfStyle w:val="000000000000" w:firstRow="0" w:lastRow="0" w:firstColumn="0" w:lastColumn="0" w:oddVBand="0" w:evenVBand="0" w:oddHBand="0" w:evenHBand="0" w:firstRowFirstColumn="0" w:firstRowLastColumn="0" w:lastRowFirstColumn="0" w:lastRowLastColumn="0"/>
              <w:rPr>
                <w:lang w:val="en-AU"/>
              </w:rPr>
            </w:pPr>
          </w:p>
        </w:tc>
        <w:tc>
          <w:tcPr>
            <w:tcW w:w="384" w:type="pct"/>
          </w:tcPr>
          <w:p w14:paraId="77E5FE72" w14:textId="77777777" w:rsidR="003C620A" w:rsidRPr="000D61D1" w:rsidRDefault="003C620A" w:rsidP="003C620A">
            <w:pPr>
              <w:jc w:val="right"/>
              <w:cnfStyle w:val="000000000000" w:firstRow="0" w:lastRow="0" w:firstColumn="0" w:lastColumn="0" w:oddVBand="0" w:evenVBand="0" w:oddHBand="0" w:evenHBand="0" w:firstRowFirstColumn="0" w:firstRowLastColumn="0" w:lastRowFirstColumn="0" w:lastRowLastColumn="0"/>
              <w:rPr>
                <w:lang w:val="en-AU"/>
              </w:rPr>
            </w:pPr>
          </w:p>
        </w:tc>
        <w:tc>
          <w:tcPr>
            <w:tcW w:w="384" w:type="pct"/>
          </w:tcPr>
          <w:p w14:paraId="4D5F4D74" w14:textId="77777777" w:rsidR="003C620A" w:rsidRPr="000D61D1" w:rsidRDefault="003C620A" w:rsidP="003C620A">
            <w:pPr>
              <w:jc w:val="right"/>
              <w:cnfStyle w:val="000000000000" w:firstRow="0" w:lastRow="0" w:firstColumn="0" w:lastColumn="0" w:oddVBand="0" w:evenVBand="0" w:oddHBand="0" w:evenHBand="0" w:firstRowFirstColumn="0" w:firstRowLastColumn="0" w:lastRowFirstColumn="0" w:lastRowLastColumn="0"/>
              <w:rPr>
                <w:lang w:val="en-AU"/>
              </w:rPr>
            </w:pPr>
          </w:p>
        </w:tc>
        <w:tc>
          <w:tcPr>
            <w:tcW w:w="384" w:type="pct"/>
          </w:tcPr>
          <w:p w14:paraId="5C2B46A9" w14:textId="77777777" w:rsidR="003C620A" w:rsidRPr="000D61D1" w:rsidRDefault="003C620A" w:rsidP="003C620A">
            <w:pPr>
              <w:jc w:val="right"/>
              <w:cnfStyle w:val="000000000000" w:firstRow="0" w:lastRow="0" w:firstColumn="0" w:lastColumn="0" w:oddVBand="0" w:evenVBand="0" w:oddHBand="0" w:evenHBand="0" w:firstRowFirstColumn="0" w:firstRowLastColumn="0" w:lastRowFirstColumn="0" w:lastRowLastColumn="0"/>
              <w:rPr>
                <w:lang w:val="en-AU"/>
              </w:rPr>
            </w:pPr>
          </w:p>
        </w:tc>
        <w:tc>
          <w:tcPr>
            <w:tcW w:w="384" w:type="pct"/>
          </w:tcPr>
          <w:p w14:paraId="0342B457" w14:textId="77777777" w:rsidR="003C620A" w:rsidRPr="000D61D1" w:rsidRDefault="003C620A" w:rsidP="003C620A">
            <w:pPr>
              <w:jc w:val="right"/>
              <w:cnfStyle w:val="000000000000" w:firstRow="0" w:lastRow="0" w:firstColumn="0" w:lastColumn="0" w:oddVBand="0" w:evenVBand="0" w:oddHBand="0" w:evenHBand="0" w:firstRowFirstColumn="0" w:firstRowLastColumn="0" w:lastRowFirstColumn="0" w:lastRowLastColumn="0"/>
              <w:rPr>
                <w:lang w:val="en-AU"/>
              </w:rPr>
            </w:pPr>
          </w:p>
        </w:tc>
        <w:tc>
          <w:tcPr>
            <w:tcW w:w="460" w:type="pct"/>
          </w:tcPr>
          <w:p w14:paraId="310D1325" w14:textId="77777777" w:rsidR="003C620A" w:rsidRPr="000D61D1" w:rsidRDefault="003C620A" w:rsidP="003C620A">
            <w:pPr>
              <w:jc w:val="right"/>
              <w:cnfStyle w:val="000000000000" w:firstRow="0" w:lastRow="0" w:firstColumn="0" w:lastColumn="0" w:oddVBand="0" w:evenVBand="0" w:oddHBand="0" w:evenHBand="0" w:firstRowFirstColumn="0" w:firstRowLastColumn="0" w:lastRowFirstColumn="0" w:lastRowLastColumn="0"/>
              <w:rPr>
                <w:lang w:val="en-AU"/>
              </w:rPr>
            </w:pPr>
          </w:p>
        </w:tc>
        <w:tc>
          <w:tcPr>
            <w:cnfStyle w:val="000100000000" w:firstRow="0" w:lastRow="0" w:firstColumn="0" w:lastColumn="1" w:oddVBand="0" w:evenVBand="0" w:oddHBand="0" w:evenHBand="0" w:firstRowFirstColumn="0" w:firstRowLastColumn="0" w:lastRowFirstColumn="0" w:lastRowLastColumn="0"/>
            <w:tcW w:w="4" w:type="pct"/>
          </w:tcPr>
          <w:p w14:paraId="5DA44C5B" w14:textId="77777777" w:rsidR="003C620A" w:rsidRPr="000D61D1" w:rsidRDefault="003C620A" w:rsidP="003C620A">
            <w:pPr>
              <w:rPr>
                <w:lang w:val="en-AU"/>
              </w:rPr>
            </w:pPr>
          </w:p>
        </w:tc>
      </w:tr>
      <w:tr w:rsidR="003C620A" w:rsidRPr="000D61D1" w14:paraId="7AF2A784" w14:textId="77777777" w:rsidTr="003C620A">
        <w:trPr>
          <w:jc w:val="center"/>
        </w:trPr>
        <w:tc>
          <w:tcPr>
            <w:cnfStyle w:val="001000000000" w:firstRow="0" w:lastRow="0" w:firstColumn="1" w:lastColumn="0" w:oddVBand="0" w:evenVBand="0" w:oddHBand="0" w:evenHBand="0" w:firstRowFirstColumn="0" w:firstRowLastColumn="0" w:lastRowFirstColumn="0" w:lastRowLastColumn="0"/>
            <w:tcW w:w="1847" w:type="pct"/>
          </w:tcPr>
          <w:p w14:paraId="6B967B97" w14:textId="77777777" w:rsidR="003C620A" w:rsidRPr="000D61D1" w:rsidRDefault="003C620A" w:rsidP="003C620A">
            <w:pPr>
              <w:pStyle w:val="Compact"/>
              <w:rPr>
                <w:lang w:val="en-AU"/>
              </w:rPr>
            </w:pPr>
            <w:r w:rsidRPr="000D61D1">
              <w:rPr>
                <w:lang w:val="en-AU"/>
              </w:rPr>
              <w:t>Meet income and deposit constraints</w:t>
            </w:r>
          </w:p>
        </w:tc>
        <w:tc>
          <w:tcPr>
            <w:tcW w:w="384" w:type="pct"/>
          </w:tcPr>
          <w:p w14:paraId="071045A6"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t>11,472</w:t>
            </w:r>
          </w:p>
        </w:tc>
        <w:tc>
          <w:tcPr>
            <w:tcW w:w="384" w:type="pct"/>
          </w:tcPr>
          <w:p w14:paraId="164CAA2E"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t>12,408</w:t>
            </w:r>
          </w:p>
        </w:tc>
        <w:tc>
          <w:tcPr>
            <w:tcW w:w="384" w:type="pct"/>
          </w:tcPr>
          <w:p w14:paraId="16295505"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t>13,039</w:t>
            </w:r>
          </w:p>
        </w:tc>
        <w:tc>
          <w:tcPr>
            <w:tcW w:w="384" w:type="pct"/>
          </w:tcPr>
          <w:p w14:paraId="4AAF5E08"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t>13,964</w:t>
            </w:r>
          </w:p>
        </w:tc>
        <w:tc>
          <w:tcPr>
            <w:tcW w:w="384" w:type="pct"/>
          </w:tcPr>
          <w:p w14:paraId="44B7421B"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t>15,279</w:t>
            </w:r>
          </w:p>
        </w:tc>
        <w:tc>
          <w:tcPr>
            <w:tcW w:w="384" w:type="pct"/>
          </w:tcPr>
          <w:p w14:paraId="456FE08C"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t>12,098</w:t>
            </w:r>
          </w:p>
        </w:tc>
        <w:tc>
          <w:tcPr>
            <w:tcW w:w="384" w:type="pct"/>
          </w:tcPr>
          <w:p w14:paraId="7006336C"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t>9,204</w:t>
            </w:r>
          </w:p>
        </w:tc>
        <w:tc>
          <w:tcPr>
            <w:tcW w:w="460" w:type="pct"/>
          </w:tcPr>
          <w:p w14:paraId="38EFAAE6" w14:textId="77777777" w:rsidR="003C620A" w:rsidRPr="000D61D1" w:rsidRDefault="003C620A" w:rsidP="003C620A">
            <w:pPr>
              <w:pStyle w:val="Compact"/>
              <w:jc w:val="right"/>
              <w:cnfStyle w:val="000000000000" w:firstRow="0" w:lastRow="0" w:firstColumn="0" w:lastColumn="0" w:oddVBand="0" w:evenVBand="0" w:oddHBand="0" w:evenHBand="0" w:firstRowFirstColumn="0" w:firstRowLastColumn="0" w:lastRowFirstColumn="0" w:lastRowLastColumn="0"/>
              <w:rPr>
                <w:lang w:val="en-AU"/>
              </w:rPr>
            </w:pPr>
            <w:r>
              <w:t>87,464</w:t>
            </w:r>
          </w:p>
        </w:tc>
        <w:tc>
          <w:tcPr>
            <w:cnfStyle w:val="000100000000" w:firstRow="0" w:lastRow="0" w:firstColumn="0" w:lastColumn="1" w:oddVBand="0" w:evenVBand="0" w:oddHBand="0" w:evenHBand="0" w:firstRowFirstColumn="0" w:firstRowLastColumn="0" w:lastRowFirstColumn="0" w:lastRowLastColumn="0"/>
            <w:tcW w:w="4" w:type="pct"/>
          </w:tcPr>
          <w:p w14:paraId="5D7C0C59" w14:textId="77777777" w:rsidR="003C620A" w:rsidRPr="000D61D1" w:rsidRDefault="003C620A" w:rsidP="003C620A">
            <w:pPr>
              <w:rPr>
                <w:lang w:val="en-AU"/>
              </w:rPr>
            </w:pPr>
          </w:p>
        </w:tc>
      </w:tr>
      <w:tr w:rsidR="003C620A" w:rsidRPr="000D61D1" w14:paraId="2D2A6E5C" w14:textId="77777777" w:rsidTr="003C620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7" w:type="pct"/>
          </w:tcPr>
          <w:p w14:paraId="4A117674" w14:textId="77777777" w:rsidR="003C620A" w:rsidRPr="000D61D1" w:rsidRDefault="003C620A" w:rsidP="003C620A">
            <w:pPr>
              <w:pStyle w:val="Compact"/>
              <w:rPr>
                <w:lang w:val="en-AU"/>
              </w:rPr>
            </w:pPr>
            <w:r w:rsidRPr="000D61D1">
              <w:rPr>
                <w:b/>
                <w:lang w:val="en-AU"/>
              </w:rPr>
              <w:t>Difference (impact of new policy)</w:t>
            </w:r>
          </w:p>
        </w:tc>
        <w:tc>
          <w:tcPr>
            <w:tcW w:w="384" w:type="pct"/>
          </w:tcPr>
          <w:p w14:paraId="1AFA1197" w14:textId="77777777" w:rsidR="003C620A" w:rsidRPr="000D61D1" w:rsidRDefault="003C620A" w:rsidP="003C620A">
            <w:pPr>
              <w:pStyle w:val="Compact"/>
              <w:jc w:val="right"/>
              <w:cnfStyle w:val="010000000000" w:firstRow="0" w:lastRow="1" w:firstColumn="0" w:lastColumn="0" w:oddVBand="0" w:evenVBand="0" w:oddHBand="0" w:evenHBand="0" w:firstRowFirstColumn="0" w:firstRowLastColumn="0" w:lastRowFirstColumn="0" w:lastRowLastColumn="0"/>
              <w:rPr>
                <w:lang w:val="en-AU"/>
              </w:rPr>
            </w:pPr>
            <w:r>
              <w:t>22</w:t>
            </w:r>
          </w:p>
        </w:tc>
        <w:tc>
          <w:tcPr>
            <w:tcW w:w="384" w:type="pct"/>
          </w:tcPr>
          <w:p w14:paraId="06819258" w14:textId="77777777" w:rsidR="003C620A" w:rsidRPr="000D61D1" w:rsidRDefault="003C620A" w:rsidP="003C620A">
            <w:pPr>
              <w:pStyle w:val="Compact"/>
              <w:jc w:val="right"/>
              <w:cnfStyle w:val="010000000000" w:firstRow="0" w:lastRow="1" w:firstColumn="0" w:lastColumn="0" w:oddVBand="0" w:evenVBand="0" w:oddHBand="0" w:evenHBand="0" w:firstRowFirstColumn="0" w:firstRowLastColumn="0" w:lastRowFirstColumn="0" w:lastRowLastColumn="0"/>
              <w:rPr>
                <w:lang w:val="en-AU"/>
              </w:rPr>
            </w:pPr>
            <w:r>
              <w:t>161</w:t>
            </w:r>
          </w:p>
        </w:tc>
        <w:tc>
          <w:tcPr>
            <w:tcW w:w="384" w:type="pct"/>
          </w:tcPr>
          <w:p w14:paraId="33D7EE32" w14:textId="77777777" w:rsidR="003C620A" w:rsidRPr="000D61D1" w:rsidRDefault="003C620A" w:rsidP="003C620A">
            <w:pPr>
              <w:pStyle w:val="Compact"/>
              <w:jc w:val="right"/>
              <w:cnfStyle w:val="010000000000" w:firstRow="0" w:lastRow="1" w:firstColumn="0" w:lastColumn="0" w:oddVBand="0" w:evenVBand="0" w:oddHBand="0" w:evenHBand="0" w:firstRowFirstColumn="0" w:firstRowLastColumn="0" w:lastRowFirstColumn="0" w:lastRowLastColumn="0"/>
              <w:rPr>
                <w:lang w:val="en-AU"/>
              </w:rPr>
            </w:pPr>
            <w:r>
              <w:t>278</w:t>
            </w:r>
          </w:p>
        </w:tc>
        <w:tc>
          <w:tcPr>
            <w:tcW w:w="384" w:type="pct"/>
          </w:tcPr>
          <w:p w14:paraId="7DD9BECA" w14:textId="77777777" w:rsidR="003C620A" w:rsidRPr="000D61D1" w:rsidRDefault="003C620A" w:rsidP="003C620A">
            <w:pPr>
              <w:pStyle w:val="Compact"/>
              <w:jc w:val="right"/>
              <w:cnfStyle w:val="010000000000" w:firstRow="0" w:lastRow="1" w:firstColumn="0" w:lastColumn="0" w:oddVBand="0" w:evenVBand="0" w:oddHBand="0" w:evenHBand="0" w:firstRowFirstColumn="0" w:firstRowLastColumn="0" w:lastRowFirstColumn="0" w:lastRowLastColumn="0"/>
              <w:rPr>
                <w:lang w:val="en-AU"/>
              </w:rPr>
            </w:pPr>
            <w:r>
              <w:t>545</w:t>
            </w:r>
          </w:p>
        </w:tc>
        <w:tc>
          <w:tcPr>
            <w:tcW w:w="384" w:type="pct"/>
          </w:tcPr>
          <w:p w14:paraId="2579484A" w14:textId="77777777" w:rsidR="003C620A" w:rsidRPr="000D61D1" w:rsidRDefault="003C620A" w:rsidP="003C620A">
            <w:pPr>
              <w:pStyle w:val="Compact"/>
              <w:jc w:val="right"/>
              <w:cnfStyle w:val="010000000000" w:firstRow="0" w:lastRow="1" w:firstColumn="0" w:lastColumn="0" w:oddVBand="0" w:evenVBand="0" w:oddHBand="0" w:evenHBand="0" w:firstRowFirstColumn="0" w:firstRowLastColumn="0" w:lastRowFirstColumn="0" w:lastRowLastColumn="0"/>
              <w:rPr>
                <w:lang w:val="en-AU"/>
              </w:rPr>
            </w:pPr>
            <w:r>
              <w:t>543</w:t>
            </w:r>
          </w:p>
        </w:tc>
        <w:tc>
          <w:tcPr>
            <w:tcW w:w="384" w:type="pct"/>
          </w:tcPr>
          <w:p w14:paraId="38D710EE" w14:textId="77777777" w:rsidR="003C620A" w:rsidRPr="000D61D1" w:rsidRDefault="003C620A" w:rsidP="003C620A">
            <w:pPr>
              <w:pStyle w:val="Compact"/>
              <w:jc w:val="right"/>
              <w:cnfStyle w:val="010000000000" w:firstRow="0" w:lastRow="1" w:firstColumn="0" w:lastColumn="0" w:oddVBand="0" w:evenVBand="0" w:oddHBand="0" w:evenHBand="0" w:firstRowFirstColumn="0" w:firstRowLastColumn="0" w:lastRowFirstColumn="0" w:lastRowLastColumn="0"/>
              <w:rPr>
                <w:lang w:val="en-AU"/>
              </w:rPr>
            </w:pPr>
            <w:r>
              <w:t>325</w:t>
            </w:r>
          </w:p>
        </w:tc>
        <w:tc>
          <w:tcPr>
            <w:tcW w:w="384" w:type="pct"/>
          </w:tcPr>
          <w:p w14:paraId="2DB15055" w14:textId="77777777" w:rsidR="003C620A" w:rsidRPr="000D61D1" w:rsidRDefault="003C620A" w:rsidP="003C620A">
            <w:pPr>
              <w:pStyle w:val="Compact"/>
              <w:jc w:val="right"/>
              <w:cnfStyle w:val="010000000000" w:firstRow="0" w:lastRow="1" w:firstColumn="0" w:lastColumn="0" w:oddVBand="0" w:evenVBand="0" w:oddHBand="0" w:evenHBand="0" w:firstRowFirstColumn="0" w:firstRowLastColumn="0" w:lastRowFirstColumn="0" w:lastRowLastColumn="0"/>
              <w:rPr>
                <w:lang w:val="en-AU"/>
              </w:rPr>
            </w:pPr>
            <w:r>
              <w:t>430</w:t>
            </w:r>
          </w:p>
        </w:tc>
        <w:tc>
          <w:tcPr>
            <w:tcW w:w="460" w:type="pct"/>
          </w:tcPr>
          <w:p w14:paraId="06638681" w14:textId="77777777" w:rsidR="003C620A" w:rsidRPr="000D61D1" w:rsidRDefault="003C620A" w:rsidP="003C620A">
            <w:pPr>
              <w:pStyle w:val="Compact"/>
              <w:jc w:val="right"/>
              <w:cnfStyle w:val="010000000000" w:firstRow="0" w:lastRow="1" w:firstColumn="0" w:lastColumn="0" w:oddVBand="0" w:evenVBand="0" w:oddHBand="0" w:evenHBand="0" w:firstRowFirstColumn="0" w:firstRowLastColumn="0" w:lastRowFirstColumn="0" w:lastRowLastColumn="0"/>
              <w:rPr>
                <w:lang w:val="en-AU"/>
              </w:rPr>
            </w:pPr>
            <w:r>
              <w:t>2,304</w:t>
            </w:r>
          </w:p>
        </w:tc>
        <w:tc>
          <w:tcPr>
            <w:cnfStyle w:val="000100000000" w:firstRow="0" w:lastRow="0" w:firstColumn="0" w:lastColumn="1" w:oddVBand="0" w:evenVBand="0" w:oddHBand="0" w:evenHBand="0" w:firstRowFirstColumn="0" w:firstRowLastColumn="0" w:lastRowFirstColumn="0" w:lastRowLastColumn="0"/>
            <w:tcW w:w="4" w:type="pct"/>
          </w:tcPr>
          <w:p w14:paraId="332BAA20" w14:textId="77777777" w:rsidR="003C620A" w:rsidRPr="000D61D1" w:rsidRDefault="003C620A" w:rsidP="003C620A">
            <w:pPr>
              <w:rPr>
                <w:lang w:val="en-AU"/>
              </w:rPr>
            </w:pPr>
          </w:p>
        </w:tc>
      </w:tr>
    </w:tbl>
    <w:p w14:paraId="1BBBE080" w14:textId="77777777" w:rsidR="003C620A" w:rsidRPr="000D61D1" w:rsidRDefault="003C620A" w:rsidP="003C620A">
      <w:pPr>
        <w:pStyle w:val="BlockText"/>
        <w:rPr>
          <w:lang w:val="en-AU"/>
        </w:rPr>
      </w:pPr>
      <w:r w:rsidRPr="000D61D1">
        <w:rPr>
          <w:i/>
          <w:lang w:val="en-AU"/>
        </w:rPr>
        <w:t>Source:</w:t>
      </w:r>
      <w:r w:rsidRPr="000D61D1">
        <w:rPr>
          <w:lang w:val="en-AU"/>
        </w:rPr>
        <w:t xml:space="preserve"> Calculations from NATSEM microsimulation model. </w:t>
      </w:r>
    </w:p>
    <w:p w14:paraId="11A04401" w14:textId="77777777" w:rsidR="003C620A" w:rsidRPr="0077461E" w:rsidRDefault="003C620A" w:rsidP="003C620A">
      <w:pPr>
        <w:pStyle w:val="BlockText"/>
        <w:rPr>
          <w:rFonts w:eastAsiaTheme="minorHAnsi" w:cstheme="minorBidi"/>
          <w:bCs w:val="0"/>
          <w:sz w:val="24"/>
          <w:szCs w:val="24"/>
          <w:lang w:val="en-AU"/>
        </w:rPr>
      </w:pPr>
      <w:r w:rsidRPr="0077461E">
        <w:rPr>
          <w:rFonts w:eastAsiaTheme="minorHAnsi" w:cstheme="minorBidi"/>
          <w:bCs w:val="0"/>
          <w:sz w:val="24"/>
          <w:szCs w:val="24"/>
          <w:lang w:val="en-AU"/>
        </w:rPr>
        <w:t xml:space="preserve">However, tax reform may also have increased property prices in the ACT. As outlined in the method section above, </w:t>
      </w:r>
      <w:r>
        <w:rPr>
          <w:rFonts w:eastAsiaTheme="minorHAnsi" w:cstheme="minorBidi"/>
          <w:bCs w:val="0"/>
          <w:sz w:val="24"/>
          <w:szCs w:val="24"/>
          <w:lang w:val="en-AU"/>
        </w:rPr>
        <w:t xml:space="preserve">our </w:t>
      </w:r>
      <w:r w:rsidRPr="0077461E">
        <w:rPr>
          <w:rFonts w:eastAsiaTheme="minorHAnsi" w:cstheme="minorBidi"/>
          <w:bCs w:val="0"/>
          <w:sz w:val="24"/>
          <w:szCs w:val="24"/>
          <w:lang w:val="en-AU"/>
        </w:rPr>
        <w:t xml:space="preserve">analysis also </w:t>
      </w:r>
      <w:proofErr w:type="gramStart"/>
      <w:r w:rsidRPr="0077461E">
        <w:rPr>
          <w:rFonts w:eastAsiaTheme="minorHAnsi" w:cstheme="minorBidi"/>
          <w:bCs w:val="0"/>
          <w:sz w:val="24"/>
          <w:szCs w:val="24"/>
          <w:lang w:val="en-AU"/>
        </w:rPr>
        <w:t>takes into account</w:t>
      </w:r>
      <w:proofErr w:type="gramEnd"/>
      <w:r w:rsidRPr="0077461E">
        <w:rPr>
          <w:rFonts w:eastAsiaTheme="minorHAnsi" w:cstheme="minorBidi"/>
          <w:bCs w:val="0"/>
          <w:sz w:val="24"/>
          <w:szCs w:val="24"/>
          <w:lang w:val="en-AU"/>
        </w:rPr>
        <w:t xml:space="preserve"> that property prices </w:t>
      </w:r>
      <w:r>
        <w:rPr>
          <w:rFonts w:eastAsiaTheme="minorHAnsi" w:cstheme="minorBidi"/>
          <w:bCs w:val="0"/>
          <w:sz w:val="24"/>
          <w:szCs w:val="24"/>
          <w:lang w:val="en-AU"/>
        </w:rPr>
        <w:t>may</w:t>
      </w:r>
      <w:r w:rsidRPr="0077461E">
        <w:rPr>
          <w:rFonts w:eastAsiaTheme="minorHAnsi" w:cstheme="minorBidi"/>
          <w:bCs w:val="0"/>
          <w:sz w:val="24"/>
          <w:szCs w:val="24"/>
          <w:lang w:val="en-AU"/>
        </w:rPr>
        <w:t xml:space="preserve"> have increased</w:t>
      </w:r>
      <w:r w:rsidRPr="00181C57">
        <w:rPr>
          <w:rFonts w:eastAsiaTheme="minorHAnsi" w:cstheme="minorBidi"/>
          <w:bCs w:val="0"/>
          <w:sz w:val="24"/>
          <w:szCs w:val="24"/>
          <w:lang w:val="en-AU"/>
        </w:rPr>
        <w:t xml:space="preserve">. Therefore, price </w:t>
      </w:r>
      <w:r>
        <w:rPr>
          <w:rFonts w:eastAsiaTheme="minorHAnsi" w:cstheme="minorBidi"/>
          <w:bCs w:val="0"/>
          <w:sz w:val="24"/>
          <w:szCs w:val="24"/>
          <w:lang w:val="en-AU"/>
        </w:rPr>
        <w:t xml:space="preserve">increases </w:t>
      </w:r>
      <w:r w:rsidRPr="00181C57">
        <w:rPr>
          <w:rFonts w:eastAsiaTheme="minorHAnsi" w:cstheme="minorBidi"/>
          <w:bCs w:val="0"/>
          <w:sz w:val="24"/>
          <w:szCs w:val="24"/>
          <w:lang w:val="en-AU"/>
        </w:rPr>
        <w:t xml:space="preserve">should be </w:t>
      </w:r>
      <w:r>
        <w:rPr>
          <w:rFonts w:eastAsiaTheme="minorHAnsi" w:cstheme="minorBidi"/>
          <w:bCs w:val="0"/>
          <w:sz w:val="24"/>
          <w:szCs w:val="24"/>
          <w:lang w:val="en-AU"/>
        </w:rPr>
        <w:t>lower</w:t>
      </w:r>
      <w:r w:rsidRPr="0077461E">
        <w:rPr>
          <w:rFonts w:eastAsiaTheme="minorHAnsi" w:cstheme="minorBidi"/>
          <w:bCs w:val="0"/>
          <w:sz w:val="24"/>
          <w:szCs w:val="24"/>
          <w:lang w:val="en-AU"/>
        </w:rPr>
        <w:t xml:space="preserve"> without tax reform. After taking these lower prices increases into account under the old tax policy, more </w:t>
      </w:r>
      <w:r>
        <w:rPr>
          <w:rFonts w:eastAsiaTheme="minorHAnsi" w:cstheme="minorBidi"/>
          <w:bCs w:val="0"/>
          <w:sz w:val="24"/>
          <w:szCs w:val="24"/>
          <w:lang w:val="en-AU"/>
        </w:rPr>
        <w:t>families</w:t>
      </w:r>
      <w:r w:rsidRPr="0077461E">
        <w:rPr>
          <w:rFonts w:eastAsiaTheme="minorHAnsi" w:cstheme="minorBidi"/>
          <w:bCs w:val="0"/>
          <w:sz w:val="24"/>
          <w:szCs w:val="24"/>
          <w:lang w:val="en-AU"/>
        </w:rPr>
        <w:t xml:space="preserve"> will meet the income and deposit constraints, and more properties will be purchased under the old tax policy. This is can be seen in table 1 and table 2, where the number of purchases under the </w:t>
      </w:r>
      <w:r w:rsidRPr="0077461E">
        <w:rPr>
          <w:rFonts w:eastAsiaTheme="minorHAnsi" w:cstheme="minorBidi"/>
          <w:bCs w:val="0"/>
          <w:sz w:val="24"/>
          <w:szCs w:val="24"/>
          <w:lang w:val="en-AU"/>
        </w:rPr>
        <w:lastRenderedPageBreak/>
        <w:t>old policy is higher when tax reform is assumed to have increased property prices by</w:t>
      </w:r>
      <w:r>
        <w:rPr>
          <w:rFonts w:eastAsiaTheme="minorHAnsi" w:cstheme="minorBidi"/>
          <w:bCs w:val="0"/>
          <w:sz w:val="24"/>
          <w:szCs w:val="24"/>
          <w:lang w:val="en-AU"/>
        </w:rPr>
        <w:t xml:space="preserve"> on average</w:t>
      </w:r>
      <w:r w:rsidRPr="0077461E">
        <w:rPr>
          <w:rFonts w:eastAsiaTheme="minorHAnsi" w:cstheme="minorBidi"/>
          <w:bCs w:val="0"/>
          <w:sz w:val="24"/>
          <w:szCs w:val="24"/>
          <w:lang w:val="en-AU"/>
        </w:rPr>
        <w:t xml:space="preserve"> 0.8 and </w:t>
      </w:r>
      <w:r>
        <w:rPr>
          <w:rFonts w:eastAsiaTheme="minorHAnsi" w:cstheme="minorBidi"/>
          <w:bCs w:val="0"/>
          <w:sz w:val="24"/>
          <w:szCs w:val="24"/>
          <w:lang w:val="en-AU"/>
        </w:rPr>
        <w:t>1.7%</w:t>
      </w:r>
      <w:r w:rsidRPr="0077461E">
        <w:rPr>
          <w:rFonts w:eastAsiaTheme="minorHAnsi" w:cstheme="minorBidi"/>
          <w:bCs w:val="0"/>
          <w:sz w:val="24"/>
          <w:szCs w:val="24"/>
          <w:lang w:val="en-AU"/>
        </w:rPr>
        <w:t xml:space="preserve"> per year. </w:t>
      </w:r>
    </w:p>
    <w:p w14:paraId="4C5D8200" w14:textId="77777777" w:rsidR="003C620A" w:rsidRDefault="003C620A" w:rsidP="003C620A">
      <w:pPr>
        <w:pStyle w:val="BodyText"/>
        <w:rPr>
          <w:lang w:val="en-AU"/>
        </w:rPr>
      </w:pPr>
      <w:r w:rsidRPr="0077461E">
        <w:rPr>
          <w:lang w:val="en-AU"/>
        </w:rPr>
        <w:t>Incorporating property prices into the model changes the impact of tax reform on the number of residential properties purchased during 2012-2018. If property prices ha</w:t>
      </w:r>
      <w:r>
        <w:rPr>
          <w:lang w:val="en-AU"/>
        </w:rPr>
        <w:t>d</w:t>
      </w:r>
      <w:r w:rsidRPr="0077461E">
        <w:rPr>
          <w:lang w:val="en-AU"/>
        </w:rPr>
        <w:t xml:space="preserve"> increased by </w:t>
      </w:r>
      <w:r>
        <w:rPr>
          <w:lang w:val="en-AU"/>
        </w:rPr>
        <w:t xml:space="preserve">on average </w:t>
      </w:r>
      <w:r w:rsidRPr="0077461E">
        <w:rPr>
          <w:lang w:val="en-AU"/>
        </w:rPr>
        <w:t xml:space="preserve">0.8% per cent per year due to tax reform, tax reform </w:t>
      </w:r>
      <w:r>
        <w:rPr>
          <w:lang w:val="en-AU"/>
        </w:rPr>
        <w:t>would</w:t>
      </w:r>
      <w:r w:rsidRPr="0077461E">
        <w:rPr>
          <w:lang w:val="en-AU"/>
        </w:rPr>
        <w:t xml:space="preserve"> still </w:t>
      </w:r>
      <w:r>
        <w:rPr>
          <w:lang w:val="en-AU"/>
        </w:rPr>
        <w:t xml:space="preserve">have </w:t>
      </w:r>
      <w:r w:rsidRPr="0077461E">
        <w:rPr>
          <w:lang w:val="en-AU"/>
        </w:rPr>
        <w:t xml:space="preserve">resulted in an increase in the number of residential properties purchased during 2012-2018 by </w:t>
      </w:r>
      <w:r>
        <w:rPr>
          <w:lang w:val="en-AU"/>
        </w:rPr>
        <w:t>2,</w:t>
      </w:r>
      <w:r w:rsidRPr="0077461E">
        <w:rPr>
          <w:lang w:val="en-AU"/>
        </w:rPr>
        <w:t>0</w:t>
      </w:r>
      <w:r>
        <w:rPr>
          <w:lang w:val="en-AU"/>
        </w:rPr>
        <w:t>42 properties, while if</w:t>
      </w:r>
      <w:r w:rsidRPr="0077461E">
        <w:rPr>
          <w:lang w:val="en-AU"/>
        </w:rPr>
        <w:t xml:space="preserve"> prices ha</w:t>
      </w:r>
      <w:r>
        <w:rPr>
          <w:lang w:val="en-AU"/>
        </w:rPr>
        <w:t>d</w:t>
      </w:r>
      <w:r w:rsidRPr="0077461E">
        <w:rPr>
          <w:lang w:val="en-AU"/>
        </w:rPr>
        <w:t xml:space="preserve"> increased by </w:t>
      </w:r>
      <w:r>
        <w:rPr>
          <w:lang w:val="en-AU"/>
        </w:rPr>
        <w:t>on average 1.7</w:t>
      </w:r>
      <w:r w:rsidRPr="0077461E">
        <w:rPr>
          <w:lang w:val="en-AU"/>
        </w:rPr>
        <w:t>% per cent per year due to tax reform the number of residential properties purchased during 2012-2018</w:t>
      </w:r>
      <w:r>
        <w:rPr>
          <w:lang w:val="en-AU"/>
        </w:rPr>
        <w:t xml:space="preserve"> would have increased by 1,363 properties</w:t>
      </w:r>
      <w:r w:rsidRPr="000D61D1">
        <w:rPr>
          <w:lang w:val="en-AU"/>
        </w:rPr>
        <w:t>.</w:t>
      </w:r>
    </w:p>
    <w:p w14:paraId="3A511736" w14:textId="77777777" w:rsidR="003C620A" w:rsidRDefault="003C620A" w:rsidP="003C620A">
      <w:pPr>
        <w:pStyle w:val="BodyText"/>
        <w:rPr>
          <w:lang w:val="en-AU"/>
        </w:rPr>
      </w:pPr>
    </w:p>
    <w:p w14:paraId="33F78C95" w14:textId="0A544848" w:rsidR="003C620A" w:rsidRPr="000D61D1" w:rsidRDefault="003C620A" w:rsidP="003C620A">
      <w:pPr>
        <w:pStyle w:val="TableCaption"/>
        <w:rPr>
          <w:lang w:val="en-AU"/>
        </w:rPr>
      </w:pPr>
      <w:bookmarkStart w:id="13" w:name="_Toc43911489"/>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2</w:t>
      </w:r>
      <w:r w:rsidRPr="000D61D1">
        <w:rPr>
          <w:lang w:val="en-AU"/>
        </w:rPr>
        <w:fldChar w:fldCharType="end"/>
      </w:r>
      <w:r w:rsidRPr="000D61D1">
        <w:rPr>
          <w:lang w:val="en-AU"/>
        </w:rPr>
        <w:t xml:space="preserve">  The impact of tax reform on the number of residential properties purchased, 2012 – 2018</w:t>
      </w:r>
      <w:bookmarkEnd w:id="13"/>
    </w:p>
    <w:tbl>
      <w:tblPr>
        <w:tblW w:w="9925" w:type="dxa"/>
        <w:tblLook w:val="04A0" w:firstRow="1" w:lastRow="0" w:firstColumn="1" w:lastColumn="0" w:noHBand="0" w:noVBand="1"/>
      </w:tblPr>
      <w:tblGrid>
        <w:gridCol w:w="3261"/>
        <w:gridCol w:w="850"/>
        <w:gridCol w:w="851"/>
        <w:gridCol w:w="850"/>
        <w:gridCol w:w="851"/>
        <w:gridCol w:w="850"/>
        <w:gridCol w:w="851"/>
        <w:gridCol w:w="717"/>
        <w:gridCol w:w="844"/>
      </w:tblGrid>
      <w:tr w:rsidR="003C620A" w:rsidRPr="000D61D1" w14:paraId="16B92CD6" w14:textId="77777777" w:rsidTr="003C620A">
        <w:trPr>
          <w:trHeight w:val="310"/>
        </w:trPr>
        <w:tc>
          <w:tcPr>
            <w:tcW w:w="3261" w:type="dxa"/>
            <w:tcBorders>
              <w:top w:val="single" w:sz="8" w:space="0" w:color="auto"/>
              <w:left w:val="nil"/>
              <w:bottom w:val="nil"/>
              <w:right w:val="nil"/>
            </w:tcBorders>
            <w:shd w:val="clear" w:color="auto" w:fill="auto"/>
            <w:vAlign w:val="center"/>
            <w:hideMark/>
          </w:tcPr>
          <w:p w14:paraId="3AD90B8B" w14:textId="77777777" w:rsidR="003C620A" w:rsidRPr="000D61D1" w:rsidRDefault="003C620A" w:rsidP="003C620A">
            <w:pPr>
              <w:spacing w:after="0"/>
              <w:jc w:val="center"/>
              <w:rPr>
                <w:rFonts w:ascii="Calibri" w:eastAsia="Times New Roman" w:hAnsi="Calibri" w:cs="Calibri"/>
                <w:b/>
                <w:bCs/>
                <w:i/>
                <w:iCs/>
                <w:color w:val="365F91"/>
                <w:lang w:val="en-AU" w:eastAsia="en-AU"/>
              </w:rPr>
            </w:pPr>
            <w:r>
              <w:rPr>
                <w:b/>
                <w:i/>
                <w:iCs/>
                <w:color w:val="365F91" w:themeColor="accent1" w:themeShade="BF"/>
              </w:rPr>
              <w:t>0.35 – 1.30%</w:t>
            </w:r>
            <w:r w:rsidRPr="00AF6491">
              <w:rPr>
                <w:b/>
                <w:i/>
                <w:iCs/>
                <w:color w:val="365F91" w:themeColor="accent1" w:themeShade="BF"/>
              </w:rPr>
              <w:t xml:space="preserve"> price </w:t>
            </w:r>
            <w:r>
              <w:rPr>
                <w:b/>
                <w:i/>
                <w:iCs/>
                <w:color w:val="365F91" w:themeColor="accent1" w:themeShade="BF"/>
              </w:rPr>
              <w:t>effect (0.8% average)</w:t>
            </w:r>
          </w:p>
        </w:tc>
        <w:tc>
          <w:tcPr>
            <w:tcW w:w="850" w:type="dxa"/>
            <w:tcBorders>
              <w:top w:val="single" w:sz="8" w:space="0" w:color="auto"/>
              <w:left w:val="nil"/>
              <w:bottom w:val="nil"/>
              <w:right w:val="nil"/>
            </w:tcBorders>
            <w:shd w:val="clear" w:color="auto" w:fill="auto"/>
            <w:noWrap/>
            <w:vAlign w:val="bottom"/>
            <w:hideMark/>
          </w:tcPr>
          <w:p w14:paraId="339CB50E"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w:t>
            </w:r>
          </w:p>
        </w:tc>
        <w:tc>
          <w:tcPr>
            <w:tcW w:w="851" w:type="dxa"/>
            <w:tcBorders>
              <w:top w:val="single" w:sz="8" w:space="0" w:color="auto"/>
              <w:left w:val="nil"/>
              <w:bottom w:val="nil"/>
              <w:right w:val="nil"/>
            </w:tcBorders>
            <w:shd w:val="clear" w:color="auto" w:fill="auto"/>
            <w:noWrap/>
            <w:vAlign w:val="bottom"/>
            <w:hideMark/>
          </w:tcPr>
          <w:p w14:paraId="1DDAA099"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w:t>
            </w:r>
          </w:p>
        </w:tc>
        <w:tc>
          <w:tcPr>
            <w:tcW w:w="850" w:type="dxa"/>
            <w:tcBorders>
              <w:top w:val="single" w:sz="8" w:space="0" w:color="auto"/>
              <w:left w:val="nil"/>
              <w:bottom w:val="nil"/>
              <w:right w:val="nil"/>
            </w:tcBorders>
            <w:shd w:val="clear" w:color="auto" w:fill="auto"/>
            <w:noWrap/>
            <w:vAlign w:val="bottom"/>
            <w:hideMark/>
          </w:tcPr>
          <w:p w14:paraId="674FBE22"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w:t>
            </w:r>
          </w:p>
        </w:tc>
        <w:tc>
          <w:tcPr>
            <w:tcW w:w="851" w:type="dxa"/>
            <w:tcBorders>
              <w:top w:val="single" w:sz="8" w:space="0" w:color="auto"/>
              <w:left w:val="nil"/>
              <w:bottom w:val="nil"/>
              <w:right w:val="nil"/>
            </w:tcBorders>
            <w:shd w:val="clear" w:color="auto" w:fill="auto"/>
            <w:noWrap/>
            <w:vAlign w:val="bottom"/>
            <w:hideMark/>
          </w:tcPr>
          <w:p w14:paraId="793E1329"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w:t>
            </w:r>
          </w:p>
        </w:tc>
        <w:tc>
          <w:tcPr>
            <w:tcW w:w="850" w:type="dxa"/>
            <w:tcBorders>
              <w:top w:val="single" w:sz="8" w:space="0" w:color="auto"/>
              <w:left w:val="nil"/>
              <w:bottom w:val="nil"/>
              <w:right w:val="nil"/>
            </w:tcBorders>
            <w:shd w:val="clear" w:color="auto" w:fill="auto"/>
            <w:noWrap/>
            <w:vAlign w:val="bottom"/>
            <w:hideMark/>
          </w:tcPr>
          <w:p w14:paraId="5D7212EA"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w:t>
            </w:r>
          </w:p>
        </w:tc>
        <w:tc>
          <w:tcPr>
            <w:tcW w:w="851" w:type="dxa"/>
            <w:tcBorders>
              <w:top w:val="single" w:sz="8" w:space="0" w:color="auto"/>
              <w:left w:val="nil"/>
              <w:bottom w:val="nil"/>
              <w:right w:val="nil"/>
            </w:tcBorders>
            <w:shd w:val="clear" w:color="auto" w:fill="auto"/>
            <w:noWrap/>
            <w:vAlign w:val="bottom"/>
            <w:hideMark/>
          </w:tcPr>
          <w:p w14:paraId="7C4C8122"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w:t>
            </w:r>
          </w:p>
        </w:tc>
        <w:tc>
          <w:tcPr>
            <w:tcW w:w="717" w:type="dxa"/>
            <w:tcBorders>
              <w:top w:val="single" w:sz="8" w:space="0" w:color="auto"/>
              <w:left w:val="nil"/>
              <w:bottom w:val="nil"/>
              <w:right w:val="nil"/>
            </w:tcBorders>
            <w:shd w:val="clear" w:color="auto" w:fill="auto"/>
            <w:noWrap/>
            <w:vAlign w:val="bottom"/>
            <w:hideMark/>
          </w:tcPr>
          <w:p w14:paraId="1E02E54C"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w:t>
            </w:r>
          </w:p>
        </w:tc>
        <w:tc>
          <w:tcPr>
            <w:tcW w:w="844" w:type="dxa"/>
            <w:tcBorders>
              <w:top w:val="single" w:sz="8" w:space="0" w:color="auto"/>
              <w:left w:val="nil"/>
              <w:bottom w:val="nil"/>
              <w:right w:val="nil"/>
            </w:tcBorders>
            <w:shd w:val="clear" w:color="auto" w:fill="auto"/>
            <w:noWrap/>
            <w:vAlign w:val="bottom"/>
            <w:hideMark/>
          </w:tcPr>
          <w:p w14:paraId="70235678"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w:t>
            </w:r>
          </w:p>
        </w:tc>
      </w:tr>
      <w:tr w:rsidR="003C620A" w:rsidRPr="000D61D1" w14:paraId="4F83E148" w14:textId="77777777" w:rsidTr="003C620A">
        <w:trPr>
          <w:trHeight w:val="80"/>
        </w:trPr>
        <w:tc>
          <w:tcPr>
            <w:tcW w:w="3261" w:type="dxa"/>
            <w:tcBorders>
              <w:top w:val="nil"/>
              <w:left w:val="nil"/>
              <w:bottom w:val="single" w:sz="8" w:space="0" w:color="auto"/>
              <w:right w:val="nil"/>
            </w:tcBorders>
            <w:shd w:val="clear" w:color="auto" w:fill="auto"/>
            <w:vAlign w:val="center"/>
            <w:hideMark/>
          </w:tcPr>
          <w:p w14:paraId="58F9CF4E" w14:textId="77777777" w:rsidR="003C620A" w:rsidRPr="000D61D1" w:rsidRDefault="003C620A" w:rsidP="003C620A">
            <w:pPr>
              <w:spacing w:after="0"/>
              <w:rPr>
                <w:rFonts w:ascii="Calibri" w:hAnsi="Calibri"/>
                <w:color w:val="000000"/>
                <w:lang w:val="en-AU"/>
              </w:rPr>
            </w:pPr>
          </w:p>
        </w:tc>
        <w:tc>
          <w:tcPr>
            <w:tcW w:w="850" w:type="dxa"/>
            <w:tcBorders>
              <w:top w:val="nil"/>
              <w:left w:val="nil"/>
              <w:bottom w:val="single" w:sz="8" w:space="0" w:color="auto"/>
              <w:right w:val="nil"/>
            </w:tcBorders>
            <w:shd w:val="clear" w:color="auto" w:fill="auto"/>
            <w:vAlign w:val="center"/>
            <w:hideMark/>
          </w:tcPr>
          <w:p w14:paraId="0292BAB5"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2012</w:t>
            </w:r>
          </w:p>
        </w:tc>
        <w:tc>
          <w:tcPr>
            <w:tcW w:w="851" w:type="dxa"/>
            <w:tcBorders>
              <w:top w:val="nil"/>
              <w:left w:val="nil"/>
              <w:bottom w:val="single" w:sz="8" w:space="0" w:color="auto"/>
              <w:right w:val="nil"/>
            </w:tcBorders>
            <w:shd w:val="clear" w:color="auto" w:fill="auto"/>
            <w:vAlign w:val="center"/>
            <w:hideMark/>
          </w:tcPr>
          <w:p w14:paraId="52115D49"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2013</w:t>
            </w:r>
          </w:p>
        </w:tc>
        <w:tc>
          <w:tcPr>
            <w:tcW w:w="850" w:type="dxa"/>
            <w:tcBorders>
              <w:top w:val="nil"/>
              <w:left w:val="nil"/>
              <w:bottom w:val="single" w:sz="8" w:space="0" w:color="auto"/>
              <w:right w:val="nil"/>
            </w:tcBorders>
            <w:shd w:val="clear" w:color="auto" w:fill="auto"/>
            <w:vAlign w:val="center"/>
            <w:hideMark/>
          </w:tcPr>
          <w:p w14:paraId="7F34A7D0"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2014</w:t>
            </w:r>
          </w:p>
        </w:tc>
        <w:tc>
          <w:tcPr>
            <w:tcW w:w="851" w:type="dxa"/>
            <w:tcBorders>
              <w:top w:val="nil"/>
              <w:left w:val="nil"/>
              <w:bottom w:val="single" w:sz="8" w:space="0" w:color="auto"/>
              <w:right w:val="nil"/>
            </w:tcBorders>
            <w:shd w:val="clear" w:color="auto" w:fill="auto"/>
            <w:vAlign w:val="center"/>
            <w:hideMark/>
          </w:tcPr>
          <w:p w14:paraId="2216D5CB"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2015</w:t>
            </w:r>
          </w:p>
        </w:tc>
        <w:tc>
          <w:tcPr>
            <w:tcW w:w="850" w:type="dxa"/>
            <w:tcBorders>
              <w:top w:val="nil"/>
              <w:left w:val="nil"/>
              <w:bottom w:val="single" w:sz="8" w:space="0" w:color="auto"/>
              <w:right w:val="nil"/>
            </w:tcBorders>
            <w:shd w:val="clear" w:color="auto" w:fill="auto"/>
            <w:vAlign w:val="center"/>
            <w:hideMark/>
          </w:tcPr>
          <w:p w14:paraId="611490B4"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2016</w:t>
            </w:r>
          </w:p>
        </w:tc>
        <w:tc>
          <w:tcPr>
            <w:tcW w:w="851" w:type="dxa"/>
            <w:tcBorders>
              <w:top w:val="nil"/>
              <w:left w:val="nil"/>
              <w:bottom w:val="single" w:sz="8" w:space="0" w:color="auto"/>
              <w:right w:val="nil"/>
            </w:tcBorders>
            <w:shd w:val="clear" w:color="auto" w:fill="auto"/>
            <w:vAlign w:val="center"/>
            <w:hideMark/>
          </w:tcPr>
          <w:p w14:paraId="6D003FED"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2017</w:t>
            </w:r>
          </w:p>
        </w:tc>
        <w:tc>
          <w:tcPr>
            <w:tcW w:w="717" w:type="dxa"/>
            <w:tcBorders>
              <w:top w:val="nil"/>
              <w:left w:val="nil"/>
              <w:bottom w:val="single" w:sz="8" w:space="0" w:color="auto"/>
              <w:right w:val="nil"/>
            </w:tcBorders>
            <w:shd w:val="clear" w:color="auto" w:fill="auto"/>
            <w:vAlign w:val="center"/>
            <w:hideMark/>
          </w:tcPr>
          <w:p w14:paraId="3DA14E93"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2018</w:t>
            </w:r>
          </w:p>
        </w:tc>
        <w:tc>
          <w:tcPr>
            <w:tcW w:w="844" w:type="dxa"/>
            <w:tcBorders>
              <w:top w:val="nil"/>
              <w:left w:val="nil"/>
              <w:bottom w:val="single" w:sz="8" w:space="0" w:color="auto"/>
              <w:right w:val="nil"/>
            </w:tcBorders>
            <w:shd w:val="clear" w:color="auto" w:fill="auto"/>
            <w:vAlign w:val="center"/>
            <w:hideMark/>
          </w:tcPr>
          <w:p w14:paraId="70503165"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Total</w:t>
            </w:r>
          </w:p>
        </w:tc>
      </w:tr>
      <w:tr w:rsidR="003C620A" w:rsidRPr="000D61D1" w14:paraId="7585D406" w14:textId="77777777" w:rsidTr="003C620A">
        <w:trPr>
          <w:trHeight w:val="310"/>
        </w:trPr>
        <w:tc>
          <w:tcPr>
            <w:tcW w:w="3261" w:type="dxa"/>
            <w:tcBorders>
              <w:top w:val="nil"/>
              <w:left w:val="nil"/>
              <w:bottom w:val="nil"/>
              <w:right w:val="nil"/>
            </w:tcBorders>
            <w:shd w:val="clear" w:color="auto" w:fill="auto"/>
            <w:vAlign w:val="center"/>
            <w:hideMark/>
          </w:tcPr>
          <w:p w14:paraId="11666F16" w14:textId="77777777" w:rsidR="003C620A" w:rsidRPr="000D61D1" w:rsidRDefault="003C620A" w:rsidP="003C620A">
            <w:pPr>
              <w:spacing w:after="0"/>
              <w:jc w:val="left"/>
              <w:rPr>
                <w:rFonts w:ascii="Calibri" w:hAnsi="Calibri"/>
                <w:b/>
                <w:color w:val="000000"/>
                <w:sz w:val="22"/>
                <w:lang w:val="en-AU"/>
              </w:rPr>
            </w:pPr>
            <w:r w:rsidRPr="000D61D1">
              <w:rPr>
                <w:rFonts w:ascii="Calibri" w:hAnsi="Calibri"/>
                <w:b/>
                <w:color w:val="000000"/>
                <w:sz w:val="22"/>
                <w:lang w:val="en-AU"/>
              </w:rPr>
              <w:t>New tax policy</w:t>
            </w:r>
          </w:p>
        </w:tc>
        <w:tc>
          <w:tcPr>
            <w:tcW w:w="850" w:type="dxa"/>
            <w:tcBorders>
              <w:top w:val="nil"/>
              <w:left w:val="nil"/>
              <w:bottom w:val="nil"/>
              <w:right w:val="nil"/>
            </w:tcBorders>
            <w:shd w:val="clear" w:color="auto" w:fill="auto"/>
            <w:vAlign w:val="center"/>
            <w:hideMark/>
          </w:tcPr>
          <w:p w14:paraId="21C04FFF" w14:textId="77777777" w:rsidR="003C620A" w:rsidRPr="000D61D1" w:rsidRDefault="003C620A" w:rsidP="003C620A">
            <w:pPr>
              <w:spacing w:after="0"/>
              <w:jc w:val="left"/>
              <w:rPr>
                <w:rFonts w:ascii="Calibri" w:hAnsi="Calibri"/>
                <w:b/>
                <w:color w:val="000000"/>
                <w:sz w:val="22"/>
                <w:lang w:val="en-AU"/>
              </w:rPr>
            </w:pPr>
          </w:p>
        </w:tc>
        <w:tc>
          <w:tcPr>
            <w:tcW w:w="851" w:type="dxa"/>
            <w:tcBorders>
              <w:top w:val="nil"/>
              <w:left w:val="nil"/>
              <w:bottom w:val="nil"/>
              <w:right w:val="nil"/>
            </w:tcBorders>
            <w:shd w:val="clear" w:color="auto" w:fill="auto"/>
            <w:vAlign w:val="center"/>
            <w:hideMark/>
          </w:tcPr>
          <w:p w14:paraId="69C9BB88" w14:textId="77777777" w:rsidR="003C620A" w:rsidRPr="000D61D1" w:rsidRDefault="003C620A" w:rsidP="003C620A">
            <w:pPr>
              <w:spacing w:after="0"/>
              <w:rPr>
                <w:rFonts w:ascii="Times New Roman" w:hAnsi="Times New Roman"/>
                <w:sz w:val="20"/>
                <w:lang w:val="en-AU"/>
              </w:rPr>
            </w:pPr>
          </w:p>
        </w:tc>
        <w:tc>
          <w:tcPr>
            <w:tcW w:w="850" w:type="dxa"/>
            <w:tcBorders>
              <w:top w:val="nil"/>
              <w:left w:val="nil"/>
              <w:bottom w:val="nil"/>
              <w:right w:val="nil"/>
            </w:tcBorders>
            <w:shd w:val="clear" w:color="auto" w:fill="auto"/>
            <w:vAlign w:val="center"/>
            <w:hideMark/>
          </w:tcPr>
          <w:p w14:paraId="7B2C3EB3" w14:textId="77777777" w:rsidR="003C620A" w:rsidRPr="000D61D1" w:rsidRDefault="003C620A" w:rsidP="003C620A">
            <w:pPr>
              <w:spacing w:after="0"/>
              <w:rPr>
                <w:rFonts w:ascii="Times New Roman" w:hAnsi="Times New Roman"/>
                <w:sz w:val="20"/>
                <w:lang w:val="en-AU"/>
              </w:rPr>
            </w:pPr>
          </w:p>
        </w:tc>
        <w:tc>
          <w:tcPr>
            <w:tcW w:w="851" w:type="dxa"/>
            <w:tcBorders>
              <w:top w:val="nil"/>
              <w:left w:val="nil"/>
              <w:bottom w:val="nil"/>
              <w:right w:val="nil"/>
            </w:tcBorders>
            <w:shd w:val="clear" w:color="auto" w:fill="auto"/>
            <w:vAlign w:val="center"/>
            <w:hideMark/>
          </w:tcPr>
          <w:p w14:paraId="6B6E4140" w14:textId="77777777" w:rsidR="003C620A" w:rsidRPr="000D61D1" w:rsidRDefault="003C620A" w:rsidP="003C620A">
            <w:pPr>
              <w:spacing w:after="0"/>
              <w:rPr>
                <w:rFonts w:ascii="Times New Roman" w:hAnsi="Times New Roman"/>
                <w:sz w:val="20"/>
                <w:lang w:val="en-AU"/>
              </w:rPr>
            </w:pPr>
          </w:p>
        </w:tc>
        <w:tc>
          <w:tcPr>
            <w:tcW w:w="850" w:type="dxa"/>
            <w:tcBorders>
              <w:top w:val="nil"/>
              <w:left w:val="nil"/>
              <w:bottom w:val="nil"/>
              <w:right w:val="nil"/>
            </w:tcBorders>
            <w:shd w:val="clear" w:color="auto" w:fill="auto"/>
            <w:vAlign w:val="center"/>
            <w:hideMark/>
          </w:tcPr>
          <w:p w14:paraId="7FCA2790" w14:textId="77777777" w:rsidR="003C620A" w:rsidRPr="000D61D1" w:rsidRDefault="003C620A" w:rsidP="003C620A">
            <w:pPr>
              <w:spacing w:after="0"/>
              <w:rPr>
                <w:rFonts w:ascii="Times New Roman" w:hAnsi="Times New Roman"/>
                <w:sz w:val="20"/>
                <w:lang w:val="en-AU"/>
              </w:rPr>
            </w:pPr>
          </w:p>
        </w:tc>
        <w:tc>
          <w:tcPr>
            <w:tcW w:w="851" w:type="dxa"/>
            <w:tcBorders>
              <w:top w:val="nil"/>
              <w:left w:val="nil"/>
              <w:bottom w:val="nil"/>
              <w:right w:val="nil"/>
            </w:tcBorders>
            <w:shd w:val="clear" w:color="auto" w:fill="auto"/>
            <w:vAlign w:val="center"/>
            <w:hideMark/>
          </w:tcPr>
          <w:p w14:paraId="095CAE23" w14:textId="77777777" w:rsidR="003C620A" w:rsidRPr="000D61D1" w:rsidRDefault="003C620A" w:rsidP="003C620A">
            <w:pPr>
              <w:spacing w:after="0"/>
              <w:rPr>
                <w:rFonts w:ascii="Times New Roman" w:hAnsi="Times New Roman"/>
                <w:sz w:val="20"/>
                <w:lang w:val="en-AU"/>
              </w:rPr>
            </w:pPr>
          </w:p>
        </w:tc>
        <w:tc>
          <w:tcPr>
            <w:tcW w:w="717" w:type="dxa"/>
            <w:tcBorders>
              <w:top w:val="nil"/>
              <w:left w:val="nil"/>
              <w:bottom w:val="nil"/>
              <w:right w:val="nil"/>
            </w:tcBorders>
            <w:shd w:val="clear" w:color="auto" w:fill="auto"/>
            <w:vAlign w:val="center"/>
            <w:hideMark/>
          </w:tcPr>
          <w:p w14:paraId="43911AB4" w14:textId="77777777" w:rsidR="003C620A" w:rsidRPr="000D61D1" w:rsidRDefault="003C620A" w:rsidP="003C620A">
            <w:pPr>
              <w:spacing w:after="0"/>
              <w:rPr>
                <w:rFonts w:ascii="Times New Roman" w:hAnsi="Times New Roman"/>
                <w:sz w:val="20"/>
                <w:lang w:val="en-AU"/>
              </w:rPr>
            </w:pPr>
          </w:p>
        </w:tc>
        <w:tc>
          <w:tcPr>
            <w:tcW w:w="844" w:type="dxa"/>
            <w:tcBorders>
              <w:top w:val="nil"/>
              <w:left w:val="nil"/>
              <w:bottom w:val="nil"/>
              <w:right w:val="nil"/>
            </w:tcBorders>
            <w:shd w:val="clear" w:color="auto" w:fill="auto"/>
            <w:vAlign w:val="center"/>
            <w:hideMark/>
          </w:tcPr>
          <w:p w14:paraId="30BA48C1" w14:textId="77777777" w:rsidR="003C620A" w:rsidRPr="000D61D1" w:rsidRDefault="003C620A" w:rsidP="003C620A">
            <w:pPr>
              <w:spacing w:after="0"/>
              <w:rPr>
                <w:rFonts w:ascii="Times New Roman" w:hAnsi="Times New Roman"/>
                <w:sz w:val="20"/>
                <w:lang w:val="en-AU"/>
              </w:rPr>
            </w:pPr>
          </w:p>
        </w:tc>
      </w:tr>
      <w:tr w:rsidR="003C620A" w:rsidRPr="000D61D1" w14:paraId="6AED13A8" w14:textId="77777777" w:rsidTr="003C620A">
        <w:trPr>
          <w:trHeight w:val="310"/>
        </w:trPr>
        <w:tc>
          <w:tcPr>
            <w:tcW w:w="3261" w:type="dxa"/>
            <w:tcBorders>
              <w:top w:val="nil"/>
              <w:left w:val="nil"/>
              <w:bottom w:val="nil"/>
              <w:right w:val="nil"/>
            </w:tcBorders>
            <w:shd w:val="clear" w:color="auto" w:fill="auto"/>
            <w:vAlign w:val="center"/>
            <w:hideMark/>
          </w:tcPr>
          <w:p w14:paraId="2A23E810" w14:textId="77777777" w:rsidR="003C620A" w:rsidRPr="000D61D1" w:rsidRDefault="003C620A" w:rsidP="003C620A">
            <w:pPr>
              <w:spacing w:after="0"/>
              <w:jc w:val="left"/>
              <w:rPr>
                <w:rFonts w:ascii="Calibri" w:hAnsi="Calibri"/>
                <w:color w:val="000000"/>
                <w:sz w:val="22"/>
                <w:lang w:val="en-AU"/>
              </w:rPr>
            </w:pPr>
            <w:r w:rsidRPr="000D61D1">
              <w:rPr>
                <w:rFonts w:ascii="Calibri" w:hAnsi="Calibri"/>
                <w:color w:val="000000"/>
                <w:sz w:val="22"/>
                <w:lang w:val="en-AU"/>
              </w:rPr>
              <w:t>Meet income and deposit constraints</w:t>
            </w:r>
          </w:p>
        </w:tc>
        <w:tc>
          <w:tcPr>
            <w:tcW w:w="850" w:type="dxa"/>
            <w:tcBorders>
              <w:top w:val="nil"/>
              <w:left w:val="nil"/>
              <w:bottom w:val="nil"/>
              <w:right w:val="nil"/>
            </w:tcBorders>
            <w:shd w:val="clear" w:color="auto" w:fill="auto"/>
            <w:vAlign w:val="center"/>
            <w:hideMark/>
          </w:tcPr>
          <w:p w14:paraId="3E8A6748"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11,494</w:t>
            </w:r>
          </w:p>
        </w:tc>
        <w:tc>
          <w:tcPr>
            <w:tcW w:w="851" w:type="dxa"/>
            <w:tcBorders>
              <w:top w:val="nil"/>
              <w:left w:val="nil"/>
              <w:bottom w:val="nil"/>
              <w:right w:val="nil"/>
            </w:tcBorders>
            <w:shd w:val="clear" w:color="auto" w:fill="auto"/>
            <w:vAlign w:val="center"/>
            <w:hideMark/>
          </w:tcPr>
          <w:p w14:paraId="5EA91B35"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12,569</w:t>
            </w:r>
          </w:p>
        </w:tc>
        <w:tc>
          <w:tcPr>
            <w:tcW w:w="850" w:type="dxa"/>
            <w:tcBorders>
              <w:top w:val="nil"/>
              <w:left w:val="nil"/>
              <w:bottom w:val="nil"/>
              <w:right w:val="nil"/>
            </w:tcBorders>
            <w:shd w:val="clear" w:color="auto" w:fill="auto"/>
            <w:vAlign w:val="center"/>
            <w:hideMark/>
          </w:tcPr>
          <w:p w14:paraId="1885A93B"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13,317</w:t>
            </w:r>
          </w:p>
        </w:tc>
        <w:tc>
          <w:tcPr>
            <w:tcW w:w="851" w:type="dxa"/>
            <w:tcBorders>
              <w:top w:val="nil"/>
              <w:left w:val="nil"/>
              <w:bottom w:val="nil"/>
              <w:right w:val="nil"/>
            </w:tcBorders>
            <w:shd w:val="clear" w:color="auto" w:fill="auto"/>
            <w:vAlign w:val="center"/>
            <w:hideMark/>
          </w:tcPr>
          <w:p w14:paraId="5ABA0244"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14,509</w:t>
            </w:r>
          </w:p>
        </w:tc>
        <w:tc>
          <w:tcPr>
            <w:tcW w:w="850" w:type="dxa"/>
            <w:tcBorders>
              <w:top w:val="nil"/>
              <w:left w:val="nil"/>
              <w:bottom w:val="nil"/>
              <w:right w:val="nil"/>
            </w:tcBorders>
            <w:shd w:val="clear" w:color="auto" w:fill="auto"/>
            <w:vAlign w:val="center"/>
            <w:hideMark/>
          </w:tcPr>
          <w:p w14:paraId="2CF5CFA2"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15,822</w:t>
            </w:r>
          </w:p>
        </w:tc>
        <w:tc>
          <w:tcPr>
            <w:tcW w:w="851" w:type="dxa"/>
            <w:tcBorders>
              <w:top w:val="nil"/>
              <w:left w:val="nil"/>
              <w:bottom w:val="nil"/>
              <w:right w:val="nil"/>
            </w:tcBorders>
            <w:shd w:val="clear" w:color="auto" w:fill="auto"/>
            <w:vAlign w:val="center"/>
            <w:hideMark/>
          </w:tcPr>
          <w:p w14:paraId="6D2B4706"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12,423</w:t>
            </w:r>
          </w:p>
        </w:tc>
        <w:tc>
          <w:tcPr>
            <w:tcW w:w="717" w:type="dxa"/>
            <w:tcBorders>
              <w:top w:val="nil"/>
              <w:left w:val="nil"/>
              <w:bottom w:val="nil"/>
              <w:right w:val="nil"/>
            </w:tcBorders>
            <w:shd w:val="clear" w:color="auto" w:fill="auto"/>
            <w:vAlign w:val="center"/>
            <w:hideMark/>
          </w:tcPr>
          <w:p w14:paraId="3050B4D4"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9,634</w:t>
            </w:r>
          </w:p>
        </w:tc>
        <w:tc>
          <w:tcPr>
            <w:tcW w:w="844" w:type="dxa"/>
            <w:tcBorders>
              <w:top w:val="nil"/>
              <w:left w:val="nil"/>
              <w:bottom w:val="nil"/>
              <w:right w:val="nil"/>
            </w:tcBorders>
            <w:shd w:val="clear" w:color="auto" w:fill="auto"/>
            <w:vAlign w:val="center"/>
            <w:hideMark/>
          </w:tcPr>
          <w:p w14:paraId="23360867" w14:textId="77777777" w:rsidR="003C620A" w:rsidRPr="000D61D1" w:rsidRDefault="003C620A" w:rsidP="003C620A">
            <w:pPr>
              <w:spacing w:after="0"/>
              <w:jc w:val="center"/>
              <w:rPr>
                <w:rFonts w:ascii="Calibri" w:hAnsi="Calibri"/>
                <w:color w:val="000000"/>
                <w:sz w:val="22"/>
                <w:lang w:val="en-AU"/>
              </w:rPr>
            </w:pPr>
            <w:r w:rsidRPr="000D61D1">
              <w:rPr>
                <w:rFonts w:ascii="Calibri" w:hAnsi="Calibri"/>
                <w:color w:val="000000"/>
                <w:sz w:val="22"/>
                <w:lang w:val="en-AU"/>
              </w:rPr>
              <w:t>89,768</w:t>
            </w:r>
          </w:p>
        </w:tc>
      </w:tr>
      <w:tr w:rsidR="003C620A" w:rsidRPr="000D61D1" w14:paraId="67039526" w14:textId="77777777" w:rsidTr="003C620A">
        <w:trPr>
          <w:trHeight w:val="310"/>
        </w:trPr>
        <w:tc>
          <w:tcPr>
            <w:tcW w:w="3261" w:type="dxa"/>
            <w:tcBorders>
              <w:top w:val="nil"/>
              <w:left w:val="nil"/>
              <w:bottom w:val="nil"/>
              <w:right w:val="nil"/>
            </w:tcBorders>
            <w:shd w:val="clear" w:color="auto" w:fill="auto"/>
            <w:vAlign w:val="center"/>
            <w:hideMark/>
          </w:tcPr>
          <w:p w14:paraId="241815BC" w14:textId="77777777" w:rsidR="003C620A" w:rsidRPr="000D61D1" w:rsidRDefault="003C620A" w:rsidP="003C620A">
            <w:pPr>
              <w:spacing w:after="0"/>
              <w:jc w:val="left"/>
              <w:rPr>
                <w:rFonts w:ascii="Calibri" w:hAnsi="Calibri"/>
                <w:b/>
                <w:color w:val="000000"/>
                <w:sz w:val="22"/>
                <w:lang w:val="en-AU"/>
              </w:rPr>
            </w:pPr>
            <w:r w:rsidRPr="000D61D1">
              <w:rPr>
                <w:rFonts w:ascii="Calibri" w:hAnsi="Calibri"/>
                <w:b/>
                <w:color w:val="000000"/>
                <w:sz w:val="22"/>
                <w:lang w:val="en-AU"/>
              </w:rPr>
              <w:t>Old tax policy</w:t>
            </w:r>
          </w:p>
        </w:tc>
        <w:tc>
          <w:tcPr>
            <w:tcW w:w="850" w:type="dxa"/>
            <w:tcBorders>
              <w:top w:val="nil"/>
              <w:left w:val="nil"/>
              <w:bottom w:val="nil"/>
              <w:right w:val="nil"/>
            </w:tcBorders>
            <w:shd w:val="clear" w:color="auto" w:fill="auto"/>
            <w:vAlign w:val="center"/>
            <w:hideMark/>
          </w:tcPr>
          <w:p w14:paraId="4B0690F5" w14:textId="77777777" w:rsidR="003C620A" w:rsidRPr="000D61D1" w:rsidRDefault="003C620A" w:rsidP="003C620A">
            <w:pPr>
              <w:spacing w:after="0"/>
              <w:jc w:val="left"/>
              <w:rPr>
                <w:rFonts w:ascii="Calibri" w:hAnsi="Calibri"/>
                <w:b/>
                <w:color w:val="000000"/>
                <w:sz w:val="22"/>
                <w:lang w:val="en-AU"/>
              </w:rPr>
            </w:pPr>
          </w:p>
        </w:tc>
        <w:tc>
          <w:tcPr>
            <w:tcW w:w="851" w:type="dxa"/>
            <w:tcBorders>
              <w:top w:val="nil"/>
              <w:left w:val="nil"/>
              <w:bottom w:val="nil"/>
              <w:right w:val="nil"/>
            </w:tcBorders>
            <w:shd w:val="clear" w:color="auto" w:fill="auto"/>
            <w:vAlign w:val="center"/>
            <w:hideMark/>
          </w:tcPr>
          <w:p w14:paraId="55F3E1AB" w14:textId="77777777" w:rsidR="003C620A" w:rsidRPr="000D61D1" w:rsidRDefault="003C620A" w:rsidP="003C620A">
            <w:pPr>
              <w:spacing w:after="0"/>
              <w:jc w:val="center"/>
              <w:rPr>
                <w:rFonts w:ascii="Times New Roman" w:hAnsi="Times New Roman"/>
                <w:sz w:val="20"/>
                <w:lang w:val="en-AU"/>
              </w:rPr>
            </w:pPr>
          </w:p>
        </w:tc>
        <w:tc>
          <w:tcPr>
            <w:tcW w:w="850" w:type="dxa"/>
            <w:tcBorders>
              <w:top w:val="nil"/>
              <w:left w:val="nil"/>
              <w:bottom w:val="nil"/>
              <w:right w:val="nil"/>
            </w:tcBorders>
            <w:shd w:val="clear" w:color="auto" w:fill="auto"/>
            <w:vAlign w:val="center"/>
            <w:hideMark/>
          </w:tcPr>
          <w:p w14:paraId="08252EB9" w14:textId="77777777" w:rsidR="003C620A" w:rsidRPr="000D61D1" w:rsidRDefault="003C620A" w:rsidP="003C620A">
            <w:pPr>
              <w:spacing w:after="0"/>
              <w:jc w:val="center"/>
              <w:rPr>
                <w:rFonts w:ascii="Times New Roman" w:hAnsi="Times New Roman"/>
                <w:sz w:val="20"/>
                <w:lang w:val="en-AU"/>
              </w:rPr>
            </w:pPr>
          </w:p>
        </w:tc>
        <w:tc>
          <w:tcPr>
            <w:tcW w:w="851" w:type="dxa"/>
            <w:tcBorders>
              <w:top w:val="nil"/>
              <w:left w:val="nil"/>
              <w:bottom w:val="nil"/>
              <w:right w:val="nil"/>
            </w:tcBorders>
            <w:shd w:val="clear" w:color="auto" w:fill="auto"/>
            <w:vAlign w:val="center"/>
            <w:hideMark/>
          </w:tcPr>
          <w:p w14:paraId="157E1B45" w14:textId="77777777" w:rsidR="003C620A" w:rsidRPr="000D61D1" w:rsidRDefault="003C620A" w:rsidP="003C620A">
            <w:pPr>
              <w:spacing w:after="0"/>
              <w:jc w:val="center"/>
              <w:rPr>
                <w:rFonts w:ascii="Times New Roman" w:hAnsi="Times New Roman"/>
                <w:sz w:val="20"/>
                <w:lang w:val="en-AU"/>
              </w:rPr>
            </w:pPr>
          </w:p>
        </w:tc>
        <w:tc>
          <w:tcPr>
            <w:tcW w:w="850" w:type="dxa"/>
            <w:tcBorders>
              <w:top w:val="nil"/>
              <w:left w:val="nil"/>
              <w:bottom w:val="nil"/>
              <w:right w:val="nil"/>
            </w:tcBorders>
            <w:shd w:val="clear" w:color="auto" w:fill="auto"/>
            <w:vAlign w:val="center"/>
            <w:hideMark/>
          </w:tcPr>
          <w:p w14:paraId="21E8D20D" w14:textId="77777777" w:rsidR="003C620A" w:rsidRPr="000D61D1" w:rsidRDefault="003C620A" w:rsidP="003C620A">
            <w:pPr>
              <w:spacing w:after="0"/>
              <w:jc w:val="center"/>
              <w:rPr>
                <w:rFonts w:ascii="Times New Roman" w:hAnsi="Times New Roman"/>
                <w:sz w:val="20"/>
                <w:lang w:val="en-AU"/>
              </w:rPr>
            </w:pPr>
          </w:p>
        </w:tc>
        <w:tc>
          <w:tcPr>
            <w:tcW w:w="851" w:type="dxa"/>
            <w:tcBorders>
              <w:top w:val="nil"/>
              <w:left w:val="nil"/>
              <w:bottom w:val="nil"/>
              <w:right w:val="nil"/>
            </w:tcBorders>
            <w:shd w:val="clear" w:color="auto" w:fill="auto"/>
            <w:vAlign w:val="center"/>
            <w:hideMark/>
          </w:tcPr>
          <w:p w14:paraId="7BCF0819" w14:textId="77777777" w:rsidR="003C620A" w:rsidRPr="000D61D1" w:rsidRDefault="003C620A" w:rsidP="003C620A">
            <w:pPr>
              <w:spacing w:after="0"/>
              <w:jc w:val="center"/>
              <w:rPr>
                <w:rFonts w:ascii="Times New Roman" w:hAnsi="Times New Roman"/>
                <w:sz w:val="20"/>
                <w:lang w:val="en-AU"/>
              </w:rPr>
            </w:pPr>
          </w:p>
        </w:tc>
        <w:tc>
          <w:tcPr>
            <w:tcW w:w="717" w:type="dxa"/>
            <w:tcBorders>
              <w:top w:val="nil"/>
              <w:left w:val="nil"/>
              <w:bottom w:val="nil"/>
              <w:right w:val="nil"/>
            </w:tcBorders>
            <w:shd w:val="clear" w:color="auto" w:fill="auto"/>
            <w:vAlign w:val="center"/>
            <w:hideMark/>
          </w:tcPr>
          <w:p w14:paraId="50769CF2" w14:textId="77777777" w:rsidR="003C620A" w:rsidRPr="000D61D1" w:rsidRDefault="003C620A" w:rsidP="003C620A">
            <w:pPr>
              <w:spacing w:after="0"/>
              <w:jc w:val="center"/>
              <w:rPr>
                <w:rFonts w:ascii="Times New Roman" w:hAnsi="Times New Roman"/>
                <w:sz w:val="20"/>
                <w:lang w:val="en-AU"/>
              </w:rPr>
            </w:pPr>
          </w:p>
        </w:tc>
        <w:tc>
          <w:tcPr>
            <w:tcW w:w="844" w:type="dxa"/>
            <w:tcBorders>
              <w:top w:val="nil"/>
              <w:left w:val="nil"/>
              <w:bottom w:val="nil"/>
              <w:right w:val="nil"/>
            </w:tcBorders>
            <w:shd w:val="clear" w:color="auto" w:fill="auto"/>
            <w:vAlign w:val="center"/>
            <w:hideMark/>
          </w:tcPr>
          <w:p w14:paraId="716FBF1C" w14:textId="77777777" w:rsidR="003C620A" w:rsidRPr="000D61D1" w:rsidRDefault="003C620A" w:rsidP="003C620A">
            <w:pPr>
              <w:spacing w:after="0"/>
              <w:jc w:val="center"/>
              <w:rPr>
                <w:rFonts w:ascii="Times New Roman" w:hAnsi="Times New Roman"/>
                <w:sz w:val="20"/>
                <w:lang w:val="en-AU"/>
              </w:rPr>
            </w:pPr>
          </w:p>
        </w:tc>
      </w:tr>
      <w:tr w:rsidR="003C620A" w:rsidRPr="000D61D1" w14:paraId="6938CBD6" w14:textId="77777777" w:rsidTr="003C620A">
        <w:trPr>
          <w:trHeight w:val="310"/>
        </w:trPr>
        <w:tc>
          <w:tcPr>
            <w:tcW w:w="3261" w:type="dxa"/>
            <w:tcBorders>
              <w:top w:val="nil"/>
              <w:left w:val="nil"/>
              <w:bottom w:val="nil"/>
              <w:right w:val="nil"/>
            </w:tcBorders>
            <w:shd w:val="clear" w:color="auto" w:fill="auto"/>
            <w:vAlign w:val="center"/>
            <w:hideMark/>
          </w:tcPr>
          <w:p w14:paraId="0F7DB5F0" w14:textId="77777777" w:rsidR="003C620A" w:rsidRPr="000D61D1" w:rsidRDefault="003C620A" w:rsidP="003C620A">
            <w:pPr>
              <w:spacing w:after="0"/>
              <w:jc w:val="left"/>
              <w:rPr>
                <w:rFonts w:ascii="Calibri" w:hAnsi="Calibri"/>
                <w:color w:val="000000"/>
                <w:sz w:val="22"/>
                <w:lang w:val="en-AU"/>
              </w:rPr>
            </w:pPr>
            <w:r w:rsidRPr="000D61D1">
              <w:rPr>
                <w:rFonts w:ascii="Calibri" w:hAnsi="Calibri"/>
                <w:color w:val="000000"/>
                <w:sz w:val="22"/>
                <w:lang w:val="en-AU"/>
              </w:rPr>
              <w:t>Meet income and deposit constraints</w:t>
            </w:r>
          </w:p>
        </w:tc>
        <w:tc>
          <w:tcPr>
            <w:tcW w:w="850" w:type="dxa"/>
            <w:tcBorders>
              <w:top w:val="nil"/>
              <w:left w:val="nil"/>
              <w:bottom w:val="nil"/>
              <w:right w:val="nil"/>
            </w:tcBorders>
            <w:shd w:val="clear" w:color="auto" w:fill="auto"/>
            <w:vAlign w:val="center"/>
            <w:hideMark/>
          </w:tcPr>
          <w:p w14:paraId="64B97793" w14:textId="77777777" w:rsidR="003C620A" w:rsidRPr="00264A0F" w:rsidRDefault="003C620A" w:rsidP="003C620A">
            <w:pPr>
              <w:spacing w:after="0"/>
              <w:jc w:val="center"/>
              <w:rPr>
                <w:rFonts w:ascii="Calibri" w:hAnsi="Calibri"/>
                <w:color w:val="000000"/>
                <w:sz w:val="22"/>
                <w:szCs w:val="22"/>
                <w:lang w:val="en-AU"/>
              </w:rPr>
            </w:pPr>
            <w:r w:rsidRPr="00264A0F">
              <w:rPr>
                <w:sz w:val="22"/>
                <w:szCs w:val="22"/>
              </w:rPr>
              <w:t>11,484</w:t>
            </w:r>
          </w:p>
        </w:tc>
        <w:tc>
          <w:tcPr>
            <w:tcW w:w="851" w:type="dxa"/>
            <w:tcBorders>
              <w:top w:val="nil"/>
              <w:left w:val="nil"/>
              <w:bottom w:val="nil"/>
              <w:right w:val="nil"/>
            </w:tcBorders>
            <w:shd w:val="clear" w:color="auto" w:fill="auto"/>
            <w:vAlign w:val="center"/>
            <w:hideMark/>
          </w:tcPr>
          <w:p w14:paraId="3A2D35DE"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sz w:val="22"/>
                <w:szCs w:val="22"/>
              </w:rPr>
              <w:t>12,410</w:t>
            </w:r>
          </w:p>
        </w:tc>
        <w:tc>
          <w:tcPr>
            <w:tcW w:w="850" w:type="dxa"/>
            <w:tcBorders>
              <w:top w:val="nil"/>
              <w:left w:val="nil"/>
              <w:bottom w:val="nil"/>
              <w:right w:val="nil"/>
            </w:tcBorders>
            <w:shd w:val="clear" w:color="auto" w:fill="auto"/>
            <w:vAlign w:val="center"/>
            <w:hideMark/>
          </w:tcPr>
          <w:p w14:paraId="73785BF7" w14:textId="77777777" w:rsidR="003C620A" w:rsidRPr="00264A0F" w:rsidRDefault="003C620A" w:rsidP="003C620A">
            <w:pPr>
              <w:spacing w:after="0"/>
              <w:jc w:val="center"/>
              <w:rPr>
                <w:rFonts w:ascii="Calibri" w:hAnsi="Calibri"/>
                <w:color w:val="000000"/>
                <w:sz w:val="22"/>
                <w:szCs w:val="22"/>
                <w:lang w:val="en-AU"/>
              </w:rPr>
            </w:pPr>
            <w:r w:rsidRPr="00264A0F">
              <w:rPr>
                <w:sz w:val="22"/>
                <w:szCs w:val="22"/>
              </w:rPr>
              <w:t>13,073</w:t>
            </w:r>
          </w:p>
        </w:tc>
        <w:tc>
          <w:tcPr>
            <w:tcW w:w="851" w:type="dxa"/>
            <w:tcBorders>
              <w:top w:val="nil"/>
              <w:left w:val="nil"/>
              <w:bottom w:val="nil"/>
              <w:right w:val="nil"/>
            </w:tcBorders>
            <w:shd w:val="clear" w:color="auto" w:fill="auto"/>
            <w:vAlign w:val="center"/>
            <w:hideMark/>
          </w:tcPr>
          <w:p w14:paraId="6B6CF628" w14:textId="77777777" w:rsidR="003C620A" w:rsidRPr="00264A0F" w:rsidRDefault="003C620A" w:rsidP="003C620A">
            <w:pPr>
              <w:spacing w:after="0"/>
              <w:jc w:val="center"/>
              <w:rPr>
                <w:rFonts w:ascii="Calibri" w:hAnsi="Calibri"/>
                <w:color w:val="000000"/>
                <w:sz w:val="22"/>
                <w:szCs w:val="22"/>
                <w:lang w:val="en-AU"/>
              </w:rPr>
            </w:pPr>
            <w:r w:rsidRPr="00264A0F">
              <w:rPr>
                <w:sz w:val="22"/>
                <w:szCs w:val="22"/>
              </w:rPr>
              <w:t>14,054</w:t>
            </w:r>
          </w:p>
        </w:tc>
        <w:tc>
          <w:tcPr>
            <w:tcW w:w="850" w:type="dxa"/>
            <w:tcBorders>
              <w:top w:val="nil"/>
              <w:left w:val="nil"/>
              <w:bottom w:val="nil"/>
              <w:right w:val="nil"/>
            </w:tcBorders>
            <w:shd w:val="clear" w:color="auto" w:fill="auto"/>
            <w:vAlign w:val="center"/>
            <w:hideMark/>
          </w:tcPr>
          <w:p w14:paraId="4E2C5E3B" w14:textId="77777777" w:rsidR="003C620A" w:rsidRPr="00264A0F" w:rsidRDefault="003C620A" w:rsidP="003C620A">
            <w:pPr>
              <w:spacing w:after="0"/>
              <w:jc w:val="center"/>
              <w:rPr>
                <w:rFonts w:ascii="Calibri" w:hAnsi="Calibri"/>
                <w:color w:val="000000"/>
                <w:sz w:val="22"/>
                <w:szCs w:val="22"/>
                <w:lang w:val="en-AU"/>
              </w:rPr>
            </w:pPr>
            <w:r w:rsidRPr="00264A0F">
              <w:rPr>
                <w:sz w:val="22"/>
                <w:szCs w:val="22"/>
              </w:rPr>
              <w:t>15,327</w:t>
            </w:r>
          </w:p>
        </w:tc>
        <w:tc>
          <w:tcPr>
            <w:tcW w:w="851" w:type="dxa"/>
            <w:tcBorders>
              <w:top w:val="nil"/>
              <w:left w:val="nil"/>
              <w:bottom w:val="nil"/>
              <w:right w:val="nil"/>
            </w:tcBorders>
            <w:shd w:val="clear" w:color="auto" w:fill="auto"/>
            <w:vAlign w:val="center"/>
            <w:hideMark/>
          </w:tcPr>
          <w:p w14:paraId="1727E776" w14:textId="77777777" w:rsidR="003C620A" w:rsidRPr="00264A0F" w:rsidRDefault="003C620A" w:rsidP="003C620A">
            <w:pPr>
              <w:spacing w:after="0"/>
              <w:jc w:val="center"/>
              <w:rPr>
                <w:rFonts w:ascii="Calibri" w:hAnsi="Calibri"/>
                <w:color w:val="000000"/>
                <w:sz w:val="22"/>
                <w:szCs w:val="22"/>
                <w:lang w:val="en-AU"/>
              </w:rPr>
            </w:pPr>
            <w:r w:rsidRPr="00264A0F">
              <w:rPr>
                <w:sz w:val="22"/>
                <w:szCs w:val="22"/>
              </w:rPr>
              <w:t>12,131</w:t>
            </w:r>
          </w:p>
        </w:tc>
        <w:tc>
          <w:tcPr>
            <w:tcW w:w="717" w:type="dxa"/>
            <w:tcBorders>
              <w:top w:val="nil"/>
              <w:left w:val="nil"/>
              <w:bottom w:val="nil"/>
              <w:right w:val="nil"/>
            </w:tcBorders>
            <w:shd w:val="clear" w:color="auto" w:fill="auto"/>
            <w:vAlign w:val="center"/>
            <w:hideMark/>
          </w:tcPr>
          <w:p w14:paraId="70E74E2A" w14:textId="77777777" w:rsidR="003C620A" w:rsidRPr="00264A0F" w:rsidRDefault="003C620A" w:rsidP="003C620A">
            <w:pPr>
              <w:spacing w:after="0"/>
              <w:jc w:val="center"/>
              <w:rPr>
                <w:rFonts w:ascii="Calibri" w:hAnsi="Calibri"/>
                <w:color w:val="000000"/>
                <w:sz w:val="22"/>
                <w:szCs w:val="22"/>
                <w:lang w:val="en-AU"/>
              </w:rPr>
            </w:pPr>
            <w:r w:rsidRPr="00264A0F">
              <w:rPr>
                <w:sz w:val="22"/>
                <w:szCs w:val="22"/>
              </w:rPr>
              <w:t>9,247</w:t>
            </w:r>
          </w:p>
        </w:tc>
        <w:tc>
          <w:tcPr>
            <w:tcW w:w="844" w:type="dxa"/>
            <w:tcBorders>
              <w:top w:val="nil"/>
              <w:left w:val="nil"/>
              <w:bottom w:val="nil"/>
              <w:right w:val="nil"/>
            </w:tcBorders>
            <w:shd w:val="clear" w:color="auto" w:fill="auto"/>
            <w:vAlign w:val="center"/>
            <w:hideMark/>
          </w:tcPr>
          <w:p w14:paraId="74AE9937" w14:textId="77777777" w:rsidR="003C620A" w:rsidRPr="00264A0F" w:rsidRDefault="003C620A" w:rsidP="003C620A">
            <w:pPr>
              <w:spacing w:after="0"/>
              <w:jc w:val="center"/>
              <w:rPr>
                <w:rFonts w:ascii="Calibri" w:hAnsi="Calibri"/>
                <w:color w:val="000000"/>
                <w:sz w:val="22"/>
                <w:szCs w:val="22"/>
                <w:lang w:val="en-AU"/>
              </w:rPr>
            </w:pPr>
            <w:r w:rsidRPr="00264A0F">
              <w:rPr>
                <w:sz w:val="22"/>
                <w:szCs w:val="22"/>
              </w:rPr>
              <w:t>87,726</w:t>
            </w:r>
          </w:p>
        </w:tc>
      </w:tr>
      <w:tr w:rsidR="003C620A" w:rsidRPr="000D61D1" w14:paraId="02C9A9E2" w14:textId="77777777" w:rsidTr="003C620A">
        <w:trPr>
          <w:trHeight w:val="320"/>
        </w:trPr>
        <w:tc>
          <w:tcPr>
            <w:tcW w:w="3261" w:type="dxa"/>
            <w:tcBorders>
              <w:top w:val="nil"/>
              <w:left w:val="nil"/>
              <w:bottom w:val="nil"/>
              <w:right w:val="nil"/>
            </w:tcBorders>
            <w:shd w:val="clear" w:color="auto" w:fill="auto"/>
            <w:vAlign w:val="center"/>
            <w:hideMark/>
          </w:tcPr>
          <w:p w14:paraId="42F0D07F" w14:textId="77777777" w:rsidR="003C620A" w:rsidRPr="000D61D1" w:rsidRDefault="003C620A" w:rsidP="003C620A">
            <w:pPr>
              <w:spacing w:after="0"/>
              <w:jc w:val="left"/>
              <w:rPr>
                <w:rFonts w:ascii="Calibri" w:hAnsi="Calibri"/>
                <w:b/>
                <w:color w:val="000000"/>
                <w:sz w:val="22"/>
                <w:lang w:val="en-AU"/>
              </w:rPr>
            </w:pPr>
            <w:r w:rsidRPr="000D61D1">
              <w:rPr>
                <w:rFonts w:ascii="Calibri" w:hAnsi="Calibri"/>
                <w:b/>
                <w:color w:val="000000"/>
                <w:sz w:val="22"/>
                <w:lang w:val="en-AU"/>
              </w:rPr>
              <w:t>Difference (impact of new policy)</w:t>
            </w:r>
          </w:p>
        </w:tc>
        <w:tc>
          <w:tcPr>
            <w:tcW w:w="850" w:type="dxa"/>
            <w:tcBorders>
              <w:top w:val="nil"/>
              <w:left w:val="nil"/>
              <w:bottom w:val="nil"/>
              <w:right w:val="nil"/>
            </w:tcBorders>
            <w:shd w:val="clear" w:color="auto" w:fill="auto"/>
            <w:vAlign w:val="center"/>
            <w:hideMark/>
          </w:tcPr>
          <w:p w14:paraId="2B7B665D" w14:textId="77777777" w:rsidR="003C620A" w:rsidRPr="00264A0F" w:rsidRDefault="003C620A" w:rsidP="003C620A">
            <w:pPr>
              <w:spacing w:after="0"/>
              <w:jc w:val="right"/>
              <w:rPr>
                <w:rFonts w:ascii="Calibri" w:hAnsi="Calibri"/>
                <w:color w:val="000000"/>
                <w:sz w:val="22"/>
                <w:szCs w:val="22"/>
                <w:lang w:val="en-AU"/>
              </w:rPr>
            </w:pPr>
            <w:r w:rsidRPr="00264A0F">
              <w:rPr>
                <w:sz w:val="22"/>
                <w:szCs w:val="22"/>
              </w:rPr>
              <w:t>10</w:t>
            </w:r>
          </w:p>
        </w:tc>
        <w:tc>
          <w:tcPr>
            <w:tcW w:w="851" w:type="dxa"/>
            <w:tcBorders>
              <w:top w:val="nil"/>
              <w:left w:val="nil"/>
              <w:bottom w:val="nil"/>
              <w:right w:val="nil"/>
            </w:tcBorders>
            <w:shd w:val="clear" w:color="auto" w:fill="auto"/>
            <w:vAlign w:val="center"/>
            <w:hideMark/>
          </w:tcPr>
          <w:p w14:paraId="3812C98A" w14:textId="77777777" w:rsidR="003C620A" w:rsidRPr="00264A0F" w:rsidRDefault="003C620A" w:rsidP="003C620A">
            <w:pPr>
              <w:spacing w:after="0"/>
              <w:jc w:val="right"/>
              <w:rPr>
                <w:rFonts w:ascii="Calibri" w:hAnsi="Calibri"/>
                <w:color w:val="000000"/>
                <w:sz w:val="22"/>
                <w:szCs w:val="22"/>
                <w:lang w:val="en-AU"/>
              </w:rPr>
            </w:pPr>
            <w:r w:rsidRPr="00264A0F">
              <w:rPr>
                <w:sz w:val="22"/>
                <w:szCs w:val="22"/>
              </w:rPr>
              <w:t>159</w:t>
            </w:r>
          </w:p>
        </w:tc>
        <w:tc>
          <w:tcPr>
            <w:tcW w:w="850" w:type="dxa"/>
            <w:tcBorders>
              <w:top w:val="nil"/>
              <w:left w:val="nil"/>
              <w:bottom w:val="nil"/>
              <w:right w:val="nil"/>
            </w:tcBorders>
            <w:shd w:val="clear" w:color="auto" w:fill="auto"/>
            <w:vAlign w:val="center"/>
            <w:hideMark/>
          </w:tcPr>
          <w:p w14:paraId="43CA7F1C" w14:textId="77777777" w:rsidR="003C620A" w:rsidRPr="00264A0F" w:rsidRDefault="003C620A" w:rsidP="003C620A">
            <w:pPr>
              <w:spacing w:after="0"/>
              <w:jc w:val="right"/>
              <w:rPr>
                <w:rFonts w:ascii="Calibri" w:hAnsi="Calibri"/>
                <w:color w:val="000000"/>
                <w:sz w:val="22"/>
                <w:szCs w:val="22"/>
                <w:lang w:val="en-AU"/>
              </w:rPr>
            </w:pPr>
            <w:r w:rsidRPr="00264A0F">
              <w:rPr>
                <w:sz w:val="22"/>
                <w:szCs w:val="22"/>
              </w:rPr>
              <w:t>244</w:t>
            </w:r>
          </w:p>
        </w:tc>
        <w:tc>
          <w:tcPr>
            <w:tcW w:w="851" w:type="dxa"/>
            <w:tcBorders>
              <w:top w:val="nil"/>
              <w:left w:val="nil"/>
              <w:bottom w:val="nil"/>
              <w:right w:val="nil"/>
            </w:tcBorders>
            <w:shd w:val="clear" w:color="auto" w:fill="auto"/>
            <w:vAlign w:val="center"/>
            <w:hideMark/>
          </w:tcPr>
          <w:p w14:paraId="4A7B360E" w14:textId="77777777" w:rsidR="003C620A" w:rsidRPr="00264A0F" w:rsidRDefault="003C620A" w:rsidP="003C620A">
            <w:pPr>
              <w:spacing w:after="0"/>
              <w:jc w:val="right"/>
              <w:rPr>
                <w:rFonts w:ascii="Calibri" w:hAnsi="Calibri"/>
                <w:color w:val="000000"/>
                <w:sz w:val="22"/>
                <w:szCs w:val="22"/>
                <w:lang w:val="en-AU"/>
              </w:rPr>
            </w:pPr>
            <w:r w:rsidRPr="00264A0F">
              <w:rPr>
                <w:sz w:val="22"/>
                <w:szCs w:val="22"/>
              </w:rPr>
              <w:t>455</w:t>
            </w:r>
          </w:p>
        </w:tc>
        <w:tc>
          <w:tcPr>
            <w:tcW w:w="850" w:type="dxa"/>
            <w:tcBorders>
              <w:top w:val="nil"/>
              <w:left w:val="nil"/>
              <w:bottom w:val="nil"/>
              <w:right w:val="nil"/>
            </w:tcBorders>
            <w:shd w:val="clear" w:color="auto" w:fill="auto"/>
            <w:vAlign w:val="center"/>
            <w:hideMark/>
          </w:tcPr>
          <w:p w14:paraId="73D58B9A" w14:textId="77777777" w:rsidR="003C620A" w:rsidRPr="00264A0F" w:rsidRDefault="003C620A" w:rsidP="003C620A">
            <w:pPr>
              <w:spacing w:after="0"/>
              <w:jc w:val="right"/>
              <w:rPr>
                <w:rFonts w:ascii="Calibri" w:hAnsi="Calibri"/>
                <w:color w:val="000000"/>
                <w:sz w:val="22"/>
                <w:szCs w:val="22"/>
                <w:lang w:val="en-AU"/>
              </w:rPr>
            </w:pPr>
            <w:r w:rsidRPr="00264A0F">
              <w:rPr>
                <w:sz w:val="22"/>
                <w:szCs w:val="22"/>
              </w:rPr>
              <w:t>495</w:t>
            </w:r>
          </w:p>
        </w:tc>
        <w:tc>
          <w:tcPr>
            <w:tcW w:w="851" w:type="dxa"/>
            <w:tcBorders>
              <w:top w:val="nil"/>
              <w:left w:val="nil"/>
              <w:bottom w:val="nil"/>
              <w:right w:val="nil"/>
            </w:tcBorders>
            <w:shd w:val="clear" w:color="auto" w:fill="auto"/>
            <w:vAlign w:val="center"/>
            <w:hideMark/>
          </w:tcPr>
          <w:p w14:paraId="62598EF3" w14:textId="77777777" w:rsidR="003C620A" w:rsidRPr="00264A0F" w:rsidRDefault="003C620A" w:rsidP="003C620A">
            <w:pPr>
              <w:spacing w:after="0"/>
              <w:jc w:val="right"/>
              <w:rPr>
                <w:rFonts w:ascii="Calibri" w:eastAsia="Times New Roman" w:hAnsi="Calibri" w:cs="Calibri"/>
                <w:color w:val="000000"/>
                <w:sz w:val="22"/>
                <w:szCs w:val="22"/>
                <w:lang w:val="en-AU" w:eastAsia="en-AU"/>
              </w:rPr>
            </w:pPr>
            <w:r w:rsidRPr="00264A0F">
              <w:rPr>
                <w:sz w:val="22"/>
                <w:szCs w:val="22"/>
              </w:rPr>
              <w:t>292</w:t>
            </w:r>
          </w:p>
        </w:tc>
        <w:tc>
          <w:tcPr>
            <w:tcW w:w="717" w:type="dxa"/>
            <w:tcBorders>
              <w:top w:val="nil"/>
              <w:left w:val="nil"/>
              <w:bottom w:val="nil"/>
              <w:right w:val="nil"/>
            </w:tcBorders>
            <w:shd w:val="clear" w:color="auto" w:fill="auto"/>
            <w:vAlign w:val="center"/>
            <w:hideMark/>
          </w:tcPr>
          <w:p w14:paraId="20CDF1CC" w14:textId="77777777" w:rsidR="003C620A" w:rsidRPr="00264A0F" w:rsidRDefault="003C620A" w:rsidP="003C620A">
            <w:pPr>
              <w:spacing w:after="0"/>
              <w:jc w:val="right"/>
              <w:rPr>
                <w:rFonts w:ascii="Calibri" w:hAnsi="Calibri"/>
                <w:color w:val="000000"/>
                <w:sz w:val="22"/>
                <w:szCs w:val="22"/>
                <w:lang w:val="en-AU"/>
              </w:rPr>
            </w:pPr>
            <w:r w:rsidRPr="00264A0F">
              <w:rPr>
                <w:sz w:val="22"/>
                <w:szCs w:val="22"/>
              </w:rPr>
              <w:t>387</w:t>
            </w:r>
          </w:p>
        </w:tc>
        <w:tc>
          <w:tcPr>
            <w:tcW w:w="844" w:type="dxa"/>
            <w:tcBorders>
              <w:top w:val="nil"/>
              <w:left w:val="nil"/>
              <w:bottom w:val="nil"/>
              <w:right w:val="nil"/>
            </w:tcBorders>
            <w:shd w:val="clear" w:color="auto" w:fill="auto"/>
            <w:vAlign w:val="center"/>
            <w:hideMark/>
          </w:tcPr>
          <w:p w14:paraId="17C1D9B5" w14:textId="77777777" w:rsidR="003C620A" w:rsidRPr="00264A0F" w:rsidRDefault="003C620A" w:rsidP="003C620A">
            <w:pPr>
              <w:spacing w:after="0"/>
              <w:jc w:val="right"/>
              <w:rPr>
                <w:rFonts w:ascii="Calibri" w:hAnsi="Calibri"/>
                <w:color w:val="000000"/>
                <w:sz w:val="22"/>
                <w:szCs w:val="22"/>
                <w:lang w:val="en-AU"/>
              </w:rPr>
            </w:pPr>
            <w:r w:rsidRPr="00264A0F">
              <w:rPr>
                <w:sz w:val="22"/>
                <w:szCs w:val="22"/>
              </w:rPr>
              <w:t>2,042</w:t>
            </w:r>
          </w:p>
        </w:tc>
      </w:tr>
      <w:tr w:rsidR="003C620A" w:rsidRPr="000D61D1" w14:paraId="5E475190" w14:textId="77777777" w:rsidTr="003C620A">
        <w:trPr>
          <w:trHeight w:val="310"/>
        </w:trPr>
        <w:tc>
          <w:tcPr>
            <w:tcW w:w="3261" w:type="dxa"/>
            <w:tcBorders>
              <w:top w:val="single" w:sz="8" w:space="0" w:color="auto"/>
              <w:left w:val="nil"/>
              <w:bottom w:val="nil"/>
              <w:right w:val="nil"/>
            </w:tcBorders>
            <w:shd w:val="clear" w:color="auto" w:fill="auto"/>
            <w:vAlign w:val="center"/>
            <w:hideMark/>
          </w:tcPr>
          <w:p w14:paraId="0D86EE43" w14:textId="77777777" w:rsidR="003C620A" w:rsidRPr="000D61D1" w:rsidRDefault="003C620A" w:rsidP="003C620A">
            <w:pPr>
              <w:spacing w:after="0"/>
              <w:jc w:val="center"/>
              <w:rPr>
                <w:rFonts w:ascii="Calibri" w:hAnsi="Calibri"/>
                <w:b/>
                <w:i/>
                <w:color w:val="365F91"/>
                <w:lang w:val="en-AU"/>
              </w:rPr>
            </w:pPr>
            <w:r w:rsidRPr="00113FC1">
              <w:rPr>
                <w:b/>
                <w:i/>
                <w:iCs/>
                <w:color w:val="365F91" w:themeColor="accent1" w:themeShade="BF"/>
              </w:rPr>
              <w:t xml:space="preserve">1.24 – 2.19% price </w:t>
            </w:r>
            <w:r>
              <w:rPr>
                <w:b/>
                <w:i/>
                <w:iCs/>
                <w:color w:val="365F91" w:themeColor="accent1" w:themeShade="BF"/>
              </w:rPr>
              <w:t>effect (1.7% average)</w:t>
            </w:r>
          </w:p>
        </w:tc>
        <w:tc>
          <w:tcPr>
            <w:tcW w:w="850" w:type="dxa"/>
            <w:tcBorders>
              <w:top w:val="single" w:sz="8" w:space="0" w:color="auto"/>
              <w:left w:val="nil"/>
              <w:bottom w:val="nil"/>
              <w:right w:val="nil"/>
            </w:tcBorders>
            <w:shd w:val="clear" w:color="auto" w:fill="auto"/>
            <w:noWrap/>
            <w:vAlign w:val="bottom"/>
            <w:hideMark/>
          </w:tcPr>
          <w:p w14:paraId="0C6F4BCC" w14:textId="77777777" w:rsidR="003C620A" w:rsidRPr="00264A0F" w:rsidRDefault="003C620A" w:rsidP="003C620A">
            <w:pPr>
              <w:spacing w:after="0"/>
              <w:jc w:val="left"/>
              <w:rPr>
                <w:rFonts w:ascii="Calibri" w:hAnsi="Calibri"/>
                <w:color w:val="000000"/>
                <w:sz w:val="22"/>
                <w:szCs w:val="22"/>
                <w:lang w:val="en-AU"/>
              </w:rPr>
            </w:pPr>
            <w:r w:rsidRPr="00264A0F">
              <w:rPr>
                <w:rFonts w:ascii="Calibri" w:eastAsia="Times New Roman" w:hAnsi="Calibri" w:cs="Calibri"/>
                <w:color w:val="000000"/>
                <w:sz w:val="22"/>
                <w:szCs w:val="22"/>
                <w:lang w:val="en-AU" w:eastAsia="en-AU"/>
              </w:rPr>
              <w:t> </w:t>
            </w:r>
          </w:p>
        </w:tc>
        <w:tc>
          <w:tcPr>
            <w:tcW w:w="851" w:type="dxa"/>
            <w:tcBorders>
              <w:top w:val="single" w:sz="8" w:space="0" w:color="auto"/>
              <w:left w:val="nil"/>
              <w:bottom w:val="nil"/>
              <w:right w:val="nil"/>
            </w:tcBorders>
            <w:shd w:val="clear" w:color="auto" w:fill="auto"/>
            <w:noWrap/>
            <w:vAlign w:val="bottom"/>
            <w:hideMark/>
          </w:tcPr>
          <w:p w14:paraId="24BB9838" w14:textId="77777777" w:rsidR="003C620A" w:rsidRPr="00264A0F" w:rsidRDefault="003C620A" w:rsidP="003C620A">
            <w:pPr>
              <w:spacing w:after="0"/>
              <w:jc w:val="left"/>
              <w:rPr>
                <w:rFonts w:ascii="Calibri" w:hAnsi="Calibri"/>
                <w:color w:val="000000"/>
                <w:sz w:val="22"/>
                <w:szCs w:val="22"/>
                <w:lang w:val="en-AU"/>
              </w:rPr>
            </w:pPr>
            <w:r w:rsidRPr="00264A0F">
              <w:rPr>
                <w:rFonts w:ascii="Calibri" w:eastAsia="Times New Roman" w:hAnsi="Calibri" w:cs="Calibri"/>
                <w:color w:val="000000"/>
                <w:sz w:val="22"/>
                <w:szCs w:val="22"/>
                <w:lang w:val="en-AU" w:eastAsia="en-AU"/>
              </w:rPr>
              <w:t> </w:t>
            </w:r>
          </w:p>
        </w:tc>
        <w:tc>
          <w:tcPr>
            <w:tcW w:w="850" w:type="dxa"/>
            <w:tcBorders>
              <w:top w:val="single" w:sz="8" w:space="0" w:color="auto"/>
              <w:left w:val="nil"/>
              <w:bottom w:val="nil"/>
              <w:right w:val="nil"/>
            </w:tcBorders>
            <w:shd w:val="clear" w:color="auto" w:fill="auto"/>
            <w:noWrap/>
            <w:vAlign w:val="bottom"/>
            <w:hideMark/>
          </w:tcPr>
          <w:p w14:paraId="4BCB5E48" w14:textId="77777777" w:rsidR="003C620A" w:rsidRPr="00264A0F" w:rsidRDefault="003C620A" w:rsidP="003C620A">
            <w:pPr>
              <w:spacing w:after="0"/>
              <w:jc w:val="left"/>
              <w:rPr>
                <w:rFonts w:ascii="Calibri" w:hAnsi="Calibri"/>
                <w:color w:val="000000"/>
                <w:sz w:val="22"/>
                <w:szCs w:val="22"/>
                <w:lang w:val="en-AU"/>
              </w:rPr>
            </w:pPr>
            <w:r w:rsidRPr="00264A0F">
              <w:rPr>
                <w:rFonts w:ascii="Calibri" w:eastAsia="Times New Roman" w:hAnsi="Calibri" w:cs="Calibri"/>
                <w:color w:val="000000"/>
                <w:sz w:val="22"/>
                <w:szCs w:val="22"/>
                <w:lang w:val="en-AU" w:eastAsia="en-AU"/>
              </w:rPr>
              <w:t> </w:t>
            </w:r>
          </w:p>
        </w:tc>
        <w:tc>
          <w:tcPr>
            <w:tcW w:w="851" w:type="dxa"/>
            <w:tcBorders>
              <w:top w:val="single" w:sz="8" w:space="0" w:color="auto"/>
              <w:left w:val="nil"/>
              <w:bottom w:val="nil"/>
              <w:right w:val="nil"/>
            </w:tcBorders>
            <w:shd w:val="clear" w:color="auto" w:fill="auto"/>
            <w:noWrap/>
            <w:vAlign w:val="bottom"/>
            <w:hideMark/>
          </w:tcPr>
          <w:p w14:paraId="53ECC400" w14:textId="77777777" w:rsidR="003C620A" w:rsidRPr="00264A0F" w:rsidRDefault="003C620A" w:rsidP="003C620A">
            <w:pPr>
              <w:spacing w:after="0"/>
              <w:jc w:val="left"/>
              <w:rPr>
                <w:rFonts w:ascii="Calibri" w:hAnsi="Calibri"/>
                <w:color w:val="000000"/>
                <w:sz w:val="22"/>
                <w:szCs w:val="22"/>
                <w:lang w:val="en-AU"/>
              </w:rPr>
            </w:pPr>
            <w:r w:rsidRPr="00264A0F">
              <w:rPr>
                <w:rFonts w:ascii="Calibri" w:eastAsia="Times New Roman" w:hAnsi="Calibri" w:cs="Calibri"/>
                <w:color w:val="000000"/>
                <w:sz w:val="22"/>
                <w:szCs w:val="22"/>
                <w:lang w:val="en-AU" w:eastAsia="en-AU"/>
              </w:rPr>
              <w:t> </w:t>
            </w:r>
          </w:p>
        </w:tc>
        <w:tc>
          <w:tcPr>
            <w:tcW w:w="850" w:type="dxa"/>
            <w:tcBorders>
              <w:top w:val="single" w:sz="8" w:space="0" w:color="auto"/>
              <w:left w:val="nil"/>
              <w:bottom w:val="nil"/>
              <w:right w:val="nil"/>
            </w:tcBorders>
            <w:shd w:val="clear" w:color="auto" w:fill="auto"/>
            <w:noWrap/>
            <w:vAlign w:val="bottom"/>
            <w:hideMark/>
          </w:tcPr>
          <w:p w14:paraId="3D2817A8" w14:textId="77777777" w:rsidR="003C620A" w:rsidRPr="00264A0F" w:rsidRDefault="003C620A" w:rsidP="003C620A">
            <w:pPr>
              <w:spacing w:after="0"/>
              <w:jc w:val="left"/>
              <w:rPr>
                <w:rFonts w:ascii="Calibri" w:hAnsi="Calibri"/>
                <w:color w:val="000000"/>
                <w:sz w:val="22"/>
                <w:szCs w:val="22"/>
                <w:lang w:val="en-AU"/>
              </w:rPr>
            </w:pPr>
            <w:r w:rsidRPr="00264A0F">
              <w:rPr>
                <w:rFonts w:ascii="Calibri" w:eastAsia="Times New Roman" w:hAnsi="Calibri" w:cs="Calibri"/>
                <w:color w:val="000000"/>
                <w:sz w:val="22"/>
                <w:szCs w:val="22"/>
                <w:lang w:val="en-AU" w:eastAsia="en-AU"/>
              </w:rPr>
              <w:t> </w:t>
            </w:r>
          </w:p>
        </w:tc>
        <w:tc>
          <w:tcPr>
            <w:tcW w:w="851" w:type="dxa"/>
            <w:tcBorders>
              <w:top w:val="single" w:sz="8" w:space="0" w:color="auto"/>
              <w:left w:val="nil"/>
              <w:bottom w:val="nil"/>
              <w:right w:val="nil"/>
            </w:tcBorders>
            <w:shd w:val="clear" w:color="auto" w:fill="auto"/>
            <w:noWrap/>
            <w:vAlign w:val="bottom"/>
            <w:hideMark/>
          </w:tcPr>
          <w:p w14:paraId="462051D6" w14:textId="77777777" w:rsidR="003C620A" w:rsidRPr="00264A0F" w:rsidRDefault="003C620A" w:rsidP="003C620A">
            <w:pPr>
              <w:spacing w:after="0"/>
              <w:jc w:val="left"/>
              <w:rPr>
                <w:rFonts w:ascii="Calibri" w:hAnsi="Calibri"/>
                <w:color w:val="000000"/>
                <w:sz w:val="22"/>
                <w:szCs w:val="22"/>
                <w:lang w:val="en-AU"/>
              </w:rPr>
            </w:pPr>
            <w:r w:rsidRPr="00264A0F">
              <w:rPr>
                <w:rFonts w:ascii="Calibri" w:eastAsia="Times New Roman" w:hAnsi="Calibri" w:cs="Calibri"/>
                <w:color w:val="000000"/>
                <w:sz w:val="22"/>
                <w:szCs w:val="22"/>
                <w:lang w:val="en-AU" w:eastAsia="en-AU"/>
              </w:rPr>
              <w:t> </w:t>
            </w:r>
          </w:p>
        </w:tc>
        <w:tc>
          <w:tcPr>
            <w:tcW w:w="717" w:type="dxa"/>
            <w:tcBorders>
              <w:top w:val="single" w:sz="8" w:space="0" w:color="auto"/>
              <w:left w:val="nil"/>
              <w:bottom w:val="nil"/>
              <w:right w:val="nil"/>
            </w:tcBorders>
            <w:shd w:val="clear" w:color="auto" w:fill="auto"/>
            <w:noWrap/>
            <w:vAlign w:val="bottom"/>
            <w:hideMark/>
          </w:tcPr>
          <w:p w14:paraId="60F0555C" w14:textId="77777777" w:rsidR="003C620A" w:rsidRPr="00264A0F" w:rsidRDefault="003C620A" w:rsidP="003C620A">
            <w:pPr>
              <w:spacing w:after="0"/>
              <w:jc w:val="left"/>
              <w:rPr>
                <w:rFonts w:ascii="Calibri" w:hAnsi="Calibri"/>
                <w:color w:val="000000"/>
                <w:sz w:val="22"/>
                <w:szCs w:val="22"/>
                <w:lang w:val="en-AU"/>
              </w:rPr>
            </w:pPr>
            <w:r w:rsidRPr="00264A0F">
              <w:rPr>
                <w:rFonts w:ascii="Calibri" w:eastAsia="Times New Roman" w:hAnsi="Calibri" w:cs="Calibri"/>
                <w:color w:val="000000"/>
                <w:sz w:val="22"/>
                <w:szCs w:val="22"/>
                <w:lang w:val="en-AU" w:eastAsia="en-AU"/>
              </w:rPr>
              <w:t> </w:t>
            </w:r>
          </w:p>
        </w:tc>
        <w:tc>
          <w:tcPr>
            <w:tcW w:w="844" w:type="dxa"/>
            <w:tcBorders>
              <w:top w:val="single" w:sz="8" w:space="0" w:color="auto"/>
              <w:left w:val="nil"/>
              <w:bottom w:val="nil"/>
              <w:right w:val="nil"/>
            </w:tcBorders>
            <w:shd w:val="clear" w:color="auto" w:fill="auto"/>
            <w:noWrap/>
            <w:vAlign w:val="bottom"/>
            <w:hideMark/>
          </w:tcPr>
          <w:p w14:paraId="7F07835C" w14:textId="77777777" w:rsidR="003C620A" w:rsidRPr="00264A0F" w:rsidRDefault="003C620A" w:rsidP="003C620A">
            <w:pPr>
              <w:spacing w:after="0"/>
              <w:jc w:val="left"/>
              <w:rPr>
                <w:rFonts w:ascii="Calibri" w:hAnsi="Calibri"/>
                <w:color w:val="000000"/>
                <w:sz w:val="22"/>
                <w:szCs w:val="22"/>
                <w:lang w:val="en-AU"/>
              </w:rPr>
            </w:pPr>
            <w:r w:rsidRPr="00264A0F">
              <w:rPr>
                <w:rFonts w:ascii="Calibri" w:eastAsia="Times New Roman" w:hAnsi="Calibri" w:cs="Calibri"/>
                <w:color w:val="000000"/>
                <w:sz w:val="22"/>
                <w:szCs w:val="22"/>
                <w:lang w:val="en-AU" w:eastAsia="en-AU"/>
              </w:rPr>
              <w:t> </w:t>
            </w:r>
          </w:p>
        </w:tc>
      </w:tr>
      <w:tr w:rsidR="003C620A" w:rsidRPr="000D61D1" w14:paraId="1E27DD1A" w14:textId="77777777" w:rsidTr="003C620A">
        <w:trPr>
          <w:trHeight w:val="320"/>
        </w:trPr>
        <w:tc>
          <w:tcPr>
            <w:tcW w:w="3261" w:type="dxa"/>
            <w:tcBorders>
              <w:top w:val="nil"/>
              <w:left w:val="nil"/>
              <w:bottom w:val="single" w:sz="8" w:space="0" w:color="auto"/>
              <w:right w:val="nil"/>
            </w:tcBorders>
            <w:shd w:val="clear" w:color="auto" w:fill="auto"/>
            <w:vAlign w:val="center"/>
            <w:hideMark/>
          </w:tcPr>
          <w:p w14:paraId="7110E5F0" w14:textId="77777777" w:rsidR="003C620A" w:rsidRPr="000D61D1" w:rsidRDefault="003C620A" w:rsidP="003C620A">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p>
        </w:tc>
        <w:tc>
          <w:tcPr>
            <w:tcW w:w="850" w:type="dxa"/>
            <w:tcBorders>
              <w:top w:val="nil"/>
              <w:left w:val="nil"/>
              <w:bottom w:val="single" w:sz="8" w:space="0" w:color="auto"/>
              <w:right w:val="nil"/>
            </w:tcBorders>
            <w:shd w:val="clear" w:color="auto" w:fill="auto"/>
            <w:vAlign w:val="center"/>
            <w:hideMark/>
          </w:tcPr>
          <w:p w14:paraId="30522638"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2012</w:t>
            </w:r>
          </w:p>
        </w:tc>
        <w:tc>
          <w:tcPr>
            <w:tcW w:w="851" w:type="dxa"/>
            <w:tcBorders>
              <w:top w:val="nil"/>
              <w:left w:val="nil"/>
              <w:bottom w:val="single" w:sz="8" w:space="0" w:color="auto"/>
              <w:right w:val="nil"/>
            </w:tcBorders>
            <w:shd w:val="clear" w:color="auto" w:fill="auto"/>
            <w:vAlign w:val="center"/>
            <w:hideMark/>
          </w:tcPr>
          <w:p w14:paraId="5A90F9E6"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2013</w:t>
            </w:r>
          </w:p>
        </w:tc>
        <w:tc>
          <w:tcPr>
            <w:tcW w:w="850" w:type="dxa"/>
            <w:tcBorders>
              <w:top w:val="nil"/>
              <w:left w:val="nil"/>
              <w:bottom w:val="single" w:sz="8" w:space="0" w:color="auto"/>
              <w:right w:val="nil"/>
            </w:tcBorders>
            <w:shd w:val="clear" w:color="auto" w:fill="auto"/>
            <w:vAlign w:val="center"/>
            <w:hideMark/>
          </w:tcPr>
          <w:p w14:paraId="06CFD84E"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2014</w:t>
            </w:r>
          </w:p>
        </w:tc>
        <w:tc>
          <w:tcPr>
            <w:tcW w:w="851" w:type="dxa"/>
            <w:tcBorders>
              <w:top w:val="nil"/>
              <w:left w:val="nil"/>
              <w:bottom w:val="single" w:sz="8" w:space="0" w:color="auto"/>
              <w:right w:val="nil"/>
            </w:tcBorders>
            <w:shd w:val="clear" w:color="auto" w:fill="auto"/>
            <w:vAlign w:val="center"/>
            <w:hideMark/>
          </w:tcPr>
          <w:p w14:paraId="6EA9E374"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2015</w:t>
            </w:r>
          </w:p>
        </w:tc>
        <w:tc>
          <w:tcPr>
            <w:tcW w:w="850" w:type="dxa"/>
            <w:tcBorders>
              <w:top w:val="nil"/>
              <w:left w:val="nil"/>
              <w:bottom w:val="single" w:sz="8" w:space="0" w:color="auto"/>
              <w:right w:val="nil"/>
            </w:tcBorders>
            <w:shd w:val="clear" w:color="auto" w:fill="auto"/>
            <w:vAlign w:val="center"/>
            <w:hideMark/>
          </w:tcPr>
          <w:p w14:paraId="0687BF0C"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2016</w:t>
            </w:r>
          </w:p>
        </w:tc>
        <w:tc>
          <w:tcPr>
            <w:tcW w:w="851" w:type="dxa"/>
            <w:tcBorders>
              <w:top w:val="nil"/>
              <w:left w:val="nil"/>
              <w:bottom w:val="single" w:sz="8" w:space="0" w:color="auto"/>
              <w:right w:val="nil"/>
            </w:tcBorders>
            <w:shd w:val="clear" w:color="auto" w:fill="auto"/>
            <w:vAlign w:val="center"/>
            <w:hideMark/>
          </w:tcPr>
          <w:p w14:paraId="20B8E409"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2017</w:t>
            </w:r>
          </w:p>
        </w:tc>
        <w:tc>
          <w:tcPr>
            <w:tcW w:w="717" w:type="dxa"/>
            <w:tcBorders>
              <w:top w:val="nil"/>
              <w:left w:val="nil"/>
              <w:bottom w:val="single" w:sz="8" w:space="0" w:color="auto"/>
              <w:right w:val="nil"/>
            </w:tcBorders>
            <w:shd w:val="clear" w:color="auto" w:fill="auto"/>
            <w:vAlign w:val="center"/>
            <w:hideMark/>
          </w:tcPr>
          <w:p w14:paraId="7010FB58"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2018</w:t>
            </w:r>
          </w:p>
        </w:tc>
        <w:tc>
          <w:tcPr>
            <w:tcW w:w="844" w:type="dxa"/>
            <w:tcBorders>
              <w:top w:val="nil"/>
              <w:left w:val="nil"/>
              <w:bottom w:val="single" w:sz="8" w:space="0" w:color="auto"/>
              <w:right w:val="nil"/>
            </w:tcBorders>
            <w:shd w:val="clear" w:color="auto" w:fill="auto"/>
            <w:vAlign w:val="center"/>
            <w:hideMark/>
          </w:tcPr>
          <w:p w14:paraId="56874326"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Total</w:t>
            </w:r>
          </w:p>
        </w:tc>
      </w:tr>
      <w:tr w:rsidR="003C620A" w:rsidRPr="000D61D1" w14:paraId="18F2A981" w14:textId="77777777" w:rsidTr="003C620A">
        <w:trPr>
          <w:trHeight w:val="310"/>
        </w:trPr>
        <w:tc>
          <w:tcPr>
            <w:tcW w:w="3261" w:type="dxa"/>
            <w:tcBorders>
              <w:top w:val="nil"/>
              <w:left w:val="nil"/>
              <w:bottom w:val="nil"/>
              <w:right w:val="nil"/>
            </w:tcBorders>
            <w:shd w:val="clear" w:color="auto" w:fill="auto"/>
            <w:vAlign w:val="center"/>
            <w:hideMark/>
          </w:tcPr>
          <w:p w14:paraId="7A59EF2E" w14:textId="77777777" w:rsidR="003C620A" w:rsidRPr="000D61D1" w:rsidRDefault="003C620A" w:rsidP="003C620A">
            <w:pPr>
              <w:spacing w:after="0"/>
              <w:jc w:val="left"/>
              <w:rPr>
                <w:rFonts w:ascii="Calibri" w:eastAsia="Times New Roman" w:hAnsi="Calibri" w:cs="Calibri"/>
                <w:b/>
                <w:bCs/>
                <w:color w:val="000000"/>
                <w:sz w:val="22"/>
                <w:szCs w:val="22"/>
                <w:lang w:val="en-AU" w:eastAsia="en-AU"/>
              </w:rPr>
            </w:pPr>
            <w:r w:rsidRPr="000D61D1">
              <w:rPr>
                <w:rFonts w:ascii="Calibri" w:eastAsia="Times New Roman" w:hAnsi="Calibri" w:cs="Calibri"/>
                <w:b/>
                <w:bCs/>
                <w:color w:val="000000"/>
                <w:sz w:val="22"/>
                <w:szCs w:val="22"/>
                <w:lang w:val="en-AU" w:eastAsia="en-AU"/>
              </w:rPr>
              <w:t>New tax policy</w:t>
            </w:r>
          </w:p>
        </w:tc>
        <w:tc>
          <w:tcPr>
            <w:tcW w:w="850" w:type="dxa"/>
            <w:tcBorders>
              <w:top w:val="nil"/>
              <w:left w:val="nil"/>
              <w:bottom w:val="nil"/>
              <w:right w:val="nil"/>
            </w:tcBorders>
            <w:shd w:val="clear" w:color="auto" w:fill="auto"/>
            <w:vAlign w:val="center"/>
            <w:hideMark/>
          </w:tcPr>
          <w:p w14:paraId="6739B583" w14:textId="77777777" w:rsidR="003C620A" w:rsidRPr="00264A0F" w:rsidRDefault="003C620A" w:rsidP="003C620A">
            <w:pPr>
              <w:spacing w:after="0"/>
              <w:jc w:val="left"/>
              <w:rPr>
                <w:rFonts w:ascii="Calibri" w:eastAsia="Times New Roman" w:hAnsi="Calibri" w:cs="Calibri"/>
                <w:b/>
                <w:bCs/>
                <w:color w:val="000000"/>
                <w:sz w:val="22"/>
                <w:szCs w:val="22"/>
                <w:lang w:val="en-AU" w:eastAsia="en-AU"/>
              </w:rPr>
            </w:pPr>
          </w:p>
        </w:tc>
        <w:tc>
          <w:tcPr>
            <w:tcW w:w="851" w:type="dxa"/>
            <w:tcBorders>
              <w:top w:val="nil"/>
              <w:left w:val="nil"/>
              <w:bottom w:val="nil"/>
              <w:right w:val="nil"/>
            </w:tcBorders>
            <w:shd w:val="clear" w:color="auto" w:fill="auto"/>
            <w:vAlign w:val="center"/>
            <w:hideMark/>
          </w:tcPr>
          <w:p w14:paraId="2BF561E5" w14:textId="77777777" w:rsidR="003C620A" w:rsidRPr="00264A0F" w:rsidRDefault="003C620A" w:rsidP="003C620A">
            <w:pPr>
              <w:spacing w:after="0"/>
              <w:rPr>
                <w:rFonts w:ascii="Times New Roman" w:eastAsia="Times New Roman" w:hAnsi="Times New Roman" w:cs="Times New Roman"/>
                <w:sz w:val="22"/>
                <w:szCs w:val="22"/>
                <w:lang w:val="en-AU" w:eastAsia="en-AU"/>
              </w:rPr>
            </w:pPr>
          </w:p>
        </w:tc>
        <w:tc>
          <w:tcPr>
            <w:tcW w:w="850" w:type="dxa"/>
            <w:tcBorders>
              <w:top w:val="nil"/>
              <w:left w:val="nil"/>
              <w:bottom w:val="nil"/>
              <w:right w:val="nil"/>
            </w:tcBorders>
            <w:shd w:val="clear" w:color="auto" w:fill="auto"/>
            <w:vAlign w:val="center"/>
            <w:hideMark/>
          </w:tcPr>
          <w:p w14:paraId="7FB958F7" w14:textId="77777777" w:rsidR="003C620A" w:rsidRPr="00264A0F" w:rsidRDefault="003C620A" w:rsidP="003C620A">
            <w:pPr>
              <w:spacing w:after="0"/>
              <w:rPr>
                <w:rFonts w:ascii="Times New Roman" w:eastAsia="Times New Roman" w:hAnsi="Times New Roman" w:cs="Times New Roman"/>
                <w:sz w:val="22"/>
                <w:szCs w:val="22"/>
                <w:lang w:val="en-AU" w:eastAsia="en-AU"/>
              </w:rPr>
            </w:pPr>
          </w:p>
        </w:tc>
        <w:tc>
          <w:tcPr>
            <w:tcW w:w="851" w:type="dxa"/>
            <w:tcBorders>
              <w:top w:val="nil"/>
              <w:left w:val="nil"/>
              <w:bottom w:val="nil"/>
              <w:right w:val="nil"/>
            </w:tcBorders>
            <w:shd w:val="clear" w:color="auto" w:fill="auto"/>
            <w:vAlign w:val="center"/>
            <w:hideMark/>
          </w:tcPr>
          <w:p w14:paraId="04970694" w14:textId="77777777" w:rsidR="003C620A" w:rsidRPr="00264A0F" w:rsidRDefault="003C620A" w:rsidP="003C620A">
            <w:pPr>
              <w:spacing w:after="0"/>
              <w:rPr>
                <w:rFonts w:ascii="Times New Roman" w:eastAsia="Times New Roman" w:hAnsi="Times New Roman" w:cs="Times New Roman"/>
                <w:sz w:val="22"/>
                <w:szCs w:val="22"/>
                <w:lang w:val="en-AU" w:eastAsia="en-AU"/>
              </w:rPr>
            </w:pPr>
          </w:p>
        </w:tc>
        <w:tc>
          <w:tcPr>
            <w:tcW w:w="850" w:type="dxa"/>
            <w:tcBorders>
              <w:top w:val="nil"/>
              <w:left w:val="nil"/>
              <w:bottom w:val="nil"/>
              <w:right w:val="nil"/>
            </w:tcBorders>
            <w:shd w:val="clear" w:color="auto" w:fill="auto"/>
            <w:vAlign w:val="center"/>
            <w:hideMark/>
          </w:tcPr>
          <w:p w14:paraId="30E3FF35" w14:textId="77777777" w:rsidR="003C620A" w:rsidRPr="00264A0F" w:rsidRDefault="003C620A" w:rsidP="003C620A">
            <w:pPr>
              <w:spacing w:after="0"/>
              <w:rPr>
                <w:rFonts w:ascii="Times New Roman" w:eastAsia="Times New Roman" w:hAnsi="Times New Roman" w:cs="Times New Roman"/>
                <w:sz w:val="22"/>
                <w:szCs w:val="22"/>
                <w:lang w:val="en-AU" w:eastAsia="en-AU"/>
              </w:rPr>
            </w:pPr>
          </w:p>
        </w:tc>
        <w:tc>
          <w:tcPr>
            <w:tcW w:w="851" w:type="dxa"/>
            <w:tcBorders>
              <w:top w:val="nil"/>
              <w:left w:val="nil"/>
              <w:bottom w:val="nil"/>
              <w:right w:val="nil"/>
            </w:tcBorders>
            <w:shd w:val="clear" w:color="auto" w:fill="auto"/>
            <w:vAlign w:val="center"/>
            <w:hideMark/>
          </w:tcPr>
          <w:p w14:paraId="35C26ADF" w14:textId="77777777" w:rsidR="003C620A" w:rsidRPr="00264A0F" w:rsidRDefault="003C620A" w:rsidP="003C620A">
            <w:pPr>
              <w:spacing w:after="0"/>
              <w:rPr>
                <w:rFonts w:ascii="Times New Roman" w:eastAsia="Times New Roman" w:hAnsi="Times New Roman" w:cs="Times New Roman"/>
                <w:sz w:val="22"/>
                <w:szCs w:val="22"/>
                <w:lang w:val="en-AU" w:eastAsia="en-AU"/>
              </w:rPr>
            </w:pPr>
          </w:p>
        </w:tc>
        <w:tc>
          <w:tcPr>
            <w:tcW w:w="717" w:type="dxa"/>
            <w:tcBorders>
              <w:top w:val="nil"/>
              <w:left w:val="nil"/>
              <w:bottom w:val="nil"/>
              <w:right w:val="nil"/>
            </w:tcBorders>
            <w:shd w:val="clear" w:color="auto" w:fill="auto"/>
            <w:vAlign w:val="center"/>
            <w:hideMark/>
          </w:tcPr>
          <w:p w14:paraId="7E8AC5F3" w14:textId="77777777" w:rsidR="003C620A" w:rsidRPr="00264A0F" w:rsidRDefault="003C620A" w:rsidP="003C620A">
            <w:pPr>
              <w:spacing w:after="0"/>
              <w:rPr>
                <w:rFonts w:ascii="Times New Roman" w:eastAsia="Times New Roman" w:hAnsi="Times New Roman" w:cs="Times New Roman"/>
                <w:sz w:val="22"/>
                <w:szCs w:val="22"/>
                <w:lang w:val="en-AU" w:eastAsia="en-AU"/>
              </w:rPr>
            </w:pPr>
          </w:p>
        </w:tc>
        <w:tc>
          <w:tcPr>
            <w:tcW w:w="844" w:type="dxa"/>
            <w:tcBorders>
              <w:top w:val="nil"/>
              <w:left w:val="nil"/>
              <w:bottom w:val="nil"/>
              <w:right w:val="nil"/>
            </w:tcBorders>
            <w:shd w:val="clear" w:color="auto" w:fill="auto"/>
            <w:vAlign w:val="center"/>
            <w:hideMark/>
          </w:tcPr>
          <w:p w14:paraId="2CD8EC6C" w14:textId="77777777" w:rsidR="003C620A" w:rsidRPr="00264A0F" w:rsidRDefault="003C620A" w:rsidP="003C620A">
            <w:pPr>
              <w:spacing w:after="0"/>
              <w:rPr>
                <w:rFonts w:ascii="Times New Roman" w:eastAsia="Times New Roman" w:hAnsi="Times New Roman" w:cs="Times New Roman"/>
                <w:sz w:val="22"/>
                <w:szCs w:val="22"/>
                <w:lang w:val="en-AU" w:eastAsia="en-AU"/>
              </w:rPr>
            </w:pPr>
          </w:p>
        </w:tc>
      </w:tr>
      <w:tr w:rsidR="003C620A" w:rsidRPr="000D61D1" w14:paraId="3954D056" w14:textId="77777777" w:rsidTr="003C620A">
        <w:trPr>
          <w:trHeight w:val="310"/>
        </w:trPr>
        <w:tc>
          <w:tcPr>
            <w:tcW w:w="3261" w:type="dxa"/>
            <w:tcBorders>
              <w:top w:val="nil"/>
              <w:left w:val="nil"/>
              <w:bottom w:val="nil"/>
              <w:right w:val="nil"/>
            </w:tcBorders>
            <w:shd w:val="clear" w:color="auto" w:fill="auto"/>
            <w:vAlign w:val="center"/>
            <w:hideMark/>
          </w:tcPr>
          <w:p w14:paraId="305D6B2B"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Meet income and deposit constraints</w:t>
            </w:r>
          </w:p>
        </w:tc>
        <w:tc>
          <w:tcPr>
            <w:tcW w:w="850" w:type="dxa"/>
            <w:tcBorders>
              <w:top w:val="nil"/>
              <w:left w:val="nil"/>
              <w:bottom w:val="nil"/>
              <w:right w:val="nil"/>
            </w:tcBorders>
            <w:shd w:val="clear" w:color="auto" w:fill="auto"/>
            <w:vAlign w:val="center"/>
            <w:hideMark/>
          </w:tcPr>
          <w:p w14:paraId="0AE51808"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11,494</w:t>
            </w:r>
          </w:p>
        </w:tc>
        <w:tc>
          <w:tcPr>
            <w:tcW w:w="851" w:type="dxa"/>
            <w:tcBorders>
              <w:top w:val="nil"/>
              <w:left w:val="nil"/>
              <w:bottom w:val="nil"/>
              <w:right w:val="nil"/>
            </w:tcBorders>
            <w:shd w:val="clear" w:color="auto" w:fill="auto"/>
            <w:vAlign w:val="center"/>
            <w:hideMark/>
          </w:tcPr>
          <w:p w14:paraId="11D7A25B"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12,569</w:t>
            </w:r>
          </w:p>
        </w:tc>
        <w:tc>
          <w:tcPr>
            <w:tcW w:w="850" w:type="dxa"/>
            <w:tcBorders>
              <w:top w:val="nil"/>
              <w:left w:val="nil"/>
              <w:bottom w:val="nil"/>
              <w:right w:val="nil"/>
            </w:tcBorders>
            <w:shd w:val="clear" w:color="auto" w:fill="auto"/>
            <w:vAlign w:val="center"/>
            <w:hideMark/>
          </w:tcPr>
          <w:p w14:paraId="187C406C"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13,317</w:t>
            </w:r>
          </w:p>
        </w:tc>
        <w:tc>
          <w:tcPr>
            <w:tcW w:w="851" w:type="dxa"/>
            <w:tcBorders>
              <w:top w:val="nil"/>
              <w:left w:val="nil"/>
              <w:bottom w:val="nil"/>
              <w:right w:val="nil"/>
            </w:tcBorders>
            <w:shd w:val="clear" w:color="auto" w:fill="auto"/>
            <w:vAlign w:val="center"/>
            <w:hideMark/>
          </w:tcPr>
          <w:p w14:paraId="71C02E06"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14,509</w:t>
            </w:r>
          </w:p>
        </w:tc>
        <w:tc>
          <w:tcPr>
            <w:tcW w:w="850" w:type="dxa"/>
            <w:tcBorders>
              <w:top w:val="nil"/>
              <w:left w:val="nil"/>
              <w:bottom w:val="nil"/>
              <w:right w:val="nil"/>
            </w:tcBorders>
            <w:shd w:val="clear" w:color="auto" w:fill="auto"/>
            <w:vAlign w:val="center"/>
            <w:hideMark/>
          </w:tcPr>
          <w:p w14:paraId="74B27E42"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15,822</w:t>
            </w:r>
          </w:p>
        </w:tc>
        <w:tc>
          <w:tcPr>
            <w:tcW w:w="851" w:type="dxa"/>
            <w:tcBorders>
              <w:top w:val="nil"/>
              <w:left w:val="nil"/>
              <w:bottom w:val="nil"/>
              <w:right w:val="nil"/>
            </w:tcBorders>
            <w:shd w:val="clear" w:color="auto" w:fill="auto"/>
            <w:vAlign w:val="center"/>
            <w:hideMark/>
          </w:tcPr>
          <w:p w14:paraId="7EA2A155"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12,423</w:t>
            </w:r>
          </w:p>
        </w:tc>
        <w:tc>
          <w:tcPr>
            <w:tcW w:w="717" w:type="dxa"/>
            <w:tcBorders>
              <w:top w:val="nil"/>
              <w:left w:val="nil"/>
              <w:bottom w:val="nil"/>
              <w:right w:val="nil"/>
            </w:tcBorders>
            <w:shd w:val="clear" w:color="auto" w:fill="auto"/>
            <w:vAlign w:val="center"/>
            <w:hideMark/>
          </w:tcPr>
          <w:p w14:paraId="401447B8"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9,634</w:t>
            </w:r>
          </w:p>
        </w:tc>
        <w:tc>
          <w:tcPr>
            <w:tcW w:w="844" w:type="dxa"/>
            <w:tcBorders>
              <w:top w:val="nil"/>
              <w:left w:val="nil"/>
              <w:bottom w:val="nil"/>
              <w:right w:val="nil"/>
            </w:tcBorders>
            <w:shd w:val="clear" w:color="auto" w:fill="auto"/>
            <w:vAlign w:val="center"/>
            <w:hideMark/>
          </w:tcPr>
          <w:p w14:paraId="651031D6"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rFonts w:ascii="Calibri" w:eastAsia="Times New Roman" w:hAnsi="Calibri" w:cs="Calibri"/>
                <w:color w:val="000000"/>
                <w:sz w:val="22"/>
                <w:szCs w:val="22"/>
                <w:lang w:val="en-AU" w:eastAsia="en-AU"/>
              </w:rPr>
              <w:t>89,768</w:t>
            </w:r>
          </w:p>
        </w:tc>
      </w:tr>
      <w:tr w:rsidR="003C620A" w:rsidRPr="000D61D1" w14:paraId="71A5A5E5" w14:textId="77777777" w:rsidTr="003C620A">
        <w:trPr>
          <w:trHeight w:val="310"/>
        </w:trPr>
        <w:tc>
          <w:tcPr>
            <w:tcW w:w="3261" w:type="dxa"/>
            <w:tcBorders>
              <w:top w:val="nil"/>
              <w:left w:val="nil"/>
              <w:bottom w:val="nil"/>
              <w:right w:val="nil"/>
            </w:tcBorders>
            <w:shd w:val="clear" w:color="auto" w:fill="auto"/>
            <w:vAlign w:val="center"/>
            <w:hideMark/>
          </w:tcPr>
          <w:p w14:paraId="05C934CF" w14:textId="77777777" w:rsidR="003C620A" w:rsidRPr="000D61D1" w:rsidRDefault="003C620A" w:rsidP="003C620A">
            <w:pPr>
              <w:spacing w:after="0"/>
              <w:jc w:val="left"/>
              <w:rPr>
                <w:rFonts w:ascii="Calibri" w:eastAsia="Times New Roman" w:hAnsi="Calibri" w:cs="Calibri"/>
                <w:b/>
                <w:bCs/>
                <w:color w:val="000000"/>
                <w:sz w:val="22"/>
                <w:szCs w:val="22"/>
                <w:lang w:val="en-AU" w:eastAsia="en-AU"/>
              </w:rPr>
            </w:pPr>
            <w:r w:rsidRPr="000D61D1">
              <w:rPr>
                <w:rFonts w:ascii="Calibri" w:eastAsia="Times New Roman" w:hAnsi="Calibri" w:cs="Calibri"/>
                <w:b/>
                <w:bCs/>
                <w:color w:val="000000"/>
                <w:sz w:val="22"/>
                <w:szCs w:val="22"/>
                <w:lang w:val="en-AU" w:eastAsia="en-AU"/>
              </w:rPr>
              <w:t>Old tax policy</w:t>
            </w:r>
          </w:p>
        </w:tc>
        <w:tc>
          <w:tcPr>
            <w:tcW w:w="850" w:type="dxa"/>
            <w:tcBorders>
              <w:top w:val="nil"/>
              <w:left w:val="nil"/>
              <w:bottom w:val="nil"/>
              <w:right w:val="nil"/>
            </w:tcBorders>
            <w:shd w:val="clear" w:color="auto" w:fill="auto"/>
            <w:vAlign w:val="center"/>
            <w:hideMark/>
          </w:tcPr>
          <w:p w14:paraId="12FB9A35" w14:textId="77777777" w:rsidR="003C620A" w:rsidRPr="00264A0F" w:rsidRDefault="003C620A" w:rsidP="003C620A">
            <w:pPr>
              <w:spacing w:after="0"/>
              <w:jc w:val="left"/>
              <w:rPr>
                <w:rFonts w:ascii="Calibri" w:eastAsia="Times New Roman" w:hAnsi="Calibri" w:cs="Calibri"/>
                <w:b/>
                <w:bCs/>
                <w:color w:val="000000"/>
                <w:sz w:val="22"/>
                <w:szCs w:val="22"/>
                <w:lang w:val="en-AU" w:eastAsia="en-AU"/>
              </w:rPr>
            </w:pPr>
          </w:p>
        </w:tc>
        <w:tc>
          <w:tcPr>
            <w:tcW w:w="851" w:type="dxa"/>
            <w:tcBorders>
              <w:top w:val="nil"/>
              <w:left w:val="nil"/>
              <w:bottom w:val="nil"/>
              <w:right w:val="nil"/>
            </w:tcBorders>
            <w:shd w:val="clear" w:color="auto" w:fill="auto"/>
            <w:vAlign w:val="center"/>
            <w:hideMark/>
          </w:tcPr>
          <w:p w14:paraId="59578EC9" w14:textId="77777777" w:rsidR="003C620A" w:rsidRPr="00264A0F" w:rsidRDefault="003C620A" w:rsidP="003C620A">
            <w:pPr>
              <w:spacing w:after="0"/>
              <w:jc w:val="center"/>
              <w:rPr>
                <w:rFonts w:ascii="Times New Roman" w:eastAsia="Times New Roman" w:hAnsi="Times New Roman" w:cs="Times New Roman"/>
                <w:sz w:val="22"/>
                <w:szCs w:val="22"/>
                <w:lang w:val="en-AU" w:eastAsia="en-AU"/>
              </w:rPr>
            </w:pPr>
          </w:p>
        </w:tc>
        <w:tc>
          <w:tcPr>
            <w:tcW w:w="850" w:type="dxa"/>
            <w:tcBorders>
              <w:top w:val="nil"/>
              <w:left w:val="nil"/>
              <w:bottom w:val="nil"/>
              <w:right w:val="nil"/>
            </w:tcBorders>
            <w:shd w:val="clear" w:color="auto" w:fill="auto"/>
            <w:vAlign w:val="center"/>
            <w:hideMark/>
          </w:tcPr>
          <w:p w14:paraId="0F0DA351" w14:textId="77777777" w:rsidR="003C620A" w:rsidRPr="00264A0F" w:rsidRDefault="003C620A" w:rsidP="003C620A">
            <w:pPr>
              <w:spacing w:after="0"/>
              <w:jc w:val="center"/>
              <w:rPr>
                <w:rFonts w:ascii="Times New Roman" w:eastAsia="Times New Roman" w:hAnsi="Times New Roman" w:cs="Times New Roman"/>
                <w:sz w:val="22"/>
                <w:szCs w:val="22"/>
                <w:lang w:val="en-AU" w:eastAsia="en-AU"/>
              </w:rPr>
            </w:pPr>
          </w:p>
        </w:tc>
        <w:tc>
          <w:tcPr>
            <w:tcW w:w="851" w:type="dxa"/>
            <w:tcBorders>
              <w:top w:val="nil"/>
              <w:left w:val="nil"/>
              <w:bottom w:val="nil"/>
              <w:right w:val="nil"/>
            </w:tcBorders>
            <w:shd w:val="clear" w:color="auto" w:fill="auto"/>
            <w:vAlign w:val="center"/>
            <w:hideMark/>
          </w:tcPr>
          <w:p w14:paraId="193F1C4A" w14:textId="77777777" w:rsidR="003C620A" w:rsidRPr="00264A0F" w:rsidRDefault="003C620A" w:rsidP="003C620A">
            <w:pPr>
              <w:spacing w:after="0"/>
              <w:jc w:val="center"/>
              <w:rPr>
                <w:rFonts w:ascii="Times New Roman" w:eastAsia="Times New Roman" w:hAnsi="Times New Roman" w:cs="Times New Roman"/>
                <w:sz w:val="22"/>
                <w:szCs w:val="22"/>
                <w:lang w:val="en-AU" w:eastAsia="en-AU"/>
              </w:rPr>
            </w:pPr>
          </w:p>
        </w:tc>
        <w:tc>
          <w:tcPr>
            <w:tcW w:w="850" w:type="dxa"/>
            <w:tcBorders>
              <w:top w:val="nil"/>
              <w:left w:val="nil"/>
              <w:bottom w:val="nil"/>
              <w:right w:val="nil"/>
            </w:tcBorders>
            <w:shd w:val="clear" w:color="auto" w:fill="auto"/>
            <w:vAlign w:val="center"/>
            <w:hideMark/>
          </w:tcPr>
          <w:p w14:paraId="252D0FC3" w14:textId="77777777" w:rsidR="003C620A" w:rsidRPr="00264A0F" w:rsidRDefault="003C620A" w:rsidP="003C620A">
            <w:pPr>
              <w:spacing w:after="0"/>
              <w:jc w:val="center"/>
              <w:rPr>
                <w:rFonts w:ascii="Times New Roman" w:eastAsia="Times New Roman" w:hAnsi="Times New Roman" w:cs="Times New Roman"/>
                <w:sz w:val="22"/>
                <w:szCs w:val="22"/>
                <w:lang w:val="en-AU" w:eastAsia="en-AU"/>
              </w:rPr>
            </w:pPr>
          </w:p>
        </w:tc>
        <w:tc>
          <w:tcPr>
            <w:tcW w:w="851" w:type="dxa"/>
            <w:tcBorders>
              <w:top w:val="nil"/>
              <w:left w:val="nil"/>
              <w:bottom w:val="nil"/>
              <w:right w:val="nil"/>
            </w:tcBorders>
            <w:shd w:val="clear" w:color="auto" w:fill="auto"/>
            <w:vAlign w:val="center"/>
            <w:hideMark/>
          </w:tcPr>
          <w:p w14:paraId="4CC26D40" w14:textId="77777777" w:rsidR="003C620A" w:rsidRPr="00264A0F" w:rsidRDefault="003C620A" w:rsidP="003C620A">
            <w:pPr>
              <w:spacing w:after="0"/>
              <w:jc w:val="center"/>
              <w:rPr>
                <w:rFonts w:ascii="Times New Roman" w:eastAsia="Times New Roman" w:hAnsi="Times New Roman" w:cs="Times New Roman"/>
                <w:sz w:val="22"/>
                <w:szCs w:val="22"/>
                <w:lang w:val="en-AU" w:eastAsia="en-AU"/>
              </w:rPr>
            </w:pPr>
          </w:p>
        </w:tc>
        <w:tc>
          <w:tcPr>
            <w:tcW w:w="717" w:type="dxa"/>
            <w:tcBorders>
              <w:top w:val="nil"/>
              <w:left w:val="nil"/>
              <w:bottom w:val="nil"/>
              <w:right w:val="nil"/>
            </w:tcBorders>
            <w:shd w:val="clear" w:color="auto" w:fill="auto"/>
            <w:vAlign w:val="center"/>
            <w:hideMark/>
          </w:tcPr>
          <w:p w14:paraId="59E6200B" w14:textId="77777777" w:rsidR="003C620A" w:rsidRPr="00264A0F" w:rsidRDefault="003C620A" w:rsidP="003C620A">
            <w:pPr>
              <w:spacing w:after="0"/>
              <w:jc w:val="center"/>
              <w:rPr>
                <w:rFonts w:ascii="Times New Roman" w:eastAsia="Times New Roman" w:hAnsi="Times New Roman" w:cs="Times New Roman"/>
                <w:sz w:val="22"/>
                <w:szCs w:val="22"/>
                <w:lang w:val="en-AU" w:eastAsia="en-AU"/>
              </w:rPr>
            </w:pPr>
          </w:p>
        </w:tc>
        <w:tc>
          <w:tcPr>
            <w:tcW w:w="844" w:type="dxa"/>
            <w:tcBorders>
              <w:top w:val="nil"/>
              <w:left w:val="nil"/>
              <w:bottom w:val="nil"/>
              <w:right w:val="nil"/>
            </w:tcBorders>
            <w:shd w:val="clear" w:color="auto" w:fill="auto"/>
            <w:vAlign w:val="center"/>
            <w:hideMark/>
          </w:tcPr>
          <w:p w14:paraId="6C682022" w14:textId="77777777" w:rsidR="003C620A" w:rsidRPr="00264A0F" w:rsidRDefault="003C620A" w:rsidP="003C620A">
            <w:pPr>
              <w:spacing w:after="0"/>
              <w:jc w:val="center"/>
              <w:rPr>
                <w:rFonts w:ascii="Times New Roman" w:eastAsia="Times New Roman" w:hAnsi="Times New Roman" w:cs="Times New Roman"/>
                <w:sz w:val="22"/>
                <w:szCs w:val="22"/>
                <w:lang w:val="en-AU" w:eastAsia="en-AU"/>
              </w:rPr>
            </w:pPr>
          </w:p>
        </w:tc>
      </w:tr>
      <w:tr w:rsidR="003C620A" w:rsidRPr="000D61D1" w14:paraId="7919E608" w14:textId="77777777" w:rsidTr="003C620A">
        <w:trPr>
          <w:trHeight w:val="310"/>
        </w:trPr>
        <w:tc>
          <w:tcPr>
            <w:tcW w:w="3261" w:type="dxa"/>
            <w:tcBorders>
              <w:top w:val="nil"/>
              <w:left w:val="nil"/>
              <w:right w:val="nil"/>
            </w:tcBorders>
            <w:shd w:val="clear" w:color="auto" w:fill="auto"/>
            <w:vAlign w:val="center"/>
            <w:hideMark/>
          </w:tcPr>
          <w:p w14:paraId="7ADA319B"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Meet income and deposit constraints</w:t>
            </w:r>
          </w:p>
        </w:tc>
        <w:tc>
          <w:tcPr>
            <w:tcW w:w="850" w:type="dxa"/>
            <w:tcBorders>
              <w:top w:val="nil"/>
              <w:left w:val="nil"/>
              <w:right w:val="nil"/>
            </w:tcBorders>
            <w:shd w:val="clear" w:color="auto" w:fill="auto"/>
            <w:vAlign w:val="center"/>
            <w:hideMark/>
          </w:tcPr>
          <w:p w14:paraId="1FAE0B69"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sz w:val="22"/>
                <w:szCs w:val="22"/>
              </w:rPr>
              <w:t>11,601</w:t>
            </w:r>
          </w:p>
        </w:tc>
        <w:tc>
          <w:tcPr>
            <w:tcW w:w="851" w:type="dxa"/>
            <w:tcBorders>
              <w:top w:val="nil"/>
              <w:left w:val="nil"/>
              <w:right w:val="nil"/>
            </w:tcBorders>
            <w:shd w:val="clear" w:color="auto" w:fill="auto"/>
            <w:vAlign w:val="center"/>
            <w:hideMark/>
          </w:tcPr>
          <w:p w14:paraId="72F8779C"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sz w:val="22"/>
                <w:szCs w:val="22"/>
              </w:rPr>
              <w:t>12,550</w:t>
            </w:r>
          </w:p>
        </w:tc>
        <w:tc>
          <w:tcPr>
            <w:tcW w:w="850" w:type="dxa"/>
            <w:tcBorders>
              <w:top w:val="nil"/>
              <w:left w:val="nil"/>
              <w:right w:val="nil"/>
            </w:tcBorders>
            <w:shd w:val="clear" w:color="auto" w:fill="auto"/>
            <w:vAlign w:val="center"/>
            <w:hideMark/>
          </w:tcPr>
          <w:p w14:paraId="41118BEA"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sz w:val="22"/>
                <w:szCs w:val="22"/>
              </w:rPr>
              <w:t>13,166</w:t>
            </w:r>
          </w:p>
        </w:tc>
        <w:tc>
          <w:tcPr>
            <w:tcW w:w="851" w:type="dxa"/>
            <w:tcBorders>
              <w:top w:val="nil"/>
              <w:left w:val="nil"/>
              <w:right w:val="nil"/>
            </w:tcBorders>
            <w:shd w:val="clear" w:color="auto" w:fill="auto"/>
            <w:vAlign w:val="center"/>
            <w:hideMark/>
          </w:tcPr>
          <w:p w14:paraId="59316DBE"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sz w:val="22"/>
                <w:szCs w:val="22"/>
              </w:rPr>
              <w:t>14,281</w:t>
            </w:r>
          </w:p>
        </w:tc>
        <w:tc>
          <w:tcPr>
            <w:tcW w:w="850" w:type="dxa"/>
            <w:tcBorders>
              <w:top w:val="nil"/>
              <w:left w:val="nil"/>
              <w:right w:val="nil"/>
            </w:tcBorders>
            <w:shd w:val="clear" w:color="auto" w:fill="auto"/>
            <w:vAlign w:val="center"/>
            <w:hideMark/>
          </w:tcPr>
          <w:p w14:paraId="584BF4C7"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sz w:val="22"/>
                <w:szCs w:val="22"/>
              </w:rPr>
              <w:t>15,367</w:t>
            </w:r>
          </w:p>
        </w:tc>
        <w:tc>
          <w:tcPr>
            <w:tcW w:w="851" w:type="dxa"/>
            <w:tcBorders>
              <w:top w:val="nil"/>
              <w:left w:val="nil"/>
              <w:right w:val="nil"/>
            </w:tcBorders>
            <w:shd w:val="clear" w:color="auto" w:fill="auto"/>
            <w:vAlign w:val="center"/>
            <w:hideMark/>
          </w:tcPr>
          <w:p w14:paraId="74FA5F90"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sz w:val="22"/>
                <w:szCs w:val="22"/>
              </w:rPr>
              <w:t>12,176</w:t>
            </w:r>
          </w:p>
        </w:tc>
        <w:tc>
          <w:tcPr>
            <w:tcW w:w="717" w:type="dxa"/>
            <w:tcBorders>
              <w:top w:val="nil"/>
              <w:left w:val="nil"/>
              <w:right w:val="nil"/>
            </w:tcBorders>
            <w:shd w:val="clear" w:color="auto" w:fill="auto"/>
            <w:vAlign w:val="center"/>
            <w:hideMark/>
          </w:tcPr>
          <w:p w14:paraId="44311F62"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sz w:val="22"/>
                <w:szCs w:val="22"/>
              </w:rPr>
              <w:t>9,264</w:t>
            </w:r>
          </w:p>
        </w:tc>
        <w:tc>
          <w:tcPr>
            <w:tcW w:w="844" w:type="dxa"/>
            <w:tcBorders>
              <w:top w:val="nil"/>
              <w:left w:val="nil"/>
              <w:right w:val="nil"/>
            </w:tcBorders>
            <w:shd w:val="clear" w:color="auto" w:fill="auto"/>
            <w:vAlign w:val="center"/>
            <w:hideMark/>
          </w:tcPr>
          <w:p w14:paraId="2B8DC70C" w14:textId="77777777" w:rsidR="003C620A" w:rsidRPr="00264A0F" w:rsidRDefault="003C620A" w:rsidP="003C620A">
            <w:pPr>
              <w:spacing w:after="0"/>
              <w:jc w:val="center"/>
              <w:rPr>
                <w:rFonts w:ascii="Calibri" w:eastAsia="Times New Roman" w:hAnsi="Calibri" w:cs="Calibri"/>
                <w:color w:val="000000"/>
                <w:sz w:val="22"/>
                <w:szCs w:val="22"/>
                <w:lang w:val="en-AU" w:eastAsia="en-AU"/>
              </w:rPr>
            </w:pPr>
            <w:r w:rsidRPr="00264A0F">
              <w:rPr>
                <w:sz w:val="22"/>
                <w:szCs w:val="22"/>
              </w:rPr>
              <w:t>88,405</w:t>
            </w:r>
          </w:p>
        </w:tc>
      </w:tr>
      <w:tr w:rsidR="003C620A" w:rsidRPr="000D61D1" w14:paraId="5452D073" w14:textId="77777777" w:rsidTr="003C620A">
        <w:trPr>
          <w:trHeight w:val="310"/>
        </w:trPr>
        <w:tc>
          <w:tcPr>
            <w:tcW w:w="3261" w:type="dxa"/>
            <w:tcBorders>
              <w:top w:val="nil"/>
              <w:left w:val="nil"/>
              <w:bottom w:val="single" w:sz="12" w:space="0" w:color="auto"/>
              <w:right w:val="nil"/>
            </w:tcBorders>
            <w:shd w:val="clear" w:color="auto" w:fill="auto"/>
            <w:vAlign w:val="center"/>
            <w:hideMark/>
          </w:tcPr>
          <w:p w14:paraId="719AB677" w14:textId="77777777" w:rsidR="003C620A" w:rsidRPr="000D61D1" w:rsidRDefault="003C620A" w:rsidP="003C620A">
            <w:pPr>
              <w:spacing w:after="0"/>
              <w:jc w:val="left"/>
              <w:rPr>
                <w:rFonts w:ascii="Calibri" w:eastAsia="Times New Roman" w:hAnsi="Calibri" w:cs="Calibri"/>
                <w:b/>
                <w:bCs/>
                <w:color w:val="000000"/>
                <w:sz w:val="22"/>
                <w:szCs w:val="22"/>
                <w:lang w:val="en-AU" w:eastAsia="en-AU"/>
              </w:rPr>
            </w:pPr>
            <w:r w:rsidRPr="000D61D1">
              <w:rPr>
                <w:rFonts w:ascii="Calibri" w:eastAsia="Times New Roman" w:hAnsi="Calibri" w:cs="Calibri"/>
                <w:b/>
                <w:bCs/>
                <w:color w:val="000000"/>
                <w:sz w:val="22"/>
                <w:szCs w:val="22"/>
                <w:lang w:val="en-AU" w:eastAsia="en-AU"/>
              </w:rPr>
              <w:t>Difference (impact of new policy)</w:t>
            </w:r>
          </w:p>
        </w:tc>
        <w:tc>
          <w:tcPr>
            <w:tcW w:w="850" w:type="dxa"/>
            <w:tcBorders>
              <w:top w:val="nil"/>
              <w:left w:val="nil"/>
              <w:bottom w:val="single" w:sz="12" w:space="0" w:color="auto"/>
              <w:right w:val="nil"/>
            </w:tcBorders>
            <w:shd w:val="clear" w:color="auto" w:fill="auto"/>
            <w:vAlign w:val="center"/>
            <w:hideMark/>
          </w:tcPr>
          <w:p w14:paraId="5756F348" w14:textId="77777777" w:rsidR="003C620A" w:rsidRPr="00264A0F" w:rsidRDefault="003C620A" w:rsidP="003C620A">
            <w:pPr>
              <w:spacing w:after="0"/>
              <w:jc w:val="right"/>
              <w:rPr>
                <w:rFonts w:ascii="Calibri" w:eastAsia="Times New Roman" w:hAnsi="Calibri" w:cs="Calibri"/>
                <w:color w:val="000000"/>
                <w:sz w:val="22"/>
                <w:szCs w:val="22"/>
                <w:lang w:val="en-AU" w:eastAsia="en-AU"/>
              </w:rPr>
            </w:pPr>
            <w:r w:rsidRPr="00264A0F">
              <w:rPr>
                <w:sz w:val="22"/>
                <w:szCs w:val="22"/>
              </w:rPr>
              <w:t>-107</w:t>
            </w:r>
          </w:p>
        </w:tc>
        <w:tc>
          <w:tcPr>
            <w:tcW w:w="851" w:type="dxa"/>
            <w:tcBorders>
              <w:top w:val="nil"/>
              <w:left w:val="nil"/>
              <w:bottom w:val="single" w:sz="12" w:space="0" w:color="auto"/>
              <w:right w:val="nil"/>
            </w:tcBorders>
            <w:shd w:val="clear" w:color="auto" w:fill="auto"/>
            <w:vAlign w:val="center"/>
            <w:hideMark/>
          </w:tcPr>
          <w:p w14:paraId="3DBFFB55" w14:textId="77777777" w:rsidR="003C620A" w:rsidRPr="00264A0F" w:rsidRDefault="003C620A" w:rsidP="003C620A">
            <w:pPr>
              <w:spacing w:after="0"/>
              <w:jc w:val="right"/>
              <w:rPr>
                <w:rFonts w:ascii="Calibri" w:eastAsia="Times New Roman" w:hAnsi="Calibri" w:cs="Calibri"/>
                <w:color w:val="000000"/>
                <w:sz w:val="22"/>
                <w:szCs w:val="22"/>
                <w:lang w:val="en-AU" w:eastAsia="en-AU"/>
              </w:rPr>
            </w:pPr>
            <w:r w:rsidRPr="00264A0F">
              <w:rPr>
                <w:sz w:val="22"/>
                <w:szCs w:val="22"/>
              </w:rPr>
              <w:t>19</w:t>
            </w:r>
          </w:p>
        </w:tc>
        <w:tc>
          <w:tcPr>
            <w:tcW w:w="850" w:type="dxa"/>
            <w:tcBorders>
              <w:top w:val="nil"/>
              <w:left w:val="nil"/>
              <w:bottom w:val="single" w:sz="12" w:space="0" w:color="auto"/>
              <w:right w:val="nil"/>
            </w:tcBorders>
            <w:shd w:val="clear" w:color="auto" w:fill="auto"/>
            <w:vAlign w:val="center"/>
            <w:hideMark/>
          </w:tcPr>
          <w:p w14:paraId="0919AE1F" w14:textId="77777777" w:rsidR="003C620A" w:rsidRPr="00264A0F" w:rsidRDefault="003C620A" w:rsidP="003C620A">
            <w:pPr>
              <w:spacing w:after="0"/>
              <w:jc w:val="right"/>
              <w:rPr>
                <w:rFonts w:ascii="Calibri" w:eastAsia="Times New Roman" w:hAnsi="Calibri" w:cs="Calibri"/>
                <w:color w:val="000000"/>
                <w:sz w:val="22"/>
                <w:szCs w:val="22"/>
                <w:lang w:val="en-AU" w:eastAsia="en-AU"/>
              </w:rPr>
            </w:pPr>
            <w:r w:rsidRPr="00264A0F">
              <w:rPr>
                <w:sz w:val="22"/>
                <w:szCs w:val="22"/>
              </w:rPr>
              <w:t>151</w:t>
            </w:r>
          </w:p>
        </w:tc>
        <w:tc>
          <w:tcPr>
            <w:tcW w:w="851" w:type="dxa"/>
            <w:tcBorders>
              <w:top w:val="nil"/>
              <w:left w:val="nil"/>
              <w:bottom w:val="single" w:sz="12" w:space="0" w:color="auto"/>
              <w:right w:val="nil"/>
            </w:tcBorders>
            <w:shd w:val="clear" w:color="auto" w:fill="auto"/>
            <w:vAlign w:val="center"/>
            <w:hideMark/>
          </w:tcPr>
          <w:p w14:paraId="39397E41" w14:textId="77777777" w:rsidR="003C620A" w:rsidRPr="00264A0F" w:rsidRDefault="003C620A" w:rsidP="003C620A">
            <w:pPr>
              <w:spacing w:after="0"/>
              <w:jc w:val="right"/>
              <w:rPr>
                <w:rFonts w:ascii="Calibri" w:eastAsia="Times New Roman" w:hAnsi="Calibri" w:cs="Calibri"/>
                <w:color w:val="000000"/>
                <w:sz w:val="22"/>
                <w:szCs w:val="22"/>
                <w:lang w:val="en-AU" w:eastAsia="en-AU"/>
              </w:rPr>
            </w:pPr>
            <w:r w:rsidRPr="00264A0F">
              <w:rPr>
                <w:sz w:val="22"/>
                <w:szCs w:val="22"/>
              </w:rPr>
              <w:t>228</w:t>
            </w:r>
          </w:p>
        </w:tc>
        <w:tc>
          <w:tcPr>
            <w:tcW w:w="850" w:type="dxa"/>
            <w:tcBorders>
              <w:top w:val="nil"/>
              <w:left w:val="nil"/>
              <w:bottom w:val="single" w:sz="12" w:space="0" w:color="auto"/>
              <w:right w:val="nil"/>
            </w:tcBorders>
            <w:shd w:val="clear" w:color="auto" w:fill="auto"/>
            <w:vAlign w:val="center"/>
            <w:hideMark/>
          </w:tcPr>
          <w:p w14:paraId="6DAD56C8" w14:textId="77777777" w:rsidR="003C620A" w:rsidRPr="00264A0F" w:rsidRDefault="003C620A" w:rsidP="003C620A">
            <w:pPr>
              <w:spacing w:after="0"/>
              <w:jc w:val="right"/>
              <w:rPr>
                <w:rFonts w:ascii="Calibri" w:eastAsia="Times New Roman" w:hAnsi="Calibri" w:cs="Calibri"/>
                <w:color w:val="000000"/>
                <w:sz w:val="22"/>
                <w:szCs w:val="22"/>
                <w:lang w:val="en-AU" w:eastAsia="en-AU"/>
              </w:rPr>
            </w:pPr>
            <w:r w:rsidRPr="00264A0F">
              <w:rPr>
                <w:sz w:val="22"/>
                <w:szCs w:val="22"/>
              </w:rPr>
              <w:t>455</w:t>
            </w:r>
          </w:p>
        </w:tc>
        <w:tc>
          <w:tcPr>
            <w:tcW w:w="851" w:type="dxa"/>
            <w:tcBorders>
              <w:top w:val="nil"/>
              <w:left w:val="nil"/>
              <w:bottom w:val="single" w:sz="12" w:space="0" w:color="auto"/>
              <w:right w:val="nil"/>
            </w:tcBorders>
            <w:shd w:val="clear" w:color="auto" w:fill="auto"/>
            <w:vAlign w:val="center"/>
            <w:hideMark/>
          </w:tcPr>
          <w:p w14:paraId="2DE72853" w14:textId="77777777" w:rsidR="003C620A" w:rsidRPr="00264A0F" w:rsidRDefault="003C620A" w:rsidP="003C620A">
            <w:pPr>
              <w:spacing w:after="0"/>
              <w:jc w:val="right"/>
              <w:rPr>
                <w:rFonts w:ascii="Calibri" w:eastAsia="Times New Roman" w:hAnsi="Calibri" w:cs="Calibri"/>
                <w:color w:val="000000"/>
                <w:sz w:val="22"/>
                <w:szCs w:val="22"/>
                <w:lang w:val="en-AU" w:eastAsia="en-AU"/>
              </w:rPr>
            </w:pPr>
            <w:r w:rsidRPr="00264A0F">
              <w:rPr>
                <w:sz w:val="22"/>
                <w:szCs w:val="22"/>
              </w:rPr>
              <w:t>247</w:t>
            </w:r>
          </w:p>
        </w:tc>
        <w:tc>
          <w:tcPr>
            <w:tcW w:w="717" w:type="dxa"/>
            <w:tcBorders>
              <w:top w:val="nil"/>
              <w:left w:val="nil"/>
              <w:bottom w:val="single" w:sz="12" w:space="0" w:color="auto"/>
              <w:right w:val="nil"/>
            </w:tcBorders>
            <w:shd w:val="clear" w:color="auto" w:fill="auto"/>
            <w:vAlign w:val="center"/>
            <w:hideMark/>
          </w:tcPr>
          <w:p w14:paraId="1802C0C3" w14:textId="77777777" w:rsidR="003C620A" w:rsidRPr="00264A0F" w:rsidRDefault="003C620A" w:rsidP="003C620A">
            <w:pPr>
              <w:spacing w:after="0"/>
              <w:jc w:val="right"/>
              <w:rPr>
                <w:rFonts w:ascii="Calibri" w:eastAsia="Times New Roman" w:hAnsi="Calibri" w:cs="Calibri"/>
                <w:color w:val="000000"/>
                <w:sz w:val="22"/>
                <w:szCs w:val="22"/>
                <w:lang w:val="en-AU" w:eastAsia="en-AU"/>
              </w:rPr>
            </w:pPr>
            <w:r w:rsidRPr="00264A0F">
              <w:rPr>
                <w:sz w:val="22"/>
                <w:szCs w:val="22"/>
              </w:rPr>
              <w:t>370</w:t>
            </w:r>
          </w:p>
        </w:tc>
        <w:tc>
          <w:tcPr>
            <w:tcW w:w="844" w:type="dxa"/>
            <w:tcBorders>
              <w:top w:val="nil"/>
              <w:left w:val="nil"/>
              <w:bottom w:val="single" w:sz="12" w:space="0" w:color="auto"/>
              <w:right w:val="nil"/>
            </w:tcBorders>
            <w:shd w:val="clear" w:color="auto" w:fill="auto"/>
            <w:vAlign w:val="center"/>
            <w:hideMark/>
          </w:tcPr>
          <w:p w14:paraId="3CA9ACB1" w14:textId="77777777" w:rsidR="003C620A" w:rsidRPr="00264A0F" w:rsidRDefault="003C620A" w:rsidP="003C620A">
            <w:pPr>
              <w:spacing w:after="0"/>
              <w:jc w:val="right"/>
              <w:rPr>
                <w:rFonts w:ascii="Calibri" w:eastAsia="Times New Roman" w:hAnsi="Calibri" w:cs="Calibri"/>
                <w:color w:val="000000"/>
                <w:sz w:val="22"/>
                <w:szCs w:val="22"/>
                <w:lang w:val="en-AU" w:eastAsia="en-AU"/>
              </w:rPr>
            </w:pPr>
            <w:r w:rsidRPr="00264A0F">
              <w:rPr>
                <w:sz w:val="22"/>
                <w:szCs w:val="22"/>
              </w:rPr>
              <w:t>1,363</w:t>
            </w:r>
          </w:p>
        </w:tc>
      </w:tr>
    </w:tbl>
    <w:p w14:paraId="0813B6EE" w14:textId="77777777" w:rsidR="003C620A" w:rsidRPr="000D61D1" w:rsidRDefault="003C620A" w:rsidP="003C620A">
      <w:pPr>
        <w:pStyle w:val="BlockText"/>
        <w:rPr>
          <w:lang w:val="en-AU"/>
        </w:rPr>
      </w:pPr>
      <w:r w:rsidRPr="000D61D1">
        <w:rPr>
          <w:i/>
          <w:lang w:val="en-AU"/>
        </w:rPr>
        <w:t>Source:</w:t>
      </w:r>
      <w:r w:rsidRPr="000D61D1">
        <w:rPr>
          <w:lang w:val="en-AU"/>
        </w:rPr>
        <w:t xml:space="preserve"> Calculations from NATSEM microsimulation model. </w:t>
      </w:r>
    </w:p>
    <w:p w14:paraId="775D7231" w14:textId="77777777" w:rsidR="003C620A" w:rsidRPr="000D61D1" w:rsidRDefault="003C620A" w:rsidP="003C620A">
      <w:pPr>
        <w:pStyle w:val="BodyText"/>
        <w:rPr>
          <w:lang w:val="en-AU"/>
        </w:rPr>
      </w:pPr>
    </w:p>
    <w:p w14:paraId="56F2C8AC" w14:textId="77777777" w:rsidR="003C620A" w:rsidRPr="000D61D1" w:rsidRDefault="003C620A" w:rsidP="003C620A">
      <w:pPr>
        <w:pStyle w:val="Heading3"/>
        <w:rPr>
          <w:lang w:val="en-AU"/>
        </w:rPr>
      </w:pPr>
      <w:bookmarkStart w:id="14" w:name="_Toc43911477"/>
      <w:r w:rsidRPr="000D61D1">
        <w:rPr>
          <w:lang w:val="en-AU"/>
        </w:rPr>
        <w:t>Results for sub-groups of the population</w:t>
      </w:r>
      <w:bookmarkEnd w:id="14"/>
    </w:p>
    <w:p w14:paraId="3B094687" w14:textId="77777777" w:rsidR="003C620A" w:rsidRPr="000D61D1" w:rsidRDefault="003C620A" w:rsidP="003C620A">
      <w:pPr>
        <w:rPr>
          <w:lang w:val="en-AU"/>
        </w:rPr>
      </w:pPr>
      <w:r w:rsidRPr="000D61D1">
        <w:rPr>
          <w:lang w:val="en-AU"/>
        </w:rPr>
        <w:t>This section shows the results for some sub-groups of the population: first home buyers; low income families; middle income families; pensioners; and families with a female head of household. Other groups are considered in the technical paper, including results for high income groups.</w:t>
      </w:r>
    </w:p>
    <w:p w14:paraId="6DE36CED" w14:textId="77777777" w:rsidR="003C620A" w:rsidRPr="000D61D1" w:rsidRDefault="003C620A" w:rsidP="003C620A">
      <w:pPr>
        <w:rPr>
          <w:lang w:val="en-AU"/>
        </w:rPr>
      </w:pPr>
      <w:r w:rsidRPr="000D61D1">
        <w:rPr>
          <w:lang w:val="en-AU"/>
        </w:rPr>
        <w:t xml:space="preserve">All the groups are not exclusive – </w:t>
      </w:r>
      <w:proofErr w:type="spellStart"/>
      <w:r w:rsidRPr="000D61D1">
        <w:rPr>
          <w:lang w:val="en-AU"/>
        </w:rPr>
        <w:t>ie</w:t>
      </w:r>
      <w:proofErr w:type="spellEnd"/>
      <w:r w:rsidRPr="000D61D1">
        <w:rPr>
          <w:lang w:val="en-AU"/>
        </w:rPr>
        <w:t xml:space="preserve">, a </w:t>
      </w:r>
      <w:proofErr w:type="gramStart"/>
      <w:r w:rsidRPr="000D61D1">
        <w:rPr>
          <w:lang w:val="en-AU"/>
        </w:rPr>
        <w:t>low income</w:t>
      </w:r>
      <w:proofErr w:type="gramEnd"/>
      <w:r w:rsidRPr="000D61D1">
        <w:rPr>
          <w:lang w:val="en-AU"/>
        </w:rPr>
        <w:t xml:space="preserve"> renter can also be a pensioner renter. Further, in the tables, a renter is a renter to whom a purchase of a new </w:t>
      </w:r>
      <w:r>
        <w:rPr>
          <w:lang w:val="en-AU"/>
        </w:rPr>
        <w:t xml:space="preserve">property </w:t>
      </w:r>
      <w:r w:rsidRPr="000D61D1">
        <w:rPr>
          <w:lang w:val="en-AU"/>
        </w:rPr>
        <w:t>has been assigned in the modelling sometime over the period 2012 – 2018.</w:t>
      </w:r>
    </w:p>
    <w:p w14:paraId="48D6AFAA" w14:textId="77777777" w:rsidR="003C620A" w:rsidRPr="000D61D1" w:rsidRDefault="003C620A" w:rsidP="003C620A">
      <w:pPr>
        <w:rPr>
          <w:lang w:val="en-AU"/>
        </w:rPr>
      </w:pPr>
      <w:r w:rsidRPr="000D61D1">
        <w:rPr>
          <w:lang w:val="en-AU"/>
        </w:rPr>
        <w:lastRenderedPageBreak/>
        <w:t xml:space="preserve">In our analysis, there was a large difference between the impact on renters who become purchasers; and homeowners who were upsizing or </w:t>
      </w:r>
      <w:proofErr w:type="gramStart"/>
      <w:r w:rsidRPr="000D61D1">
        <w:rPr>
          <w:lang w:val="en-AU"/>
        </w:rPr>
        <w:t>downsizing, or</w:t>
      </w:r>
      <w:proofErr w:type="gramEnd"/>
      <w:r w:rsidRPr="000D61D1">
        <w:rPr>
          <w:lang w:val="en-AU"/>
        </w:rPr>
        <w:t xml:space="preserve"> buying an investment property. We have therefore separated these two groups of </w:t>
      </w:r>
      <w:r>
        <w:rPr>
          <w:lang w:val="en-AU"/>
        </w:rPr>
        <w:t>families</w:t>
      </w:r>
      <w:r w:rsidRPr="000D61D1">
        <w:rPr>
          <w:lang w:val="en-AU"/>
        </w:rPr>
        <w:t>.</w:t>
      </w:r>
    </w:p>
    <w:p w14:paraId="6F1DF86D" w14:textId="345659BF" w:rsidR="003C620A" w:rsidRPr="000D61D1" w:rsidRDefault="003C620A" w:rsidP="003C620A">
      <w:pPr>
        <w:rPr>
          <w:lang w:val="en-AU"/>
        </w:rPr>
      </w:pPr>
      <w:r w:rsidRPr="000D61D1">
        <w:rPr>
          <w:lang w:val="en-AU"/>
        </w:rPr>
        <w:t xml:space="preserve">The results in </w:t>
      </w:r>
      <w:r w:rsidR="00A6304C">
        <w:rPr>
          <w:lang w:val="en-AU"/>
        </w:rPr>
        <w:t>Table 3</w:t>
      </w:r>
      <w:r w:rsidRPr="000D61D1">
        <w:rPr>
          <w:lang w:val="en-AU"/>
        </w:rPr>
        <w:t xml:space="preserve"> show that the number of residential properties purchased by first home buyers increased by 5.</w:t>
      </w:r>
      <w:r>
        <w:rPr>
          <w:lang w:val="en-AU"/>
        </w:rPr>
        <w:t>78</w:t>
      </w:r>
      <w:r w:rsidRPr="000D61D1">
        <w:rPr>
          <w:lang w:val="en-AU"/>
        </w:rPr>
        <w:t xml:space="preserve"> per cent due to the new tax system</w:t>
      </w:r>
      <w:r>
        <w:rPr>
          <w:lang w:val="en-AU"/>
        </w:rPr>
        <w:t xml:space="preserve"> without the price effect</w:t>
      </w:r>
      <w:r w:rsidRPr="000D61D1">
        <w:rPr>
          <w:lang w:val="en-AU"/>
        </w:rPr>
        <w:t xml:space="preserve">, and more detailed results produced in the technical report show that this was mainly due to the stamp duty changes. Reducing stamp duty has worked in terms of a policy to increase purchases for first home buyers. However, this doesn’t </w:t>
      </w:r>
      <w:proofErr w:type="gramStart"/>
      <w:r w:rsidRPr="000D61D1">
        <w:rPr>
          <w:lang w:val="en-AU"/>
        </w:rPr>
        <w:t>take into account</w:t>
      </w:r>
      <w:proofErr w:type="gramEnd"/>
      <w:r w:rsidRPr="000D61D1">
        <w:rPr>
          <w:lang w:val="en-AU"/>
        </w:rPr>
        <w:t xml:space="preserve"> any price increases modelled, as outlined in the method section.</w:t>
      </w:r>
    </w:p>
    <w:p w14:paraId="6BD06E79" w14:textId="77777777" w:rsidR="003C620A" w:rsidRDefault="003C620A" w:rsidP="003C620A">
      <w:pPr>
        <w:rPr>
          <w:lang w:val="en-AU"/>
        </w:rPr>
      </w:pPr>
      <w:r w:rsidRPr="000D61D1">
        <w:rPr>
          <w:lang w:val="en-AU"/>
        </w:rPr>
        <w:t>For the groups assessed in this report, before the price increase, the group that gained the most in absolute terms over the period 2012 – 2018 was first home buyers, with an increase of 1,</w:t>
      </w:r>
      <w:r>
        <w:rPr>
          <w:lang w:val="en-AU"/>
        </w:rPr>
        <w:t>599</w:t>
      </w:r>
      <w:r w:rsidRPr="000D61D1">
        <w:rPr>
          <w:lang w:val="en-AU"/>
        </w:rPr>
        <w:t xml:space="preserve"> </w:t>
      </w:r>
      <w:r>
        <w:rPr>
          <w:lang w:val="en-AU"/>
        </w:rPr>
        <w:t>properties</w:t>
      </w:r>
      <w:r w:rsidRPr="000D61D1">
        <w:rPr>
          <w:lang w:val="en-AU"/>
        </w:rPr>
        <w:t xml:space="preserve"> purchased. In terms of percentages, the group that gained the most were renters where a woman was the head of the household (as reported in the survey)</w:t>
      </w:r>
      <w:r>
        <w:rPr>
          <w:lang w:val="en-AU"/>
        </w:rPr>
        <w:t xml:space="preserve"> at 6.35%</w:t>
      </w:r>
      <w:r w:rsidRPr="000D61D1">
        <w:rPr>
          <w:lang w:val="en-AU"/>
        </w:rPr>
        <w:t xml:space="preserve">. These are usually single parent families, a group with lower incomes, who would benefit from the reduced stamp duty. </w:t>
      </w:r>
    </w:p>
    <w:p w14:paraId="362B01FB" w14:textId="77777777" w:rsidR="003C620A" w:rsidRPr="000D61D1" w:rsidRDefault="003C620A" w:rsidP="003C620A">
      <w:pPr>
        <w:rPr>
          <w:lang w:val="en-AU"/>
        </w:rPr>
      </w:pPr>
      <w:r>
        <w:rPr>
          <w:lang w:val="en-AU"/>
        </w:rPr>
        <w:t>The group that gained the least (besides pensioner-renters where there was no change between the old and new policy) were low income homeowners. With a low income, this group will be less likely to purchase a property as they already own one. This means they wouldn’t benefit from the lower stamp duty as they aren’t purchasing another property; but as homeowners, would be paying higher rates. Low-income renters were in a different situation, as if they can afford to purchase a property (which some of them will), the model assumes they will. This means they will benefit from the lower stamp duty.</w:t>
      </w:r>
    </w:p>
    <w:p w14:paraId="2AF7D4EC" w14:textId="77777777" w:rsidR="003C620A" w:rsidRPr="000D61D1" w:rsidRDefault="003C620A" w:rsidP="003C620A">
      <w:pPr>
        <w:rPr>
          <w:lang w:val="en-AU"/>
        </w:rPr>
      </w:pPr>
      <w:r w:rsidRPr="000D61D1">
        <w:rPr>
          <w:lang w:val="en-AU"/>
        </w:rPr>
        <w:t xml:space="preserve">Once the price changes are taken into account, assuming </w:t>
      </w:r>
      <w:r>
        <w:rPr>
          <w:lang w:val="en-AU"/>
        </w:rPr>
        <w:t>on average</w:t>
      </w:r>
      <w:r w:rsidRPr="000D61D1">
        <w:rPr>
          <w:lang w:val="en-AU"/>
        </w:rPr>
        <w:t xml:space="preserve"> </w:t>
      </w:r>
      <w:r>
        <w:rPr>
          <w:lang w:val="en-AU"/>
        </w:rPr>
        <w:t xml:space="preserve">a </w:t>
      </w:r>
      <w:r w:rsidRPr="000D61D1">
        <w:rPr>
          <w:lang w:val="en-AU"/>
        </w:rPr>
        <w:t>0.8% price increase</w:t>
      </w:r>
      <w:r>
        <w:rPr>
          <w:lang w:val="en-AU"/>
        </w:rPr>
        <w:t xml:space="preserve"> over the period</w:t>
      </w:r>
      <w:r w:rsidRPr="000D61D1">
        <w:rPr>
          <w:lang w:val="en-AU"/>
        </w:rPr>
        <w:t xml:space="preserve">, the number of purchases under the new tax policy doesn’t change (as the </w:t>
      </w:r>
      <w:r>
        <w:rPr>
          <w:lang w:val="en-AU"/>
        </w:rPr>
        <w:t xml:space="preserve">RPPI </w:t>
      </w:r>
      <w:r w:rsidRPr="000D61D1">
        <w:rPr>
          <w:lang w:val="en-AU"/>
        </w:rPr>
        <w:t xml:space="preserve">is used), and the number of purchases under the old policy increases (as the price increase under the old policy is lower). For the 0.8% </w:t>
      </w:r>
      <w:r>
        <w:rPr>
          <w:lang w:val="en-AU"/>
        </w:rPr>
        <w:t>average</w:t>
      </w:r>
      <w:r w:rsidRPr="000D61D1">
        <w:rPr>
          <w:lang w:val="en-AU"/>
        </w:rPr>
        <w:t xml:space="preserve"> price</w:t>
      </w:r>
      <w:r>
        <w:rPr>
          <w:lang w:val="en-AU"/>
        </w:rPr>
        <w:t xml:space="preserve"> </w:t>
      </w:r>
      <w:r w:rsidRPr="000D61D1">
        <w:rPr>
          <w:lang w:val="en-AU"/>
        </w:rPr>
        <w:t xml:space="preserve">increase scenario, the increase in number of purchases </w:t>
      </w:r>
      <w:r>
        <w:rPr>
          <w:lang w:val="en-AU"/>
        </w:rPr>
        <w:t xml:space="preserve">under the new tax policy </w:t>
      </w:r>
      <w:r w:rsidRPr="000D61D1">
        <w:rPr>
          <w:lang w:val="en-AU"/>
        </w:rPr>
        <w:t>goes down from 5.</w:t>
      </w:r>
      <w:r>
        <w:rPr>
          <w:lang w:val="en-AU"/>
        </w:rPr>
        <w:t>78</w:t>
      </w:r>
      <w:r w:rsidRPr="000D61D1">
        <w:rPr>
          <w:lang w:val="en-AU"/>
        </w:rPr>
        <w:t xml:space="preserve">% to </w:t>
      </w:r>
      <w:r>
        <w:rPr>
          <w:lang w:val="en-AU"/>
        </w:rPr>
        <w:t>5.35</w:t>
      </w:r>
      <w:r w:rsidRPr="000D61D1">
        <w:rPr>
          <w:lang w:val="en-AU"/>
        </w:rPr>
        <w:t>% for first home buyers.</w:t>
      </w:r>
    </w:p>
    <w:p w14:paraId="00B03A4E" w14:textId="77777777" w:rsidR="003C620A" w:rsidRPr="000D61D1" w:rsidRDefault="003C620A" w:rsidP="003C620A">
      <w:pPr>
        <w:rPr>
          <w:lang w:val="en-AU"/>
        </w:rPr>
      </w:pPr>
      <w:r w:rsidRPr="000D61D1">
        <w:rPr>
          <w:lang w:val="en-AU"/>
        </w:rPr>
        <w:t xml:space="preserve">Under </w:t>
      </w:r>
      <w:r>
        <w:rPr>
          <w:lang w:val="en-AU"/>
        </w:rPr>
        <w:t>the 1.7</w:t>
      </w:r>
      <w:r w:rsidRPr="000D61D1">
        <w:rPr>
          <w:lang w:val="en-AU"/>
        </w:rPr>
        <w:t xml:space="preserve">% </w:t>
      </w:r>
      <w:r>
        <w:rPr>
          <w:lang w:val="en-AU"/>
        </w:rPr>
        <w:t xml:space="preserve">average </w:t>
      </w:r>
      <w:r w:rsidRPr="000D61D1">
        <w:rPr>
          <w:lang w:val="en-AU"/>
        </w:rPr>
        <w:t xml:space="preserve">price increase assumption, the number of purchases under the </w:t>
      </w:r>
      <w:r>
        <w:rPr>
          <w:lang w:val="en-AU"/>
        </w:rPr>
        <w:t>new</w:t>
      </w:r>
      <w:r w:rsidRPr="000D61D1">
        <w:rPr>
          <w:lang w:val="en-AU"/>
        </w:rPr>
        <w:t xml:space="preserve"> policy is</w:t>
      </w:r>
      <w:r>
        <w:rPr>
          <w:lang w:val="en-AU"/>
        </w:rPr>
        <w:t xml:space="preserve"> still</w:t>
      </w:r>
      <w:r w:rsidRPr="000D61D1">
        <w:rPr>
          <w:lang w:val="en-AU"/>
        </w:rPr>
        <w:t xml:space="preserve"> greater than the number of purchases under the </w:t>
      </w:r>
      <w:r>
        <w:rPr>
          <w:lang w:val="en-AU"/>
        </w:rPr>
        <w:t>old</w:t>
      </w:r>
      <w:r w:rsidRPr="000D61D1">
        <w:rPr>
          <w:lang w:val="en-AU"/>
        </w:rPr>
        <w:t xml:space="preserve"> policy</w:t>
      </w:r>
      <w:r>
        <w:rPr>
          <w:lang w:val="en-AU"/>
        </w:rPr>
        <w:t>. For most sub-groups, t</w:t>
      </w:r>
      <w:r w:rsidRPr="000D61D1">
        <w:rPr>
          <w:lang w:val="en-AU"/>
        </w:rPr>
        <w:t xml:space="preserve">his means the price increase has </w:t>
      </w:r>
      <w:r>
        <w:rPr>
          <w:lang w:val="en-AU"/>
        </w:rPr>
        <w:t>not</w:t>
      </w:r>
      <w:r w:rsidRPr="000D61D1">
        <w:rPr>
          <w:lang w:val="en-AU"/>
        </w:rPr>
        <w:t xml:space="preserve"> offset </w:t>
      </w:r>
      <w:r>
        <w:rPr>
          <w:lang w:val="en-AU"/>
        </w:rPr>
        <w:t>the overall</w:t>
      </w:r>
      <w:r w:rsidRPr="000D61D1">
        <w:rPr>
          <w:lang w:val="en-AU"/>
        </w:rPr>
        <w:t xml:space="preserve"> increase in purchases as a result of reduced stamp duty</w:t>
      </w:r>
      <w:r>
        <w:rPr>
          <w:lang w:val="en-AU"/>
        </w:rPr>
        <w:t>. The only exception to this is those who already own property (homeowners in the table). This may be because the benefit of having another property will be less with the higher price.</w:t>
      </w:r>
    </w:p>
    <w:p w14:paraId="03B96A47" w14:textId="77777777" w:rsidR="003C620A" w:rsidRDefault="003C620A" w:rsidP="003C620A">
      <w:pPr>
        <w:rPr>
          <w:lang w:val="en-AU"/>
        </w:rPr>
      </w:pPr>
    </w:p>
    <w:p w14:paraId="7B2ED226" w14:textId="77777777" w:rsidR="003C620A" w:rsidRDefault="003C620A" w:rsidP="003C620A">
      <w:pPr>
        <w:rPr>
          <w:lang w:val="en-AU"/>
        </w:rPr>
      </w:pPr>
    </w:p>
    <w:p w14:paraId="6D01695D" w14:textId="4F75F219" w:rsidR="003C620A" w:rsidRPr="000D61D1" w:rsidRDefault="003C620A" w:rsidP="003C620A">
      <w:pPr>
        <w:pStyle w:val="TableCaption"/>
        <w:rPr>
          <w:lang w:val="en-AU"/>
        </w:rPr>
      </w:pPr>
      <w:r w:rsidRPr="000D61D1">
        <w:rPr>
          <w:lang w:val="en-AU"/>
        </w:rPr>
        <w:t xml:space="preserve"> </w:t>
      </w:r>
      <w:bookmarkStart w:id="15" w:name="_Toc43911490"/>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3</w:t>
      </w:r>
      <w:r w:rsidRPr="000D61D1">
        <w:rPr>
          <w:lang w:val="en-AU"/>
        </w:rPr>
        <w:fldChar w:fldCharType="end"/>
      </w:r>
      <w:r w:rsidRPr="000D61D1">
        <w:rPr>
          <w:lang w:val="en-AU"/>
        </w:rPr>
        <w:t xml:space="preserve"> - The impact of tax reform on the number of residential properties purchased by sub-groups, 2012 – 2018</w:t>
      </w:r>
      <w:bookmarkEnd w:id="15"/>
    </w:p>
    <w:tbl>
      <w:tblPr>
        <w:tblW w:w="9497" w:type="dxa"/>
        <w:tblLook w:val="04A0" w:firstRow="1" w:lastRow="0" w:firstColumn="1" w:lastColumn="0" w:noHBand="0" w:noVBand="1"/>
      </w:tblPr>
      <w:tblGrid>
        <w:gridCol w:w="2540"/>
        <w:gridCol w:w="2138"/>
        <w:gridCol w:w="2270"/>
        <w:gridCol w:w="1150"/>
        <w:gridCol w:w="1399"/>
      </w:tblGrid>
      <w:tr w:rsidR="003C620A" w:rsidRPr="000D61D1" w14:paraId="4EFAA1CD" w14:textId="77777777" w:rsidTr="003C620A">
        <w:trPr>
          <w:trHeight w:val="543"/>
        </w:trPr>
        <w:tc>
          <w:tcPr>
            <w:tcW w:w="2540" w:type="dxa"/>
            <w:tcBorders>
              <w:top w:val="single" w:sz="8" w:space="0" w:color="auto"/>
              <w:left w:val="nil"/>
              <w:bottom w:val="single" w:sz="8" w:space="0" w:color="auto"/>
              <w:right w:val="nil"/>
            </w:tcBorders>
            <w:shd w:val="clear" w:color="auto" w:fill="auto"/>
            <w:vAlign w:val="center"/>
            <w:hideMark/>
          </w:tcPr>
          <w:p w14:paraId="6A33F54A" w14:textId="3F74D46E" w:rsidR="003C620A" w:rsidRPr="000D61D1" w:rsidRDefault="003C620A" w:rsidP="003C620A">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sidR="00EA3DB6">
              <w:rPr>
                <w:rFonts w:ascii="Calibri" w:eastAsia="Times New Roman" w:hAnsi="Calibri" w:cs="Calibri"/>
                <w:color w:val="000000"/>
                <w:lang w:val="en-AU" w:eastAsia="en-AU"/>
              </w:rPr>
              <w:t>Sub-group</w:t>
            </w:r>
          </w:p>
        </w:tc>
        <w:tc>
          <w:tcPr>
            <w:tcW w:w="2138" w:type="dxa"/>
            <w:tcBorders>
              <w:top w:val="single" w:sz="8" w:space="0" w:color="auto"/>
              <w:left w:val="nil"/>
              <w:bottom w:val="single" w:sz="8" w:space="0" w:color="auto"/>
              <w:right w:val="nil"/>
            </w:tcBorders>
            <w:shd w:val="clear" w:color="000000" w:fill="E7E6E6"/>
            <w:vAlign w:val="center"/>
            <w:hideMark/>
          </w:tcPr>
          <w:p w14:paraId="66561649"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 Number of purchases</w:t>
            </w:r>
          </w:p>
        </w:tc>
        <w:tc>
          <w:tcPr>
            <w:tcW w:w="2270" w:type="dxa"/>
            <w:tcBorders>
              <w:top w:val="single" w:sz="8" w:space="0" w:color="auto"/>
              <w:left w:val="nil"/>
              <w:bottom w:val="single" w:sz="8" w:space="0" w:color="auto"/>
              <w:right w:val="nil"/>
            </w:tcBorders>
            <w:shd w:val="clear" w:color="auto" w:fill="auto"/>
            <w:vAlign w:val="center"/>
            <w:hideMark/>
          </w:tcPr>
          <w:p w14:paraId="0FA1D8C5"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 Number of purchases</w:t>
            </w:r>
          </w:p>
        </w:tc>
        <w:tc>
          <w:tcPr>
            <w:tcW w:w="1150" w:type="dxa"/>
            <w:tcBorders>
              <w:top w:val="single" w:sz="8" w:space="0" w:color="auto"/>
              <w:left w:val="nil"/>
              <w:bottom w:val="single" w:sz="8" w:space="0" w:color="auto"/>
              <w:right w:val="nil"/>
            </w:tcBorders>
            <w:shd w:val="clear" w:color="auto" w:fill="auto"/>
            <w:vAlign w:val="center"/>
            <w:hideMark/>
          </w:tcPr>
          <w:p w14:paraId="4F05C6C5"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p>
        </w:tc>
        <w:tc>
          <w:tcPr>
            <w:tcW w:w="1399" w:type="dxa"/>
            <w:tcBorders>
              <w:top w:val="single" w:sz="8" w:space="0" w:color="auto"/>
              <w:left w:val="nil"/>
              <w:bottom w:val="single" w:sz="8" w:space="0" w:color="auto"/>
              <w:right w:val="nil"/>
            </w:tcBorders>
            <w:shd w:val="clear" w:color="auto" w:fill="auto"/>
            <w:vAlign w:val="center"/>
            <w:hideMark/>
          </w:tcPr>
          <w:p w14:paraId="2BA75F2A"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w:t>
            </w:r>
          </w:p>
        </w:tc>
      </w:tr>
      <w:tr w:rsidR="003C620A" w:rsidRPr="000D61D1" w14:paraId="1DDF20B9" w14:textId="77777777" w:rsidTr="003C620A">
        <w:trPr>
          <w:trHeight w:val="300"/>
        </w:trPr>
        <w:tc>
          <w:tcPr>
            <w:tcW w:w="2540" w:type="dxa"/>
            <w:tcBorders>
              <w:top w:val="nil"/>
              <w:left w:val="nil"/>
              <w:bottom w:val="nil"/>
              <w:right w:val="nil"/>
            </w:tcBorders>
            <w:shd w:val="clear" w:color="auto" w:fill="auto"/>
            <w:vAlign w:val="center"/>
            <w:hideMark/>
          </w:tcPr>
          <w:p w14:paraId="001E239F"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First home buyers</w:t>
            </w:r>
          </w:p>
        </w:tc>
        <w:tc>
          <w:tcPr>
            <w:tcW w:w="2138" w:type="dxa"/>
            <w:tcBorders>
              <w:top w:val="nil"/>
              <w:left w:val="nil"/>
              <w:bottom w:val="nil"/>
              <w:right w:val="nil"/>
            </w:tcBorders>
            <w:shd w:val="clear" w:color="000000" w:fill="E7E6E6"/>
            <w:vAlign w:val="center"/>
            <w:hideMark/>
          </w:tcPr>
          <w:p w14:paraId="1F493EB0"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29,281</w:t>
            </w:r>
          </w:p>
        </w:tc>
        <w:tc>
          <w:tcPr>
            <w:tcW w:w="2270" w:type="dxa"/>
            <w:tcBorders>
              <w:top w:val="nil"/>
              <w:left w:val="nil"/>
              <w:bottom w:val="nil"/>
              <w:right w:val="nil"/>
            </w:tcBorders>
            <w:shd w:val="clear" w:color="auto" w:fill="auto"/>
            <w:vAlign w:val="center"/>
            <w:hideMark/>
          </w:tcPr>
          <w:p w14:paraId="57F6BB0E"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27,682</w:t>
            </w:r>
          </w:p>
        </w:tc>
        <w:tc>
          <w:tcPr>
            <w:tcW w:w="1150" w:type="dxa"/>
            <w:tcBorders>
              <w:top w:val="nil"/>
              <w:left w:val="nil"/>
              <w:bottom w:val="nil"/>
              <w:right w:val="nil"/>
            </w:tcBorders>
            <w:shd w:val="clear" w:color="auto" w:fill="auto"/>
            <w:vAlign w:val="center"/>
            <w:hideMark/>
          </w:tcPr>
          <w:p w14:paraId="2F72FD80"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1,599</w:t>
            </w:r>
          </w:p>
        </w:tc>
        <w:tc>
          <w:tcPr>
            <w:tcW w:w="1399" w:type="dxa"/>
            <w:tcBorders>
              <w:top w:val="nil"/>
              <w:left w:val="nil"/>
              <w:bottom w:val="nil"/>
              <w:right w:val="nil"/>
            </w:tcBorders>
            <w:shd w:val="clear" w:color="auto" w:fill="auto"/>
            <w:vAlign w:val="center"/>
            <w:hideMark/>
          </w:tcPr>
          <w:p w14:paraId="6973E32D"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5.78</w:t>
            </w:r>
          </w:p>
        </w:tc>
      </w:tr>
      <w:tr w:rsidR="003C620A" w:rsidRPr="000D61D1" w14:paraId="77DD07F2" w14:textId="77777777" w:rsidTr="003C620A">
        <w:trPr>
          <w:trHeight w:val="290"/>
        </w:trPr>
        <w:tc>
          <w:tcPr>
            <w:tcW w:w="2540" w:type="dxa"/>
            <w:tcBorders>
              <w:top w:val="nil"/>
              <w:left w:val="nil"/>
              <w:bottom w:val="nil"/>
              <w:right w:val="nil"/>
            </w:tcBorders>
            <w:shd w:val="clear" w:color="auto" w:fill="auto"/>
            <w:vAlign w:val="center"/>
            <w:hideMark/>
          </w:tcPr>
          <w:p w14:paraId="13F717DA"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lastRenderedPageBreak/>
              <w:t>Low-income homeowner</w:t>
            </w:r>
          </w:p>
        </w:tc>
        <w:tc>
          <w:tcPr>
            <w:tcW w:w="2138" w:type="dxa"/>
            <w:tcBorders>
              <w:top w:val="nil"/>
              <w:left w:val="nil"/>
              <w:bottom w:val="nil"/>
              <w:right w:val="nil"/>
            </w:tcBorders>
            <w:shd w:val="clear" w:color="000000" w:fill="E7E6E6"/>
            <w:vAlign w:val="center"/>
            <w:hideMark/>
          </w:tcPr>
          <w:p w14:paraId="095AB3FB"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11,621</w:t>
            </w:r>
          </w:p>
        </w:tc>
        <w:tc>
          <w:tcPr>
            <w:tcW w:w="2270" w:type="dxa"/>
            <w:tcBorders>
              <w:top w:val="nil"/>
              <w:left w:val="nil"/>
              <w:bottom w:val="nil"/>
              <w:right w:val="nil"/>
            </w:tcBorders>
            <w:shd w:val="clear" w:color="auto" w:fill="auto"/>
            <w:vAlign w:val="center"/>
            <w:hideMark/>
          </w:tcPr>
          <w:p w14:paraId="77B756FB"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11,534</w:t>
            </w:r>
          </w:p>
        </w:tc>
        <w:tc>
          <w:tcPr>
            <w:tcW w:w="1150" w:type="dxa"/>
            <w:tcBorders>
              <w:top w:val="nil"/>
              <w:left w:val="nil"/>
              <w:bottom w:val="nil"/>
              <w:right w:val="nil"/>
            </w:tcBorders>
            <w:shd w:val="clear" w:color="auto" w:fill="auto"/>
            <w:vAlign w:val="center"/>
            <w:hideMark/>
          </w:tcPr>
          <w:p w14:paraId="4F90E13B"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87</w:t>
            </w:r>
          </w:p>
        </w:tc>
        <w:tc>
          <w:tcPr>
            <w:tcW w:w="1399" w:type="dxa"/>
            <w:tcBorders>
              <w:top w:val="nil"/>
              <w:left w:val="nil"/>
              <w:bottom w:val="nil"/>
              <w:right w:val="nil"/>
            </w:tcBorders>
            <w:shd w:val="clear" w:color="auto" w:fill="auto"/>
            <w:vAlign w:val="center"/>
            <w:hideMark/>
          </w:tcPr>
          <w:p w14:paraId="041D6CA1"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0.75</w:t>
            </w:r>
          </w:p>
        </w:tc>
      </w:tr>
      <w:tr w:rsidR="003C620A" w:rsidRPr="000D61D1" w14:paraId="34F61E6A" w14:textId="77777777" w:rsidTr="003C620A">
        <w:trPr>
          <w:trHeight w:val="290"/>
        </w:trPr>
        <w:tc>
          <w:tcPr>
            <w:tcW w:w="2540" w:type="dxa"/>
            <w:tcBorders>
              <w:top w:val="nil"/>
              <w:left w:val="nil"/>
              <w:bottom w:val="nil"/>
              <w:right w:val="nil"/>
            </w:tcBorders>
            <w:shd w:val="clear" w:color="auto" w:fill="auto"/>
            <w:vAlign w:val="center"/>
            <w:hideMark/>
          </w:tcPr>
          <w:p w14:paraId="7586B63D"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Low-income renter</w:t>
            </w:r>
          </w:p>
        </w:tc>
        <w:tc>
          <w:tcPr>
            <w:tcW w:w="2138" w:type="dxa"/>
            <w:tcBorders>
              <w:top w:val="nil"/>
              <w:left w:val="nil"/>
              <w:bottom w:val="nil"/>
              <w:right w:val="nil"/>
            </w:tcBorders>
            <w:shd w:val="clear" w:color="000000" w:fill="E7E6E6"/>
            <w:vAlign w:val="center"/>
            <w:hideMark/>
          </w:tcPr>
          <w:p w14:paraId="4C0A2E95"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3,925</w:t>
            </w:r>
          </w:p>
        </w:tc>
        <w:tc>
          <w:tcPr>
            <w:tcW w:w="2270" w:type="dxa"/>
            <w:tcBorders>
              <w:top w:val="nil"/>
              <w:left w:val="nil"/>
              <w:bottom w:val="nil"/>
              <w:right w:val="nil"/>
            </w:tcBorders>
            <w:shd w:val="clear" w:color="auto" w:fill="auto"/>
            <w:vAlign w:val="center"/>
            <w:hideMark/>
          </w:tcPr>
          <w:p w14:paraId="3DA9DDAD"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3,727</w:t>
            </w:r>
          </w:p>
        </w:tc>
        <w:tc>
          <w:tcPr>
            <w:tcW w:w="1150" w:type="dxa"/>
            <w:tcBorders>
              <w:top w:val="nil"/>
              <w:left w:val="nil"/>
              <w:bottom w:val="nil"/>
              <w:right w:val="nil"/>
            </w:tcBorders>
            <w:shd w:val="clear" w:color="auto" w:fill="auto"/>
            <w:vAlign w:val="center"/>
            <w:hideMark/>
          </w:tcPr>
          <w:p w14:paraId="38A9FDA1"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198</w:t>
            </w:r>
          </w:p>
        </w:tc>
        <w:tc>
          <w:tcPr>
            <w:tcW w:w="1399" w:type="dxa"/>
            <w:tcBorders>
              <w:top w:val="nil"/>
              <w:left w:val="nil"/>
              <w:bottom w:val="nil"/>
              <w:right w:val="nil"/>
            </w:tcBorders>
            <w:shd w:val="clear" w:color="auto" w:fill="auto"/>
            <w:vAlign w:val="center"/>
            <w:hideMark/>
          </w:tcPr>
          <w:p w14:paraId="6C73E3C6"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5.31</w:t>
            </w:r>
          </w:p>
        </w:tc>
      </w:tr>
      <w:tr w:rsidR="003C620A" w:rsidRPr="000D61D1" w14:paraId="62F6CCD5" w14:textId="77777777" w:rsidTr="003C620A">
        <w:trPr>
          <w:trHeight w:val="290"/>
        </w:trPr>
        <w:tc>
          <w:tcPr>
            <w:tcW w:w="2540" w:type="dxa"/>
            <w:tcBorders>
              <w:top w:val="nil"/>
              <w:left w:val="nil"/>
              <w:bottom w:val="nil"/>
              <w:right w:val="nil"/>
            </w:tcBorders>
            <w:shd w:val="clear" w:color="auto" w:fill="auto"/>
            <w:vAlign w:val="center"/>
            <w:hideMark/>
          </w:tcPr>
          <w:p w14:paraId="60F9892B"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Middle-income homeowner</w:t>
            </w:r>
          </w:p>
        </w:tc>
        <w:tc>
          <w:tcPr>
            <w:tcW w:w="2138" w:type="dxa"/>
            <w:tcBorders>
              <w:top w:val="nil"/>
              <w:left w:val="nil"/>
              <w:bottom w:val="nil"/>
              <w:right w:val="nil"/>
            </w:tcBorders>
            <w:shd w:val="clear" w:color="000000" w:fill="E7E6E6"/>
            <w:vAlign w:val="center"/>
            <w:hideMark/>
          </w:tcPr>
          <w:p w14:paraId="60102D75"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12,883</w:t>
            </w:r>
          </w:p>
        </w:tc>
        <w:tc>
          <w:tcPr>
            <w:tcW w:w="2270" w:type="dxa"/>
            <w:tcBorders>
              <w:top w:val="nil"/>
              <w:left w:val="nil"/>
              <w:bottom w:val="nil"/>
              <w:right w:val="nil"/>
            </w:tcBorders>
            <w:shd w:val="clear" w:color="auto" w:fill="auto"/>
            <w:vAlign w:val="center"/>
            <w:hideMark/>
          </w:tcPr>
          <w:p w14:paraId="67ACBE7D"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12,740</w:t>
            </w:r>
          </w:p>
        </w:tc>
        <w:tc>
          <w:tcPr>
            <w:tcW w:w="1150" w:type="dxa"/>
            <w:tcBorders>
              <w:top w:val="nil"/>
              <w:left w:val="nil"/>
              <w:bottom w:val="nil"/>
              <w:right w:val="nil"/>
            </w:tcBorders>
            <w:shd w:val="clear" w:color="auto" w:fill="auto"/>
            <w:vAlign w:val="center"/>
            <w:hideMark/>
          </w:tcPr>
          <w:p w14:paraId="6914AB35"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143</w:t>
            </w:r>
          </w:p>
        </w:tc>
        <w:tc>
          <w:tcPr>
            <w:tcW w:w="1399" w:type="dxa"/>
            <w:tcBorders>
              <w:top w:val="nil"/>
              <w:left w:val="nil"/>
              <w:bottom w:val="nil"/>
              <w:right w:val="nil"/>
            </w:tcBorders>
            <w:shd w:val="clear" w:color="auto" w:fill="auto"/>
            <w:vAlign w:val="center"/>
            <w:hideMark/>
          </w:tcPr>
          <w:p w14:paraId="58F8FC60"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1.12</w:t>
            </w:r>
          </w:p>
        </w:tc>
      </w:tr>
      <w:tr w:rsidR="003C620A" w:rsidRPr="000D61D1" w14:paraId="65899A9C" w14:textId="77777777" w:rsidTr="003C620A">
        <w:trPr>
          <w:trHeight w:val="290"/>
        </w:trPr>
        <w:tc>
          <w:tcPr>
            <w:tcW w:w="2540" w:type="dxa"/>
            <w:tcBorders>
              <w:top w:val="nil"/>
              <w:left w:val="nil"/>
              <w:bottom w:val="nil"/>
              <w:right w:val="nil"/>
            </w:tcBorders>
            <w:shd w:val="clear" w:color="auto" w:fill="auto"/>
            <w:vAlign w:val="center"/>
            <w:hideMark/>
          </w:tcPr>
          <w:p w14:paraId="311CFF0A"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Middle-income renter</w:t>
            </w:r>
          </w:p>
        </w:tc>
        <w:tc>
          <w:tcPr>
            <w:tcW w:w="2138" w:type="dxa"/>
            <w:tcBorders>
              <w:top w:val="nil"/>
              <w:left w:val="nil"/>
              <w:bottom w:val="nil"/>
              <w:right w:val="nil"/>
            </w:tcBorders>
            <w:shd w:val="clear" w:color="000000" w:fill="E7E6E6"/>
            <w:vAlign w:val="center"/>
            <w:hideMark/>
          </w:tcPr>
          <w:p w14:paraId="4070FF8B"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10,231</w:t>
            </w:r>
          </w:p>
        </w:tc>
        <w:tc>
          <w:tcPr>
            <w:tcW w:w="2270" w:type="dxa"/>
            <w:tcBorders>
              <w:top w:val="nil"/>
              <w:left w:val="nil"/>
              <w:bottom w:val="nil"/>
              <w:right w:val="nil"/>
            </w:tcBorders>
            <w:shd w:val="clear" w:color="auto" w:fill="auto"/>
            <w:vAlign w:val="center"/>
            <w:hideMark/>
          </w:tcPr>
          <w:p w14:paraId="4A085A54"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9,816</w:t>
            </w:r>
          </w:p>
        </w:tc>
        <w:tc>
          <w:tcPr>
            <w:tcW w:w="1150" w:type="dxa"/>
            <w:tcBorders>
              <w:top w:val="nil"/>
              <w:left w:val="nil"/>
              <w:bottom w:val="nil"/>
              <w:right w:val="nil"/>
            </w:tcBorders>
            <w:shd w:val="clear" w:color="auto" w:fill="auto"/>
            <w:vAlign w:val="center"/>
            <w:hideMark/>
          </w:tcPr>
          <w:p w14:paraId="3D7E1265"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415</w:t>
            </w:r>
          </w:p>
        </w:tc>
        <w:tc>
          <w:tcPr>
            <w:tcW w:w="1399" w:type="dxa"/>
            <w:tcBorders>
              <w:top w:val="nil"/>
              <w:left w:val="nil"/>
              <w:bottom w:val="nil"/>
              <w:right w:val="nil"/>
            </w:tcBorders>
            <w:shd w:val="clear" w:color="auto" w:fill="auto"/>
            <w:vAlign w:val="center"/>
            <w:hideMark/>
          </w:tcPr>
          <w:p w14:paraId="28948A47"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4.23</w:t>
            </w:r>
          </w:p>
        </w:tc>
      </w:tr>
      <w:tr w:rsidR="003C620A" w:rsidRPr="000D61D1" w14:paraId="3F4B9520" w14:textId="77777777" w:rsidTr="003C620A">
        <w:trPr>
          <w:trHeight w:val="290"/>
        </w:trPr>
        <w:tc>
          <w:tcPr>
            <w:tcW w:w="2540" w:type="dxa"/>
            <w:tcBorders>
              <w:top w:val="nil"/>
              <w:left w:val="nil"/>
              <w:bottom w:val="nil"/>
              <w:right w:val="nil"/>
            </w:tcBorders>
            <w:shd w:val="clear" w:color="auto" w:fill="auto"/>
            <w:vAlign w:val="center"/>
            <w:hideMark/>
          </w:tcPr>
          <w:p w14:paraId="6AFD4430"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Pensioner homeowner</w:t>
            </w:r>
          </w:p>
        </w:tc>
        <w:tc>
          <w:tcPr>
            <w:tcW w:w="2138" w:type="dxa"/>
            <w:tcBorders>
              <w:top w:val="nil"/>
              <w:left w:val="nil"/>
              <w:bottom w:val="nil"/>
              <w:right w:val="nil"/>
            </w:tcBorders>
            <w:shd w:val="clear" w:color="000000" w:fill="E7E6E6"/>
            <w:vAlign w:val="center"/>
            <w:hideMark/>
          </w:tcPr>
          <w:p w14:paraId="112DC666"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7,340</w:t>
            </w:r>
          </w:p>
        </w:tc>
        <w:tc>
          <w:tcPr>
            <w:tcW w:w="2270" w:type="dxa"/>
            <w:tcBorders>
              <w:top w:val="nil"/>
              <w:left w:val="nil"/>
              <w:bottom w:val="nil"/>
              <w:right w:val="nil"/>
            </w:tcBorders>
            <w:shd w:val="clear" w:color="auto" w:fill="auto"/>
            <w:vAlign w:val="center"/>
            <w:hideMark/>
          </w:tcPr>
          <w:p w14:paraId="2420EC55"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7,218</w:t>
            </w:r>
          </w:p>
        </w:tc>
        <w:tc>
          <w:tcPr>
            <w:tcW w:w="1150" w:type="dxa"/>
            <w:tcBorders>
              <w:top w:val="nil"/>
              <w:left w:val="nil"/>
              <w:bottom w:val="nil"/>
              <w:right w:val="nil"/>
            </w:tcBorders>
            <w:shd w:val="clear" w:color="auto" w:fill="auto"/>
            <w:vAlign w:val="center"/>
            <w:hideMark/>
          </w:tcPr>
          <w:p w14:paraId="1E1731FA"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122</w:t>
            </w:r>
          </w:p>
        </w:tc>
        <w:tc>
          <w:tcPr>
            <w:tcW w:w="1399" w:type="dxa"/>
            <w:tcBorders>
              <w:top w:val="nil"/>
              <w:left w:val="nil"/>
              <w:bottom w:val="nil"/>
              <w:right w:val="nil"/>
            </w:tcBorders>
            <w:shd w:val="clear" w:color="auto" w:fill="auto"/>
            <w:vAlign w:val="center"/>
            <w:hideMark/>
          </w:tcPr>
          <w:p w14:paraId="7AE50707"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1.69</w:t>
            </w:r>
          </w:p>
        </w:tc>
      </w:tr>
      <w:tr w:rsidR="003C620A" w:rsidRPr="000D61D1" w14:paraId="7BE4C47D" w14:textId="77777777" w:rsidTr="003C620A">
        <w:trPr>
          <w:trHeight w:val="290"/>
        </w:trPr>
        <w:tc>
          <w:tcPr>
            <w:tcW w:w="2540" w:type="dxa"/>
            <w:tcBorders>
              <w:top w:val="nil"/>
              <w:left w:val="nil"/>
              <w:bottom w:val="nil"/>
              <w:right w:val="nil"/>
            </w:tcBorders>
            <w:shd w:val="clear" w:color="auto" w:fill="auto"/>
            <w:vAlign w:val="center"/>
            <w:hideMark/>
          </w:tcPr>
          <w:p w14:paraId="51A4B096"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Pensioner renter</w:t>
            </w:r>
          </w:p>
        </w:tc>
        <w:tc>
          <w:tcPr>
            <w:tcW w:w="2138" w:type="dxa"/>
            <w:tcBorders>
              <w:top w:val="nil"/>
              <w:left w:val="nil"/>
              <w:bottom w:val="nil"/>
              <w:right w:val="nil"/>
            </w:tcBorders>
            <w:shd w:val="clear" w:color="000000" w:fill="E7E6E6"/>
            <w:vAlign w:val="center"/>
            <w:hideMark/>
          </w:tcPr>
          <w:p w14:paraId="36173AAB"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2,397</w:t>
            </w:r>
          </w:p>
        </w:tc>
        <w:tc>
          <w:tcPr>
            <w:tcW w:w="2270" w:type="dxa"/>
            <w:tcBorders>
              <w:top w:val="nil"/>
              <w:left w:val="nil"/>
              <w:bottom w:val="nil"/>
              <w:right w:val="nil"/>
            </w:tcBorders>
            <w:shd w:val="clear" w:color="auto" w:fill="auto"/>
            <w:vAlign w:val="center"/>
            <w:hideMark/>
          </w:tcPr>
          <w:p w14:paraId="3432733C"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2,397</w:t>
            </w:r>
          </w:p>
        </w:tc>
        <w:tc>
          <w:tcPr>
            <w:tcW w:w="1150" w:type="dxa"/>
            <w:tcBorders>
              <w:top w:val="nil"/>
              <w:left w:val="nil"/>
              <w:bottom w:val="nil"/>
              <w:right w:val="nil"/>
            </w:tcBorders>
            <w:shd w:val="clear" w:color="auto" w:fill="auto"/>
            <w:vAlign w:val="center"/>
            <w:hideMark/>
          </w:tcPr>
          <w:p w14:paraId="0E7B98B8"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0</w:t>
            </w:r>
          </w:p>
        </w:tc>
        <w:tc>
          <w:tcPr>
            <w:tcW w:w="1399" w:type="dxa"/>
            <w:tcBorders>
              <w:top w:val="nil"/>
              <w:left w:val="nil"/>
              <w:bottom w:val="nil"/>
              <w:right w:val="nil"/>
            </w:tcBorders>
            <w:shd w:val="clear" w:color="auto" w:fill="auto"/>
            <w:vAlign w:val="center"/>
            <w:hideMark/>
          </w:tcPr>
          <w:p w14:paraId="369E8F1B"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0.00</w:t>
            </w:r>
          </w:p>
        </w:tc>
      </w:tr>
      <w:tr w:rsidR="003C620A" w:rsidRPr="000D61D1" w14:paraId="3D46DE26" w14:textId="77777777" w:rsidTr="003C620A">
        <w:trPr>
          <w:trHeight w:val="290"/>
        </w:trPr>
        <w:tc>
          <w:tcPr>
            <w:tcW w:w="2540" w:type="dxa"/>
            <w:tcBorders>
              <w:top w:val="nil"/>
              <w:left w:val="nil"/>
              <w:bottom w:val="nil"/>
              <w:right w:val="nil"/>
            </w:tcBorders>
            <w:shd w:val="clear" w:color="auto" w:fill="auto"/>
            <w:vAlign w:val="center"/>
            <w:hideMark/>
          </w:tcPr>
          <w:p w14:paraId="1252ECC5"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Female-headed homeowner</w:t>
            </w:r>
          </w:p>
        </w:tc>
        <w:tc>
          <w:tcPr>
            <w:tcW w:w="2138" w:type="dxa"/>
            <w:tcBorders>
              <w:top w:val="nil"/>
              <w:left w:val="nil"/>
              <w:bottom w:val="nil"/>
              <w:right w:val="nil"/>
            </w:tcBorders>
            <w:shd w:val="clear" w:color="000000" w:fill="E7E6E6"/>
            <w:vAlign w:val="center"/>
            <w:hideMark/>
          </w:tcPr>
          <w:p w14:paraId="1251F0B3"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22,553</w:t>
            </w:r>
          </w:p>
        </w:tc>
        <w:tc>
          <w:tcPr>
            <w:tcW w:w="2270" w:type="dxa"/>
            <w:tcBorders>
              <w:top w:val="nil"/>
              <w:left w:val="nil"/>
              <w:bottom w:val="nil"/>
              <w:right w:val="nil"/>
            </w:tcBorders>
            <w:shd w:val="clear" w:color="auto" w:fill="auto"/>
            <w:vAlign w:val="center"/>
            <w:hideMark/>
          </w:tcPr>
          <w:p w14:paraId="6C8BC02B"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22,337</w:t>
            </w:r>
          </w:p>
        </w:tc>
        <w:tc>
          <w:tcPr>
            <w:tcW w:w="1150" w:type="dxa"/>
            <w:tcBorders>
              <w:top w:val="nil"/>
              <w:left w:val="nil"/>
              <w:bottom w:val="nil"/>
              <w:right w:val="nil"/>
            </w:tcBorders>
            <w:shd w:val="clear" w:color="auto" w:fill="auto"/>
            <w:vAlign w:val="center"/>
            <w:hideMark/>
          </w:tcPr>
          <w:p w14:paraId="485813DA"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216</w:t>
            </w:r>
          </w:p>
        </w:tc>
        <w:tc>
          <w:tcPr>
            <w:tcW w:w="1399" w:type="dxa"/>
            <w:tcBorders>
              <w:top w:val="nil"/>
              <w:left w:val="nil"/>
              <w:bottom w:val="nil"/>
              <w:right w:val="nil"/>
            </w:tcBorders>
            <w:shd w:val="clear" w:color="auto" w:fill="auto"/>
            <w:vAlign w:val="center"/>
            <w:hideMark/>
          </w:tcPr>
          <w:p w14:paraId="75FE7120"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0.97</w:t>
            </w:r>
          </w:p>
        </w:tc>
      </w:tr>
      <w:tr w:rsidR="003C620A" w:rsidRPr="000D61D1" w14:paraId="019C45BB" w14:textId="77777777" w:rsidTr="003C620A">
        <w:trPr>
          <w:trHeight w:val="300"/>
        </w:trPr>
        <w:tc>
          <w:tcPr>
            <w:tcW w:w="2540" w:type="dxa"/>
            <w:tcBorders>
              <w:top w:val="nil"/>
              <w:left w:val="nil"/>
              <w:bottom w:val="nil"/>
              <w:right w:val="nil"/>
            </w:tcBorders>
            <w:shd w:val="clear" w:color="auto" w:fill="auto"/>
            <w:vAlign w:val="center"/>
            <w:hideMark/>
          </w:tcPr>
          <w:p w14:paraId="62C525A7"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Female-headed renter</w:t>
            </w:r>
          </w:p>
        </w:tc>
        <w:tc>
          <w:tcPr>
            <w:tcW w:w="2138" w:type="dxa"/>
            <w:tcBorders>
              <w:top w:val="nil"/>
              <w:left w:val="nil"/>
              <w:bottom w:val="nil"/>
              <w:right w:val="nil"/>
            </w:tcBorders>
            <w:shd w:val="clear" w:color="000000" w:fill="E7E6E6"/>
            <w:vAlign w:val="center"/>
            <w:hideMark/>
          </w:tcPr>
          <w:p w14:paraId="40426D4E"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11,321</w:t>
            </w:r>
          </w:p>
        </w:tc>
        <w:tc>
          <w:tcPr>
            <w:tcW w:w="2270" w:type="dxa"/>
            <w:tcBorders>
              <w:top w:val="nil"/>
              <w:left w:val="nil"/>
              <w:bottom w:val="nil"/>
              <w:right w:val="nil"/>
            </w:tcBorders>
            <w:shd w:val="clear" w:color="auto" w:fill="auto"/>
            <w:vAlign w:val="center"/>
            <w:hideMark/>
          </w:tcPr>
          <w:p w14:paraId="4F6829EB"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10,645</w:t>
            </w:r>
          </w:p>
        </w:tc>
        <w:tc>
          <w:tcPr>
            <w:tcW w:w="1150" w:type="dxa"/>
            <w:tcBorders>
              <w:top w:val="nil"/>
              <w:left w:val="nil"/>
              <w:bottom w:val="nil"/>
              <w:right w:val="nil"/>
            </w:tcBorders>
            <w:shd w:val="clear" w:color="auto" w:fill="auto"/>
            <w:vAlign w:val="center"/>
            <w:hideMark/>
          </w:tcPr>
          <w:p w14:paraId="6A1CFB61"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676</w:t>
            </w:r>
          </w:p>
        </w:tc>
        <w:tc>
          <w:tcPr>
            <w:tcW w:w="1399" w:type="dxa"/>
            <w:tcBorders>
              <w:top w:val="nil"/>
              <w:left w:val="nil"/>
              <w:bottom w:val="nil"/>
              <w:right w:val="nil"/>
            </w:tcBorders>
            <w:shd w:val="clear" w:color="auto" w:fill="auto"/>
            <w:vAlign w:val="center"/>
            <w:hideMark/>
          </w:tcPr>
          <w:p w14:paraId="74E49E5D" w14:textId="77777777" w:rsidR="003C620A" w:rsidRPr="008A452F" w:rsidRDefault="003C620A" w:rsidP="003C620A">
            <w:pPr>
              <w:spacing w:after="0"/>
              <w:jc w:val="right"/>
              <w:rPr>
                <w:rFonts w:ascii="Calibri" w:eastAsia="Times New Roman" w:hAnsi="Calibri" w:cs="Calibri"/>
                <w:color w:val="000000"/>
                <w:sz w:val="22"/>
                <w:szCs w:val="22"/>
                <w:lang w:val="en-AU" w:eastAsia="en-AU"/>
              </w:rPr>
            </w:pPr>
            <w:r w:rsidRPr="008A452F">
              <w:rPr>
                <w:sz w:val="22"/>
                <w:szCs w:val="22"/>
              </w:rPr>
              <w:t>6.35</w:t>
            </w:r>
          </w:p>
        </w:tc>
      </w:tr>
      <w:tr w:rsidR="003C620A" w:rsidRPr="000D61D1" w14:paraId="57379145" w14:textId="77777777" w:rsidTr="003C620A">
        <w:trPr>
          <w:trHeight w:val="525"/>
        </w:trPr>
        <w:tc>
          <w:tcPr>
            <w:tcW w:w="2540" w:type="dxa"/>
            <w:tcBorders>
              <w:top w:val="single" w:sz="8" w:space="0" w:color="auto"/>
              <w:left w:val="nil"/>
              <w:bottom w:val="single" w:sz="8" w:space="0" w:color="auto"/>
              <w:right w:val="nil"/>
            </w:tcBorders>
            <w:shd w:val="clear" w:color="auto" w:fill="auto"/>
            <w:vAlign w:val="center"/>
            <w:hideMark/>
          </w:tcPr>
          <w:p w14:paraId="632BD8CB" w14:textId="6ACDE5FE" w:rsidR="003C620A" w:rsidRPr="000D61D1" w:rsidRDefault="003C620A" w:rsidP="003C620A">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sidR="00EA3DB6">
              <w:rPr>
                <w:rFonts w:ascii="Calibri" w:eastAsia="Times New Roman" w:hAnsi="Calibri" w:cs="Calibri"/>
                <w:color w:val="000000"/>
                <w:lang w:val="en-AU" w:eastAsia="en-AU"/>
              </w:rPr>
              <w:t>Subgroup</w:t>
            </w:r>
          </w:p>
        </w:tc>
        <w:tc>
          <w:tcPr>
            <w:tcW w:w="2138" w:type="dxa"/>
            <w:tcBorders>
              <w:top w:val="single" w:sz="8" w:space="0" w:color="auto"/>
              <w:left w:val="nil"/>
              <w:bottom w:val="single" w:sz="8" w:space="0" w:color="auto"/>
              <w:right w:val="nil"/>
            </w:tcBorders>
            <w:shd w:val="clear" w:color="000000" w:fill="E7E6E6"/>
            <w:vAlign w:val="center"/>
            <w:hideMark/>
          </w:tcPr>
          <w:p w14:paraId="2428D6FD"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 Number of purchases</w:t>
            </w:r>
          </w:p>
        </w:tc>
        <w:tc>
          <w:tcPr>
            <w:tcW w:w="2270" w:type="dxa"/>
            <w:tcBorders>
              <w:top w:val="single" w:sz="8" w:space="0" w:color="auto"/>
              <w:left w:val="nil"/>
              <w:bottom w:val="single" w:sz="8" w:space="0" w:color="auto"/>
              <w:right w:val="nil"/>
            </w:tcBorders>
            <w:shd w:val="clear" w:color="auto" w:fill="auto"/>
            <w:vAlign w:val="center"/>
            <w:hideMark/>
          </w:tcPr>
          <w:p w14:paraId="4DCC74C9"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 Number of purchases</w:t>
            </w:r>
          </w:p>
        </w:tc>
        <w:tc>
          <w:tcPr>
            <w:tcW w:w="1150" w:type="dxa"/>
            <w:tcBorders>
              <w:top w:val="single" w:sz="8" w:space="0" w:color="auto"/>
              <w:left w:val="nil"/>
              <w:bottom w:val="single" w:sz="8" w:space="0" w:color="auto"/>
              <w:right w:val="nil"/>
            </w:tcBorders>
            <w:shd w:val="clear" w:color="auto" w:fill="auto"/>
            <w:vAlign w:val="center"/>
            <w:hideMark/>
          </w:tcPr>
          <w:p w14:paraId="37A92ACC"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p>
        </w:tc>
        <w:tc>
          <w:tcPr>
            <w:tcW w:w="1399" w:type="dxa"/>
            <w:tcBorders>
              <w:top w:val="single" w:sz="8" w:space="0" w:color="auto"/>
              <w:left w:val="nil"/>
              <w:bottom w:val="single" w:sz="8" w:space="0" w:color="auto"/>
              <w:right w:val="nil"/>
            </w:tcBorders>
            <w:shd w:val="clear" w:color="auto" w:fill="auto"/>
            <w:vAlign w:val="center"/>
            <w:hideMark/>
          </w:tcPr>
          <w:p w14:paraId="6FDB9D89"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w:t>
            </w:r>
          </w:p>
        </w:tc>
      </w:tr>
      <w:tr w:rsidR="003C620A" w:rsidRPr="000D61D1" w14:paraId="417586A9" w14:textId="77777777" w:rsidTr="003C620A">
        <w:trPr>
          <w:trHeight w:val="320"/>
        </w:trPr>
        <w:tc>
          <w:tcPr>
            <w:tcW w:w="2540" w:type="dxa"/>
            <w:tcBorders>
              <w:top w:val="nil"/>
              <w:left w:val="nil"/>
              <w:bottom w:val="single" w:sz="8" w:space="0" w:color="auto"/>
              <w:right w:val="nil"/>
            </w:tcBorders>
            <w:shd w:val="clear" w:color="auto" w:fill="auto"/>
            <w:vAlign w:val="center"/>
            <w:hideMark/>
          </w:tcPr>
          <w:p w14:paraId="09CCF1B1"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w:t>
            </w:r>
          </w:p>
        </w:tc>
        <w:tc>
          <w:tcPr>
            <w:tcW w:w="2138" w:type="dxa"/>
            <w:tcBorders>
              <w:top w:val="nil"/>
              <w:left w:val="nil"/>
              <w:bottom w:val="single" w:sz="8" w:space="0" w:color="auto"/>
              <w:right w:val="nil"/>
            </w:tcBorders>
            <w:shd w:val="clear" w:color="000000" w:fill="E7E6E6"/>
            <w:vAlign w:val="center"/>
            <w:hideMark/>
          </w:tcPr>
          <w:p w14:paraId="1660BCD0" w14:textId="77777777" w:rsidR="003C620A" w:rsidRPr="000D61D1" w:rsidRDefault="003C620A" w:rsidP="003C620A">
            <w:pPr>
              <w:spacing w:after="0"/>
              <w:jc w:val="left"/>
              <w:rPr>
                <w:rFonts w:ascii="Calibri" w:eastAsia="Times New Roman" w:hAnsi="Calibri" w:cs="Calibri"/>
                <w:b/>
                <w:bCs/>
                <w:i/>
                <w:iCs/>
                <w:color w:val="365F91"/>
                <w:lang w:val="en-AU" w:eastAsia="en-AU"/>
              </w:rPr>
            </w:pPr>
            <w:r w:rsidRPr="000D61D1">
              <w:rPr>
                <w:rFonts w:ascii="Calibri" w:eastAsia="Times New Roman" w:hAnsi="Calibri" w:cs="Calibri"/>
                <w:b/>
                <w:bCs/>
                <w:i/>
                <w:iCs/>
                <w:color w:val="365F91"/>
                <w:lang w:val="en-AU" w:eastAsia="en-AU"/>
              </w:rPr>
              <w:t> </w:t>
            </w:r>
          </w:p>
        </w:tc>
        <w:tc>
          <w:tcPr>
            <w:tcW w:w="4819" w:type="dxa"/>
            <w:gridSpan w:val="3"/>
            <w:tcBorders>
              <w:top w:val="single" w:sz="8" w:space="0" w:color="auto"/>
              <w:left w:val="nil"/>
              <w:bottom w:val="single" w:sz="8" w:space="0" w:color="auto"/>
              <w:right w:val="nil"/>
            </w:tcBorders>
            <w:shd w:val="clear" w:color="auto" w:fill="auto"/>
            <w:vAlign w:val="center"/>
            <w:hideMark/>
          </w:tcPr>
          <w:p w14:paraId="1838432B" w14:textId="77777777" w:rsidR="003C620A" w:rsidRPr="000D61D1" w:rsidRDefault="003C620A" w:rsidP="003C620A">
            <w:pPr>
              <w:spacing w:after="0"/>
              <w:jc w:val="center"/>
              <w:rPr>
                <w:rFonts w:ascii="Calibri" w:eastAsia="Times New Roman" w:hAnsi="Calibri" w:cs="Calibri"/>
                <w:b/>
                <w:bCs/>
                <w:i/>
                <w:iCs/>
                <w:color w:val="365F91"/>
                <w:lang w:val="en-AU" w:eastAsia="en-AU"/>
              </w:rPr>
            </w:pPr>
            <w:r w:rsidRPr="000D61D1">
              <w:rPr>
                <w:rFonts w:ascii="Calibri" w:eastAsia="Times New Roman" w:hAnsi="Calibri" w:cs="Calibri"/>
                <w:b/>
                <w:bCs/>
                <w:i/>
                <w:iCs/>
                <w:color w:val="365F91"/>
                <w:lang w:val="en-AU" w:eastAsia="en-AU"/>
              </w:rPr>
              <w:t>0.</w:t>
            </w:r>
            <w:r>
              <w:rPr>
                <w:rFonts w:ascii="Calibri" w:eastAsia="Times New Roman" w:hAnsi="Calibri" w:cs="Calibri"/>
                <w:b/>
                <w:bCs/>
                <w:i/>
                <w:iCs/>
                <w:color w:val="365F91"/>
                <w:lang w:val="en-AU" w:eastAsia="en-AU"/>
              </w:rPr>
              <w:t>35 – 1.30</w:t>
            </w:r>
            <w:r w:rsidRPr="000D61D1">
              <w:rPr>
                <w:rFonts w:ascii="Calibri" w:eastAsia="Times New Roman" w:hAnsi="Calibri" w:cs="Calibri"/>
                <w:b/>
                <w:bCs/>
                <w:i/>
                <w:iCs/>
                <w:color w:val="365F91"/>
                <w:lang w:val="en-AU" w:eastAsia="en-AU"/>
              </w:rPr>
              <w:t xml:space="preserve">% price </w:t>
            </w:r>
            <w:r>
              <w:rPr>
                <w:rFonts w:ascii="Calibri" w:eastAsia="Times New Roman" w:hAnsi="Calibri" w:cs="Calibri"/>
                <w:b/>
                <w:bCs/>
                <w:i/>
                <w:iCs/>
                <w:color w:val="365F91"/>
                <w:lang w:val="en-AU" w:eastAsia="en-AU"/>
              </w:rPr>
              <w:t>effect (0.8% average)</w:t>
            </w:r>
          </w:p>
        </w:tc>
      </w:tr>
      <w:tr w:rsidR="003C620A" w:rsidRPr="000D61D1" w14:paraId="348B4C77" w14:textId="77777777" w:rsidTr="003C620A">
        <w:trPr>
          <w:trHeight w:val="290"/>
        </w:trPr>
        <w:tc>
          <w:tcPr>
            <w:tcW w:w="2540" w:type="dxa"/>
            <w:tcBorders>
              <w:top w:val="nil"/>
              <w:left w:val="nil"/>
              <w:bottom w:val="nil"/>
              <w:right w:val="nil"/>
            </w:tcBorders>
            <w:shd w:val="clear" w:color="auto" w:fill="auto"/>
            <w:vAlign w:val="center"/>
            <w:hideMark/>
          </w:tcPr>
          <w:p w14:paraId="54BBEA85"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First home buyers</w:t>
            </w:r>
          </w:p>
        </w:tc>
        <w:tc>
          <w:tcPr>
            <w:tcW w:w="2138" w:type="dxa"/>
            <w:tcBorders>
              <w:top w:val="nil"/>
              <w:left w:val="nil"/>
              <w:bottom w:val="nil"/>
              <w:right w:val="nil"/>
            </w:tcBorders>
            <w:shd w:val="clear" w:color="000000" w:fill="E7E6E6"/>
            <w:vAlign w:val="center"/>
            <w:hideMark/>
          </w:tcPr>
          <w:p w14:paraId="4820C416"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29,281</w:t>
            </w:r>
          </w:p>
        </w:tc>
        <w:tc>
          <w:tcPr>
            <w:tcW w:w="2270" w:type="dxa"/>
            <w:tcBorders>
              <w:top w:val="nil"/>
              <w:left w:val="nil"/>
              <w:bottom w:val="nil"/>
              <w:right w:val="nil"/>
            </w:tcBorders>
            <w:shd w:val="clear" w:color="auto" w:fill="auto"/>
            <w:vAlign w:val="center"/>
            <w:hideMark/>
          </w:tcPr>
          <w:p w14:paraId="2C0F5CAE"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27,795</w:t>
            </w:r>
          </w:p>
        </w:tc>
        <w:tc>
          <w:tcPr>
            <w:tcW w:w="1150" w:type="dxa"/>
            <w:tcBorders>
              <w:top w:val="nil"/>
              <w:left w:val="nil"/>
              <w:bottom w:val="nil"/>
              <w:right w:val="nil"/>
            </w:tcBorders>
            <w:shd w:val="clear" w:color="auto" w:fill="auto"/>
            <w:vAlign w:val="center"/>
            <w:hideMark/>
          </w:tcPr>
          <w:p w14:paraId="64634D22"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1,486</w:t>
            </w:r>
          </w:p>
        </w:tc>
        <w:tc>
          <w:tcPr>
            <w:tcW w:w="1399" w:type="dxa"/>
            <w:tcBorders>
              <w:top w:val="nil"/>
              <w:left w:val="nil"/>
              <w:bottom w:val="nil"/>
              <w:right w:val="nil"/>
            </w:tcBorders>
            <w:shd w:val="clear" w:color="auto" w:fill="auto"/>
            <w:vAlign w:val="center"/>
            <w:hideMark/>
          </w:tcPr>
          <w:p w14:paraId="50930DF5"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5.35</w:t>
            </w:r>
          </w:p>
        </w:tc>
      </w:tr>
      <w:tr w:rsidR="003C620A" w:rsidRPr="000D61D1" w14:paraId="4A7B03BF" w14:textId="77777777" w:rsidTr="003C620A">
        <w:trPr>
          <w:trHeight w:val="290"/>
        </w:trPr>
        <w:tc>
          <w:tcPr>
            <w:tcW w:w="2540" w:type="dxa"/>
            <w:tcBorders>
              <w:top w:val="nil"/>
              <w:left w:val="nil"/>
              <w:bottom w:val="nil"/>
              <w:right w:val="nil"/>
            </w:tcBorders>
            <w:shd w:val="clear" w:color="auto" w:fill="auto"/>
            <w:vAlign w:val="center"/>
            <w:hideMark/>
          </w:tcPr>
          <w:p w14:paraId="5F01509D"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Low-income homeowner</w:t>
            </w:r>
          </w:p>
        </w:tc>
        <w:tc>
          <w:tcPr>
            <w:tcW w:w="2138" w:type="dxa"/>
            <w:tcBorders>
              <w:top w:val="nil"/>
              <w:left w:val="nil"/>
              <w:bottom w:val="nil"/>
              <w:right w:val="nil"/>
            </w:tcBorders>
            <w:shd w:val="clear" w:color="000000" w:fill="E7E6E6"/>
            <w:vAlign w:val="center"/>
            <w:hideMark/>
          </w:tcPr>
          <w:p w14:paraId="507E79A4"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11,621</w:t>
            </w:r>
          </w:p>
        </w:tc>
        <w:tc>
          <w:tcPr>
            <w:tcW w:w="2270" w:type="dxa"/>
            <w:tcBorders>
              <w:top w:val="nil"/>
              <w:left w:val="nil"/>
              <w:bottom w:val="nil"/>
              <w:right w:val="nil"/>
            </w:tcBorders>
            <w:shd w:val="clear" w:color="auto" w:fill="auto"/>
            <w:vAlign w:val="center"/>
            <w:hideMark/>
          </w:tcPr>
          <w:p w14:paraId="1F0D63EB"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11,596</w:t>
            </w:r>
          </w:p>
        </w:tc>
        <w:tc>
          <w:tcPr>
            <w:tcW w:w="1150" w:type="dxa"/>
            <w:tcBorders>
              <w:top w:val="nil"/>
              <w:left w:val="nil"/>
              <w:bottom w:val="nil"/>
              <w:right w:val="nil"/>
            </w:tcBorders>
            <w:shd w:val="clear" w:color="auto" w:fill="auto"/>
            <w:vAlign w:val="center"/>
            <w:hideMark/>
          </w:tcPr>
          <w:p w14:paraId="5FBEF1F4"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25</w:t>
            </w:r>
          </w:p>
        </w:tc>
        <w:tc>
          <w:tcPr>
            <w:tcW w:w="1399" w:type="dxa"/>
            <w:tcBorders>
              <w:top w:val="nil"/>
              <w:left w:val="nil"/>
              <w:bottom w:val="nil"/>
              <w:right w:val="nil"/>
            </w:tcBorders>
            <w:shd w:val="clear" w:color="auto" w:fill="auto"/>
            <w:vAlign w:val="center"/>
            <w:hideMark/>
          </w:tcPr>
          <w:p w14:paraId="3B5517B3"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0.22</w:t>
            </w:r>
          </w:p>
        </w:tc>
      </w:tr>
      <w:tr w:rsidR="003C620A" w:rsidRPr="000D61D1" w14:paraId="7BB484D5" w14:textId="77777777" w:rsidTr="003C620A">
        <w:trPr>
          <w:trHeight w:val="290"/>
        </w:trPr>
        <w:tc>
          <w:tcPr>
            <w:tcW w:w="2540" w:type="dxa"/>
            <w:tcBorders>
              <w:top w:val="nil"/>
              <w:left w:val="nil"/>
              <w:bottom w:val="nil"/>
              <w:right w:val="nil"/>
            </w:tcBorders>
            <w:shd w:val="clear" w:color="auto" w:fill="auto"/>
            <w:vAlign w:val="center"/>
            <w:hideMark/>
          </w:tcPr>
          <w:p w14:paraId="6C4B886E"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Low-income renter</w:t>
            </w:r>
          </w:p>
        </w:tc>
        <w:tc>
          <w:tcPr>
            <w:tcW w:w="2138" w:type="dxa"/>
            <w:tcBorders>
              <w:top w:val="nil"/>
              <w:left w:val="nil"/>
              <w:bottom w:val="nil"/>
              <w:right w:val="nil"/>
            </w:tcBorders>
            <w:shd w:val="clear" w:color="000000" w:fill="E7E6E6"/>
            <w:vAlign w:val="center"/>
            <w:hideMark/>
          </w:tcPr>
          <w:p w14:paraId="28BDE032"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3,925</w:t>
            </w:r>
          </w:p>
        </w:tc>
        <w:tc>
          <w:tcPr>
            <w:tcW w:w="2270" w:type="dxa"/>
            <w:tcBorders>
              <w:top w:val="nil"/>
              <w:left w:val="nil"/>
              <w:bottom w:val="nil"/>
              <w:right w:val="nil"/>
            </w:tcBorders>
            <w:shd w:val="clear" w:color="auto" w:fill="auto"/>
            <w:vAlign w:val="center"/>
            <w:hideMark/>
          </w:tcPr>
          <w:p w14:paraId="174E97F0"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3,782</w:t>
            </w:r>
          </w:p>
        </w:tc>
        <w:tc>
          <w:tcPr>
            <w:tcW w:w="1150" w:type="dxa"/>
            <w:tcBorders>
              <w:top w:val="nil"/>
              <w:left w:val="nil"/>
              <w:bottom w:val="nil"/>
              <w:right w:val="nil"/>
            </w:tcBorders>
            <w:shd w:val="clear" w:color="auto" w:fill="auto"/>
            <w:vAlign w:val="center"/>
            <w:hideMark/>
          </w:tcPr>
          <w:p w14:paraId="3D278763"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143</w:t>
            </w:r>
          </w:p>
        </w:tc>
        <w:tc>
          <w:tcPr>
            <w:tcW w:w="1399" w:type="dxa"/>
            <w:tcBorders>
              <w:top w:val="nil"/>
              <w:left w:val="nil"/>
              <w:bottom w:val="nil"/>
              <w:right w:val="nil"/>
            </w:tcBorders>
            <w:shd w:val="clear" w:color="auto" w:fill="auto"/>
            <w:vAlign w:val="center"/>
            <w:hideMark/>
          </w:tcPr>
          <w:p w14:paraId="3081B975"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3.78</w:t>
            </w:r>
          </w:p>
        </w:tc>
      </w:tr>
      <w:tr w:rsidR="003C620A" w:rsidRPr="000D61D1" w14:paraId="01C0C110" w14:textId="77777777" w:rsidTr="003C620A">
        <w:trPr>
          <w:trHeight w:val="290"/>
        </w:trPr>
        <w:tc>
          <w:tcPr>
            <w:tcW w:w="2540" w:type="dxa"/>
            <w:tcBorders>
              <w:top w:val="nil"/>
              <w:left w:val="nil"/>
              <w:bottom w:val="nil"/>
              <w:right w:val="nil"/>
            </w:tcBorders>
            <w:shd w:val="clear" w:color="auto" w:fill="auto"/>
            <w:vAlign w:val="center"/>
            <w:hideMark/>
          </w:tcPr>
          <w:p w14:paraId="5758DC95"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Middle-income homeowner</w:t>
            </w:r>
          </w:p>
        </w:tc>
        <w:tc>
          <w:tcPr>
            <w:tcW w:w="2138" w:type="dxa"/>
            <w:tcBorders>
              <w:top w:val="nil"/>
              <w:left w:val="nil"/>
              <w:bottom w:val="nil"/>
              <w:right w:val="nil"/>
            </w:tcBorders>
            <w:shd w:val="clear" w:color="000000" w:fill="E7E6E6"/>
            <w:vAlign w:val="center"/>
            <w:hideMark/>
          </w:tcPr>
          <w:p w14:paraId="07132E0D"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12,883</w:t>
            </w:r>
          </w:p>
        </w:tc>
        <w:tc>
          <w:tcPr>
            <w:tcW w:w="2270" w:type="dxa"/>
            <w:tcBorders>
              <w:top w:val="nil"/>
              <w:left w:val="nil"/>
              <w:bottom w:val="nil"/>
              <w:right w:val="nil"/>
            </w:tcBorders>
            <w:shd w:val="clear" w:color="auto" w:fill="auto"/>
            <w:vAlign w:val="center"/>
            <w:hideMark/>
          </w:tcPr>
          <w:p w14:paraId="05DA6E1C"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12,785</w:t>
            </w:r>
          </w:p>
        </w:tc>
        <w:tc>
          <w:tcPr>
            <w:tcW w:w="1150" w:type="dxa"/>
            <w:tcBorders>
              <w:top w:val="nil"/>
              <w:left w:val="nil"/>
              <w:bottom w:val="nil"/>
              <w:right w:val="nil"/>
            </w:tcBorders>
            <w:shd w:val="clear" w:color="auto" w:fill="auto"/>
            <w:vAlign w:val="center"/>
            <w:hideMark/>
          </w:tcPr>
          <w:p w14:paraId="27BEE34B"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98</w:t>
            </w:r>
          </w:p>
        </w:tc>
        <w:tc>
          <w:tcPr>
            <w:tcW w:w="1399" w:type="dxa"/>
            <w:tcBorders>
              <w:top w:val="nil"/>
              <w:left w:val="nil"/>
              <w:bottom w:val="nil"/>
              <w:right w:val="nil"/>
            </w:tcBorders>
            <w:shd w:val="clear" w:color="auto" w:fill="auto"/>
            <w:vAlign w:val="center"/>
            <w:hideMark/>
          </w:tcPr>
          <w:p w14:paraId="612273C9"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0.77</w:t>
            </w:r>
          </w:p>
        </w:tc>
      </w:tr>
      <w:tr w:rsidR="003C620A" w:rsidRPr="000D61D1" w14:paraId="16A4B574" w14:textId="77777777" w:rsidTr="003C620A">
        <w:trPr>
          <w:trHeight w:val="290"/>
        </w:trPr>
        <w:tc>
          <w:tcPr>
            <w:tcW w:w="2540" w:type="dxa"/>
            <w:tcBorders>
              <w:top w:val="nil"/>
              <w:left w:val="nil"/>
              <w:bottom w:val="nil"/>
              <w:right w:val="nil"/>
            </w:tcBorders>
            <w:shd w:val="clear" w:color="auto" w:fill="auto"/>
            <w:vAlign w:val="center"/>
            <w:hideMark/>
          </w:tcPr>
          <w:p w14:paraId="5ABB2A86"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Middle-income renter</w:t>
            </w:r>
          </w:p>
        </w:tc>
        <w:tc>
          <w:tcPr>
            <w:tcW w:w="2138" w:type="dxa"/>
            <w:tcBorders>
              <w:top w:val="nil"/>
              <w:left w:val="nil"/>
              <w:bottom w:val="nil"/>
              <w:right w:val="nil"/>
            </w:tcBorders>
            <w:shd w:val="clear" w:color="000000" w:fill="E7E6E6"/>
            <w:vAlign w:val="center"/>
            <w:hideMark/>
          </w:tcPr>
          <w:p w14:paraId="595B3ADC"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10,231</w:t>
            </w:r>
          </w:p>
        </w:tc>
        <w:tc>
          <w:tcPr>
            <w:tcW w:w="2270" w:type="dxa"/>
            <w:tcBorders>
              <w:top w:val="nil"/>
              <w:left w:val="nil"/>
              <w:bottom w:val="nil"/>
              <w:right w:val="nil"/>
            </w:tcBorders>
            <w:shd w:val="clear" w:color="auto" w:fill="auto"/>
            <w:vAlign w:val="center"/>
            <w:hideMark/>
          </w:tcPr>
          <w:p w14:paraId="1BEDF526"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9,816</w:t>
            </w:r>
          </w:p>
        </w:tc>
        <w:tc>
          <w:tcPr>
            <w:tcW w:w="1150" w:type="dxa"/>
            <w:tcBorders>
              <w:top w:val="nil"/>
              <w:left w:val="nil"/>
              <w:bottom w:val="nil"/>
              <w:right w:val="nil"/>
            </w:tcBorders>
            <w:shd w:val="clear" w:color="auto" w:fill="auto"/>
            <w:vAlign w:val="center"/>
            <w:hideMark/>
          </w:tcPr>
          <w:p w14:paraId="12E26383"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415</w:t>
            </w:r>
          </w:p>
        </w:tc>
        <w:tc>
          <w:tcPr>
            <w:tcW w:w="1399" w:type="dxa"/>
            <w:tcBorders>
              <w:top w:val="nil"/>
              <w:left w:val="nil"/>
              <w:bottom w:val="nil"/>
              <w:right w:val="nil"/>
            </w:tcBorders>
            <w:shd w:val="clear" w:color="auto" w:fill="auto"/>
            <w:vAlign w:val="center"/>
            <w:hideMark/>
          </w:tcPr>
          <w:p w14:paraId="12104E9E"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4.23</w:t>
            </w:r>
          </w:p>
        </w:tc>
      </w:tr>
      <w:tr w:rsidR="003C620A" w:rsidRPr="000D61D1" w14:paraId="1654A130" w14:textId="77777777" w:rsidTr="003C620A">
        <w:trPr>
          <w:trHeight w:val="290"/>
        </w:trPr>
        <w:tc>
          <w:tcPr>
            <w:tcW w:w="2540" w:type="dxa"/>
            <w:tcBorders>
              <w:top w:val="nil"/>
              <w:left w:val="nil"/>
              <w:bottom w:val="nil"/>
              <w:right w:val="nil"/>
            </w:tcBorders>
            <w:shd w:val="clear" w:color="auto" w:fill="auto"/>
            <w:vAlign w:val="center"/>
            <w:hideMark/>
          </w:tcPr>
          <w:p w14:paraId="47D1E381"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Pensioner homeowner</w:t>
            </w:r>
          </w:p>
        </w:tc>
        <w:tc>
          <w:tcPr>
            <w:tcW w:w="2138" w:type="dxa"/>
            <w:tcBorders>
              <w:top w:val="nil"/>
              <w:left w:val="nil"/>
              <w:bottom w:val="nil"/>
              <w:right w:val="nil"/>
            </w:tcBorders>
            <w:shd w:val="clear" w:color="000000" w:fill="E7E6E6"/>
            <w:vAlign w:val="center"/>
            <w:hideMark/>
          </w:tcPr>
          <w:p w14:paraId="5A11A6D3"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7,340</w:t>
            </w:r>
          </w:p>
        </w:tc>
        <w:tc>
          <w:tcPr>
            <w:tcW w:w="2270" w:type="dxa"/>
            <w:tcBorders>
              <w:top w:val="nil"/>
              <w:left w:val="nil"/>
              <w:bottom w:val="nil"/>
              <w:right w:val="nil"/>
            </w:tcBorders>
            <w:shd w:val="clear" w:color="auto" w:fill="auto"/>
            <w:vAlign w:val="center"/>
            <w:hideMark/>
          </w:tcPr>
          <w:p w14:paraId="7239DA1F"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7,280</w:t>
            </w:r>
          </w:p>
        </w:tc>
        <w:tc>
          <w:tcPr>
            <w:tcW w:w="1150" w:type="dxa"/>
            <w:tcBorders>
              <w:top w:val="nil"/>
              <w:left w:val="nil"/>
              <w:bottom w:val="nil"/>
              <w:right w:val="nil"/>
            </w:tcBorders>
            <w:shd w:val="clear" w:color="auto" w:fill="auto"/>
            <w:vAlign w:val="center"/>
            <w:hideMark/>
          </w:tcPr>
          <w:p w14:paraId="3071BF90"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60</w:t>
            </w:r>
          </w:p>
        </w:tc>
        <w:tc>
          <w:tcPr>
            <w:tcW w:w="1399" w:type="dxa"/>
            <w:tcBorders>
              <w:top w:val="nil"/>
              <w:left w:val="nil"/>
              <w:bottom w:val="nil"/>
              <w:right w:val="nil"/>
            </w:tcBorders>
            <w:shd w:val="clear" w:color="auto" w:fill="auto"/>
            <w:vAlign w:val="center"/>
            <w:hideMark/>
          </w:tcPr>
          <w:p w14:paraId="16CECB29"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0.82</w:t>
            </w:r>
          </w:p>
        </w:tc>
      </w:tr>
      <w:tr w:rsidR="003C620A" w:rsidRPr="000D61D1" w14:paraId="690C54C1" w14:textId="77777777" w:rsidTr="003C620A">
        <w:trPr>
          <w:trHeight w:val="290"/>
        </w:trPr>
        <w:tc>
          <w:tcPr>
            <w:tcW w:w="2540" w:type="dxa"/>
            <w:tcBorders>
              <w:top w:val="nil"/>
              <w:left w:val="nil"/>
              <w:bottom w:val="nil"/>
              <w:right w:val="nil"/>
            </w:tcBorders>
            <w:shd w:val="clear" w:color="auto" w:fill="auto"/>
            <w:vAlign w:val="center"/>
            <w:hideMark/>
          </w:tcPr>
          <w:p w14:paraId="47B8783E"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Pensioner renter</w:t>
            </w:r>
          </w:p>
        </w:tc>
        <w:tc>
          <w:tcPr>
            <w:tcW w:w="2138" w:type="dxa"/>
            <w:tcBorders>
              <w:top w:val="nil"/>
              <w:left w:val="nil"/>
              <w:bottom w:val="nil"/>
              <w:right w:val="nil"/>
            </w:tcBorders>
            <w:shd w:val="clear" w:color="000000" w:fill="E7E6E6"/>
            <w:vAlign w:val="center"/>
            <w:hideMark/>
          </w:tcPr>
          <w:p w14:paraId="0AE9B925" w14:textId="77777777" w:rsidR="003C620A" w:rsidRPr="00533CF2" w:rsidRDefault="003C620A" w:rsidP="003C620A">
            <w:pPr>
              <w:spacing w:after="0"/>
              <w:jc w:val="right"/>
              <w:rPr>
                <w:rFonts w:ascii="Calibri" w:hAnsi="Calibri"/>
                <w:color w:val="000000"/>
                <w:sz w:val="22"/>
                <w:szCs w:val="22"/>
                <w:lang w:val="en-AU"/>
              </w:rPr>
            </w:pPr>
            <w:r w:rsidRPr="00533CF2">
              <w:rPr>
                <w:sz w:val="22"/>
                <w:szCs w:val="22"/>
              </w:rPr>
              <w:t>2,397</w:t>
            </w:r>
          </w:p>
        </w:tc>
        <w:tc>
          <w:tcPr>
            <w:tcW w:w="2270" w:type="dxa"/>
            <w:tcBorders>
              <w:top w:val="nil"/>
              <w:left w:val="nil"/>
              <w:bottom w:val="nil"/>
              <w:right w:val="nil"/>
            </w:tcBorders>
            <w:shd w:val="clear" w:color="auto" w:fill="auto"/>
            <w:vAlign w:val="center"/>
            <w:hideMark/>
          </w:tcPr>
          <w:p w14:paraId="43707305" w14:textId="77777777" w:rsidR="003C620A" w:rsidRPr="00533CF2" w:rsidRDefault="003C620A" w:rsidP="003C620A">
            <w:pPr>
              <w:spacing w:after="0"/>
              <w:jc w:val="right"/>
              <w:rPr>
                <w:rFonts w:ascii="Calibri" w:hAnsi="Calibri"/>
                <w:color w:val="000000"/>
                <w:sz w:val="22"/>
                <w:szCs w:val="22"/>
                <w:lang w:val="en-AU"/>
              </w:rPr>
            </w:pPr>
            <w:r w:rsidRPr="00533CF2">
              <w:rPr>
                <w:sz w:val="22"/>
                <w:szCs w:val="22"/>
              </w:rPr>
              <w:t>2,397</w:t>
            </w:r>
          </w:p>
        </w:tc>
        <w:tc>
          <w:tcPr>
            <w:tcW w:w="1150" w:type="dxa"/>
            <w:tcBorders>
              <w:top w:val="nil"/>
              <w:left w:val="nil"/>
              <w:bottom w:val="nil"/>
              <w:right w:val="nil"/>
            </w:tcBorders>
            <w:shd w:val="clear" w:color="auto" w:fill="auto"/>
            <w:vAlign w:val="center"/>
            <w:hideMark/>
          </w:tcPr>
          <w:p w14:paraId="4BF95198" w14:textId="77777777" w:rsidR="003C620A" w:rsidRPr="00533CF2" w:rsidRDefault="003C620A" w:rsidP="003C620A">
            <w:pPr>
              <w:spacing w:after="0"/>
              <w:jc w:val="right"/>
              <w:rPr>
                <w:rFonts w:ascii="Calibri" w:hAnsi="Calibri"/>
                <w:color w:val="000000"/>
                <w:sz w:val="22"/>
                <w:szCs w:val="22"/>
                <w:lang w:val="en-AU"/>
              </w:rPr>
            </w:pPr>
            <w:r w:rsidRPr="00533CF2">
              <w:rPr>
                <w:sz w:val="22"/>
                <w:szCs w:val="22"/>
              </w:rPr>
              <w:t>0</w:t>
            </w:r>
          </w:p>
        </w:tc>
        <w:tc>
          <w:tcPr>
            <w:tcW w:w="1399" w:type="dxa"/>
            <w:tcBorders>
              <w:top w:val="nil"/>
              <w:left w:val="nil"/>
              <w:bottom w:val="nil"/>
              <w:right w:val="nil"/>
            </w:tcBorders>
            <w:shd w:val="clear" w:color="auto" w:fill="auto"/>
            <w:vAlign w:val="center"/>
            <w:hideMark/>
          </w:tcPr>
          <w:p w14:paraId="36BC18B3" w14:textId="77777777" w:rsidR="003C620A" w:rsidRPr="00533CF2" w:rsidRDefault="003C620A" w:rsidP="003C620A">
            <w:pPr>
              <w:spacing w:after="0"/>
              <w:jc w:val="right"/>
              <w:rPr>
                <w:rFonts w:ascii="Calibri" w:hAnsi="Calibri"/>
                <w:color w:val="000000"/>
                <w:sz w:val="22"/>
                <w:szCs w:val="22"/>
                <w:lang w:val="en-AU"/>
              </w:rPr>
            </w:pPr>
            <w:r w:rsidRPr="00533CF2">
              <w:rPr>
                <w:sz w:val="22"/>
                <w:szCs w:val="22"/>
              </w:rPr>
              <w:t>0.00</w:t>
            </w:r>
          </w:p>
        </w:tc>
      </w:tr>
      <w:tr w:rsidR="003C620A" w:rsidRPr="000D61D1" w14:paraId="5F2C4A9B" w14:textId="77777777" w:rsidTr="003C620A">
        <w:trPr>
          <w:trHeight w:val="290"/>
        </w:trPr>
        <w:tc>
          <w:tcPr>
            <w:tcW w:w="2540" w:type="dxa"/>
            <w:tcBorders>
              <w:top w:val="nil"/>
              <w:left w:val="nil"/>
              <w:bottom w:val="nil"/>
              <w:right w:val="nil"/>
            </w:tcBorders>
            <w:shd w:val="clear" w:color="auto" w:fill="auto"/>
            <w:vAlign w:val="center"/>
            <w:hideMark/>
          </w:tcPr>
          <w:p w14:paraId="191C6621"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Female-headed homeowner</w:t>
            </w:r>
          </w:p>
        </w:tc>
        <w:tc>
          <w:tcPr>
            <w:tcW w:w="2138" w:type="dxa"/>
            <w:tcBorders>
              <w:top w:val="nil"/>
              <w:left w:val="nil"/>
              <w:bottom w:val="nil"/>
              <w:right w:val="nil"/>
            </w:tcBorders>
            <w:shd w:val="clear" w:color="000000" w:fill="E7E6E6"/>
            <w:vAlign w:val="center"/>
            <w:hideMark/>
          </w:tcPr>
          <w:p w14:paraId="7186B6AF"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22,553</w:t>
            </w:r>
          </w:p>
        </w:tc>
        <w:tc>
          <w:tcPr>
            <w:tcW w:w="2270" w:type="dxa"/>
            <w:tcBorders>
              <w:top w:val="nil"/>
              <w:left w:val="nil"/>
              <w:bottom w:val="nil"/>
              <w:right w:val="nil"/>
            </w:tcBorders>
            <w:shd w:val="clear" w:color="auto" w:fill="auto"/>
            <w:vAlign w:val="center"/>
            <w:hideMark/>
          </w:tcPr>
          <w:p w14:paraId="581B4857"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22,420</w:t>
            </w:r>
          </w:p>
        </w:tc>
        <w:tc>
          <w:tcPr>
            <w:tcW w:w="1150" w:type="dxa"/>
            <w:tcBorders>
              <w:top w:val="nil"/>
              <w:left w:val="nil"/>
              <w:bottom w:val="nil"/>
              <w:right w:val="nil"/>
            </w:tcBorders>
            <w:shd w:val="clear" w:color="auto" w:fill="auto"/>
            <w:vAlign w:val="center"/>
            <w:hideMark/>
          </w:tcPr>
          <w:p w14:paraId="29B319AF"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133</w:t>
            </w:r>
          </w:p>
        </w:tc>
        <w:tc>
          <w:tcPr>
            <w:tcW w:w="1399" w:type="dxa"/>
            <w:tcBorders>
              <w:top w:val="nil"/>
              <w:left w:val="nil"/>
              <w:bottom w:val="nil"/>
              <w:right w:val="nil"/>
            </w:tcBorders>
            <w:shd w:val="clear" w:color="auto" w:fill="auto"/>
            <w:vAlign w:val="center"/>
            <w:hideMark/>
          </w:tcPr>
          <w:p w14:paraId="56ED0D83"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0.59</w:t>
            </w:r>
          </w:p>
        </w:tc>
      </w:tr>
      <w:tr w:rsidR="003C620A" w:rsidRPr="000D61D1" w14:paraId="16E1B4B6" w14:textId="77777777" w:rsidTr="003C620A">
        <w:trPr>
          <w:trHeight w:val="300"/>
        </w:trPr>
        <w:tc>
          <w:tcPr>
            <w:tcW w:w="2540" w:type="dxa"/>
            <w:tcBorders>
              <w:top w:val="nil"/>
              <w:left w:val="nil"/>
              <w:bottom w:val="nil"/>
              <w:right w:val="nil"/>
            </w:tcBorders>
            <w:shd w:val="clear" w:color="auto" w:fill="auto"/>
            <w:vAlign w:val="center"/>
            <w:hideMark/>
          </w:tcPr>
          <w:p w14:paraId="41370B5A"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Female-headed renter</w:t>
            </w:r>
          </w:p>
        </w:tc>
        <w:tc>
          <w:tcPr>
            <w:tcW w:w="2138" w:type="dxa"/>
            <w:tcBorders>
              <w:top w:val="nil"/>
              <w:left w:val="nil"/>
              <w:bottom w:val="nil"/>
              <w:right w:val="nil"/>
            </w:tcBorders>
            <w:shd w:val="clear" w:color="000000" w:fill="E7E6E6"/>
            <w:vAlign w:val="center"/>
            <w:hideMark/>
          </w:tcPr>
          <w:p w14:paraId="77BB5CE0"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11,321</w:t>
            </w:r>
          </w:p>
        </w:tc>
        <w:tc>
          <w:tcPr>
            <w:tcW w:w="2270" w:type="dxa"/>
            <w:tcBorders>
              <w:top w:val="nil"/>
              <w:left w:val="nil"/>
              <w:bottom w:val="nil"/>
              <w:right w:val="nil"/>
            </w:tcBorders>
            <w:shd w:val="clear" w:color="auto" w:fill="auto"/>
            <w:vAlign w:val="center"/>
            <w:hideMark/>
          </w:tcPr>
          <w:p w14:paraId="69E6EDC4"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10,656</w:t>
            </w:r>
          </w:p>
        </w:tc>
        <w:tc>
          <w:tcPr>
            <w:tcW w:w="1150" w:type="dxa"/>
            <w:tcBorders>
              <w:top w:val="nil"/>
              <w:left w:val="nil"/>
              <w:bottom w:val="nil"/>
              <w:right w:val="nil"/>
            </w:tcBorders>
            <w:shd w:val="clear" w:color="auto" w:fill="auto"/>
            <w:vAlign w:val="center"/>
            <w:hideMark/>
          </w:tcPr>
          <w:p w14:paraId="5B3C63B9"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665</w:t>
            </w:r>
          </w:p>
        </w:tc>
        <w:tc>
          <w:tcPr>
            <w:tcW w:w="1399" w:type="dxa"/>
            <w:tcBorders>
              <w:top w:val="nil"/>
              <w:left w:val="nil"/>
              <w:bottom w:val="nil"/>
              <w:right w:val="nil"/>
            </w:tcBorders>
            <w:shd w:val="clear" w:color="auto" w:fill="auto"/>
            <w:vAlign w:val="center"/>
            <w:hideMark/>
          </w:tcPr>
          <w:p w14:paraId="36CAA326" w14:textId="77777777" w:rsidR="003C620A" w:rsidRPr="00533CF2" w:rsidRDefault="003C620A" w:rsidP="003C620A">
            <w:pPr>
              <w:spacing w:after="0"/>
              <w:jc w:val="right"/>
              <w:rPr>
                <w:rFonts w:ascii="Calibri" w:eastAsia="Times New Roman" w:hAnsi="Calibri" w:cs="Calibri"/>
                <w:color w:val="000000"/>
                <w:sz w:val="22"/>
                <w:szCs w:val="22"/>
                <w:lang w:val="en-AU" w:eastAsia="en-AU"/>
              </w:rPr>
            </w:pPr>
            <w:r w:rsidRPr="00533CF2">
              <w:rPr>
                <w:sz w:val="22"/>
                <w:szCs w:val="22"/>
              </w:rPr>
              <w:t>6.24</w:t>
            </w:r>
          </w:p>
        </w:tc>
      </w:tr>
      <w:tr w:rsidR="003C620A" w:rsidRPr="000D61D1" w14:paraId="07FC8DA7" w14:textId="77777777" w:rsidTr="003C620A">
        <w:trPr>
          <w:trHeight w:val="313"/>
        </w:trPr>
        <w:tc>
          <w:tcPr>
            <w:tcW w:w="2540" w:type="dxa"/>
            <w:tcBorders>
              <w:top w:val="single" w:sz="8" w:space="0" w:color="auto"/>
              <w:left w:val="nil"/>
              <w:bottom w:val="single" w:sz="8" w:space="0" w:color="auto"/>
              <w:right w:val="nil"/>
            </w:tcBorders>
            <w:shd w:val="clear" w:color="auto" w:fill="auto"/>
            <w:vAlign w:val="center"/>
            <w:hideMark/>
          </w:tcPr>
          <w:p w14:paraId="6BDE5DAA" w14:textId="148A2929" w:rsidR="003C620A" w:rsidRPr="000D61D1" w:rsidRDefault="003C620A" w:rsidP="003C620A">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sidR="00EA3DB6">
              <w:rPr>
                <w:rFonts w:ascii="Calibri" w:eastAsia="Times New Roman" w:hAnsi="Calibri" w:cs="Calibri"/>
                <w:color w:val="000000"/>
                <w:lang w:val="en-AU" w:eastAsia="en-AU"/>
              </w:rPr>
              <w:t>Subgroup</w:t>
            </w:r>
          </w:p>
        </w:tc>
        <w:tc>
          <w:tcPr>
            <w:tcW w:w="2138" w:type="dxa"/>
            <w:tcBorders>
              <w:top w:val="single" w:sz="8" w:space="0" w:color="auto"/>
              <w:left w:val="nil"/>
              <w:bottom w:val="single" w:sz="8" w:space="0" w:color="auto"/>
              <w:right w:val="nil"/>
            </w:tcBorders>
            <w:shd w:val="clear" w:color="000000" w:fill="E7E6E6"/>
            <w:vAlign w:val="center"/>
            <w:hideMark/>
          </w:tcPr>
          <w:p w14:paraId="4CBC41C3"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 Number of purchases</w:t>
            </w:r>
          </w:p>
        </w:tc>
        <w:tc>
          <w:tcPr>
            <w:tcW w:w="2270" w:type="dxa"/>
            <w:tcBorders>
              <w:top w:val="single" w:sz="8" w:space="0" w:color="auto"/>
              <w:left w:val="nil"/>
              <w:bottom w:val="single" w:sz="8" w:space="0" w:color="auto"/>
              <w:right w:val="nil"/>
            </w:tcBorders>
            <w:shd w:val="clear" w:color="auto" w:fill="auto"/>
            <w:vAlign w:val="center"/>
            <w:hideMark/>
          </w:tcPr>
          <w:p w14:paraId="6D33AB2E"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 Number of purchases</w:t>
            </w:r>
          </w:p>
        </w:tc>
        <w:tc>
          <w:tcPr>
            <w:tcW w:w="1150" w:type="dxa"/>
            <w:tcBorders>
              <w:top w:val="single" w:sz="8" w:space="0" w:color="auto"/>
              <w:left w:val="nil"/>
              <w:bottom w:val="single" w:sz="8" w:space="0" w:color="auto"/>
              <w:right w:val="nil"/>
            </w:tcBorders>
            <w:shd w:val="clear" w:color="auto" w:fill="auto"/>
            <w:vAlign w:val="center"/>
            <w:hideMark/>
          </w:tcPr>
          <w:p w14:paraId="723AFFA4"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p>
        </w:tc>
        <w:tc>
          <w:tcPr>
            <w:tcW w:w="1399" w:type="dxa"/>
            <w:tcBorders>
              <w:top w:val="single" w:sz="8" w:space="0" w:color="auto"/>
              <w:left w:val="nil"/>
              <w:bottom w:val="single" w:sz="8" w:space="0" w:color="auto"/>
              <w:right w:val="nil"/>
            </w:tcBorders>
            <w:shd w:val="clear" w:color="auto" w:fill="auto"/>
            <w:vAlign w:val="center"/>
            <w:hideMark/>
          </w:tcPr>
          <w:p w14:paraId="5C6E2133"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w:t>
            </w:r>
          </w:p>
        </w:tc>
      </w:tr>
      <w:tr w:rsidR="003C620A" w:rsidRPr="000D61D1" w14:paraId="7727FE6B" w14:textId="77777777" w:rsidTr="003C620A">
        <w:trPr>
          <w:trHeight w:val="320"/>
        </w:trPr>
        <w:tc>
          <w:tcPr>
            <w:tcW w:w="2540" w:type="dxa"/>
            <w:tcBorders>
              <w:top w:val="nil"/>
              <w:left w:val="nil"/>
              <w:bottom w:val="single" w:sz="8" w:space="0" w:color="auto"/>
              <w:right w:val="nil"/>
            </w:tcBorders>
            <w:shd w:val="clear" w:color="auto" w:fill="auto"/>
            <w:vAlign w:val="center"/>
            <w:hideMark/>
          </w:tcPr>
          <w:p w14:paraId="7ED2F743"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w:t>
            </w:r>
          </w:p>
        </w:tc>
        <w:tc>
          <w:tcPr>
            <w:tcW w:w="2138" w:type="dxa"/>
            <w:tcBorders>
              <w:top w:val="nil"/>
              <w:left w:val="nil"/>
              <w:bottom w:val="single" w:sz="8" w:space="0" w:color="auto"/>
              <w:right w:val="nil"/>
            </w:tcBorders>
            <w:shd w:val="clear" w:color="000000" w:fill="E7E6E6"/>
            <w:vAlign w:val="center"/>
            <w:hideMark/>
          </w:tcPr>
          <w:p w14:paraId="7E64BCFF" w14:textId="77777777" w:rsidR="003C620A" w:rsidRPr="000D61D1" w:rsidRDefault="003C620A" w:rsidP="003C620A">
            <w:pPr>
              <w:spacing w:after="0"/>
              <w:jc w:val="left"/>
              <w:rPr>
                <w:rFonts w:ascii="Calibri" w:eastAsia="Times New Roman" w:hAnsi="Calibri" w:cs="Calibri"/>
                <w:b/>
                <w:bCs/>
                <w:i/>
                <w:iCs/>
                <w:color w:val="365F91"/>
                <w:lang w:val="en-AU" w:eastAsia="en-AU"/>
              </w:rPr>
            </w:pPr>
            <w:r w:rsidRPr="000D61D1">
              <w:rPr>
                <w:rFonts w:ascii="Calibri" w:eastAsia="Times New Roman" w:hAnsi="Calibri" w:cs="Calibri"/>
                <w:b/>
                <w:bCs/>
                <w:i/>
                <w:iCs/>
                <w:color w:val="365F91"/>
                <w:lang w:val="en-AU" w:eastAsia="en-AU"/>
              </w:rPr>
              <w:t> </w:t>
            </w:r>
          </w:p>
        </w:tc>
        <w:tc>
          <w:tcPr>
            <w:tcW w:w="4819" w:type="dxa"/>
            <w:gridSpan w:val="3"/>
            <w:tcBorders>
              <w:top w:val="single" w:sz="8" w:space="0" w:color="auto"/>
              <w:left w:val="nil"/>
              <w:bottom w:val="single" w:sz="8" w:space="0" w:color="auto"/>
              <w:right w:val="nil"/>
            </w:tcBorders>
            <w:shd w:val="clear" w:color="auto" w:fill="auto"/>
            <w:vAlign w:val="center"/>
            <w:hideMark/>
          </w:tcPr>
          <w:p w14:paraId="79B385FC" w14:textId="77777777" w:rsidR="003C620A" w:rsidRPr="000D61D1" w:rsidRDefault="003C620A" w:rsidP="003C620A">
            <w:pPr>
              <w:spacing w:after="0"/>
              <w:jc w:val="center"/>
              <w:rPr>
                <w:rFonts w:ascii="Calibri" w:eastAsia="Times New Roman" w:hAnsi="Calibri" w:cs="Calibri"/>
                <w:b/>
                <w:bCs/>
                <w:i/>
                <w:iCs/>
                <w:color w:val="365F91"/>
                <w:lang w:val="en-AU" w:eastAsia="en-AU"/>
              </w:rPr>
            </w:pPr>
            <w:r>
              <w:rPr>
                <w:rFonts w:ascii="Calibri" w:eastAsia="Times New Roman" w:hAnsi="Calibri" w:cs="Calibri"/>
                <w:b/>
                <w:bCs/>
                <w:i/>
                <w:iCs/>
                <w:color w:val="365F91"/>
                <w:lang w:val="en-AU" w:eastAsia="en-AU"/>
              </w:rPr>
              <w:t>1.24 – 2.19</w:t>
            </w:r>
            <w:r w:rsidRPr="000D61D1">
              <w:rPr>
                <w:rFonts w:ascii="Calibri" w:eastAsia="Times New Roman" w:hAnsi="Calibri" w:cs="Calibri"/>
                <w:b/>
                <w:bCs/>
                <w:i/>
                <w:iCs/>
                <w:color w:val="365F91"/>
                <w:lang w:val="en-AU" w:eastAsia="en-AU"/>
              </w:rPr>
              <w:t xml:space="preserve">% price </w:t>
            </w:r>
            <w:r>
              <w:rPr>
                <w:rFonts w:ascii="Calibri" w:eastAsia="Times New Roman" w:hAnsi="Calibri" w:cs="Calibri"/>
                <w:b/>
                <w:bCs/>
                <w:i/>
                <w:iCs/>
                <w:color w:val="365F91"/>
                <w:lang w:val="en-AU" w:eastAsia="en-AU"/>
              </w:rPr>
              <w:t>effect (1.7% average)</w:t>
            </w:r>
          </w:p>
        </w:tc>
      </w:tr>
      <w:tr w:rsidR="003C620A" w:rsidRPr="000D61D1" w14:paraId="30387B3E" w14:textId="77777777" w:rsidTr="003C620A">
        <w:trPr>
          <w:trHeight w:val="290"/>
        </w:trPr>
        <w:tc>
          <w:tcPr>
            <w:tcW w:w="2540" w:type="dxa"/>
            <w:tcBorders>
              <w:top w:val="nil"/>
              <w:left w:val="nil"/>
              <w:bottom w:val="nil"/>
              <w:right w:val="nil"/>
            </w:tcBorders>
            <w:shd w:val="clear" w:color="auto" w:fill="auto"/>
            <w:vAlign w:val="center"/>
            <w:hideMark/>
          </w:tcPr>
          <w:p w14:paraId="54584209"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First home buyers</w:t>
            </w:r>
          </w:p>
        </w:tc>
        <w:tc>
          <w:tcPr>
            <w:tcW w:w="2138" w:type="dxa"/>
            <w:tcBorders>
              <w:top w:val="nil"/>
              <w:left w:val="nil"/>
              <w:bottom w:val="nil"/>
              <w:right w:val="nil"/>
            </w:tcBorders>
            <w:shd w:val="clear" w:color="000000" w:fill="E7E6E6"/>
            <w:vAlign w:val="center"/>
            <w:hideMark/>
          </w:tcPr>
          <w:p w14:paraId="58EA3427"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29,281</w:t>
            </w:r>
          </w:p>
        </w:tc>
        <w:tc>
          <w:tcPr>
            <w:tcW w:w="2270" w:type="dxa"/>
            <w:tcBorders>
              <w:top w:val="nil"/>
              <w:left w:val="nil"/>
              <w:bottom w:val="nil"/>
              <w:right w:val="nil"/>
            </w:tcBorders>
            <w:shd w:val="clear" w:color="auto" w:fill="auto"/>
            <w:vAlign w:val="center"/>
            <w:hideMark/>
          </w:tcPr>
          <w:p w14:paraId="2BDF90B0"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28,228</w:t>
            </w:r>
          </w:p>
        </w:tc>
        <w:tc>
          <w:tcPr>
            <w:tcW w:w="1150" w:type="dxa"/>
            <w:tcBorders>
              <w:top w:val="nil"/>
              <w:left w:val="nil"/>
              <w:bottom w:val="nil"/>
              <w:right w:val="nil"/>
            </w:tcBorders>
            <w:shd w:val="clear" w:color="auto" w:fill="auto"/>
            <w:vAlign w:val="center"/>
            <w:hideMark/>
          </w:tcPr>
          <w:p w14:paraId="3ABE8595"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1,053</w:t>
            </w:r>
          </w:p>
        </w:tc>
        <w:tc>
          <w:tcPr>
            <w:tcW w:w="1399" w:type="dxa"/>
            <w:tcBorders>
              <w:top w:val="nil"/>
              <w:left w:val="nil"/>
              <w:bottom w:val="nil"/>
              <w:right w:val="nil"/>
            </w:tcBorders>
            <w:shd w:val="clear" w:color="auto" w:fill="auto"/>
            <w:vAlign w:val="center"/>
            <w:hideMark/>
          </w:tcPr>
          <w:p w14:paraId="3A177035"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3.73</w:t>
            </w:r>
          </w:p>
        </w:tc>
      </w:tr>
      <w:tr w:rsidR="003C620A" w:rsidRPr="000D61D1" w14:paraId="0D6D2157" w14:textId="77777777" w:rsidTr="003C620A">
        <w:trPr>
          <w:trHeight w:val="290"/>
        </w:trPr>
        <w:tc>
          <w:tcPr>
            <w:tcW w:w="2540" w:type="dxa"/>
            <w:tcBorders>
              <w:top w:val="nil"/>
              <w:left w:val="nil"/>
              <w:bottom w:val="nil"/>
              <w:right w:val="nil"/>
            </w:tcBorders>
            <w:shd w:val="clear" w:color="auto" w:fill="auto"/>
            <w:vAlign w:val="center"/>
            <w:hideMark/>
          </w:tcPr>
          <w:p w14:paraId="01DCD923"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Low-income homeowner</w:t>
            </w:r>
          </w:p>
        </w:tc>
        <w:tc>
          <w:tcPr>
            <w:tcW w:w="2138" w:type="dxa"/>
            <w:tcBorders>
              <w:top w:val="nil"/>
              <w:left w:val="nil"/>
              <w:bottom w:val="nil"/>
              <w:right w:val="nil"/>
            </w:tcBorders>
            <w:shd w:val="clear" w:color="000000" w:fill="E7E6E6"/>
            <w:vAlign w:val="center"/>
            <w:hideMark/>
          </w:tcPr>
          <w:p w14:paraId="1082BE81"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11,621</w:t>
            </w:r>
          </w:p>
        </w:tc>
        <w:tc>
          <w:tcPr>
            <w:tcW w:w="2270" w:type="dxa"/>
            <w:tcBorders>
              <w:top w:val="nil"/>
              <w:left w:val="nil"/>
              <w:bottom w:val="nil"/>
              <w:right w:val="nil"/>
            </w:tcBorders>
            <w:shd w:val="clear" w:color="auto" w:fill="auto"/>
            <w:vAlign w:val="center"/>
            <w:hideMark/>
          </w:tcPr>
          <w:p w14:paraId="02D3037B"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11,671</w:t>
            </w:r>
          </w:p>
        </w:tc>
        <w:tc>
          <w:tcPr>
            <w:tcW w:w="1150" w:type="dxa"/>
            <w:tcBorders>
              <w:top w:val="nil"/>
              <w:left w:val="nil"/>
              <w:bottom w:val="nil"/>
              <w:right w:val="nil"/>
            </w:tcBorders>
            <w:shd w:val="clear" w:color="auto" w:fill="auto"/>
            <w:vAlign w:val="center"/>
            <w:hideMark/>
          </w:tcPr>
          <w:p w14:paraId="74393B08"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-50</w:t>
            </w:r>
          </w:p>
        </w:tc>
        <w:tc>
          <w:tcPr>
            <w:tcW w:w="1399" w:type="dxa"/>
            <w:tcBorders>
              <w:top w:val="nil"/>
              <w:left w:val="nil"/>
              <w:bottom w:val="nil"/>
              <w:right w:val="nil"/>
            </w:tcBorders>
            <w:shd w:val="clear" w:color="auto" w:fill="auto"/>
            <w:vAlign w:val="center"/>
            <w:hideMark/>
          </w:tcPr>
          <w:p w14:paraId="529A8856"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-0.43</w:t>
            </w:r>
          </w:p>
        </w:tc>
      </w:tr>
      <w:tr w:rsidR="003C620A" w:rsidRPr="000D61D1" w14:paraId="7C05035A" w14:textId="77777777" w:rsidTr="003C620A">
        <w:trPr>
          <w:trHeight w:val="290"/>
        </w:trPr>
        <w:tc>
          <w:tcPr>
            <w:tcW w:w="2540" w:type="dxa"/>
            <w:tcBorders>
              <w:top w:val="nil"/>
              <w:left w:val="nil"/>
              <w:bottom w:val="nil"/>
              <w:right w:val="nil"/>
            </w:tcBorders>
            <w:shd w:val="clear" w:color="auto" w:fill="auto"/>
            <w:vAlign w:val="center"/>
            <w:hideMark/>
          </w:tcPr>
          <w:p w14:paraId="2EA4AEC5"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Low-income renter</w:t>
            </w:r>
          </w:p>
        </w:tc>
        <w:tc>
          <w:tcPr>
            <w:tcW w:w="2138" w:type="dxa"/>
            <w:tcBorders>
              <w:top w:val="nil"/>
              <w:left w:val="nil"/>
              <w:bottom w:val="nil"/>
              <w:right w:val="nil"/>
            </w:tcBorders>
            <w:shd w:val="clear" w:color="000000" w:fill="E7E6E6"/>
            <w:vAlign w:val="center"/>
            <w:hideMark/>
          </w:tcPr>
          <w:p w14:paraId="7ED17CD3"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3,925</w:t>
            </w:r>
          </w:p>
        </w:tc>
        <w:tc>
          <w:tcPr>
            <w:tcW w:w="2270" w:type="dxa"/>
            <w:tcBorders>
              <w:top w:val="nil"/>
              <w:left w:val="nil"/>
              <w:bottom w:val="nil"/>
              <w:right w:val="nil"/>
            </w:tcBorders>
            <w:shd w:val="clear" w:color="auto" w:fill="auto"/>
            <w:vAlign w:val="center"/>
            <w:hideMark/>
          </w:tcPr>
          <w:p w14:paraId="45AEB2DF"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3,872</w:t>
            </w:r>
          </w:p>
        </w:tc>
        <w:tc>
          <w:tcPr>
            <w:tcW w:w="1150" w:type="dxa"/>
            <w:tcBorders>
              <w:top w:val="nil"/>
              <w:left w:val="nil"/>
              <w:bottom w:val="nil"/>
              <w:right w:val="nil"/>
            </w:tcBorders>
            <w:shd w:val="clear" w:color="auto" w:fill="auto"/>
            <w:vAlign w:val="center"/>
            <w:hideMark/>
          </w:tcPr>
          <w:p w14:paraId="5A10F78B"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53</w:t>
            </w:r>
          </w:p>
        </w:tc>
        <w:tc>
          <w:tcPr>
            <w:tcW w:w="1399" w:type="dxa"/>
            <w:tcBorders>
              <w:top w:val="nil"/>
              <w:left w:val="nil"/>
              <w:bottom w:val="nil"/>
              <w:right w:val="nil"/>
            </w:tcBorders>
            <w:shd w:val="clear" w:color="auto" w:fill="auto"/>
            <w:vAlign w:val="center"/>
            <w:hideMark/>
          </w:tcPr>
          <w:p w14:paraId="57F563DD"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1.37</w:t>
            </w:r>
          </w:p>
        </w:tc>
      </w:tr>
      <w:tr w:rsidR="003C620A" w:rsidRPr="000D61D1" w14:paraId="561B0C13" w14:textId="77777777" w:rsidTr="003C620A">
        <w:trPr>
          <w:trHeight w:val="290"/>
        </w:trPr>
        <w:tc>
          <w:tcPr>
            <w:tcW w:w="2540" w:type="dxa"/>
            <w:tcBorders>
              <w:top w:val="nil"/>
              <w:left w:val="nil"/>
              <w:bottom w:val="nil"/>
              <w:right w:val="nil"/>
            </w:tcBorders>
            <w:shd w:val="clear" w:color="auto" w:fill="auto"/>
            <w:vAlign w:val="center"/>
            <w:hideMark/>
          </w:tcPr>
          <w:p w14:paraId="675E8D60"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Middle-income homeowner</w:t>
            </w:r>
          </w:p>
        </w:tc>
        <w:tc>
          <w:tcPr>
            <w:tcW w:w="2138" w:type="dxa"/>
            <w:tcBorders>
              <w:top w:val="nil"/>
              <w:left w:val="nil"/>
              <w:bottom w:val="nil"/>
              <w:right w:val="nil"/>
            </w:tcBorders>
            <w:shd w:val="clear" w:color="000000" w:fill="E7E6E6"/>
            <w:vAlign w:val="center"/>
            <w:hideMark/>
          </w:tcPr>
          <w:p w14:paraId="31629B7B"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12,883</w:t>
            </w:r>
          </w:p>
        </w:tc>
        <w:tc>
          <w:tcPr>
            <w:tcW w:w="2270" w:type="dxa"/>
            <w:tcBorders>
              <w:top w:val="nil"/>
              <w:left w:val="nil"/>
              <w:bottom w:val="nil"/>
              <w:right w:val="nil"/>
            </w:tcBorders>
            <w:shd w:val="clear" w:color="auto" w:fill="auto"/>
            <w:vAlign w:val="center"/>
            <w:hideMark/>
          </w:tcPr>
          <w:p w14:paraId="2EF37DF9"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12,859</w:t>
            </w:r>
          </w:p>
        </w:tc>
        <w:tc>
          <w:tcPr>
            <w:tcW w:w="1150" w:type="dxa"/>
            <w:tcBorders>
              <w:top w:val="nil"/>
              <w:left w:val="nil"/>
              <w:bottom w:val="nil"/>
              <w:right w:val="nil"/>
            </w:tcBorders>
            <w:shd w:val="clear" w:color="auto" w:fill="auto"/>
            <w:vAlign w:val="center"/>
            <w:hideMark/>
          </w:tcPr>
          <w:p w14:paraId="4E348D73"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24</w:t>
            </w:r>
          </w:p>
        </w:tc>
        <w:tc>
          <w:tcPr>
            <w:tcW w:w="1399" w:type="dxa"/>
            <w:tcBorders>
              <w:top w:val="nil"/>
              <w:left w:val="nil"/>
              <w:bottom w:val="nil"/>
              <w:right w:val="nil"/>
            </w:tcBorders>
            <w:shd w:val="clear" w:color="auto" w:fill="auto"/>
            <w:vAlign w:val="center"/>
            <w:hideMark/>
          </w:tcPr>
          <w:p w14:paraId="5123665E"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0.19</w:t>
            </w:r>
          </w:p>
        </w:tc>
      </w:tr>
      <w:tr w:rsidR="003C620A" w:rsidRPr="000D61D1" w14:paraId="768182FD" w14:textId="77777777" w:rsidTr="003C620A">
        <w:trPr>
          <w:trHeight w:val="290"/>
        </w:trPr>
        <w:tc>
          <w:tcPr>
            <w:tcW w:w="2540" w:type="dxa"/>
            <w:tcBorders>
              <w:top w:val="nil"/>
              <w:left w:val="nil"/>
              <w:bottom w:val="nil"/>
              <w:right w:val="nil"/>
            </w:tcBorders>
            <w:shd w:val="clear" w:color="auto" w:fill="auto"/>
            <w:vAlign w:val="center"/>
            <w:hideMark/>
          </w:tcPr>
          <w:p w14:paraId="66AB0C44"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Middle-income renter</w:t>
            </w:r>
          </w:p>
        </w:tc>
        <w:tc>
          <w:tcPr>
            <w:tcW w:w="2138" w:type="dxa"/>
            <w:tcBorders>
              <w:top w:val="nil"/>
              <w:left w:val="nil"/>
              <w:bottom w:val="nil"/>
              <w:right w:val="nil"/>
            </w:tcBorders>
            <w:shd w:val="clear" w:color="000000" w:fill="E7E6E6"/>
            <w:vAlign w:val="center"/>
            <w:hideMark/>
          </w:tcPr>
          <w:p w14:paraId="4B0284F6"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10,231</w:t>
            </w:r>
          </w:p>
        </w:tc>
        <w:tc>
          <w:tcPr>
            <w:tcW w:w="2270" w:type="dxa"/>
            <w:tcBorders>
              <w:top w:val="nil"/>
              <w:left w:val="nil"/>
              <w:bottom w:val="nil"/>
              <w:right w:val="nil"/>
            </w:tcBorders>
            <w:shd w:val="clear" w:color="auto" w:fill="auto"/>
            <w:vAlign w:val="center"/>
            <w:hideMark/>
          </w:tcPr>
          <w:p w14:paraId="3AB3BFAA"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9,897</w:t>
            </w:r>
          </w:p>
        </w:tc>
        <w:tc>
          <w:tcPr>
            <w:tcW w:w="1150" w:type="dxa"/>
            <w:tcBorders>
              <w:top w:val="nil"/>
              <w:left w:val="nil"/>
              <w:bottom w:val="nil"/>
              <w:right w:val="nil"/>
            </w:tcBorders>
            <w:shd w:val="clear" w:color="auto" w:fill="auto"/>
            <w:vAlign w:val="center"/>
            <w:hideMark/>
          </w:tcPr>
          <w:p w14:paraId="1CCC9E9F"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334</w:t>
            </w:r>
          </w:p>
        </w:tc>
        <w:tc>
          <w:tcPr>
            <w:tcW w:w="1399" w:type="dxa"/>
            <w:tcBorders>
              <w:top w:val="nil"/>
              <w:left w:val="nil"/>
              <w:bottom w:val="nil"/>
              <w:right w:val="nil"/>
            </w:tcBorders>
            <w:shd w:val="clear" w:color="auto" w:fill="auto"/>
            <w:vAlign w:val="center"/>
            <w:hideMark/>
          </w:tcPr>
          <w:p w14:paraId="70EE06A3"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3.37</w:t>
            </w:r>
          </w:p>
        </w:tc>
      </w:tr>
      <w:tr w:rsidR="003C620A" w:rsidRPr="000D61D1" w14:paraId="21F38D9F" w14:textId="77777777" w:rsidTr="003C620A">
        <w:trPr>
          <w:trHeight w:val="290"/>
        </w:trPr>
        <w:tc>
          <w:tcPr>
            <w:tcW w:w="2540" w:type="dxa"/>
            <w:tcBorders>
              <w:top w:val="nil"/>
              <w:left w:val="nil"/>
              <w:bottom w:val="nil"/>
              <w:right w:val="nil"/>
            </w:tcBorders>
            <w:shd w:val="clear" w:color="auto" w:fill="auto"/>
            <w:vAlign w:val="center"/>
            <w:hideMark/>
          </w:tcPr>
          <w:p w14:paraId="618B13C7"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Pensioner homeowner</w:t>
            </w:r>
          </w:p>
        </w:tc>
        <w:tc>
          <w:tcPr>
            <w:tcW w:w="2138" w:type="dxa"/>
            <w:tcBorders>
              <w:top w:val="nil"/>
              <w:left w:val="nil"/>
              <w:bottom w:val="nil"/>
              <w:right w:val="nil"/>
            </w:tcBorders>
            <w:shd w:val="clear" w:color="000000" w:fill="E7E6E6"/>
            <w:vAlign w:val="center"/>
            <w:hideMark/>
          </w:tcPr>
          <w:p w14:paraId="2F829A7A"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7,340</w:t>
            </w:r>
          </w:p>
        </w:tc>
        <w:tc>
          <w:tcPr>
            <w:tcW w:w="2270" w:type="dxa"/>
            <w:tcBorders>
              <w:top w:val="nil"/>
              <w:left w:val="nil"/>
              <w:bottom w:val="nil"/>
              <w:right w:val="nil"/>
            </w:tcBorders>
            <w:shd w:val="clear" w:color="auto" w:fill="auto"/>
            <w:vAlign w:val="center"/>
            <w:hideMark/>
          </w:tcPr>
          <w:p w14:paraId="406D045A"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7,367</w:t>
            </w:r>
          </w:p>
        </w:tc>
        <w:tc>
          <w:tcPr>
            <w:tcW w:w="1150" w:type="dxa"/>
            <w:tcBorders>
              <w:top w:val="nil"/>
              <w:left w:val="nil"/>
              <w:bottom w:val="nil"/>
              <w:right w:val="nil"/>
            </w:tcBorders>
            <w:shd w:val="clear" w:color="auto" w:fill="auto"/>
            <w:vAlign w:val="center"/>
            <w:hideMark/>
          </w:tcPr>
          <w:p w14:paraId="314CB5DB"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-27</w:t>
            </w:r>
          </w:p>
        </w:tc>
        <w:tc>
          <w:tcPr>
            <w:tcW w:w="1399" w:type="dxa"/>
            <w:tcBorders>
              <w:top w:val="nil"/>
              <w:left w:val="nil"/>
              <w:bottom w:val="nil"/>
              <w:right w:val="nil"/>
            </w:tcBorders>
            <w:shd w:val="clear" w:color="auto" w:fill="auto"/>
            <w:vAlign w:val="center"/>
            <w:hideMark/>
          </w:tcPr>
          <w:p w14:paraId="66E95F22"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-0.37</w:t>
            </w:r>
          </w:p>
        </w:tc>
      </w:tr>
      <w:tr w:rsidR="003C620A" w:rsidRPr="000D61D1" w14:paraId="76B2FC61" w14:textId="77777777" w:rsidTr="003C620A">
        <w:trPr>
          <w:trHeight w:val="290"/>
        </w:trPr>
        <w:tc>
          <w:tcPr>
            <w:tcW w:w="2540" w:type="dxa"/>
            <w:tcBorders>
              <w:top w:val="nil"/>
              <w:left w:val="nil"/>
              <w:bottom w:val="nil"/>
              <w:right w:val="nil"/>
            </w:tcBorders>
            <w:shd w:val="clear" w:color="auto" w:fill="auto"/>
            <w:vAlign w:val="center"/>
            <w:hideMark/>
          </w:tcPr>
          <w:p w14:paraId="178CC051"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Pensioner renter</w:t>
            </w:r>
          </w:p>
        </w:tc>
        <w:tc>
          <w:tcPr>
            <w:tcW w:w="2138" w:type="dxa"/>
            <w:tcBorders>
              <w:top w:val="nil"/>
              <w:left w:val="nil"/>
              <w:bottom w:val="nil"/>
              <w:right w:val="nil"/>
            </w:tcBorders>
            <w:shd w:val="clear" w:color="000000" w:fill="E7E6E6"/>
            <w:vAlign w:val="center"/>
            <w:hideMark/>
          </w:tcPr>
          <w:p w14:paraId="0DBA95B5"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2,397</w:t>
            </w:r>
          </w:p>
        </w:tc>
        <w:tc>
          <w:tcPr>
            <w:tcW w:w="2270" w:type="dxa"/>
            <w:tcBorders>
              <w:top w:val="nil"/>
              <w:left w:val="nil"/>
              <w:bottom w:val="nil"/>
              <w:right w:val="nil"/>
            </w:tcBorders>
            <w:shd w:val="clear" w:color="auto" w:fill="auto"/>
            <w:vAlign w:val="center"/>
            <w:hideMark/>
          </w:tcPr>
          <w:p w14:paraId="4A0DEFA9"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2,397</w:t>
            </w:r>
          </w:p>
        </w:tc>
        <w:tc>
          <w:tcPr>
            <w:tcW w:w="1150" w:type="dxa"/>
            <w:tcBorders>
              <w:top w:val="nil"/>
              <w:left w:val="nil"/>
              <w:bottom w:val="nil"/>
              <w:right w:val="nil"/>
            </w:tcBorders>
            <w:shd w:val="clear" w:color="auto" w:fill="auto"/>
            <w:vAlign w:val="center"/>
            <w:hideMark/>
          </w:tcPr>
          <w:p w14:paraId="13AFF4FF"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0</w:t>
            </w:r>
          </w:p>
        </w:tc>
        <w:tc>
          <w:tcPr>
            <w:tcW w:w="1399" w:type="dxa"/>
            <w:tcBorders>
              <w:top w:val="nil"/>
              <w:left w:val="nil"/>
              <w:bottom w:val="nil"/>
              <w:right w:val="nil"/>
            </w:tcBorders>
            <w:shd w:val="clear" w:color="auto" w:fill="auto"/>
            <w:vAlign w:val="center"/>
            <w:hideMark/>
          </w:tcPr>
          <w:p w14:paraId="6056A2DE"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0.00</w:t>
            </w:r>
          </w:p>
        </w:tc>
      </w:tr>
      <w:tr w:rsidR="003C620A" w:rsidRPr="000D61D1" w14:paraId="6F9C9338" w14:textId="77777777" w:rsidTr="003C620A">
        <w:trPr>
          <w:trHeight w:val="290"/>
        </w:trPr>
        <w:tc>
          <w:tcPr>
            <w:tcW w:w="2540" w:type="dxa"/>
            <w:tcBorders>
              <w:top w:val="nil"/>
              <w:left w:val="nil"/>
              <w:bottom w:val="nil"/>
              <w:right w:val="nil"/>
            </w:tcBorders>
            <w:shd w:val="clear" w:color="auto" w:fill="auto"/>
            <w:vAlign w:val="center"/>
            <w:hideMark/>
          </w:tcPr>
          <w:p w14:paraId="4B891E5B"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Female-headed homeowner</w:t>
            </w:r>
          </w:p>
        </w:tc>
        <w:tc>
          <w:tcPr>
            <w:tcW w:w="2138" w:type="dxa"/>
            <w:tcBorders>
              <w:top w:val="nil"/>
              <w:left w:val="nil"/>
              <w:bottom w:val="nil"/>
              <w:right w:val="nil"/>
            </w:tcBorders>
            <w:shd w:val="clear" w:color="000000" w:fill="E7E6E6"/>
            <w:vAlign w:val="center"/>
            <w:hideMark/>
          </w:tcPr>
          <w:p w14:paraId="665E727B"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22,553</w:t>
            </w:r>
          </w:p>
        </w:tc>
        <w:tc>
          <w:tcPr>
            <w:tcW w:w="2270" w:type="dxa"/>
            <w:tcBorders>
              <w:top w:val="nil"/>
              <w:left w:val="nil"/>
              <w:bottom w:val="nil"/>
              <w:right w:val="nil"/>
            </w:tcBorders>
            <w:shd w:val="clear" w:color="auto" w:fill="auto"/>
            <w:vAlign w:val="center"/>
            <w:hideMark/>
          </w:tcPr>
          <w:p w14:paraId="505AC853"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22,508</w:t>
            </w:r>
          </w:p>
        </w:tc>
        <w:tc>
          <w:tcPr>
            <w:tcW w:w="1150" w:type="dxa"/>
            <w:tcBorders>
              <w:top w:val="nil"/>
              <w:left w:val="nil"/>
              <w:bottom w:val="nil"/>
              <w:right w:val="nil"/>
            </w:tcBorders>
            <w:shd w:val="clear" w:color="auto" w:fill="auto"/>
            <w:vAlign w:val="center"/>
            <w:hideMark/>
          </w:tcPr>
          <w:p w14:paraId="45C40AB8"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45</w:t>
            </w:r>
          </w:p>
        </w:tc>
        <w:tc>
          <w:tcPr>
            <w:tcW w:w="1399" w:type="dxa"/>
            <w:tcBorders>
              <w:top w:val="nil"/>
              <w:left w:val="nil"/>
              <w:bottom w:val="nil"/>
              <w:right w:val="nil"/>
            </w:tcBorders>
            <w:shd w:val="clear" w:color="auto" w:fill="auto"/>
            <w:vAlign w:val="center"/>
            <w:hideMark/>
          </w:tcPr>
          <w:p w14:paraId="0CDC0445" w14:textId="77777777" w:rsidR="003C620A" w:rsidRPr="005C62C6" w:rsidRDefault="003C620A" w:rsidP="003C620A">
            <w:pPr>
              <w:spacing w:after="0"/>
              <w:jc w:val="right"/>
              <w:rPr>
                <w:rFonts w:ascii="Calibri" w:eastAsia="Times New Roman" w:hAnsi="Calibri" w:cs="Calibri"/>
                <w:color w:val="000000"/>
                <w:sz w:val="22"/>
                <w:szCs w:val="22"/>
                <w:lang w:val="en-AU" w:eastAsia="en-AU"/>
              </w:rPr>
            </w:pPr>
            <w:r w:rsidRPr="005C62C6">
              <w:rPr>
                <w:sz w:val="22"/>
                <w:szCs w:val="22"/>
              </w:rPr>
              <w:t>0.20</w:t>
            </w:r>
          </w:p>
        </w:tc>
      </w:tr>
      <w:tr w:rsidR="003C620A" w:rsidRPr="000D61D1" w14:paraId="7AC42D2F" w14:textId="77777777" w:rsidTr="003C620A">
        <w:trPr>
          <w:trHeight w:val="300"/>
        </w:trPr>
        <w:tc>
          <w:tcPr>
            <w:tcW w:w="2540" w:type="dxa"/>
            <w:tcBorders>
              <w:top w:val="nil"/>
              <w:left w:val="nil"/>
              <w:bottom w:val="single" w:sz="8" w:space="0" w:color="auto"/>
              <w:right w:val="nil"/>
            </w:tcBorders>
            <w:shd w:val="clear" w:color="auto" w:fill="auto"/>
            <w:vAlign w:val="center"/>
            <w:hideMark/>
          </w:tcPr>
          <w:p w14:paraId="64C8C879"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Female-headed renter</w:t>
            </w:r>
          </w:p>
        </w:tc>
        <w:tc>
          <w:tcPr>
            <w:tcW w:w="2138" w:type="dxa"/>
            <w:tcBorders>
              <w:top w:val="nil"/>
              <w:left w:val="nil"/>
              <w:bottom w:val="single" w:sz="8" w:space="0" w:color="auto"/>
              <w:right w:val="nil"/>
            </w:tcBorders>
            <w:shd w:val="clear" w:color="000000" w:fill="E7E6E6"/>
            <w:vAlign w:val="center"/>
            <w:hideMark/>
          </w:tcPr>
          <w:p w14:paraId="05BFB0FD" w14:textId="77777777" w:rsidR="003C620A" w:rsidRPr="005C62C6" w:rsidRDefault="003C620A" w:rsidP="003C620A">
            <w:pPr>
              <w:spacing w:after="0"/>
              <w:jc w:val="right"/>
              <w:rPr>
                <w:rFonts w:ascii="Calibri" w:hAnsi="Calibri"/>
                <w:color w:val="000000"/>
                <w:sz w:val="22"/>
                <w:szCs w:val="22"/>
                <w:lang w:val="en-AU"/>
              </w:rPr>
            </w:pPr>
            <w:r w:rsidRPr="005C62C6">
              <w:rPr>
                <w:sz w:val="22"/>
                <w:szCs w:val="22"/>
              </w:rPr>
              <w:t>11,321</w:t>
            </w:r>
          </w:p>
        </w:tc>
        <w:tc>
          <w:tcPr>
            <w:tcW w:w="2270" w:type="dxa"/>
            <w:tcBorders>
              <w:top w:val="nil"/>
              <w:left w:val="nil"/>
              <w:bottom w:val="single" w:sz="8" w:space="0" w:color="auto"/>
              <w:right w:val="nil"/>
            </w:tcBorders>
            <w:shd w:val="clear" w:color="auto" w:fill="auto"/>
            <w:vAlign w:val="center"/>
            <w:hideMark/>
          </w:tcPr>
          <w:p w14:paraId="25F58406" w14:textId="77777777" w:rsidR="003C620A" w:rsidRPr="005C62C6" w:rsidRDefault="003C620A" w:rsidP="003C620A">
            <w:pPr>
              <w:spacing w:after="0"/>
              <w:jc w:val="right"/>
              <w:rPr>
                <w:rFonts w:ascii="Calibri" w:hAnsi="Calibri"/>
                <w:color w:val="000000"/>
                <w:sz w:val="22"/>
                <w:szCs w:val="22"/>
                <w:lang w:val="en-AU"/>
              </w:rPr>
            </w:pPr>
            <w:r w:rsidRPr="005C62C6">
              <w:rPr>
                <w:sz w:val="22"/>
                <w:szCs w:val="22"/>
              </w:rPr>
              <w:t>10,812</w:t>
            </w:r>
          </w:p>
        </w:tc>
        <w:tc>
          <w:tcPr>
            <w:tcW w:w="1150" w:type="dxa"/>
            <w:tcBorders>
              <w:top w:val="nil"/>
              <w:left w:val="nil"/>
              <w:bottom w:val="single" w:sz="8" w:space="0" w:color="auto"/>
              <w:right w:val="nil"/>
            </w:tcBorders>
            <w:shd w:val="clear" w:color="auto" w:fill="auto"/>
            <w:vAlign w:val="center"/>
            <w:hideMark/>
          </w:tcPr>
          <w:p w14:paraId="56D690CD" w14:textId="77777777" w:rsidR="003C620A" w:rsidRPr="005C62C6" w:rsidRDefault="003C620A" w:rsidP="003C620A">
            <w:pPr>
              <w:spacing w:after="0"/>
              <w:jc w:val="right"/>
              <w:rPr>
                <w:rFonts w:ascii="Calibri" w:hAnsi="Calibri"/>
                <w:color w:val="000000"/>
                <w:sz w:val="22"/>
                <w:szCs w:val="22"/>
                <w:lang w:val="en-AU"/>
              </w:rPr>
            </w:pPr>
            <w:r w:rsidRPr="005C62C6">
              <w:rPr>
                <w:sz w:val="22"/>
                <w:szCs w:val="22"/>
              </w:rPr>
              <w:t>509</w:t>
            </w:r>
          </w:p>
        </w:tc>
        <w:tc>
          <w:tcPr>
            <w:tcW w:w="1399" w:type="dxa"/>
            <w:tcBorders>
              <w:top w:val="nil"/>
              <w:left w:val="nil"/>
              <w:bottom w:val="single" w:sz="8" w:space="0" w:color="auto"/>
              <w:right w:val="nil"/>
            </w:tcBorders>
            <w:shd w:val="clear" w:color="auto" w:fill="auto"/>
            <w:vAlign w:val="center"/>
            <w:hideMark/>
          </w:tcPr>
          <w:p w14:paraId="007DF247" w14:textId="77777777" w:rsidR="003C620A" w:rsidRPr="005C62C6" w:rsidRDefault="003C620A" w:rsidP="003C620A">
            <w:pPr>
              <w:spacing w:after="0"/>
              <w:jc w:val="right"/>
              <w:rPr>
                <w:rFonts w:ascii="Calibri" w:hAnsi="Calibri"/>
                <w:color w:val="000000"/>
                <w:sz w:val="22"/>
                <w:szCs w:val="22"/>
                <w:lang w:val="en-AU"/>
              </w:rPr>
            </w:pPr>
            <w:r w:rsidRPr="005C62C6">
              <w:rPr>
                <w:sz w:val="22"/>
                <w:szCs w:val="22"/>
              </w:rPr>
              <w:t>4.71</w:t>
            </w:r>
          </w:p>
        </w:tc>
      </w:tr>
    </w:tbl>
    <w:p w14:paraId="53066866" w14:textId="77777777" w:rsidR="003C620A" w:rsidRPr="00D32F2D" w:rsidRDefault="003C620A" w:rsidP="003C620A">
      <w:pPr>
        <w:rPr>
          <w:sz w:val="20"/>
          <w:lang w:val="en-AU"/>
        </w:rPr>
      </w:pPr>
      <w:r w:rsidRPr="00D32F2D">
        <w:rPr>
          <w:i/>
          <w:sz w:val="20"/>
          <w:lang w:val="en-AU"/>
        </w:rPr>
        <w:t>Source:</w:t>
      </w:r>
      <w:r w:rsidRPr="00D32F2D">
        <w:rPr>
          <w:sz w:val="20"/>
          <w:lang w:val="en-AU"/>
        </w:rPr>
        <w:t xml:space="preserve"> Calculations from NATSEM microsimulation model.</w:t>
      </w:r>
    </w:p>
    <w:p w14:paraId="37DFEDE4" w14:textId="77777777" w:rsidR="003C620A" w:rsidRPr="005070F7" w:rsidRDefault="003C620A" w:rsidP="003C620A">
      <w:pPr>
        <w:rPr>
          <w:sz w:val="16"/>
          <w:lang w:val="en-AU"/>
        </w:rPr>
      </w:pPr>
      <w:r w:rsidRPr="005070F7">
        <w:rPr>
          <w:i/>
          <w:sz w:val="16"/>
        </w:rPr>
        <w:t>Note:</w:t>
      </w:r>
      <w:r w:rsidRPr="005070F7">
        <w:rPr>
          <w:sz w:val="16"/>
        </w:rPr>
        <w:t xml:space="preserve"> The numbers shown in </w:t>
      </w:r>
      <w:r>
        <w:rPr>
          <w:sz w:val="16"/>
        </w:rPr>
        <w:t>column 2 and column 3 a</w:t>
      </w:r>
      <w:r w:rsidRPr="005070F7">
        <w:rPr>
          <w:sz w:val="16"/>
        </w:rPr>
        <w:t>re the total number of residential properties purchased over the whole period. The sub-groups are not mutually exclusive</w:t>
      </w:r>
      <w:r>
        <w:rPr>
          <w:sz w:val="16"/>
        </w:rPr>
        <w:t xml:space="preserve"> – a first home buyer can also be a female headed renter</w:t>
      </w:r>
      <w:r w:rsidRPr="005070F7">
        <w:rPr>
          <w:sz w:val="16"/>
        </w:rPr>
        <w:t>.</w:t>
      </w:r>
    </w:p>
    <w:p w14:paraId="24B61FB1" w14:textId="5999080A" w:rsidR="003C620A" w:rsidRPr="000D61D1" w:rsidRDefault="003C620A" w:rsidP="003C620A">
      <w:pPr>
        <w:rPr>
          <w:lang w:val="en-AU"/>
        </w:rPr>
      </w:pPr>
      <w:r w:rsidRPr="000D61D1">
        <w:rPr>
          <w:lang w:val="en-AU"/>
        </w:rPr>
        <w:t xml:space="preserve">In terms of the change in income, </w:t>
      </w:r>
      <w:r>
        <w:rPr>
          <w:lang w:val="en-AU"/>
        </w:rPr>
        <w:t xml:space="preserve">the first 2 columns in </w:t>
      </w:r>
      <w:r w:rsidRPr="00A6304C">
        <w:rPr>
          <w:lang w:val="en-AU"/>
        </w:rPr>
        <w:fldChar w:fldCharType="begin"/>
      </w:r>
      <w:r w:rsidRPr="00A6304C">
        <w:rPr>
          <w:lang w:val="en-AU"/>
        </w:rPr>
        <w:instrText xml:space="preserve"> REF _Ref32483201 \h </w:instrText>
      </w:r>
      <w:r w:rsidRPr="00A6304C">
        <w:rPr>
          <w:lang w:val="en-AU"/>
        </w:rPr>
      </w:r>
      <w:r w:rsidR="00A6304C" w:rsidRPr="00A6304C">
        <w:rPr>
          <w:lang w:val="en-AU"/>
        </w:rPr>
        <w:instrText xml:space="preserve"> \* MERGEFORMAT </w:instrText>
      </w:r>
      <w:r w:rsidRPr="00A6304C">
        <w:rPr>
          <w:lang w:val="en-AU"/>
        </w:rPr>
        <w:fldChar w:fldCharType="separate"/>
      </w:r>
      <w:r w:rsidR="00A6304C" w:rsidRPr="00A6304C">
        <w:t>Table 4</w:t>
      </w:r>
      <w:r w:rsidRPr="00A6304C">
        <w:rPr>
          <w:lang w:val="en-AU"/>
        </w:rPr>
        <w:fldChar w:fldCharType="end"/>
      </w:r>
      <w:r w:rsidRPr="000D61D1">
        <w:rPr>
          <w:lang w:val="en-AU"/>
        </w:rPr>
        <w:t xml:space="preserve"> show</w:t>
      </w:r>
      <w:r>
        <w:rPr>
          <w:lang w:val="en-AU"/>
        </w:rPr>
        <w:t>, for a number of population cohorts,</w:t>
      </w:r>
      <w:r w:rsidRPr="000D61D1">
        <w:rPr>
          <w:lang w:val="en-AU"/>
        </w:rPr>
        <w:t xml:space="preserve"> the </w:t>
      </w:r>
      <w:r>
        <w:rPr>
          <w:lang w:val="en-AU"/>
        </w:rPr>
        <w:t xml:space="preserve">average </w:t>
      </w:r>
      <w:r w:rsidRPr="000D61D1">
        <w:rPr>
          <w:lang w:val="en-AU"/>
        </w:rPr>
        <w:t xml:space="preserve">amount paid </w:t>
      </w:r>
      <w:r>
        <w:rPr>
          <w:lang w:val="en-AU"/>
        </w:rPr>
        <w:t xml:space="preserve">by property owners (rates) and purchasers (stamp duty) in a year over the time period analysed </w:t>
      </w:r>
      <w:r w:rsidRPr="000D61D1">
        <w:rPr>
          <w:lang w:val="en-AU"/>
        </w:rPr>
        <w:t xml:space="preserve">under the new and old policies. </w:t>
      </w:r>
      <w:proofErr w:type="gramStart"/>
      <w:r w:rsidRPr="000D61D1">
        <w:rPr>
          <w:lang w:val="en-AU"/>
        </w:rPr>
        <w:t>So</w:t>
      </w:r>
      <w:proofErr w:type="gramEnd"/>
      <w:r w:rsidRPr="000D61D1">
        <w:rPr>
          <w:lang w:val="en-AU"/>
        </w:rPr>
        <w:t xml:space="preserve"> under the new tax policy, a first home buyer will pay on average $1</w:t>
      </w:r>
      <w:r>
        <w:rPr>
          <w:lang w:val="en-AU"/>
        </w:rPr>
        <w:t>4</w:t>
      </w:r>
      <w:r w:rsidRPr="000D61D1">
        <w:rPr>
          <w:lang w:val="en-AU"/>
        </w:rPr>
        <w:t>,</w:t>
      </w:r>
      <w:r>
        <w:rPr>
          <w:lang w:val="en-AU"/>
        </w:rPr>
        <w:t>498</w:t>
      </w:r>
      <w:r w:rsidRPr="000D61D1">
        <w:rPr>
          <w:lang w:val="en-AU"/>
        </w:rPr>
        <w:t xml:space="preserve"> per year</w:t>
      </w:r>
      <w:r>
        <w:rPr>
          <w:lang w:val="en-AU"/>
        </w:rPr>
        <w:t xml:space="preserve"> on rates and stamp duty</w:t>
      </w:r>
      <w:r w:rsidRPr="000D61D1">
        <w:rPr>
          <w:lang w:val="en-AU"/>
        </w:rPr>
        <w:t xml:space="preserve">; whereas under the old tax policy without the price increase they were paying </w:t>
      </w:r>
      <w:r w:rsidRPr="000D61D1">
        <w:rPr>
          <w:lang w:val="en-AU"/>
        </w:rPr>
        <w:lastRenderedPageBreak/>
        <w:t>$1</w:t>
      </w:r>
      <w:r>
        <w:rPr>
          <w:lang w:val="en-AU"/>
        </w:rPr>
        <w:t>9</w:t>
      </w:r>
      <w:r w:rsidRPr="000D61D1">
        <w:rPr>
          <w:lang w:val="en-AU"/>
        </w:rPr>
        <w:t>,0</w:t>
      </w:r>
      <w:r>
        <w:rPr>
          <w:lang w:val="en-AU"/>
        </w:rPr>
        <w:t>75</w:t>
      </w:r>
      <w:r w:rsidRPr="000D61D1">
        <w:rPr>
          <w:lang w:val="en-AU"/>
        </w:rPr>
        <w:t xml:space="preserve">. For a first home buyer, this </w:t>
      </w:r>
      <w:r>
        <w:rPr>
          <w:lang w:val="en-AU"/>
        </w:rPr>
        <w:t xml:space="preserve">difference </w:t>
      </w:r>
      <w:r w:rsidRPr="000D61D1">
        <w:rPr>
          <w:lang w:val="en-AU"/>
        </w:rPr>
        <w:t xml:space="preserve">will be dominated by </w:t>
      </w:r>
      <w:r>
        <w:rPr>
          <w:lang w:val="en-AU"/>
        </w:rPr>
        <w:t xml:space="preserve">the reduction in </w:t>
      </w:r>
      <w:r w:rsidRPr="000D61D1">
        <w:rPr>
          <w:lang w:val="en-AU"/>
        </w:rPr>
        <w:t>stamp duty</w:t>
      </w:r>
      <w:r>
        <w:rPr>
          <w:lang w:val="en-AU"/>
        </w:rPr>
        <w:t xml:space="preserve"> under the new policy</w:t>
      </w:r>
      <w:r w:rsidRPr="000D61D1">
        <w:rPr>
          <w:lang w:val="en-AU"/>
        </w:rPr>
        <w:t>.</w:t>
      </w:r>
    </w:p>
    <w:p w14:paraId="79EA974C" w14:textId="42F9E044" w:rsidR="003C620A" w:rsidRPr="000D61D1" w:rsidRDefault="003C620A" w:rsidP="003C620A">
      <w:pPr>
        <w:rPr>
          <w:lang w:val="en-AU"/>
        </w:rPr>
      </w:pPr>
      <w:r w:rsidRPr="000D61D1">
        <w:rPr>
          <w:lang w:val="en-AU"/>
        </w:rPr>
        <w:t xml:space="preserve">The final </w:t>
      </w:r>
      <w:r>
        <w:rPr>
          <w:lang w:val="en-AU"/>
        </w:rPr>
        <w:t>3</w:t>
      </w:r>
      <w:r w:rsidRPr="000D61D1">
        <w:rPr>
          <w:lang w:val="en-AU"/>
        </w:rPr>
        <w:t xml:space="preserve"> columns in </w:t>
      </w:r>
      <w:r w:rsidR="00A6304C">
        <w:rPr>
          <w:lang w:val="en-AU"/>
        </w:rPr>
        <w:t>Table 4</w:t>
      </w:r>
      <w:r w:rsidRPr="000D61D1">
        <w:rPr>
          <w:lang w:val="en-AU"/>
        </w:rPr>
        <w:t xml:space="preserve"> show the proportion of income spent on stamp duty and rates. For first home buyers, this is 1</w:t>
      </w:r>
      <w:r>
        <w:rPr>
          <w:lang w:val="en-AU"/>
        </w:rPr>
        <w:t>7</w:t>
      </w:r>
      <w:r w:rsidRPr="000D61D1">
        <w:rPr>
          <w:lang w:val="en-AU"/>
        </w:rPr>
        <w:t>.</w:t>
      </w:r>
      <w:r>
        <w:rPr>
          <w:lang w:val="en-AU"/>
        </w:rPr>
        <w:t>07</w:t>
      </w:r>
      <w:r w:rsidRPr="000D61D1">
        <w:rPr>
          <w:lang w:val="en-AU"/>
        </w:rPr>
        <w:t xml:space="preserve">% for the new tax policy, and </w:t>
      </w:r>
      <w:r>
        <w:rPr>
          <w:lang w:val="en-AU"/>
        </w:rPr>
        <w:t>22.70</w:t>
      </w:r>
      <w:r w:rsidRPr="000D61D1">
        <w:rPr>
          <w:lang w:val="en-AU"/>
        </w:rPr>
        <w:t xml:space="preserve">% for the old tax policy, so this has decreased under the new tax policy by </w:t>
      </w:r>
      <w:r>
        <w:rPr>
          <w:lang w:val="en-AU"/>
        </w:rPr>
        <w:t>5</w:t>
      </w:r>
      <w:r w:rsidRPr="000D61D1">
        <w:rPr>
          <w:lang w:val="en-AU"/>
        </w:rPr>
        <w:t>.</w:t>
      </w:r>
      <w:r>
        <w:rPr>
          <w:lang w:val="en-AU"/>
        </w:rPr>
        <w:t>63</w:t>
      </w:r>
      <w:r w:rsidRPr="000D61D1">
        <w:rPr>
          <w:lang w:val="en-AU"/>
        </w:rPr>
        <w:t xml:space="preserve"> percentage points, mainly due to the reduction in stamp duty.</w:t>
      </w:r>
      <w:r>
        <w:rPr>
          <w:lang w:val="en-AU"/>
        </w:rPr>
        <w:t xml:space="preserve"> </w:t>
      </w:r>
    </w:p>
    <w:p w14:paraId="37BB422F" w14:textId="77777777" w:rsidR="003C620A" w:rsidRPr="000D61D1" w:rsidRDefault="003C620A" w:rsidP="003C620A">
      <w:pPr>
        <w:rPr>
          <w:lang w:val="en-AU"/>
        </w:rPr>
      </w:pPr>
      <w:r w:rsidRPr="000D61D1">
        <w:rPr>
          <w:lang w:val="en-AU"/>
        </w:rPr>
        <w:t>The “Difference” column is the difference between the old and new tax system. If this is negative, then on average families are better off (they are paying less in stamp duty and rates under the new policy). If it is positive, they are worse off.</w:t>
      </w:r>
    </w:p>
    <w:p w14:paraId="25E6DD6B" w14:textId="77777777" w:rsidR="003C620A" w:rsidRPr="000D61D1" w:rsidRDefault="003C620A" w:rsidP="003C620A">
      <w:pPr>
        <w:rPr>
          <w:lang w:val="en-AU"/>
        </w:rPr>
      </w:pPr>
      <w:r w:rsidRPr="000D61D1">
        <w:rPr>
          <w:lang w:val="en-AU"/>
        </w:rPr>
        <w:t>For homeowners in the table, the number includes any stamp duty if they have purchased a new property; and rates.</w:t>
      </w:r>
      <w:r>
        <w:rPr>
          <w:lang w:val="en-AU"/>
        </w:rPr>
        <w:t xml:space="preserve"> However, these homeowners are affected more by the increase in rates in both current and new properties. Therefore, the average homeowners may still be worse off due to the policy.</w:t>
      </w:r>
      <w:r w:rsidRPr="000D61D1">
        <w:rPr>
          <w:lang w:val="en-AU"/>
        </w:rPr>
        <w:t xml:space="preserve"> The impact of stamp duty and rates separately on these sub-groups can be seen in the technical report.</w:t>
      </w:r>
    </w:p>
    <w:p w14:paraId="24C90B45" w14:textId="77777777" w:rsidR="003C620A" w:rsidRDefault="003C620A" w:rsidP="003C620A">
      <w:pPr>
        <w:rPr>
          <w:lang w:val="en-AU"/>
        </w:rPr>
      </w:pPr>
      <w:r w:rsidRPr="000D61D1">
        <w:rPr>
          <w:lang w:val="en-AU"/>
        </w:rPr>
        <w:t xml:space="preserve">Introducing price increases means that the stamp duty and rates under the old tax policy decrease, as the </w:t>
      </w:r>
      <w:r>
        <w:rPr>
          <w:lang w:val="en-AU"/>
        </w:rPr>
        <w:t xml:space="preserve">property </w:t>
      </w:r>
      <w:r w:rsidRPr="000D61D1">
        <w:rPr>
          <w:lang w:val="en-AU"/>
        </w:rPr>
        <w:t xml:space="preserve">prices are lower compared to the assumption that the </w:t>
      </w:r>
      <w:r>
        <w:rPr>
          <w:lang w:val="en-AU"/>
        </w:rPr>
        <w:t xml:space="preserve">property </w:t>
      </w:r>
      <w:r w:rsidRPr="000D61D1">
        <w:rPr>
          <w:lang w:val="en-AU"/>
        </w:rPr>
        <w:t xml:space="preserve">price increases matched the </w:t>
      </w:r>
      <w:r>
        <w:rPr>
          <w:lang w:val="en-AU"/>
        </w:rPr>
        <w:t xml:space="preserve">RPPI </w:t>
      </w:r>
      <w:r w:rsidRPr="000D61D1">
        <w:rPr>
          <w:lang w:val="en-AU"/>
        </w:rPr>
        <w:t xml:space="preserve">of the new policy. </w:t>
      </w:r>
      <w:proofErr w:type="gramStart"/>
      <w:r w:rsidRPr="000D61D1">
        <w:rPr>
          <w:lang w:val="en-AU"/>
        </w:rPr>
        <w:t>All of</w:t>
      </w:r>
      <w:proofErr w:type="gramEnd"/>
      <w:r w:rsidRPr="000D61D1">
        <w:rPr>
          <w:lang w:val="en-AU"/>
        </w:rPr>
        <w:t xml:space="preserve"> the gains and losses are in the same direction, and first home buyers still benefit the most under all the </w:t>
      </w:r>
      <w:r>
        <w:rPr>
          <w:lang w:val="en-AU"/>
        </w:rPr>
        <w:t xml:space="preserve">property </w:t>
      </w:r>
      <w:r w:rsidRPr="000D61D1">
        <w:rPr>
          <w:lang w:val="en-AU"/>
        </w:rPr>
        <w:t xml:space="preserve">price increase assumptions. The different </w:t>
      </w:r>
      <w:r>
        <w:rPr>
          <w:lang w:val="en-AU"/>
        </w:rPr>
        <w:t xml:space="preserve">property </w:t>
      </w:r>
      <w:r w:rsidRPr="000D61D1">
        <w:rPr>
          <w:lang w:val="en-AU"/>
        </w:rPr>
        <w:t>price increase assumptions had little impact on the percentage of income spent on stamp duty and rates.</w:t>
      </w:r>
    </w:p>
    <w:p w14:paraId="4FC20EC9" w14:textId="77777777" w:rsidR="003C620A" w:rsidRDefault="003C620A" w:rsidP="003C620A">
      <w:pPr>
        <w:rPr>
          <w:lang w:val="en-AU"/>
        </w:rPr>
      </w:pPr>
      <w:r>
        <w:rPr>
          <w:lang w:val="en-AU"/>
        </w:rPr>
        <w:t>What we see from Table 4 is that, on average, middle income renters gain the most under the new policy, paying an average $4,578 less in combined stamp duty and rates. Additional analysis shown in the Technical Report, which splits the gains into rates and stamp duty separately, shows that this is due to a large reduction in stamp duty; and the fact that for some of the years in the study, these renters aren’t paying rates, so the average rates paid is lower than homeowners. First home buyers also benefit from the reform, due to lower stamp duty, and not paying rates until they have purchased a property.</w:t>
      </w:r>
    </w:p>
    <w:p w14:paraId="62BE221D" w14:textId="77777777" w:rsidR="003C620A" w:rsidRDefault="003C620A" w:rsidP="003C620A">
      <w:pPr>
        <w:rPr>
          <w:lang w:val="en-AU"/>
        </w:rPr>
      </w:pPr>
      <w:r>
        <w:rPr>
          <w:lang w:val="en-AU"/>
        </w:rPr>
        <w:t xml:space="preserve">Generally, homeowners are worse off under the reform, because they are paying higher rates; but </w:t>
      </w:r>
      <w:proofErr w:type="gramStart"/>
      <w:r>
        <w:rPr>
          <w:lang w:val="en-AU"/>
        </w:rPr>
        <w:t>generally</w:t>
      </w:r>
      <w:proofErr w:type="gramEnd"/>
      <w:r>
        <w:rPr>
          <w:lang w:val="en-AU"/>
        </w:rPr>
        <w:t xml:space="preserve"> not benefitting from lower stamp duty. Upgraders would benefit from the lower stamp duty, which is possibly why </w:t>
      </w:r>
      <w:proofErr w:type="gramStart"/>
      <w:r>
        <w:rPr>
          <w:lang w:val="en-AU"/>
        </w:rPr>
        <w:t>middle income</w:t>
      </w:r>
      <w:proofErr w:type="gramEnd"/>
      <w:r>
        <w:rPr>
          <w:lang w:val="en-AU"/>
        </w:rPr>
        <w:t xml:space="preserve"> homeowners do benefit slightly from the reform, as they are the group most likely to be upsizing.</w:t>
      </w:r>
    </w:p>
    <w:p w14:paraId="332F9E5C" w14:textId="77777777" w:rsidR="003C620A" w:rsidRPr="000D61D1" w:rsidRDefault="003C620A" w:rsidP="003C620A">
      <w:pPr>
        <w:rPr>
          <w:lang w:val="en-AU"/>
        </w:rPr>
      </w:pPr>
      <w:r>
        <w:rPr>
          <w:lang w:val="en-AU"/>
        </w:rPr>
        <w:t>Note that in Table 4, for the same policy (</w:t>
      </w:r>
      <w:proofErr w:type="spellStart"/>
      <w:r>
        <w:rPr>
          <w:lang w:val="en-AU"/>
        </w:rPr>
        <w:t>eg</w:t>
      </w:r>
      <w:proofErr w:type="spellEnd"/>
      <w:r>
        <w:rPr>
          <w:lang w:val="en-AU"/>
        </w:rPr>
        <w:t xml:space="preserve">, Old Tax Policy) and a higher price, generally we see lower rates and stamp duty because the number of houses purchased has decreased. However, because all the modelling is done at the household level, in some cases, there may be higher stamp duty and rates paid by the same cohort. An example of this is low income renters, which went for paying an average $10,578 with no price increase to $10,692 for the highest house price increase. This is due to a combination of </w:t>
      </w:r>
      <w:r>
        <w:rPr>
          <w:rFonts w:ascii="Calibri" w:eastAsia="Times New Roman" w:hAnsi="Calibri" w:cs="Calibri"/>
          <w:color w:val="000000"/>
          <w:lang w:eastAsia="en-AU"/>
        </w:rPr>
        <w:t>the complex modelling of house purchases which changes as the house prices increase, the random element introduced in choosing a purchaser, and the averaging.</w:t>
      </w:r>
    </w:p>
    <w:p w14:paraId="1E6FEA03" w14:textId="2E12183B" w:rsidR="003C620A" w:rsidRPr="000D61D1" w:rsidRDefault="003C620A" w:rsidP="003C620A">
      <w:pPr>
        <w:pStyle w:val="TableCaption"/>
        <w:rPr>
          <w:lang w:val="en-AU"/>
        </w:rPr>
      </w:pPr>
      <w:bookmarkStart w:id="16" w:name="_Toc43911491"/>
      <w:r w:rsidRPr="000D61D1">
        <w:rPr>
          <w:lang w:val="en-AU"/>
        </w:rPr>
        <w:lastRenderedPageBreak/>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4</w:t>
      </w:r>
      <w:r w:rsidRPr="000D61D1">
        <w:rPr>
          <w:lang w:val="en-AU"/>
        </w:rPr>
        <w:fldChar w:fldCharType="end"/>
      </w:r>
      <w:r w:rsidRPr="000D61D1">
        <w:rPr>
          <w:lang w:val="en-AU"/>
        </w:rPr>
        <w:t xml:space="preserve"> - The impact of tax reform on rates and stamp duty paid by sub-group, average 2012 - 2018</w:t>
      </w:r>
      <w:bookmarkEnd w:id="16"/>
    </w:p>
    <w:tbl>
      <w:tblPr>
        <w:tblW w:w="9256" w:type="dxa"/>
        <w:tblLook w:val="04A0" w:firstRow="1" w:lastRow="0" w:firstColumn="1" w:lastColumn="0" w:noHBand="0" w:noVBand="1"/>
      </w:tblPr>
      <w:tblGrid>
        <w:gridCol w:w="2835"/>
        <w:gridCol w:w="913"/>
        <w:gridCol w:w="913"/>
        <w:gridCol w:w="1150"/>
        <w:gridCol w:w="1135"/>
        <w:gridCol w:w="1157"/>
        <w:gridCol w:w="1153"/>
      </w:tblGrid>
      <w:tr w:rsidR="003C620A" w:rsidRPr="000D61D1" w14:paraId="43C81E6C" w14:textId="77777777" w:rsidTr="00870105">
        <w:trPr>
          <w:trHeight w:val="590"/>
        </w:trPr>
        <w:tc>
          <w:tcPr>
            <w:tcW w:w="2835" w:type="dxa"/>
            <w:tcBorders>
              <w:top w:val="single" w:sz="8" w:space="0" w:color="auto"/>
              <w:left w:val="nil"/>
              <w:bottom w:val="single" w:sz="8" w:space="0" w:color="auto"/>
              <w:right w:val="nil"/>
            </w:tcBorders>
            <w:shd w:val="clear" w:color="auto" w:fill="auto"/>
            <w:vAlign w:val="center"/>
            <w:hideMark/>
          </w:tcPr>
          <w:p w14:paraId="46712A24" w14:textId="520318B6" w:rsidR="003C620A" w:rsidRPr="000D61D1" w:rsidRDefault="003C620A" w:rsidP="003C620A">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sidR="00EA3DB6">
              <w:rPr>
                <w:rFonts w:ascii="Calibri" w:eastAsia="Times New Roman" w:hAnsi="Calibri" w:cs="Calibri"/>
                <w:color w:val="000000"/>
                <w:lang w:val="en-AU" w:eastAsia="en-AU"/>
              </w:rPr>
              <w:t>Sub-group</w:t>
            </w:r>
          </w:p>
        </w:tc>
        <w:tc>
          <w:tcPr>
            <w:tcW w:w="913" w:type="dxa"/>
            <w:tcBorders>
              <w:top w:val="single" w:sz="8" w:space="0" w:color="auto"/>
              <w:left w:val="nil"/>
              <w:bottom w:val="single" w:sz="8" w:space="0" w:color="auto"/>
              <w:right w:val="nil"/>
            </w:tcBorders>
            <w:shd w:val="clear" w:color="000000" w:fill="E7E6E6"/>
            <w:vAlign w:val="center"/>
            <w:hideMark/>
          </w:tcPr>
          <w:p w14:paraId="7E6A71A1" w14:textId="03425B25"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w:t>
            </w:r>
            <w:r w:rsidR="00EA3DB6">
              <w:rPr>
                <w:rFonts w:ascii="Calibri" w:eastAsia="Times New Roman" w:hAnsi="Calibri" w:cs="Calibri"/>
                <w:color w:val="000000"/>
                <w:sz w:val="22"/>
                <w:szCs w:val="22"/>
                <w:lang w:val="en-AU" w:eastAsia="en-AU"/>
              </w:rPr>
              <w:t xml:space="preserve"> $</w:t>
            </w:r>
            <w:r w:rsidRPr="000D61D1">
              <w:rPr>
                <w:rFonts w:ascii="Calibri" w:eastAsia="Times New Roman" w:hAnsi="Calibri" w:cs="Calibri"/>
                <w:color w:val="000000"/>
                <w:sz w:val="22"/>
                <w:szCs w:val="22"/>
                <w:lang w:val="en-AU" w:eastAsia="en-AU"/>
              </w:rPr>
              <w:t xml:space="preserve"> </w:t>
            </w:r>
          </w:p>
        </w:tc>
        <w:tc>
          <w:tcPr>
            <w:tcW w:w="913" w:type="dxa"/>
            <w:tcBorders>
              <w:top w:val="single" w:sz="8" w:space="0" w:color="auto"/>
              <w:left w:val="nil"/>
              <w:bottom w:val="single" w:sz="8" w:space="0" w:color="auto"/>
              <w:right w:val="nil"/>
            </w:tcBorders>
            <w:shd w:val="clear" w:color="auto" w:fill="auto"/>
            <w:vAlign w:val="center"/>
            <w:hideMark/>
          </w:tcPr>
          <w:p w14:paraId="5496236D" w14:textId="16B788C6"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w:t>
            </w:r>
            <w:r w:rsidR="00EA3DB6">
              <w:rPr>
                <w:rFonts w:ascii="Calibri" w:eastAsia="Times New Roman" w:hAnsi="Calibri" w:cs="Calibri"/>
                <w:color w:val="000000"/>
                <w:sz w:val="22"/>
                <w:szCs w:val="22"/>
                <w:lang w:val="en-AU" w:eastAsia="en-AU"/>
              </w:rPr>
              <w:t xml:space="preserve"> $</w:t>
            </w:r>
            <w:r w:rsidRPr="000D61D1">
              <w:rPr>
                <w:rFonts w:ascii="Calibri" w:eastAsia="Times New Roman" w:hAnsi="Calibri" w:cs="Calibri"/>
                <w:color w:val="000000"/>
                <w:sz w:val="22"/>
                <w:szCs w:val="22"/>
                <w:lang w:val="en-AU" w:eastAsia="en-AU"/>
              </w:rPr>
              <w:t xml:space="preserve"> </w:t>
            </w:r>
          </w:p>
        </w:tc>
        <w:tc>
          <w:tcPr>
            <w:tcW w:w="1150" w:type="dxa"/>
            <w:tcBorders>
              <w:top w:val="single" w:sz="8" w:space="0" w:color="auto"/>
              <w:left w:val="nil"/>
              <w:bottom w:val="single" w:sz="8" w:space="0" w:color="auto"/>
              <w:right w:val="nil"/>
            </w:tcBorders>
            <w:shd w:val="clear" w:color="auto" w:fill="auto"/>
            <w:vAlign w:val="center"/>
            <w:hideMark/>
          </w:tcPr>
          <w:p w14:paraId="1ED9E2D8" w14:textId="121C86F2"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r w:rsidR="00EA3DB6">
              <w:rPr>
                <w:rFonts w:ascii="Calibri" w:eastAsia="Times New Roman" w:hAnsi="Calibri" w:cs="Calibri"/>
                <w:color w:val="000000"/>
                <w:sz w:val="22"/>
                <w:szCs w:val="22"/>
                <w:lang w:val="en-AU" w:eastAsia="en-AU"/>
              </w:rPr>
              <w:t xml:space="preserve"> $</w:t>
            </w:r>
            <w:r w:rsidRPr="000D61D1">
              <w:rPr>
                <w:rFonts w:ascii="Calibri" w:eastAsia="Times New Roman" w:hAnsi="Calibri" w:cs="Calibri"/>
                <w:color w:val="000000"/>
                <w:sz w:val="22"/>
                <w:szCs w:val="22"/>
                <w:lang w:val="en-AU" w:eastAsia="en-AU"/>
              </w:rPr>
              <w:t xml:space="preserve"> </w:t>
            </w:r>
          </w:p>
        </w:tc>
        <w:tc>
          <w:tcPr>
            <w:tcW w:w="1135" w:type="dxa"/>
            <w:tcBorders>
              <w:top w:val="single" w:sz="8" w:space="0" w:color="auto"/>
              <w:left w:val="nil"/>
              <w:bottom w:val="single" w:sz="8" w:space="0" w:color="auto"/>
              <w:right w:val="nil"/>
            </w:tcBorders>
            <w:shd w:val="clear" w:color="auto" w:fill="auto"/>
            <w:vAlign w:val="center"/>
            <w:hideMark/>
          </w:tcPr>
          <w:p w14:paraId="27E02E92"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New tax policy - % of income spent </w:t>
            </w:r>
          </w:p>
        </w:tc>
        <w:tc>
          <w:tcPr>
            <w:tcW w:w="1157" w:type="dxa"/>
            <w:tcBorders>
              <w:top w:val="single" w:sz="8" w:space="0" w:color="auto"/>
              <w:left w:val="nil"/>
              <w:bottom w:val="single" w:sz="8" w:space="0" w:color="auto"/>
              <w:right w:val="nil"/>
            </w:tcBorders>
            <w:shd w:val="clear" w:color="auto" w:fill="auto"/>
            <w:vAlign w:val="center"/>
            <w:hideMark/>
          </w:tcPr>
          <w:p w14:paraId="5E67500F"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Old tax policy - % of income spent </w:t>
            </w:r>
          </w:p>
        </w:tc>
        <w:tc>
          <w:tcPr>
            <w:tcW w:w="1153" w:type="dxa"/>
            <w:tcBorders>
              <w:top w:val="single" w:sz="8" w:space="0" w:color="auto"/>
              <w:left w:val="nil"/>
              <w:bottom w:val="single" w:sz="8" w:space="0" w:color="auto"/>
              <w:right w:val="nil"/>
            </w:tcBorders>
            <w:shd w:val="clear" w:color="auto" w:fill="auto"/>
            <w:vAlign w:val="center"/>
            <w:hideMark/>
          </w:tcPr>
          <w:p w14:paraId="3C77320E" w14:textId="61E49DEA"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r w:rsidR="00EA3DB6">
              <w:rPr>
                <w:rFonts w:ascii="Calibri" w:eastAsia="Times New Roman" w:hAnsi="Calibri" w:cs="Calibri"/>
                <w:color w:val="000000"/>
                <w:sz w:val="22"/>
                <w:szCs w:val="22"/>
                <w:lang w:val="en-AU" w:eastAsia="en-AU"/>
              </w:rPr>
              <w:t xml:space="preserve"> % point</w:t>
            </w:r>
            <w:r w:rsidR="00B72CA7">
              <w:rPr>
                <w:rFonts w:ascii="Calibri" w:eastAsia="Times New Roman" w:hAnsi="Calibri" w:cs="Calibri"/>
                <w:color w:val="000000"/>
                <w:sz w:val="22"/>
                <w:szCs w:val="22"/>
                <w:lang w:val="en-AU" w:eastAsia="en-AU"/>
              </w:rPr>
              <w:t>s</w:t>
            </w:r>
            <w:r w:rsidRPr="000D61D1">
              <w:rPr>
                <w:rFonts w:ascii="Calibri" w:eastAsia="Times New Roman" w:hAnsi="Calibri" w:cs="Calibri"/>
                <w:color w:val="000000"/>
                <w:sz w:val="22"/>
                <w:szCs w:val="22"/>
                <w:lang w:val="en-AU" w:eastAsia="en-AU"/>
              </w:rPr>
              <w:t xml:space="preserve"> </w:t>
            </w:r>
          </w:p>
        </w:tc>
      </w:tr>
      <w:tr w:rsidR="003C620A" w:rsidRPr="000D61D1" w14:paraId="1D580A9E" w14:textId="77777777" w:rsidTr="00870105">
        <w:trPr>
          <w:trHeight w:val="290"/>
        </w:trPr>
        <w:tc>
          <w:tcPr>
            <w:tcW w:w="2835" w:type="dxa"/>
            <w:tcBorders>
              <w:top w:val="single" w:sz="8" w:space="0" w:color="auto"/>
              <w:left w:val="nil"/>
              <w:bottom w:val="nil"/>
              <w:right w:val="nil"/>
            </w:tcBorders>
            <w:shd w:val="clear" w:color="auto" w:fill="auto"/>
            <w:vAlign w:val="center"/>
            <w:hideMark/>
          </w:tcPr>
          <w:p w14:paraId="71BDB9FD"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First home buyers</w:t>
            </w:r>
          </w:p>
        </w:tc>
        <w:tc>
          <w:tcPr>
            <w:tcW w:w="913" w:type="dxa"/>
            <w:tcBorders>
              <w:top w:val="single" w:sz="8" w:space="0" w:color="auto"/>
              <w:left w:val="nil"/>
              <w:bottom w:val="nil"/>
              <w:right w:val="nil"/>
            </w:tcBorders>
            <w:shd w:val="clear" w:color="000000" w:fill="E7E6E6"/>
            <w:vAlign w:val="center"/>
            <w:hideMark/>
          </w:tcPr>
          <w:p w14:paraId="1695203D"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14,498</w:t>
            </w:r>
          </w:p>
        </w:tc>
        <w:tc>
          <w:tcPr>
            <w:tcW w:w="913" w:type="dxa"/>
            <w:tcBorders>
              <w:top w:val="single" w:sz="8" w:space="0" w:color="auto"/>
              <w:left w:val="nil"/>
              <w:bottom w:val="nil"/>
              <w:right w:val="nil"/>
            </w:tcBorders>
            <w:shd w:val="clear" w:color="auto" w:fill="auto"/>
            <w:vAlign w:val="center"/>
            <w:hideMark/>
          </w:tcPr>
          <w:p w14:paraId="72028B6A"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19,075</w:t>
            </w:r>
          </w:p>
        </w:tc>
        <w:tc>
          <w:tcPr>
            <w:tcW w:w="1150" w:type="dxa"/>
            <w:tcBorders>
              <w:top w:val="single" w:sz="8" w:space="0" w:color="auto"/>
              <w:left w:val="nil"/>
              <w:bottom w:val="nil"/>
              <w:right w:val="nil"/>
            </w:tcBorders>
            <w:shd w:val="clear" w:color="auto" w:fill="auto"/>
            <w:vAlign w:val="center"/>
            <w:hideMark/>
          </w:tcPr>
          <w:p w14:paraId="66AB57BE"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-4,578</w:t>
            </w:r>
          </w:p>
        </w:tc>
        <w:tc>
          <w:tcPr>
            <w:tcW w:w="1135" w:type="dxa"/>
            <w:tcBorders>
              <w:top w:val="single" w:sz="8" w:space="0" w:color="auto"/>
              <w:left w:val="nil"/>
              <w:bottom w:val="nil"/>
              <w:right w:val="nil"/>
            </w:tcBorders>
            <w:shd w:val="clear" w:color="auto" w:fill="auto"/>
            <w:vAlign w:val="center"/>
            <w:hideMark/>
          </w:tcPr>
          <w:p w14:paraId="56520623"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17.07</w:t>
            </w:r>
          </w:p>
        </w:tc>
        <w:tc>
          <w:tcPr>
            <w:tcW w:w="1157" w:type="dxa"/>
            <w:tcBorders>
              <w:top w:val="single" w:sz="8" w:space="0" w:color="auto"/>
              <w:left w:val="nil"/>
              <w:bottom w:val="nil"/>
              <w:right w:val="nil"/>
            </w:tcBorders>
            <w:shd w:val="clear" w:color="auto" w:fill="auto"/>
            <w:vAlign w:val="center"/>
            <w:hideMark/>
          </w:tcPr>
          <w:p w14:paraId="23C25F0F"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22.70</w:t>
            </w:r>
          </w:p>
        </w:tc>
        <w:tc>
          <w:tcPr>
            <w:tcW w:w="1153" w:type="dxa"/>
            <w:tcBorders>
              <w:top w:val="single" w:sz="8" w:space="0" w:color="auto"/>
              <w:left w:val="nil"/>
              <w:bottom w:val="nil"/>
              <w:right w:val="nil"/>
            </w:tcBorders>
            <w:shd w:val="clear" w:color="auto" w:fill="auto"/>
            <w:vAlign w:val="center"/>
            <w:hideMark/>
          </w:tcPr>
          <w:p w14:paraId="72C57CF7"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-5.63</w:t>
            </w:r>
          </w:p>
        </w:tc>
      </w:tr>
      <w:tr w:rsidR="003C620A" w:rsidRPr="000D61D1" w14:paraId="6931B616" w14:textId="77777777" w:rsidTr="003C620A">
        <w:trPr>
          <w:trHeight w:val="290"/>
        </w:trPr>
        <w:tc>
          <w:tcPr>
            <w:tcW w:w="2835" w:type="dxa"/>
            <w:tcBorders>
              <w:top w:val="nil"/>
              <w:left w:val="nil"/>
              <w:bottom w:val="nil"/>
              <w:right w:val="nil"/>
            </w:tcBorders>
            <w:shd w:val="clear" w:color="auto" w:fill="auto"/>
            <w:vAlign w:val="center"/>
            <w:hideMark/>
          </w:tcPr>
          <w:p w14:paraId="559BFEAD"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Low-income homeowner</w:t>
            </w:r>
          </w:p>
        </w:tc>
        <w:tc>
          <w:tcPr>
            <w:tcW w:w="913" w:type="dxa"/>
            <w:tcBorders>
              <w:top w:val="nil"/>
              <w:left w:val="nil"/>
              <w:bottom w:val="nil"/>
              <w:right w:val="nil"/>
            </w:tcBorders>
            <w:shd w:val="clear" w:color="000000" w:fill="E7E6E6"/>
            <w:vAlign w:val="center"/>
            <w:hideMark/>
          </w:tcPr>
          <w:p w14:paraId="5C86244A"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2,051</w:t>
            </w:r>
          </w:p>
        </w:tc>
        <w:tc>
          <w:tcPr>
            <w:tcW w:w="913" w:type="dxa"/>
            <w:tcBorders>
              <w:top w:val="nil"/>
              <w:left w:val="nil"/>
              <w:bottom w:val="nil"/>
              <w:right w:val="nil"/>
            </w:tcBorders>
            <w:shd w:val="clear" w:color="auto" w:fill="auto"/>
            <w:vAlign w:val="center"/>
            <w:hideMark/>
          </w:tcPr>
          <w:p w14:paraId="212B04E0"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1,937</w:t>
            </w:r>
          </w:p>
        </w:tc>
        <w:tc>
          <w:tcPr>
            <w:tcW w:w="1150" w:type="dxa"/>
            <w:tcBorders>
              <w:top w:val="nil"/>
              <w:left w:val="nil"/>
              <w:bottom w:val="nil"/>
              <w:right w:val="nil"/>
            </w:tcBorders>
            <w:shd w:val="clear" w:color="auto" w:fill="auto"/>
            <w:vAlign w:val="center"/>
            <w:hideMark/>
          </w:tcPr>
          <w:p w14:paraId="0A66BEA0"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115</w:t>
            </w:r>
          </w:p>
        </w:tc>
        <w:tc>
          <w:tcPr>
            <w:tcW w:w="1135" w:type="dxa"/>
            <w:tcBorders>
              <w:top w:val="nil"/>
              <w:left w:val="nil"/>
              <w:bottom w:val="nil"/>
              <w:right w:val="nil"/>
            </w:tcBorders>
            <w:shd w:val="clear" w:color="auto" w:fill="auto"/>
            <w:vAlign w:val="center"/>
            <w:hideMark/>
          </w:tcPr>
          <w:p w14:paraId="22ABAAE9"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4.84</w:t>
            </w:r>
          </w:p>
        </w:tc>
        <w:tc>
          <w:tcPr>
            <w:tcW w:w="1157" w:type="dxa"/>
            <w:tcBorders>
              <w:top w:val="nil"/>
              <w:left w:val="nil"/>
              <w:bottom w:val="nil"/>
              <w:right w:val="nil"/>
            </w:tcBorders>
            <w:shd w:val="clear" w:color="auto" w:fill="auto"/>
            <w:vAlign w:val="center"/>
            <w:hideMark/>
          </w:tcPr>
          <w:p w14:paraId="2EC87B9F"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4.57</w:t>
            </w:r>
          </w:p>
        </w:tc>
        <w:tc>
          <w:tcPr>
            <w:tcW w:w="1153" w:type="dxa"/>
            <w:tcBorders>
              <w:top w:val="nil"/>
              <w:left w:val="nil"/>
              <w:bottom w:val="nil"/>
              <w:right w:val="nil"/>
            </w:tcBorders>
            <w:shd w:val="clear" w:color="auto" w:fill="auto"/>
            <w:vAlign w:val="center"/>
            <w:hideMark/>
          </w:tcPr>
          <w:p w14:paraId="5C3B4778"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0.27</w:t>
            </w:r>
          </w:p>
        </w:tc>
      </w:tr>
      <w:tr w:rsidR="003C620A" w:rsidRPr="000D61D1" w14:paraId="34B59553" w14:textId="77777777" w:rsidTr="003C620A">
        <w:trPr>
          <w:trHeight w:val="290"/>
        </w:trPr>
        <w:tc>
          <w:tcPr>
            <w:tcW w:w="2835" w:type="dxa"/>
            <w:tcBorders>
              <w:top w:val="nil"/>
              <w:left w:val="nil"/>
              <w:bottom w:val="nil"/>
              <w:right w:val="nil"/>
            </w:tcBorders>
            <w:shd w:val="clear" w:color="auto" w:fill="auto"/>
            <w:vAlign w:val="center"/>
            <w:hideMark/>
          </w:tcPr>
          <w:p w14:paraId="33234E9F"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Low-income renter</w:t>
            </w:r>
          </w:p>
        </w:tc>
        <w:tc>
          <w:tcPr>
            <w:tcW w:w="913" w:type="dxa"/>
            <w:tcBorders>
              <w:top w:val="nil"/>
              <w:left w:val="nil"/>
              <w:bottom w:val="nil"/>
              <w:right w:val="nil"/>
            </w:tcBorders>
            <w:shd w:val="clear" w:color="000000" w:fill="E7E6E6"/>
            <w:vAlign w:val="center"/>
            <w:hideMark/>
          </w:tcPr>
          <w:p w14:paraId="6C8C016D"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8,598</w:t>
            </w:r>
          </w:p>
        </w:tc>
        <w:tc>
          <w:tcPr>
            <w:tcW w:w="913" w:type="dxa"/>
            <w:tcBorders>
              <w:top w:val="nil"/>
              <w:left w:val="nil"/>
              <w:bottom w:val="nil"/>
              <w:right w:val="nil"/>
            </w:tcBorders>
            <w:shd w:val="clear" w:color="auto" w:fill="auto"/>
            <w:vAlign w:val="center"/>
            <w:hideMark/>
          </w:tcPr>
          <w:p w14:paraId="521FA05E"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10,578</w:t>
            </w:r>
          </w:p>
        </w:tc>
        <w:tc>
          <w:tcPr>
            <w:tcW w:w="1150" w:type="dxa"/>
            <w:tcBorders>
              <w:top w:val="nil"/>
              <w:left w:val="nil"/>
              <w:bottom w:val="nil"/>
              <w:right w:val="nil"/>
            </w:tcBorders>
            <w:shd w:val="clear" w:color="auto" w:fill="auto"/>
            <w:vAlign w:val="center"/>
            <w:hideMark/>
          </w:tcPr>
          <w:p w14:paraId="22581409"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-1,981</w:t>
            </w:r>
          </w:p>
        </w:tc>
        <w:tc>
          <w:tcPr>
            <w:tcW w:w="1135" w:type="dxa"/>
            <w:tcBorders>
              <w:top w:val="nil"/>
              <w:left w:val="nil"/>
              <w:bottom w:val="nil"/>
              <w:right w:val="nil"/>
            </w:tcBorders>
            <w:shd w:val="clear" w:color="auto" w:fill="auto"/>
            <w:vAlign w:val="center"/>
            <w:hideMark/>
          </w:tcPr>
          <w:p w14:paraId="2805679A"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17.82</w:t>
            </w:r>
          </w:p>
        </w:tc>
        <w:tc>
          <w:tcPr>
            <w:tcW w:w="1157" w:type="dxa"/>
            <w:tcBorders>
              <w:top w:val="nil"/>
              <w:left w:val="nil"/>
              <w:bottom w:val="nil"/>
              <w:right w:val="nil"/>
            </w:tcBorders>
            <w:shd w:val="clear" w:color="auto" w:fill="auto"/>
            <w:vAlign w:val="center"/>
            <w:hideMark/>
          </w:tcPr>
          <w:p w14:paraId="7264399D"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22.73</w:t>
            </w:r>
          </w:p>
        </w:tc>
        <w:tc>
          <w:tcPr>
            <w:tcW w:w="1153" w:type="dxa"/>
            <w:tcBorders>
              <w:top w:val="nil"/>
              <w:left w:val="nil"/>
              <w:bottom w:val="nil"/>
              <w:right w:val="nil"/>
            </w:tcBorders>
            <w:shd w:val="clear" w:color="auto" w:fill="auto"/>
            <w:vAlign w:val="center"/>
            <w:hideMark/>
          </w:tcPr>
          <w:p w14:paraId="0A031E7F"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-4.91</w:t>
            </w:r>
          </w:p>
        </w:tc>
      </w:tr>
      <w:tr w:rsidR="003C620A" w:rsidRPr="000D61D1" w14:paraId="6BB3A951" w14:textId="77777777" w:rsidTr="003C620A">
        <w:trPr>
          <w:trHeight w:val="290"/>
        </w:trPr>
        <w:tc>
          <w:tcPr>
            <w:tcW w:w="2835" w:type="dxa"/>
            <w:tcBorders>
              <w:top w:val="nil"/>
              <w:left w:val="nil"/>
              <w:bottom w:val="nil"/>
              <w:right w:val="nil"/>
            </w:tcBorders>
            <w:shd w:val="clear" w:color="auto" w:fill="auto"/>
            <w:vAlign w:val="center"/>
            <w:hideMark/>
          </w:tcPr>
          <w:p w14:paraId="352E6AEB"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Middle-income homeowner</w:t>
            </w:r>
          </w:p>
        </w:tc>
        <w:tc>
          <w:tcPr>
            <w:tcW w:w="913" w:type="dxa"/>
            <w:tcBorders>
              <w:top w:val="nil"/>
              <w:left w:val="nil"/>
              <w:bottom w:val="nil"/>
              <w:right w:val="nil"/>
            </w:tcBorders>
            <w:shd w:val="clear" w:color="000000" w:fill="E7E6E6"/>
            <w:vAlign w:val="center"/>
            <w:hideMark/>
          </w:tcPr>
          <w:p w14:paraId="50C88413"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3,546</w:t>
            </w:r>
          </w:p>
        </w:tc>
        <w:tc>
          <w:tcPr>
            <w:tcW w:w="913" w:type="dxa"/>
            <w:tcBorders>
              <w:top w:val="nil"/>
              <w:left w:val="nil"/>
              <w:bottom w:val="nil"/>
              <w:right w:val="nil"/>
            </w:tcBorders>
            <w:shd w:val="clear" w:color="auto" w:fill="auto"/>
            <w:vAlign w:val="center"/>
            <w:hideMark/>
          </w:tcPr>
          <w:p w14:paraId="377FAA6A"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3,660</w:t>
            </w:r>
          </w:p>
        </w:tc>
        <w:tc>
          <w:tcPr>
            <w:tcW w:w="1150" w:type="dxa"/>
            <w:tcBorders>
              <w:top w:val="nil"/>
              <w:left w:val="nil"/>
              <w:bottom w:val="nil"/>
              <w:right w:val="nil"/>
            </w:tcBorders>
            <w:shd w:val="clear" w:color="auto" w:fill="auto"/>
            <w:vAlign w:val="center"/>
            <w:hideMark/>
          </w:tcPr>
          <w:p w14:paraId="37B9725C"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-113</w:t>
            </w:r>
          </w:p>
        </w:tc>
        <w:tc>
          <w:tcPr>
            <w:tcW w:w="1135" w:type="dxa"/>
            <w:tcBorders>
              <w:top w:val="nil"/>
              <w:left w:val="nil"/>
              <w:bottom w:val="nil"/>
              <w:right w:val="nil"/>
            </w:tcBorders>
            <w:shd w:val="clear" w:color="auto" w:fill="auto"/>
            <w:vAlign w:val="center"/>
            <w:hideMark/>
          </w:tcPr>
          <w:p w14:paraId="606502B2"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4.34</w:t>
            </w:r>
          </w:p>
        </w:tc>
        <w:tc>
          <w:tcPr>
            <w:tcW w:w="1157" w:type="dxa"/>
            <w:tcBorders>
              <w:top w:val="nil"/>
              <w:left w:val="nil"/>
              <w:bottom w:val="nil"/>
              <w:right w:val="nil"/>
            </w:tcBorders>
            <w:shd w:val="clear" w:color="auto" w:fill="auto"/>
            <w:vAlign w:val="center"/>
            <w:hideMark/>
          </w:tcPr>
          <w:p w14:paraId="1E254740"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4.47</w:t>
            </w:r>
          </w:p>
        </w:tc>
        <w:tc>
          <w:tcPr>
            <w:tcW w:w="1153" w:type="dxa"/>
            <w:tcBorders>
              <w:top w:val="nil"/>
              <w:left w:val="nil"/>
              <w:bottom w:val="nil"/>
              <w:right w:val="nil"/>
            </w:tcBorders>
            <w:shd w:val="clear" w:color="auto" w:fill="auto"/>
            <w:vAlign w:val="center"/>
            <w:hideMark/>
          </w:tcPr>
          <w:p w14:paraId="172B1AE6"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-0.14</w:t>
            </w:r>
          </w:p>
        </w:tc>
      </w:tr>
      <w:tr w:rsidR="003C620A" w:rsidRPr="000D61D1" w14:paraId="6535AC58" w14:textId="77777777" w:rsidTr="003C620A">
        <w:trPr>
          <w:trHeight w:val="290"/>
        </w:trPr>
        <w:tc>
          <w:tcPr>
            <w:tcW w:w="2835" w:type="dxa"/>
            <w:tcBorders>
              <w:top w:val="nil"/>
              <w:left w:val="nil"/>
              <w:bottom w:val="nil"/>
              <w:right w:val="nil"/>
            </w:tcBorders>
            <w:shd w:val="clear" w:color="auto" w:fill="auto"/>
            <w:vAlign w:val="center"/>
            <w:hideMark/>
          </w:tcPr>
          <w:p w14:paraId="6673785E"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Middle-income renter</w:t>
            </w:r>
          </w:p>
        </w:tc>
        <w:tc>
          <w:tcPr>
            <w:tcW w:w="913" w:type="dxa"/>
            <w:tcBorders>
              <w:top w:val="nil"/>
              <w:left w:val="nil"/>
              <w:bottom w:val="nil"/>
              <w:right w:val="nil"/>
            </w:tcBorders>
            <w:shd w:val="clear" w:color="000000" w:fill="E7E6E6"/>
            <w:vAlign w:val="center"/>
            <w:hideMark/>
          </w:tcPr>
          <w:p w14:paraId="76DD965F"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12,831</w:t>
            </w:r>
          </w:p>
        </w:tc>
        <w:tc>
          <w:tcPr>
            <w:tcW w:w="913" w:type="dxa"/>
            <w:tcBorders>
              <w:top w:val="nil"/>
              <w:left w:val="nil"/>
              <w:bottom w:val="nil"/>
              <w:right w:val="nil"/>
            </w:tcBorders>
            <w:shd w:val="clear" w:color="auto" w:fill="auto"/>
            <w:vAlign w:val="center"/>
            <w:hideMark/>
          </w:tcPr>
          <w:p w14:paraId="2DDEADC1"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17,412</w:t>
            </w:r>
          </w:p>
        </w:tc>
        <w:tc>
          <w:tcPr>
            <w:tcW w:w="1150" w:type="dxa"/>
            <w:tcBorders>
              <w:top w:val="nil"/>
              <w:left w:val="nil"/>
              <w:bottom w:val="nil"/>
              <w:right w:val="nil"/>
            </w:tcBorders>
            <w:shd w:val="clear" w:color="auto" w:fill="auto"/>
            <w:vAlign w:val="center"/>
            <w:hideMark/>
          </w:tcPr>
          <w:p w14:paraId="52BC86AD"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-4,581</w:t>
            </w:r>
          </w:p>
        </w:tc>
        <w:tc>
          <w:tcPr>
            <w:tcW w:w="1135" w:type="dxa"/>
            <w:tcBorders>
              <w:top w:val="nil"/>
              <w:left w:val="nil"/>
              <w:bottom w:val="nil"/>
              <w:right w:val="nil"/>
            </w:tcBorders>
            <w:shd w:val="clear" w:color="auto" w:fill="auto"/>
            <w:vAlign w:val="center"/>
            <w:hideMark/>
          </w:tcPr>
          <w:p w14:paraId="25877237"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19.29</w:t>
            </w:r>
          </w:p>
        </w:tc>
        <w:tc>
          <w:tcPr>
            <w:tcW w:w="1157" w:type="dxa"/>
            <w:tcBorders>
              <w:top w:val="nil"/>
              <w:left w:val="nil"/>
              <w:bottom w:val="nil"/>
              <w:right w:val="nil"/>
            </w:tcBorders>
            <w:shd w:val="clear" w:color="auto" w:fill="auto"/>
            <w:vAlign w:val="center"/>
            <w:hideMark/>
          </w:tcPr>
          <w:p w14:paraId="583579E0"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26.10</w:t>
            </w:r>
          </w:p>
        </w:tc>
        <w:tc>
          <w:tcPr>
            <w:tcW w:w="1153" w:type="dxa"/>
            <w:tcBorders>
              <w:top w:val="nil"/>
              <w:left w:val="nil"/>
              <w:bottom w:val="nil"/>
              <w:right w:val="nil"/>
            </w:tcBorders>
            <w:shd w:val="clear" w:color="auto" w:fill="auto"/>
            <w:vAlign w:val="center"/>
            <w:hideMark/>
          </w:tcPr>
          <w:p w14:paraId="169174AC"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-6.81</w:t>
            </w:r>
          </w:p>
        </w:tc>
      </w:tr>
      <w:tr w:rsidR="003C620A" w:rsidRPr="000D61D1" w14:paraId="4C3D0551" w14:textId="77777777" w:rsidTr="003C620A">
        <w:trPr>
          <w:trHeight w:val="290"/>
        </w:trPr>
        <w:tc>
          <w:tcPr>
            <w:tcW w:w="2835" w:type="dxa"/>
            <w:tcBorders>
              <w:top w:val="nil"/>
              <w:left w:val="nil"/>
              <w:bottom w:val="nil"/>
              <w:right w:val="nil"/>
            </w:tcBorders>
            <w:shd w:val="clear" w:color="auto" w:fill="auto"/>
            <w:vAlign w:val="center"/>
            <w:hideMark/>
          </w:tcPr>
          <w:p w14:paraId="57219F35"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Pensioner homeowner</w:t>
            </w:r>
          </w:p>
        </w:tc>
        <w:tc>
          <w:tcPr>
            <w:tcW w:w="913" w:type="dxa"/>
            <w:tcBorders>
              <w:top w:val="nil"/>
              <w:left w:val="nil"/>
              <w:bottom w:val="nil"/>
              <w:right w:val="nil"/>
            </w:tcBorders>
            <w:shd w:val="clear" w:color="000000" w:fill="E7E6E6"/>
            <w:vAlign w:val="center"/>
            <w:hideMark/>
          </w:tcPr>
          <w:p w14:paraId="3FE59C08"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2,346</w:t>
            </w:r>
          </w:p>
        </w:tc>
        <w:tc>
          <w:tcPr>
            <w:tcW w:w="913" w:type="dxa"/>
            <w:tcBorders>
              <w:top w:val="nil"/>
              <w:left w:val="nil"/>
              <w:bottom w:val="nil"/>
              <w:right w:val="nil"/>
            </w:tcBorders>
            <w:shd w:val="clear" w:color="auto" w:fill="auto"/>
            <w:vAlign w:val="center"/>
            <w:hideMark/>
          </w:tcPr>
          <w:p w14:paraId="669FA855"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1,988</w:t>
            </w:r>
          </w:p>
        </w:tc>
        <w:tc>
          <w:tcPr>
            <w:tcW w:w="1150" w:type="dxa"/>
            <w:tcBorders>
              <w:top w:val="nil"/>
              <w:left w:val="nil"/>
              <w:bottom w:val="nil"/>
              <w:right w:val="nil"/>
            </w:tcBorders>
            <w:shd w:val="clear" w:color="auto" w:fill="auto"/>
            <w:vAlign w:val="center"/>
            <w:hideMark/>
          </w:tcPr>
          <w:p w14:paraId="1609C562"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359</w:t>
            </w:r>
          </w:p>
        </w:tc>
        <w:tc>
          <w:tcPr>
            <w:tcW w:w="1135" w:type="dxa"/>
            <w:tcBorders>
              <w:top w:val="nil"/>
              <w:left w:val="nil"/>
              <w:bottom w:val="nil"/>
              <w:right w:val="nil"/>
            </w:tcBorders>
            <w:shd w:val="clear" w:color="auto" w:fill="auto"/>
            <w:vAlign w:val="center"/>
            <w:hideMark/>
          </w:tcPr>
          <w:p w14:paraId="0FE607C9"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4.04</w:t>
            </w:r>
          </w:p>
        </w:tc>
        <w:tc>
          <w:tcPr>
            <w:tcW w:w="1157" w:type="dxa"/>
            <w:tcBorders>
              <w:top w:val="nil"/>
              <w:left w:val="nil"/>
              <w:bottom w:val="nil"/>
              <w:right w:val="nil"/>
            </w:tcBorders>
            <w:shd w:val="clear" w:color="auto" w:fill="auto"/>
            <w:vAlign w:val="center"/>
            <w:hideMark/>
          </w:tcPr>
          <w:p w14:paraId="06C572EE"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3.42</w:t>
            </w:r>
          </w:p>
        </w:tc>
        <w:tc>
          <w:tcPr>
            <w:tcW w:w="1153" w:type="dxa"/>
            <w:tcBorders>
              <w:top w:val="nil"/>
              <w:left w:val="nil"/>
              <w:bottom w:val="nil"/>
              <w:right w:val="nil"/>
            </w:tcBorders>
            <w:shd w:val="clear" w:color="auto" w:fill="auto"/>
            <w:vAlign w:val="center"/>
            <w:hideMark/>
          </w:tcPr>
          <w:p w14:paraId="5FD6BDD2"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0.62</w:t>
            </w:r>
          </w:p>
        </w:tc>
      </w:tr>
      <w:tr w:rsidR="003C620A" w:rsidRPr="000D61D1" w14:paraId="6FA87476" w14:textId="77777777" w:rsidTr="003C620A">
        <w:trPr>
          <w:trHeight w:val="290"/>
        </w:trPr>
        <w:tc>
          <w:tcPr>
            <w:tcW w:w="2835" w:type="dxa"/>
            <w:tcBorders>
              <w:top w:val="nil"/>
              <w:left w:val="nil"/>
              <w:bottom w:val="nil"/>
              <w:right w:val="nil"/>
            </w:tcBorders>
            <w:shd w:val="clear" w:color="auto" w:fill="auto"/>
            <w:vAlign w:val="center"/>
            <w:hideMark/>
          </w:tcPr>
          <w:p w14:paraId="5C01E112"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Pensioner renter</w:t>
            </w:r>
          </w:p>
        </w:tc>
        <w:tc>
          <w:tcPr>
            <w:tcW w:w="913" w:type="dxa"/>
            <w:tcBorders>
              <w:top w:val="nil"/>
              <w:left w:val="nil"/>
              <w:bottom w:val="nil"/>
              <w:right w:val="nil"/>
            </w:tcBorders>
            <w:shd w:val="clear" w:color="000000" w:fill="E7E6E6"/>
            <w:vAlign w:val="center"/>
            <w:hideMark/>
          </w:tcPr>
          <w:p w14:paraId="4F2457EA"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9,987</w:t>
            </w:r>
          </w:p>
        </w:tc>
        <w:tc>
          <w:tcPr>
            <w:tcW w:w="913" w:type="dxa"/>
            <w:tcBorders>
              <w:top w:val="nil"/>
              <w:left w:val="nil"/>
              <w:bottom w:val="nil"/>
              <w:right w:val="nil"/>
            </w:tcBorders>
            <w:shd w:val="clear" w:color="auto" w:fill="auto"/>
            <w:vAlign w:val="center"/>
            <w:hideMark/>
          </w:tcPr>
          <w:p w14:paraId="404D86D2"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12,701</w:t>
            </w:r>
          </w:p>
        </w:tc>
        <w:tc>
          <w:tcPr>
            <w:tcW w:w="1150" w:type="dxa"/>
            <w:tcBorders>
              <w:top w:val="nil"/>
              <w:left w:val="nil"/>
              <w:bottom w:val="nil"/>
              <w:right w:val="nil"/>
            </w:tcBorders>
            <w:shd w:val="clear" w:color="auto" w:fill="auto"/>
            <w:vAlign w:val="center"/>
            <w:hideMark/>
          </w:tcPr>
          <w:p w14:paraId="793A05D2"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-2,714</w:t>
            </w:r>
          </w:p>
        </w:tc>
        <w:tc>
          <w:tcPr>
            <w:tcW w:w="1135" w:type="dxa"/>
            <w:tcBorders>
              <w:top w:val="nil"/>
              <w:left w:val="nil"/>
              <w:bottom w:val="nil"/>
              <w:right w:val="nil"/>
            </w:tcBorders>
            <w:shd w:val="clear" w:color="auto" w:fill="auto"/>
            <w:vAlign w:val="center"/>
            <w:hideMark/>
          </w:tcPr>
          <w:p w14:paraId="41FE39D5"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20.32</w:t>
            </w:r>
          </w:p>
        </w:tc>
        <w:tc>
          <w:tcPr>
            <w:tcW w:w="1157" w:type="dxa"/>
            <w:tcBorders>
              <w:top w:val="nil"/>
              <w:left w:val="nil"/>
              <w:bottom w:val="nil"/>
              <w:right w:val="nil"/>
            </w:tcBorders>
            <w:shd w:val="clear" w:color="auto" w:fill="auto"/>
            <w:vAlign w:val="center"/>
            <w:hideMark/>
          </w:tcPr>
          <w:p w14:paraId="50FD73A0"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25.85</w:t>
            </w:r>
          </w:p>
        </w:tc>
        <w:tc>
          <w:tcPr>
            <w:tcW w:w="1153" w:type="dxa"/>
            <w:tcBorders>
              <w:top w:val="nil"/>
              <w:left w:val="nil"/>
              <w:bottom w:val="nil"/>
              <w:right w:val="nil"/>
            </w:tcBorders>
            <w:shd w:val="clear" w:color="auto" w:fill="auto"/>
            <w:vAlign w:val="center"/>
            <w:hideMark/>
          </w:tcPr>
          <w:p w14:paraId="26499366"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-5.52</w:t>
            </w:r>
          </w:p>
        </w:tc>
      </w:tr>
      <w:tr w:rsidR="003C620A" w:rsidRPr="000D61D1" w14:paraId="4F39DB23" w14:textId="77777777" w:rsidTr="003C620A">
        <w:trPr>
          <w:trHeight w:val="290"/>
        </w:trPr>
        <w:tc>
          <w:tcPr>
            <w:tcW w:w="2835" w:type="dxa"/>
            <w:tcBorders>
              <w:top w:val="nil"/>
              <w:left w:val="nil"/>
              <w:bottom w:val="nil"/>
              <w:right w:val="nil"/>
            </w:tcBorders>
            <w:shd w:val="clear" w:color="auto" w:fill="auto"/>
            <w:vAlign w:val="center"/>
            <w:hideMark/>
          </w:tcPr>
          <w:p w14:paraId="2C88CCDA"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Female-head homeowner</w:t>
            </w:r>
          </w:p>
        </w:tc>
        <w:tc>
          <w:tcPr>
            <w:tcW w:w="913" w:type="dxa"/>
            <w:tcBorders>
              <w:top w:val="nil"/>
              <w:left w:val="nil"/>
              <w:bottom w:val="nil"/>
              <w:right w:val="nil"/>
            </w:tcBorders>
            <w:shd w:val="clear" w:color="000000" w:fill="E7E6E6"/>
            <w:vAlign w:val="center"/>
            <w:hideMark/>
          </w:tcPr>
          <w:p w14:paraId="172795F3"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3,365</w:t>
            </w:r>
          </w:p>
        </w:tc>
        <w:tc>
          <w:tcPr>
            <w:tcW w:w="913" w:type="dxa"/>
            <w:tcBorders>
              <w:top w:val="nil"/>
              <w:left w:val="nil"/>
              <w:bottom w:val="nil"/>
              <w:right w:val="nil"/>
            </w:tcBorders>
            <w:shd w:val="clear" w:color="auto" w:fill="auto"/>
            <w:vAlign w:val="center"/>
            <w:hideMark/>
          </w:tcPr>
          <w:p w14:paraId="64B03B14"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3,283</w:t>
            </w:r>
          </w:p>
        </w:tc>
        <w:tc>
          <w:tcPr>
            <w:tcW w:w="1150" w:type="dxa"/>
            <w:tcBorders>
              <w:top w:val="nil"/>
              <w:left w:val="nil"/>
              <w:bottom w:val="nil"/>
              <w:right w:val="nil"/>
            </w:tcBorders>
            <w:shd w:val="clear" w:color="auto" w:fill="auto"/>
            <w:vAlign w:val="center"/>
            <w:hideMark/>
          </w:tcPr>
          <w:p w14:paraId="57D76A1F"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82</w:t>
            </w:r>
          </w:p>
        </w:tc>
        <w:tc>
          <w:tcPr>
            <w:tcW w:w="1135" w:type="dxa"/>
            <w:tcBorders>
              <w:top w:val="nil"/>
              <w:left w:val="nil"/>
              <w:bottom w:val="nil"/>
              <w:right w:val="nil"/>
            </w:tcBorders>
            <w:shd w:val="clear" w:color="auto" w:fill="auto"/>
            <w:vAlign w:val="center"/>
            <w:hideMark/>
          </w:tcPr>
          <w:p w14:paraId="7E0F0AC3"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4.18</w:t>
            </w:r>
          </w:p>
        </w:tc>
        <w:tc>
          <w:tcPr>
            <w:tcW w:w="1157" w:type="dxa"/>
            <w:tcBorders>
              <w:top w:val="nil"/>
              <w:left w:val="nil"/>
              <w:bottom w:val="nil"/>
              <w:right w:val="nil"/>
            </w:tcBorders>
            <w:shd w:val="clear" w:color="auto" w:fill="auto"/>
            <w:vAlign w:val="center"/>
            <w:hideMark/>
          </w:tcPr>
          <w:p w14:paraId="221CE370"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4.08</w:t>
            </w:r>
          </w:p>
        </w:tc>
        <w:tc>
          <w:tcPr>
            <w:tcW w:w="1153" w:type="dxa"/>
            <w:tcBorders>
              <w:top w:val="nil"/>
              <w:left w:val="nil"/>
              <w:bottom w:val="nil"/>
              <w:right w:val="nil"/>
            </w:tcBorders>
            <w:shd w:val="clear" w:color="auto" w:fill="auto"/>
            <w:vAlign w:val="center"/>
            <w:hideMark/>
          </w:tcPr>
          <w:p w14:paraId="494DF842"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0.10</w:t>
            </w:r>
          </w:p>
        </w:tc>
      </w:tr>
      <w:tr w:rsidR="003C620A" w:rsidRPr="000D61D1" w14:paraId="39512451" w14:textId="77777777" w:rsidTr="003C620A">
        <w:trPr>
          <w:trHeight w:val="300"/>
        </w:trPr>
        <w:tc>
          <w:tcPr>
            <w:tcW w:w="2835" w:type="dxa"/>
            <w:tcBorders>
              <w:top w:val="nil"/>
              <w:left w:val="nil"/>
              <w:bottom w:val="nil"/>
              <w:right w:val="nil"/>
            </w:tcBorders>
            <w:shd w:val="clear" w:color="auto" w:fill="auto"/>
            <w:vAlign w:val="center"/>
            <w:hideMark/>
          </w:tcPr>
          <w:p w14:paraId="79989B6A"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Female head renter</w:t>
            </w:r>
          </w:p>
        </w:tc>
        <w:tc>
          <w:tcPr>
            <w:tcW w:w="913" w:type="dxa"/>
            <w:tcBorders>
              <w:top w:val="nil"/>
              <w:left w:val="nil"/>
              <w:bottom w:val="nil"/>
              <w:right w:val="nil"/>
            </w:tcBorders>
            <w:shd w:val="clear" w:color="000000" w:fill="E7E6E6"/>
            <w:vAlign w:val="center"/>
            <w:hideMark/>
          </w:tcPr>
          <w:p w14:paraId="6E8F1935"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14,415</w:t>
            </w:r>
          </w:p>
        </w:tc>
        <w:tc>
          <w:tcPr>
            <w:tcW w:w="913" w:type="dxa"/>
            <w:tcBorders>
              <w:top w:val="nil"/>
              <w:left w:val="nil"/>
              <w:bottom w:val="nil"/>
              <w:right w:val="nil"/>
            </w:tcBorders>
            <w:shd w:val="clear" w:color="auto" w:fill="auto"/>
            <w:vAlign w:val="center"/>
            <w:hideMark/>
          </w:tcPr>
          <w:p w14:paraId="02C6EF15"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19,316</w:t>
            </w:r>
          </w:p>
        </w:tc>
        <w:tc>
          <w:tcPr>
            <w:tcW w:w="1150" w:type="dxa"/>
            <w:tcBorders>
              <w:top w:val="nil"/>
              <w:left w:val="nil"/>
              <w:bottom w:val="nil"/>
              <w:right w:val="nil"/>
            </w:tcBorders>
            <w:shd w:val="clear" w:color="auto" w:fill="auto"/>
            <w:vAlign w:val="center"/>
            <w:hideMark/>
          </w:tcPr>
          <w:p w14:paraId="24CEB09A"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-4,900</w:t>
            </w:r>
          </w:p>
        </w:tc>
        <w:tc>
          <w:tcPr>
            <w:tcW w:w="1135" w:type="dxa"/>
            <w:tcBorders>
              <w:top w:val="nil"/>
              <w:left w:val="nil"/>
              <w:bottom w:val="nil"/>
              <w:right w:val="nil"/>
            </w:tcBorders>
            <w:shd w:val="clear" w:color="auto" w:fill="auto"/>
            <w:vAlign w:val="center"/>
            <w:hideMark/>
          </w:tcPr>
          <w:p w14:paraId="2859D1BA"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17.28</w:t>
            </w:r>
          </w:p>
        </w:tc>
        <w:tc>
          <w:tcPr>
            <w:tcW w:w="1157" w:type="dxa"/>
            <w:tcBorders>
              <w:top w:val="nil"/>
              <w:left w:val="nil"/>
              <w:bottom w:val="nil"/>
              <w:right w:val="nil"/>
            </w:tcBorders>
            <w:shd w:val="clear" w:color="auto" w:fill="auto"/>
            <w:vAlign w:val="center"/>
            <w:hideMark/>
          </w:tcPr>
          <w:p w14:paraId="18CF8585"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23.38</w:t>
            </w:r>
          </w:p>
        </w:tc>
        <w:tc>
          <w:tcPr>
            <w:tcW w:w="1153" w:type="dxa"/>
            <w:tcBorders>
              <w:top w:val="nil"/>
              <w:left w:val="nil"/>
              <w:bottom w:val="nil"/>
              <w:right w:val="nil"/>
            </w:tcBorders>
            <w:shd w:val="clear" w:color="auto" w:fill="auto"/>
            <w:vAlign w:val="center"/>
            <w:hideMark/>
          </w:tcPr>
          <w:p w14:paraId="6C41F497" w14:textId="77777777" w:rsidR="003C620A" w:rsidRPr="00310053" w:rsidRDefault="003C620A" w:rsidP="003C620A">
            <w:pPr>
              <w:spacing w:after="0"/>
              <w:jc w:val="right"/>
              <w:rPr>
                <w:rFonts w:ascii="Calibri" w:eastAsia="Times New Roman" w:hAnsi="Calibri" w:cs="Calibri"/>
                <w:color w:val="000000"/>
                <w:sz w:val="22"/>
                <w:szCs w:val="22"/>
                <w:lang w:val="en-AU" w:eastAsia="en-AU"/>
              </w:rPr>
            </w:pPr>
            <w:r w:rsidRPr="00310053">
              <w:rPr>
                <w:sz w:val="22"/>
                <w:szCs w:val="22"/>
              </w:rPr>
              <w:t>-6.10</w:t>
            </w:r>
          </w:p>
        </w:tc>
      </w:tr>
      <w:tr w:rsidR="00D45A28" w:rsidRPr="000D61D1" w14:paraId="5529A6EB" w14:textId="77777777" w:rsidTr="00870105">
        <w:trPr>
          <w:trHeight w:val="590"/>
        </w:trPr>
        <w:tc>
          <w:tcPr>
            <w:tcW w:w="9256" w:type="dxa"/>
            <w:gridSpan w:val="7"/>
            <w:tcBorders>
              <w:top w:val="single" w:sz="8" w:space="0" w:color="auto"/>
              <w:left w:val="nil"/>
              <w:right w:val="nil"/>
            </w:tcBorders>
            <w:shd w:val="clear" w:color="auto" w:fill="auto"/>
            <w:vAlign w:val="center"/>
          </w:tcPr>
          <w:p w14:paraId="1DD0250A" w14:textId="2D0203CD" w:rsidR="00D45A28" w:rsidRPr="000D61D1" w:rsidRDefault="00D45A28" w:rsidP="00870105">
            <w:pPr>
              <w:spacing w:after="0"/>
              <w:jc w:val="center"/>
              <w:rPr>
                <w:rFonts w:ascii="Calibri" w:eastAsia="Times New Roman" w:hAnsi="Calibri" w:cs="Calibri"/>
                <w:color w:val="000000"/>
                <w:sz w:val="22"/>
                <w:szCs w:val="22"/>
                <w:lang w:val="en-AU" w:eastAsia="en-AU"/>
              </w:rPr>
            </w:pPr>
            <w:r>
              <w:rPr>
                <w:b/>
                <w:i/>
                <w:iCs/>
                <w:color w:val="365F91" w:themeColor="accent1" w:themeShade="BF"/>
              </w:rPr>
              <w:t>0.35 – 1.30%</w:t>
            </w:r>
            <w:r w:rsidRPr="00AF6491">
              <w:rPr>
                <w:b/>
                <w:i/>
                <w:iCs/>
                <w:color w:val="365F91" w:themeColor="accent1" w:themeShade="BF"/>
              </w:rPr>
              <w:t xml:space="preserve"> price </w:t>
            </w:r>
            <w:r>
              <w:rPr>
                <w:b/>
                <w:i/>
                <w:iCs/>
                <w:color w:val="365F91" w:themeColor="accent1" w:themeShade="BF"/>
              </w:rPr>
              <w:t>effect (0.8% average)</w:t>
            </w:r>
          </w:p>
        </w:tc>
      </w:tr>
      <w:tr w:rsidR="00D45A28" w:rsidRPr="000D61D1" w14:paraId="6FFA74DD" w14:textId="77777777" w:rsidTr="00870105">
        <w:trPr>
          <w:trHeight w:val="590"/>
        </w:trPr>
        <w:tc>
          <w:tcPr>
            <w:tcW w:w="2835" w:type="dxa"/>
            <w:tcBorders>
              <w:left w:val="nil"/>
              <w:bottom w:val="nil"/>
              <w:right w:val="nil"/>
            </w:tcBorders>
            <w:shd w:val="clear" w:color="auto" w:fill="auto"/>
            <w:vAlign w:val="center"/>
            <w:hideMark/>
          </w:tcPr>
          <w:p w14:paraId="78EAFAC8" w14:textId="5F8E54F7" w:rsidR="00D45A28" w:rsidRPr="000D61D1" w:rsidRDefault="00D45A28" w:rsidP="00D45A28">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Pr>
                <w:rFonts w:ascii="Calibri" w:eastAsia="Times New Roman" w:hAnsi="Calibri" w:cs="Calibri"/>
                <w:color w:val="000000"/>
                <w:lang w:val="en-AU" w:eastAsia="en-AU"/>
              </w:rPr>
              <w:t>Sub-group</w:t>
            </w:r>
          </w:p>
        </w:tc>
        <w:tc>
          <w:tcPr>
            <w:tcW w:w="913" w:type="dxa"/>
            <w:tcBorders>
              <w:left w:val="nil"/>
              <w:bottom w:val="nil"/>
              <w:right w:val="nil"/>
            </w:tcBorders>
            <w:shd w:val="clear" w:color="000000" w:fill="E7E6E6"/>
            <w:vAlign w:val="center"/>
            <w:hideMark/>
          </w:tcPr>
          <w:p w14:paraId="69A3D62C" w14:textId="7BD8BB73" w:rsidR="00D45A28" w:rsidRPr="000D61D1" w:rsidRDefault="00D45A28" w:rsidP="00D45A28">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w:t>
            </w:r>
            <w:r>
              <w:rPr>
                <w:rFonts w:ascii="Calibri" w:eastAsia="Times New Roman" w:hAnsi="Calibri" w:cs="Calibri"/>
                <w:color w:val="000000"/>
                <w:sz w:val="22"/>
                <w:szCs w:val="22"/>
                <w:lang w:val="en-AU" w:eastAsia="en-AU"/>
              </w:rPr>
              <w:t xml:space="preserve"> $</w:t>
            </w:r>
            <w:r w:rsidRPr="000D61D1">
              <w:rPr>
                <w:rFonts w:ascii="Calibri" w:eastAsia="Times New Roman" w:hAnsi="Calibri" w:cs="Calibri"/>
                <w:color w:val="000000"/>
                <w:sz w:val="22"/>
                <w:szCs w:val="22"/>
                <w:lang w:val="en-AU" w:eastAsia="en-AU"/>
              </w:rPr>
              <w:t xml:space="preserve"> </w:t>
            </w:r>
          </w:p>
        </w:tc>
        <w:tc>
          <w:tcPr>
            <w:tcW w:w="913" w:type="dxa"/>
            <w:tcBorders>
              <w:left w:val="nil"/>
              <w:bottom w:val="nil"/>
              <w:right w:val="nil"/>
            </w:tcBorders>
            <w:shd w:val="clear" w:color="auto" w:fill="auto"/>
            <w:vAlign w:val="center"/>
            <w:hideMark/>
          </w:tcPr>
          <w:p w14:paraId="4D5C3837" w14:textId="34AE4201" w:rsidR="00D45A28" w:rsidRPr="000D61D1" w:rsidRDefault="00D45A28" w:rsidP="00D45A28">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w:t>
            </w:r>
            <w:r>
              <w:rPr>
                <w:rFonts w:ascii="Calibri" w:eastAsia="Times New Roman" w:hAnsi="Calibri" w:cs="Calibri"/>
                <w:color w:val="000000"/>
                <w:sz w:val="22"/>
                <w:szCs w:val="22"/>
                <w:lang w:val="en-AU" w:eastAsia="en-AU"/>
              </w:rPr>
              <w:t xml:space="preserve"> $</w:t>
            </w:r>
            <w:r w:rsidRPr="000D61D1">
              <w:rPr>
                <w:rFonts w:ascii="Calibri" w:eastAsia="Times New Roman" w:hAnsi="Calibri" w:cs="Calibri"/>
                <w:color w:val="000000"/>
                <w:sz w:val="22"/>
                <w:szCs w:val="22"/>
                <w:lang w:val="en-AU" w:eastAsia="en-AU"/>
              </w:rPr>
              <w:t xml:space="preserve"> </w:t>
            </w:r>
          </w:p>
        </w:tc>
        <w:tc>
          <w:tcPr>
            <w:tcW w:w="1150" w:type="dxa"/>
            <w:tcBorders>
              <w:left w:val="nil"/>
              <w:bottom w:val="nil"/>
              <w:right w:val="nil"/>
            </w:tcBorders>
            <w:shd w:val="clear" w:color="auto" w:fill="auto"/>
            <w:vAlign w:val="center"/>
            <w:hideMark/>
          </w:tcPr>
          <w:p w14:paraId="65E574D6" w14:textId="1C26E141" w:rsidR="00D45A28" w:rsidRPr="000D61D1" w:rsidRDefault="00D45A28" w:rsidP="00D45A28">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Difference </w:t>
            </w:r>
            <w:r>
              <w:rPr>
                <w:rFonts w:ascii="Calibri" w:eastAsia="Times New Roman" w:hAnsi="Calibri" w:cs="Calibri"/>
                <w:color w:val="000000"/>
                <w:sz w:val="22"/>
                <w:szCs w:val="22"/>
                <w:lang w:val="en-AU" w:eastAsia="en-AU"/>
              </w:rPr>
              <w:t>$</w:t>
            </w:r>
          </w:p>
        </w:tc>
        <w:tc>
          <w:tcPr>
            <w:tcW w:w="1135" w:type="dxa"/>
            <w:tcBorders>
              <w:left w:val="nil"/>
              <w:bottom w:val="nil"/>
              <w:right w:val="nil"/>
            </w:tcBorders>
            <w:shd w:val="clear" w:color="auto" w:fill="auto"/>
            <w:vAlign w:val="center"/>
            <w:hideMark/>
          </w:tcPr>
          <w:p w14:paraId="2EC0344C" w14:textId="77777777" w:rsidR="00D45A28" w:rsidRPr="000D61D1" w:rsidRDefault="00D45A28" w:rsidP="00D45A28">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New tax policy - % of income spent </w:t>
            </w:r>
          </w:p>
        </w:tc>
        <w:tc>
          <w:tcPr>
            <w:tcW w:w="1157" w:type="dxa"/>
            <w:tcBorders>
              <w:left w:val="nil"/>
              <w:bottom w:val="nil"/>
              <w:right w:val="nil"/>
            </w:tcBorders>
            <w:shd w:val="clear" w:color="auto" w:fill="auto"/>
            <w:vAlign w:val="center"/>
            <w:hideMark/>
          </w:tcPr>
          <w:p w14:paraId="1EA3196F" w14:textId="77777777" w:rsidR="00D45A28" w:rsidRPr="000D61D1" w:rsidRDefault="00D45A28" w:rsidP="00D45A28">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Old tax policy - % of income spent </w:t>
            </w:r>
          </w:p>
        </w:tc>
        <w:tc>
          <w:tcPr>
            <w:tcW w:w="1153" w:type="dxa"/>
            <w:tcBorders>
              <w:left w:val="nil"/>
              <w:bottom w:val="nil"/>
              <w:right w:val="nil"/>
            </w:tcBorders>
            <w:shd w:val="clear" w:color="auto" w:fill="auto"/>
            <w:vAlign w:val="center"/>
            <w:hideMark/>
          </w:tcPr>
          <w:p w14:paraId="72137849" w14:textId="1C077C77" w:rsidR="00D45A28" w:rsidRPr="000D61D1" w:rsidRDefault="00D45A28" w:rsidP="00D45A28">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r>
              <w:rPr>
                <w:rFonts w:ascii="Calibri" w:eastAsia="Times New Roman" w:hAnsi="Calibri" w:cs="Calibri"/>
                <w:color w:val="000000"/>
                <w:sz w:val="22"/>
                <w:szCs w:val="22"/>
                <w:lang w:val="en-AU" w:eastAsia="en-AU"/>
              </w:rPr>
              <w:t xml:space="preserve"> % points</w:t>
            </w:r>
            <w:r w:rsidRPr="000D61D1">
              <w:rPr>
                <w:rFonts w:ascii="Calibri" w:eastAsia="Times New Roman" w:hAnsi="Calibri" w:cs="Calibri"/>
                <w:color w:val="000000"/>
                <w:sz w:val="22"/>
                <w:szCs w:val="22"/>
                <w:lang w:val="en-AU" w:eastAsia="en-AU"/>
              </w:rPr>
              <w:t xml:space="preserve"> </w:t>
            </w:r>
          </w:p>
        </w:tc>
      </w:tr>
      <w:tr w:rsidR="00D45A28" w:rsidRPr="000D61D1" w14:paraId="3630BE37" w14:textId="77777777" w:rsidTr="003C620A">
        <w:trPr>
          <w:trHeight w:val="290"/>
        </w:trPr>
        <w:tc>
          <w:tcPr>
            <w:tcW w:w="2835" w:type="dxa"/>
            <w:tcBorders>
              <w:top w:val="nil"/>
              <w:left w:val="nil"/>
              <w:bottom w:val="nil"/>
              <w:right w:val="nil"/>
            </w:tcBorders>
            <w:shd w:val="clear" w:color="auto" w:fill="auto"/>
            <w:vAlign w:val="center"/>
            <w:hideMark/>
          </w:tcPr>
          <w:p w14:paraId="3243353B"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First home buyers</w:t>
            </w:r>
          </w:p>
        </w:tc>
        <w:tc>
          <w:tcPr>
            <w:tcW w:w="913" w:type="dxa"/>
            <w:tcBorders>
              <w:top w:val="nil"/>
              <w:left w:val="nil"/>
              <w:bottom w:val="nil"/>
              <w:right w:val="nil"/>
            </w:tcBorders>
            <w:shd w:val="clear" w:color="000000" w:fill="E7E6E6"/>
            <w:vAlign w:val="center"/>
            <w:hideMark/>
          </w:tcPr>
          <w:p w14:paraId="575DF3D8"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14,498</w:t>
            </w:r>
          </w:p>
        </w:tc>
        <w:tc>
          <w:tcPr>
            <w:tcW w:w="913" w:type="dxa"/>
            <w:tcBorders>
              <w:top w:val="nil"/>
              <w:left w:val="nil"/>
              <w:bottom w:val="nil"/>
              <w:right w:val="nil"/>
            </w:tcBorders>
            <w:shd w:val="clear" w:color="auto" w:fill="auto"/>
            <w:vAlign w:val="center"/>
            <w:hideMark/>
          </w:tcPr>
          <w:p w14:paraId="4A609663"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18,847</w:t>
            </w:r>
          </w:p>
        </w:tc>
        <w:tc>
          <w:tcPr>
            <w:tcW w:w="1150" w:type="dxa"/>
            <w:tcBorders>
              <w:top w:val="nil"/>
              <w:left w:val="nil"/>
              <w:bottom w:val="nil"/>
              <w:right w:val="nil"/>
            </w:tcBorders>
            <w:shd w:val="clear" w:color="auto" w:fill="auto"/>
            <w:vAlign w:val="center"/>
            <w:hideMark/>
          </w:tcPr>
          <w:p w14:paraId="76762389"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-4,349</w:t>
            </w:r>
          </w:p>
        </w:tc>
        <w:tc>
          <w:tcPr>
            <w:tcW w:w="1135" w:type="dxa"/>
            <w:tcBorders>
              <w:top w:val="nil"/>
              <w:left w:val="nil"/>
              <w:bottom w:val="nil"/>
              <w:right w:val="nil"/>
            </w:tcBorders>
            <w:shd w:val="clear" w:color="auto" w:fill="auto"/>
            <w:vAlign w:val="center"/>
            <w:hideMark/>
          </w:tcPr>
          <w:p w14:paraId="2D3E3B3A"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17.07</w:t>
            </w:r>
          </w:p>
        </w:tc>
        <w:tc>
          <w:tcPr>
            <w:tcW w:w="1157" w:type="dxa"/>
            <w:tcBorders>
              <w:top w:val="nil"/>
              <w:left w:val="nil"/>
              <w:bottom w:val="nil"/>
              <w:right w:val="nil"/>
            </w:tcBorders>
            <w:shd w:val="clear" w:color="auto" w:fill="auto"/>
            <w:vAlign w:val="center"/>
            <w:hideMark/>
          </w:tcPr>
          <w:p w14:paraId="4772EEAC"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22.44</w:t>
            </w:r>
          </w:p>
        </w:tc>
        <w:tc>
          <w:tcPr>
            <w:tcW w:w="1153" w:type="dxa"/>
            <w:tcBorders>
              <w:top w:val="nil"/>
              <w:left w:val="nil"/>
              <w:bottom w:val="nil"/>
              <w:right w:val="nil"/>
            </w:tcBorders>
            <w:shd w:val="clear" w:color="auto" w:fill="auto"/>
            <w:vAlign w:val="center"/>
            <w:hideMark/>
          </w:tcPr>
          <w:p w14:paraId="1F3B04B8"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-5.37</w:t>
            </w:r>
          </w:p>
        </w:tc>
      </w:tr>
      <w:tr w:rsidR="00D45A28" w:rsidRPr="000D61D1" w14:paraId="23D58323" w14:textId="77777777" w:rsidTr="003C620A">
        <w:trPr>
          <w:trHeight w:val="290"/>
        </w:trPr>
        <w:tc>
          <w:tcPr>
            <w:tcW w:w="2835" w:type="dxa"/>
            <w:tcBorders>
              <w:top w:val="nil"/>
              <w:left w:val="nil"/>
              <w:bottom w:val="nil"/>
              <w:right w:val="nil"/>
            </w:tcBorders>
            <w:shd w:val="clear" w:color="auto" w:fill="auto"/>
            <w:vAlign w:val="center"/>
            <w:hideMark/>
          </w:tcPr>
          <w:p w14:paraId="06FE26BD"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Low-income homeowner</w:t>
            </w:r>
          </w:p>
        </w:tc>
        <w:tc>
          <w:tcPr>
            <w:tcW w:w="913" w:type="dxa"/>
            <w:tcBorders>
              <w:top w:val="nil"/>
              <w:left w:val="nil"/>
              <w:bottom w:val="nil"/>
              <w:right w:val="nil"/>
            </w:tcBorders>
            <w:shd w:val="clear" w:color="000000" w:fill="E7E6E6"/>
            <w:vAlign w:val="center"/>
            <w:hideMark/>
          </w:tcPr>
          <w:p w14:paraId="5F20E392"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2,051</w:t>
            </w:r>
          </w:p>
        </w:tc>
        <w:tc>
          <w:tcPr>
            <w:tcW w:w="913" w:type="dxa"/>
            <w:tcBorders>
              <w:top w:val="nil"/>
              <w:left w:val="nil"/>
              <w:bottom w:val="nil"/>
              <w:right w:val="nil"/>
            </w:tcBorders>
            <w:shd w:val="clear" w:color="auto" w:fill="auto"/>
            <w:vAlign w:val="center"/>
            <w:hideMark/>
          </w:tcPr>
          <w:p w14:paraId="0BC739C0"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1,932</w:t>
            </w:r>
          </w:p>
        </w:tc>
        <w:tc>
          <w:tcPr>
            <w:tcW w:w="1150" w:type="dxa"/>
            <w:tcBorders>
              <w:top w:val="nil"/>
              <w:left w:val="nil"/>
              <w:bottom w:val="nil"/>
              <w:right w:val="nil"/>
            </w:tcBorders>
            <w:shd w:val="clear" w:color="auto" w:fill="auto"/>
            <w:vAlign w:val="center"/>
            <w:hideMark/>
          </w:tcPr>
          <w:p w14:paraId="74FF28D4"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119</w:t>
            </w:r>
          </w:p>
        </w:tc>
        <w:tc>
          <w:tcPr>
            <w:tcW w:w="1135" w:type="dxa"/>
            <w:tcBorders>
              <w:top w:val="nil"/>
              <w:left w:val="nil"/>
              <w:bottom w:val="nil"/>
              <w:right w:val="nil"/>
            </w:tcBorders>
            <w:shd w:val="clear" w:color="auto" w:fill="auto"/>
            <w:vAlign w:val="center"/>
            <w:hideMark/>
          </w:tcPr>
          <w:p w14:paraId="7BCE420D"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4.84</w:t>
            </w:r>
          </w:p>
        </w:tc>
        <w:tc>
          <w:tcPr>
            <w:tcW w:w="1157" w:type="dxa"/>
            <w:tcBorders>
              <w:top w:val="nil"/>
              <w:left w:val="nil"/>
              <w:bottom w:val="nil"/>
              <w:right w:val="nil"/>
            </w:tcBorders>
            <w:shd w:val="clear" w:color="auto" w:fill="auto"/>
            <w:vAlign w:val="center"/>
            <w:hideMark/>
          </w:tcPr>
          <w:p w14:paraId="32C8E270"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4.56</w:t>
            </w:r>
          </w:p>
        </w:tc>
        <w:tc>
          <w:tcPr>
            <w:tcW w:w="1153" w:type="dxa"/>
            <w:tcBorders>
              <w:top w:val="nil"/>
              <w:left w:val="nil"/>
              <w:bottom w:val="nil"/>
              <w:right w:val="nil"/>
            </w:tcBorders>
            <w:shd w:val="clear" w:color="auto" w:fill="auto"/>
            <w:vAlign w:val="center"/>
            <w:hideMark/>
          </w:tcPr>
          <w:p w14:paraId="5FA3A3F3"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0.28</w:t>
            </w:r>
          </w:p>
        </w:tc>
      </w:tr>
      <w:tr w:rsidR="00D45A28" w:rsidRPr="000D61D1" w14:paraId="35708EBC" w14:textId="77777777" w:rsidTr="003C620A">
        <w:trPr>
          <w:trHeight w:val="290"/>
        </w:trPr>
        <w:tc>
          <w:tcPr>
            <w:tcW w:w="2835" w:type="dxa"/>
            <w:tcBorders>
              <w:top w:val="nil"/>
              <w:left w:val="nil"/>
              <w:bottom w:val="nil"/>
              <w:right w:val="nil"/>
            </w:tcBorders>
            <w:shd w:val="clear" w:color="auto" w:fill="auto"/>
            <w:vAlign w:val="center"/>
            <w:hideMark/>
          </w:tcPr>
          <w:p w14:paraId="511491BB"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Low-income renter</w:t>
            </w:r>
          </w:p>
        </w:tc>
        <w:tc>
          <w:tcPr>
            <w:tcW w:w="913" w:type="dxa"/>
            <w:tcBorders>
              <w:top w:val="nil"/>
              <w:left w:val="nil"/>
              <w:bottom w:val="nil"/>
              <w:right w:val="nil"/>
            </w:tcBorders>
            <w:shd w:val="clear" w:color="000000" w:fill="E7E6E6"/>
            <w:vAlign w:val="center"/>
            <w:hideMark/>
          </w:tcPr>
          <w:p w14:paraId="1D279FBB"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8,598</w:t>
            </w:r>
          </w:p>
        </w:tc>
        <w:tc>
          <w:tcPr>
            <w:tcW w:w="913" w:type="dxa"/>
            <w:tcBorders>
              <w:top w:val="nil"/>
              <w:left w:val="nil"/>
              <w:bottom w:val="nil"/>
              <w:right w:val="nil"/>
            </w:tcBorders>
            <w:shd w:val="clear" w:color="auto" w:fill="auto"/>
            <w:vAlign w:val="center"/>
            <w:hideMark/>
          </w:tcPr>
          <w:p w14:paraId="142798E3"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10,522</w:t>
            </w:r>
          </w:p>
        </w:tc>
        <w:tc>
          <w:tcPr>
            <w:tcW w:w="1150" w:type="dxa"/>
            <w:tcBorders>
              <w:top w:val="nil"/>
              <w:left w:val="nil"/>
              <w:bottom w:val="nil"/>
              <w:right w:val="nil"/>
            </w:tcBorders>
            <w:shd w:val="clear" w:color="auto" w:fill="auto"/>
            <w:vAlign w:val="center"/>
            <w:hideMark/>
          </w:tcPr>
          <w:p w14:paraId="4E20E8AC"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-1,925</w:t>
            </w:r>
          </w:p>
        </w:tc>
        <w:tc>
          <w:tcPr>
            <w:tcW w:w="1135" w:type="dxa"/>
            <w:tcBorders>
              <w:top w:val="nil"/>
              <w:left w:val="nil"/>
              <w:bottom w:val="nil"/>
              <w:right w:val="nil"/>
            </w:tcBorders>
            <w:shd w:val="clear" w:color="auto" w:fill="auto"/>
            <w:vAlign w:val="center"/>
            <w:hideMark/>
          </w:tcPr>
          <w:p w14:paraId="5F8AEEC4"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17.82</w:t>
            </w:r>
          </w:p>
        </w:tc>
        <w:tc>
          <w:tcPr>
            <w:tcW w:w="1157" w:type="dxa"/>
            <w:tcBorders>
              <w:top w:val="nil"/>
              <w:left w:val="nil"/>
              <w:bottom w:val="nil"/>
              <w:right w:val="nil"/>
            </w:tcBorders>
            <w:shd w:val="clear" w:color="auto" w:fill="auto"/>
            <w:vAlign w:val="center"/>
            <w:hideMark/>
          </w:tcPr>
          <w:p w14:paraId="6FF6BEB3"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22.54</w:t>
            </w:r>
          </w:p>
        </w:tc>
        <w:tc>
          <w:tcPr>
            <w:tcW w:w="1153" w:type="dxa"/>
            <w:tcBorders>
              <w:top w:val="nil"/>
              <w:left w:val="nil"/>
              <w:bottom w:val="nil"/>
              <w:right w:val="nil"/>
            </w:tcBorders>
            <w:shd w:val="clear" w:color="auto" w:fill="auto"/>
            <w:vAlign w:val="center"/>
            <w:hideMark/>
          </w:tcPr>
          <w:p w14:paraId="67FECFA3"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-4.71</w:t>
            </w:r>
          </w:p>
        </w:tc>
      </w:tr>
      <w:tr w:rsidR="00D45A28" w:rsidRPr="000D61D1" w14:paraId="55C92E6C" w14:textId="77777777" w:rsidTr="003C620A">
        <w:trPr>
          <w:trHeight w:val="290"/>
        </w:trPr>
        <w:tc>
          <w:tcPr>
            <w:tcW w:w="2835" w:type="dxa"/>
            <w:tcBorders>
              <w:top w:val="nil"/>
              <w:left w:val="nil"/>
              <w:bottom w:val="nil"/>
              <w:right w:val="nil"/>
            </w:tcBorders>
            <w:shd w:val="clear" w:color="auto" w:fill="auto"/>
            <w:vAlign w:val="center"/>
            <w:hideMark/>
          </w:tcPr>
          <w:p w14:paraId="3A209911"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Middle-income homeowner</w:t>
            </w:r>
          </w:p>
        </w:tc>
        <w:tc>
          <w:tcPr>
            <w:tcW w:w="913" w:type="dxa"/>
            <w:tcBorders>
              <w:top w:val="nil"/>
              <w:left w:val="nil"/>
              <w:bottom w:val="nil"/>
              <w:right w:val="nil"/>
            </w:tcBorders>
            <w:shd w:val="clear" w:color="000000" w:fill="E7E6E6"/>
            <w:vAlign w:val="center"/>
            <w:hideMark/>
          </w:tcPr>
          <w:p w14:paraId="0F9CE1B1"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3,546</w:t>
            </w:r>
          </w:p>
        </w:tc>
        <w:tc>
          <w:tcPr>
            <w:tcW w:w="913" w:type="dxa"/>
            <w:tcBorders>
              <w:top w:val="nil"/>
              <w:left w:val="nil"/>
              <w:bottom w:val="nil"/>
              <w:right w:val="nil"/>
            </w:tcBorders>
            <w:shd w:val="clear" w:color="auto" w:fill="auto"/>
            <w:vAlign w:val="center"/>
            <w:hideMark/>
          </w:tcPr>
          <w:p w14:paraId="108B05D7"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3,645</w:t>
            </w:r>
          </w:p>
        </w:tc>
        <w:tc>
          <w:tcPr>
            <w:tcW w:w="1150" w:type="dxa"/>
            <w:tcBorders>
              <w:top w:val="nil"/>
              <w:left w:val="nil"/>
              <w:bottom w:val="nil"/>
              <w:right w:val="nil"/>
            </w:tcBorders>
            <w:shd w:val="clear" w:color="auto" w:fill="auto"/>
            <w:vAlign w:val="center"/>
            <w:hideMark/>
          </w:tcPr>
          <w:p w14:paraId="406BC7F8"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-99</w:t>
            </w:r>
          </w:p>
        </w:tc>
        <w:tc>
          <w:tcPr>
            <w:tcW w:w="1135" w:type="dxa"/>
            <w:tcBorders>
              <w:top w:val="nil"/>
              <w:left w:val="nil"/>
              <w:bottom w:val="nil"/>
              <w:right w:val="nil"/>
            </w:tcBorders>
            <w:shd w:val="clear" w:color="auto" w:fill="auto"/>
            <w:vAlign w:val="center"/>
            <w:hideMark/>
          </w:tcPr>
          <w:p w14:paraId="01E35E26"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4.34</w:t>
            </w:r>
          </w:p>
        </w:tc>
        <w:tc>
          <w:tcPr>
            <w:tcW w:w="1157" w:type="dxa"/>
            <w:tcBorders>
              <w:top w:val="nil"/>
              <w:left w:val="nil"/>
              <w:bottom w:val="nil"/>
              <w:right w:val="nil"/>
            </w:tcBorders>
            <w:shd w:val="clear" w:color="auto" w:fill="auto"/>
            <w:vAlign w:val="center"/>
            <w:hideMark/>
          </w:tcPr>
          <w:p w14:paraId="0A9F7E3F"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4.46</w:t>
            </w:r>
          </w:p>
        </w:tc>
        <w:tc>
          <w:tcPr>
            <w:tcW w:w="1153" w:type="dxa"/>
            <w:tcBorders>
              <w:top w:val="nil"/>
              <w:left w:val="nil"/>
              <w:bottom w:val="nil"/>
              <w:right w:val="nil"/>
            </w:tcBorders>
            <w:shd w:val="clear" w:color="auto" w:fill="auto"/>
            <w:vAlign w:val="center"/>
            <w:hideMark/>
          </w:tcPr>
          <w:p w14:paraId="23BAF156"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-0.12</w:t>
            </w:r>
          </w:p>
        </w:tc>
      </w:tr>
      <w:tr w:rsidR="00D45A28" w:rsidRPr="000D61D1" w14:paraId="05F6A86B" w14:textId="77777777" w:rsidTr="003C620A">
        <w:trPr>
          <w:trHeight w:val="290"/>
        </w:trPr>
        <w:tc>
          <w:tcPr>
            <w:tcW w:w="2835" w:type="dxa"/>
            <w:tcBorders>
              <w:top w:val="nil"/>
              <w:left w:val="nil"/>
              <w:bottom w:val="nil"/>
              <w:right w:val="nil"/>
            </w:tcBorders>
            <w:shd w:val="clear" w:color="auto" w:fill="auto"/>
            <w:vAlign w:val="center"/>
            <w:hideMark/>
          </w:tcPr>
          <w:p w14:paraId="2206CD0D"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Middle-income renter</w:t>
            </w:r>
          </w:p>
        </w:tc>
        <w:tc>
          <w:tcPr>
            <w:tcW w:w="913" w:type="dxa"/>
            <w:tcBorders>
              <w:top w:val="nil"/>
              <w:left w:val="nil"/>
              <w:bottom w:val="nil"/>
              <w:right w:val="nil"/>
            </w:tcBorders>
            <w:shd w:val="clear" w:color="000000" w:fill="E7E6E6"/>
            <w:vAlign w:val="center"/>
            <w:hideMark/>
          </w:tcPr>
          <w:p w14:paraId="79F5256A"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12,831</w:t>
            </w:r>
          </w:p>
        </w:tc>
        <w:tc>
          <w:tcPr>
            <w:tcW w:w="913" w:type="dxa"/>
            <w:tcBorders>
              <w:top w:val="nil"/>
              <w:left w:val="nil"/>
              <w:bottom w:val="nil"/>
              <w:right w:val="nil"/>
            </w:tcBorders>
            <w:shd w:val="clear" w:color="auto" w:fill="auto"/>
            <w:vAlign w:val="center"/>
            <w:hideMark/>
          </w:tcPr>
          <w:p w14:paraId="4CA94E77"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17,212</w:t>
            </w:r>
          </w:p>
        </w:tc>
        <w:tc>
          <w:tcPr>
            <w:tcW w:w="1150" w:type="dxa"/>
            <w:tcBorders>
              <w:top w:val="nil"/>
              <w:left w:val="nil"/>
              <w:bottom w:val="nil"/>
              <w:right w:val="nil"/>
            </w:tcBorders>
            <w:shd w:val="clear" w:color="auto" w:fill="auto"/>
            <w:vAlign w:val="center"/>
            <w:hideMark/>
          </w:tcPr>
          <w:p w14:paraId="163407EB"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-4,381</w:t>
            </w:r>
          </w:p>
        </w:tc>
        <w:tc>
          <w:tcPr>
            <w:tcW w:w="1135" w:type="dxa"/>
            <w:tcBorders>
              <w:top w:val="nil"/>
              <w:left w:val="nil"/>
              <w:bottom w:val="nil"/>
              <w:right w:val="nil"/>
            </w:tcBorders>
            <w:shd w:val="clear" w:color="auto" w:fill="auto"/>
            <w:vAlign w:val="center"/>
            <w:hideMark/>
          </w:tcPr>
          <w:p w14:paraId="6520904B"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19.29</w:t>
            </w:r>
          </w:p>
        </w:tc>
        <w:tc>
          <w:tcPr>
            <w:tcW w:w="1157" w:type="dxa"/>
            <w:tcBorders>
              <w:top w:val="nil"/>
              <w:left w:val="nil"/>
              <w:bottom w:val="nil"/>
              <w:right w:val="nil"/>
            </w:tcBorders>
            <w:shd w:val="clear" w:color="auto" w:fill="auto"/>
            <w:vAlign w:val="center"/>
            <w:hideMark/>
          </w:tcPr>
          <w:p w14:paraId="2D4C89DA"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25.80</w:t>
            </w:r>
          </w:p>
        </w:tc>
        <w:tc>
          <w:tcPr>
            <w:tcW w:w="1153" w:type="dxa"/>
            <w:tcBorders>
              <w:top w:val="nil"/>
              <w:left w:val="nil"/>
              <w:bottom w:val="nil"/>
              <w:right w:val="nil"/>
            </w:tcBorders>
            <w:shd w:val="clear" w:color="auto" w:fill="auto"/>
            <w:vAlign w:val="center"/>
            <w:hideMark/>
          </w:tcPr>
          <w:p w14:paraId="6C514CA8"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-6.51</w:t>
            </w:r>
          </w:p>
        </w:tc>
      </w:tr>
      <w:tr w:rsidR="00D45A28" w:rsidRPr="000D61D1" w14:paraId="3E0474A2" w14:textId="77777777" w:rsidTr="003C620A">
        <w:trPr>
          <w:trHeight w:val="290"/>
        </w:trPr>
        <w:tc>
          <w:tcPr>
            <w:tcW w:w="2835" w:type="dxa"/>
            <w:tcBorders>
              <w:top w:val="nil"/>
              <w:left w:val="nil"/>
              <w:bottom w:val="nil"/>
              <w:right w:val="nil"/>
            </w:tcBorders>
            <w:shd w:val="clear" w:color="auto" w:fill="auto"/>
            <w:vAlign w:val="center"/>
            <w:hideMark/>
          </w:tcPr>
          <w:p w14:paraId="62A7CD30"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Pensioner homeowner</w:t>
            </w:r>
          </w:p>
        </w:tc>
        <w:tc>
          <w:tcPr>
            <w:tcW w:w="913" w:type="dxa"/>
            <w:tcBorders>
              <w:top w:val="nil"/>
              <w:left w:val="nil"/>
              <w:bottom w:val="nil"/>
              <w:right w:val="nil"/>
            </w:tcBorders>
            <w:shd w:val="clear" w:color="000000" w:fill="E7E6E6"/>
            <w:vAlign w:val="center"/>
            <w:hideMark/>
          </w:tcPr>
          <w:p w14:paraId="5A778CBE"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2,346</w:t>
            </w:r>
          </w:p>
        </w:tc>
        <w:tc>
          <w:tcPr>
            <w:tcW w:w="913" w:type="dxa"/>
            <w:tcBorders>
              <w:top w:val="nil"/>
              <w:left w:val="nil"/>
              <w:bottom w:val="nil"/>
              <w:right w:val="nil"/>
            </w:tcBorders>
            <w:shd w:val="clear" w:color="auto" w:fill="auto"/>
            <w:vAlign w:val="center"/>
            <w:hideMark/>
          </w:tcPr>
          <w:p w14:paraId="375F3ADA"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1,988</w:t>
            </w:r>
          </w:p>
        </w:tc>
        <w:tc>
          <w:tcPr>
            <w:tcW w:w="1150" w:type="dxa"/>
            <w:tcBorders>
              <w:top w:val="nil"/>
              <w:left w:val="nil"/>
              <w:bottom w:val="nil"/>
              <w:right w:val="nil"/>
            </w:tcBorders>
            <w:shd w:val="clear" w:color="auto" w:fill="auto"/>
            <w:vAlign w:val="center"/>
            <w:hideMark/>
          </w:tcPr>
          <w:p w14:paraId="5B619143"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358</w:t>
            </w:r>
          </w:p>
        </w:tc>
        <w:tc>
          <w:tcPr>
            <w:tcW w:w="1135" w:type="dxa"/>
            <w:tcBorders>
              <w:top w:val="nil"/>
              <w:left w:val="nil"/>
              <w:bottom w:val="nil"/>
              <w:right w:val="nil"/>
            </w:tcBorders>
            <w:shd w:val="clear" w:color="auto" w:fill="auto"/>
            <w:vAlign w:val="center"/>
            <w:hideMark/>
          </w:tcPr>
          <w:p w14:paraId="490EAFE6"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4.04</w:t>
            </w:r>
          </w:p>
        </w:tc>
        <w:tc>
          <w:tcPr>
            <w:tcW w:w="1157" w:type="dxa"/>
            <w:tcBorders>
              <w:top w:val="nil"/>
              <w:left w:val="nil"/>
              <w:bottom w:val="nil"/>
              <w:right w:val="nil"/>
            </w:tcBorders>
            <w:shd w:val="clear" w:color="auto" w:fill="auto"/>
            <w:vAlign w:val="center"/>
            <w:hideMark/>
          </w:tcPr>
          <w:p w14:paraId="537EEE5C"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3.42</w:t>
            </w:r>
          </w:p>
        </w:tc>
        <w:tc>
          <w:tcPr>
            <w:tcW w:w="1153" w:type="dxa"/>
            <w:tcBorders>
              <w:top w:val="nil"/>
              <w:left w:val="nil"/>
              <w:bottom w:val="nil"/>
              <w:right w:val="nil"/>
            </w:tcBorders>
            <w:shd w:val="clear" w:color="auto" w:fill="auto"/>
            <w:vAlign w:val="center"/>
            <w:hideMark/>
          </w:tcPr>
          <w:p w14:paraId="478B172A"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0.62</w:t>
            </w:r>
          </w:p>
        </w:tc>
      </w:tr>
      <w:tr w:rsidR="00D45A28" w:rsidRPr="000D61D1" w14:paraId="372E7C66" w14:textId="77777777" w:rsidTr="003C620A">
        <w:trPr>
          <w:trHeight w:val="290"/>
        </w:trPr>
        <w:tc>
          <w:tcPr>
            <w:tcW w:w="2835" w:type="dxa"/>
            <w:tcBorders>
              <w:top w:val="nil"/>
              <w:left w:val="nil"/>
              <w:bottom w:val="nil"/>
              <w:right w:val="nil"/>
            </w:tcBorders>
            <w:shd w:val="clear" w:color="auto" w:fill="auto"/>
            <w:vAlign w:val="center"/>
            <w:hideMark/>
          </w:tcPr>
          <w:p w14:paraId="4BFB448A"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Pensioner renter</w:t>
            </w:r>
          </w:p>
        </w:tc>
        <w:tc>
          <w:tcPr>
            <w:tcW w:w="913" w:type="dxa"/>
            <w:tcBorders>
              <w:top w:val="nil"/>
              <w:left w:val="nil"/>
              <w:bottom w:val="nil"/>
              <w:right w:val="nil"/>
            </w:tcBorders>
            <w:shd w:val="clear" w:color="000000" w:fill="E7E6E6"/>
            <w:vAlign w:val="center"/>
            <w:hideMark/>
          </w:tcPr>
          <w:p w14:paraId="01814C3C"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9,987</w:t>
            </w:r>
          </w:p>
        </w:tc>
        <w:tc>
          <w:tcPr>
            <w:tcW w:w="913" w:type="dxa"/>
            <w:tcBorders>
              <w:top w:val="nil"/>
              <w:left w:val="nil"/>
              <w:bottom w:val="nil"/>
              <w:right w:val="nil"/>
            </w:tcBorders>
            <w:shd w:val="clear" w:color="auto" w:fill="auto"/>
            <w:vAlign w:val="center"/>
            <w:hideMark/>
          </w:tcPr>
          <w:p w14:paraId="58565510"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12,572</w:t>
            </w:r>
          </w:p>
        </w:tc>
        <w:tc>
          <w:tcPr>
            <w:tcW w:w="1150" w:type="dxa"/>
            <w:tcBorders>
              <w:top w:val="nil"/>
              <w:left w:val="nil"/>
              <w:bottom w:val="nil"/>
              <w:right w:val="nil"/>
            </w:tcBorders>
            <w:shd w:val="clear" w:color="auto" w:fill="auto"/>
            <w:vAlign w:val="center"/>
            <w:hideMark/>
          </w:tcPr>
          <w:p w14:paraId="030A3AA8"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-2,585</w:t>
            </w:r>
          </w:p>
        </w:tc>
        <w:tc>
          <w:tcPr>
            <w:tcW w:w="1135" w:type="dxa"/>
            <w:tcBorders>
              <w:top w:val="nil"/>
              <w:left w:val="nil"/>
              <w:bottom w:val="nil"/>
              <w:right w:val="nil"/>
            </w:tcBorders>
            <w:shd w:val="clear" w:color="auto" w:fill="auto"/>
            <w:vAlign w:val="center"/>
            <w:hideMark/>
          </w:tcPr>
          <w:p w14:paraId="3A78F6EE"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20.32</w:t>
            </w:r>
          </w:p>
        </w:tc>
        <w:tc>
          <w:tcPr>
            <w:tcW w:w="1157" w:type="dxa"/>
            <w:tcBorders>
              <w:top w:val="nil"/>
              <w:left w:val="nil"/>
              <w:bottom w:val="nil"/>
              <w:right w:val="nil"/>
            </w:tcBorders>
            <w:shd w:val="clear" w:color="auto" w:fill="auto"/>
            <w:vAlign w:val="center"/>
            <w:hideMark/>
          </w:tcPr>
          <w:p w14:paraId="4DA5CF45"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25.58</w:t>
            </w:r>
          </w:p>
        </w:tc>
        <w:tc>
          <w:tcPr>
            <w:tcW w:w="1153" w:type="dxa"/>
            <w:tcBorders>
              <w:top w:val="nil"/>
              <w:left w:val="nil"/>
              <w:bottom w:val="nil"/>
              <w:right w:val="nil"/>
            </w:tcBorders>
            <w:shd w:val="clear" w:color="auto" w:fill="auto"/>
            <w:vAlign w:val="center"/>
            <w:hideMark/>
          </w:tcPr>
          <w:p w14:paraId="6D0D6D7E"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-5.26</w:t>
            </w:r>
          </w:p>
        </w:tc>
      </w:tr>
      <w:tr w:rsidR="00D45A28" w:rsidRPr="000D61D1" w14:paraId="45F773A8" w14:textId="77777777" w:rsidTr="003C620A">
        <w:trPr>
          <w:trHeight w:val="290"/>
        </w:trPr>
        <w:tc>
          <w:tcPr>
            <w:tcW w:w="2835" w:type="dxa"/>
            <w:tcBorders>
              <w:top w:val="nil"/>
              <w:left w:val="nil"/>
              <w:bottom w:val="nil"/>
              <w:right w:val="nil"/>
            </w:tcBorders>
            <w:shd w:val="clear" w:color="auto" w:fill="auto"/>
            <w:vAlign w:val="center"/>
            <w:hideMark/>
          </w:tcPr>
          <w:p w14:paraId="0D673830"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Female-head homeowner</w:t>
            </w:r>
          </w:p>
        </w:tc>
        <w:tc>
          <w:tcPr>
            <w:tcW w:w="913" w:type="dxa"/>
            <w:tcBorders>
              <w:top w:val="nil"/>
              <w:left w:val="nil"/>
              <w:bottom w:val="nil"/>
              <w:right w:val="nil"/>
            </w:tcBorders>
            <w:shd w:val="clear" w:color="000000" w:fill="E7E6E6"/>
            <w:vAlign w:val="center"/>
            <w:hideMark/>
          </w:tcPr>
          <w:p w14:paraId="4BE348D4"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3,365</w:t>
            </w:r>
          </w:p>
        </w:tc>
        <w:tc>
          <w:tcPr>
            <w:tcW w:w="913" w:type="dxa"/>
            <w:tcBorders>
              <w:top w:val="nil"/>
              <w:left w:val="nil"/>
              <w:bottom w:val="nil"/>
              <w:right w:val="nil"/>
            </w:tcBorders>
            <w:shd w:val="clear" w:color="auto" w:fill="auto"/>
            <w:vAlign w:val="center"/>
            <w:hideMark/>
          </w:tcPr>
          <w:p w14:paraId="696DBA1D"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3,271</w:t>
            </w:r>
          </w:p>
        </w:tc>
        <w:tc>
          <w:tcPr>
            <w:tcW w:w="1150" w:type="dxa"/>
            <w:tcBorders>
              <w:top w:val="nil"/>
              <w:left w:val="nil"/>
              <w:bottom w:val="nil"/>
              <w:right w:val="nil"/>
            </w:tcBorders>
            <w:shd w:val="clear" w:color="auto" w:fill="auto"/>
            <w:vAlign w:val="center"/>
            <w:hideMark/>
          </w:tcPr>
          <w:p w14:paraId="3189E738"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94</w:t>
            </w:r>
          </w:p>
        </w:tc>
        <w:tc>
          <w:tcPr>
            <w:tcW w:w="1135" w:type="dxa"/>
            <w:tcBorders>
              <w:top w:val="nil"/>
              <w:left w:val="nil"/>
              <w:bottom w:val="nil"/>
              <w:right w:val="nil"/>
            </w:tcBorders>
            <w:shd w:val="clear" w:color="auto" w:fill="auto"/>
            <w:vAlign w:val="center"/>
            <w:hideMark/>
          </w:tcPr>
          <w:p w14:paraId="12780C6A"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4.18</w:t>
            </w:r>
          </w:p>
        </w:tc>
        <w:tc>
          <w:tcPr>
            <w:tcW w:w="1157" w:type="dxa"/>
            <w:tcBorders>
              <w:top w:val="nil"/>
              <w:left w:val="nil"/>
              <w:bottom w:val="nil"/>
              <w:right w:val="nil"/>
            </w:tcBorders>
            <w:shd w:val="clear" w:color="auto" w:fill="auto"/>
            <w:vAlign w:val="center"/>
            <w:hideMark/>
          </w:tcPr>
          <w:p w14:paraId="2280F369"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4.06</w:t>
            </w:r>
          </w:p>
        </w:tc>
        <w:tc>
          <w:tcPr>
            <w:tcW w:w="1153" w:type="dxa"/>
            <w:tcBorders>
              <w:top w:val="nil"/>
              <w:left w:val="nil"/>
              <w:bottom w:val="nil"/>
              <w:right w:val="nil"/>
            </w:tcBorders>
            <w:shd w:val="clear" w:color="auto" w:fill="auto"/>
            <w:vAlign w:val="center"/>
            <w:hideMark/>
          </w:tcPr>
          <w:p w14:paraId="4806BFC3" w14:textId="77777777" w:rsidR="00D45A28" w:rsidRPr="00A46641" w:rsidRDefault="00D45A28" w:rsidP="00D45A28">
            <w:pPr>
              <w:spacing w:after="0"/>
              <w:jc w:val="right"/>
              <w:rPr>
                <w:rFonts w:ascii="Calibri" w:eastAsia="Times New Roman" w:hAnsi="Calibri" w:cs="Calibri"/>
                <w:color w:val="000000"/>
                <w:sz w:val="22"/>
                <w:szCs w:val="22"/>
                <w:lang w:val="en-AU" w:eastAsia="en-AU"/>
              </w:rPr>
            </w:pPr>
            <w:r w:rsidRPr="00A46641">
              <w:rPr>
                <w:sz w:val="22"/>
                <w:szCs w:val="22"/>
              </w:rPr>
              <w:t>0.12</w:t>
            </w:r>
          </w:p>
        </w:tc>
      </w:tr>
      <w:tr w:rsidR="00D45A28" w:rsidRPr="000D61D1" w14:paraId="11EEC435" w14:textId="77777777" w:rsidTr="003C620A">
        <w:trPr>
          <w:trHeight w:val="300"/>
        </w:trPr>
        <w:tc>
          <w:tcPr>
            <w:tcW w:w="2835" w:type="dxa"/>
            <w:tcBorders>
              <w:top w:val="nil"/>
              <w:left w:val="nil"/>
              <w:bottom w:val="nil"/>
              <w:right w:val="nil"/>
            </w:tcBorders>
            <w:shd w:val="clear" w:color="auto" w:fill="auto"/>
            <w:vAlign w:val="center"/>
            <w:hideMark/>
          </w:tcPr>
          <w:p w14:paraId="411CC960"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hAnsi="Calibri"/>
                <w:color w:val="000000"/>
                <w:sz w:val="22"/>
                <w:lang w:val="en-AU"/>
              </w:rPr>
              <w:t>Female head renter</w:t>
            </w:r>
          </w:p>
        </w:tc>
        <w:tc>
          <w:tcPr>
            <w:tcW w:w="913" w:type="dxa"/>
            <w:tcBorders>
              <w:top w:val="nil"/>
              <w:left w:val="nil"/>
              <w:bottom w:val="nil"/>
              <w:right w:val="nil"/>
            </w:tcBorders>
            <w:shd w:val="clear" w:color="000000" w:fill="E7E6E6"/>
            <w:vAlign w:val="center"/>
            <w:hideMark/>
          </w:tcPr>
          <w:p w14:paraId="08663D72" w14:textId="77777777" w:rsidR="00D45A28" w:rsidRPr="00A46641" w:rsidRDefault="00D45A28" w:rsidP="00D45A28">
            <w:pPr>
              <w:spacing w:after="0"/>
              <w:jc w:val="right"/>
              <w:rPr>
                <w:rFonts w:ascii="Calibri" w:hAnsi="Calibri"/>
                <w:color w:val="000000"/>
                <w:sz w:val="22"/>
                <w:szCs w:val="22"/>
                <w:lang w:val="en-AU"/>
              </w:rPr>
            </w:pPr>
            <w:r w:rsidRPr="00A46641">
              <w:rPr>
                <w:sz w:val="22"/>
                <w:szCs w:val="22"/>
              </w:rPr>
              <w:t>14,415</w:t>
            </w:r>
          </w:p>
        </w:tc>
        <w:tc>
          <w:tcPr>
            <w:tcW w:w="913" w:type="dxa"/>
            <w:tcBorders>
              <w:top w:val="nil"/>
              <w:left w:val="nil"/>
              <w:bottom w:val="nil"/>
              <w:right w:val="nil"/>
            </w:tcBorders>
            <w:shd w:val="clear" w:color="auto" w:fill="auto"/>
            <w:vAlign w:val="center"/>
            <w:hideMark/>
          </w:tcPr>
          <w:p w14:paraId="55500286" w14:textId="77777777" w:rsidR="00D45A28" w:rsidRPr="00A46641" w:rsidRDefault="00D45A28" w:rsidP="00D45A28">
            <w:pPr>
              <w:spacing w:after="0"/>
              <w:jc w:val="right"/>
              <w:rPr>
                <w:rFonts w:ascii="Calibri" w:hAnsi="Calibri"/>
                <w:color w:val="000000"/>
                <w:sz w:val="22"/>
                <w:szCs w:val="22"/>
                <w:lang w:val="en-AU"/>
              </w:rPr>
            </w:pPr>
            <w:r w:rsidRPr="00A46641">
              <w:rPr>
                <w:sz w:val="22"/>
                <w:szCs w:val="22"/>
              </w:rPr>
              <w:t>19,105</w:t>
            </w:r>
          </w:p>
        </w:tc>
        <w:tc>
          <w:tcPr>
            <w:tcW w:w="1150" w:type="dxa"/>
            <w:tcBorders>
              <w:top w:val="nil"/>
              <w:left w:val="nil"/>
              <w:bottom w:val="nil"/>
              <w:right w:val="nil"/>
            </w:tcBorders>
            <w:shd w:val="clear" w:color="auto" w:fill="auto"/>
            <w:vAlign w:val="center"/>
            <w:hideMark/>
          </w:tcPr>
          <w:p w14:paraId="797DACC9" w14:textId="77777777" w:rsidR="00D45A28" w:rsidRPr="00A46641" w:rsidRDefault="00D45A28" w:rsidP="00D45A28">
            <w:pPr>
              <w:spacing w:after="0"/>
              <w:jc w:val="right"/>
              <w:rPr>
                <w:rFonts w:ascii="Calibri" w:hAnsi="Calibri"/>
                <w:color w:val="000000"/>
                <w:sz w:val="22"/>
                <w:szCs w:val="22"/>
                <w:lang w:val="en-AU"/>
              </w:rPr>
            </w:pPr>
            <w:r w:rsidRPr="00A46641">
              <w:rPr>
                <w:sz w:val="22"/>
                <w:szCs w:val="22"/>
              </w:rPr>
              <w:t>-4,690</w:t>
            </w:r>
          </w:p>
        </w:tc>
        <w:tc>
          <w:tcPr>
            <w:tcW w:w="1135" w:type="dxa"/>
            <w:tcBorders>
              <w:top w:val="nil"/>
              <w:left w:val="nil"/>
              <w:bottom w:val="nil"/>
              <w:right w:val="nil"/>
            </w:tcBorders>
            <w:shd w:val="clear" w:color="auto" w:fill="auto"/>
            <w:vAlign w:val="center"/>
            <w:hideMark/>
          </w:tcPr>
          <w:p w14:paraId="655AA09D" w14:textId="77777777" w:rsidR="00D45A28" w:rsidRPr="00A46641" w:rsidRDefault="00D45A28" w:rsidP="00D45A28">
            <w:pPr>
              <w:spacing w:after="0"/>
              <w:jc w:val="right"/>
              <w:rPr>
                <w:rFonts w:ascii="Calibri" w:hAnsi="Calibri"/>
                <w:color w:val="000000"/>
                <w:sz w:val="22"/>
                <w:szCs w:val="22"/>
                <w:lang w:val="en-AU"/>
              </w:rPr>
            </w:pPr>
            <w:r w:rsidRPr="00A46641">
              <w:rPr>
                <w:sz w:val="22"/>
                <w:szCs w:val="22"/>
              </w:rPr>
              <w:t>17.28</w:t>
            </w:r>
          </w:p>
        </w:tc>
        <w:tc>
          <w:tcPr>
            <w:tcW w:w="1157" w:type="dxa"/>
            <w:tcBorders>
              <w:top w:val="nil"/>
              <w:left w:val="nil"/>
              <w:bottom w:val="nil"/>
              <w:right w:val="nil"/>
            </w:tcBorders>
            <w:shd w:val="clear" w:color="auto" w:fill="auto"/>
            <w:vAlign w:val="center"/>
            <w:hideMark/>
          </w:tcPr>
          <w:p w14:paraId="60D0A224" w14:textId="77777777" w:rsidR="00D45A28" w:rsidRPr="00A46641" w:rsidRDefault="00D45A28" w:rsidP="00D45A28">
            <w:pPr>
              <w:spacing w:after="0"/>
              <w:jc w:val="right"/>
              <w:rPr>
                <w:rFonts w:ascii="Calibri" w:hAnsi="Calibri"/>
                <w:color w:val="000000"/>
                <w:sz w:val="22"/>
                <w:szCs w:val="22"/>
                <w:lang w:val="en-AU"/>
              </w:rPr>
            </w:pPr>
            <w:r w:rsidRPr="00A46641">
              <w:rPr>
                <w:sz w:val="22"/>
                <w:szCs w:val="22"/>
              </w:rPr>
              <w:t>23.08</w:t>
            </w:r>
          </w:p>
        </w:tc>
        <w:tc>
          <w:tcPr>
            <w:tcW w:w="1153" w:type="dxa"/>
            <w:tcBorders>
              <w:top w:val="nil"/>
              <w:left w:val="nil"/>
              <w:bottom w:val="nil"/>
              <w:right w:val="nil"/>
            </w:tcBorders>
            <w:shd w:val="clear" w:color="auto" w:fill="auto"/>
            <w:vAlign w:val="center"/>
            <w:hideMark/>
          </w:tcPr>
          <w:p w14:paraId="3EE929A0" w14:textId="77777777" w:rsidR="00D45A28" w:rsidRPr="00A46641" w:rsidRDefault="00D45A28" w:rsidP="00D45A28">
            <w:pPr>
              <w:spacing w:after="0"/>
              <w:jc w:val="right"/>
              <w:rPr>
                <w:rFonts w:ascii="Calibri" w:hAnsi="Calibri"/>
                <w:color w:val="000000"/>
                <w:sz w:val="22"/>
                <w:szCs w:val="22"/>
                <w:lang w:val="en-AU"/>
              </w:rPr>
            </w:pPr>
            <w:r w:rsidRPr="00A46641">
              <w:rPr>
                <w:sz w:val="22"/>
                <w:szCs w:val="22"/>
              </w:rPr>
              <w:t>-5.80</w:t>
            </w:r>
          </w:p>
        </w:tc>
      </w:tr>
      <w:tr w:rsidR="00D45A28" w:rsidRPr="000D61D1" w14:paraId="5D0A05BA" w14:textId="77777777" w:rsidTr="00870105">
        <w:trPr>
          <w:trHeight w:val="590"/>
        </w:trPr>
        <w:tc>
          <w:tcPr>
            <w:tcW w:w="9256" w:type="dxa"/>
            <w:gridSpan w:val="7"/>
            <w:tcBorders>
              <w:top w:val="single" w:sz="8" w:space="0" w:color="auto"/>
              <w:left w:val="nil"/>
              <w:right w:val="nil"/>
            </w:tcBorders>
            <w:shd w:val="clear" w:color="auto" w:fill="auto"/>
            <w:vAlign w:val="center"/>
          </w:tcPr>
          <w:p w14:paraId="2A8C223B" w14:textId="7A5576A6" w:rsidR="00D45A28" w:rsidRPr="000D61D1" w:rsidRDefault="00D45A28" w:rsidP="00870105">
            <w:pPr>
              <w:spacing w:after="0"/>
              <w:jc w:val="center"/>
              <w:rPr>
                <w:rFonts w:ascii="Calibri" w:eastAsia="Times New Roman" w:hAnsi="Calibri" w:cs="Calibri"/>
                <w:color w:val="000000"/>
                <w:sz w:val="22"/>
                <w:szCs w:val="22"/>
                <w:lang w:val="en-AU" w:eastAsia="en-AU"/>
              </w:rPr>
            </w:pPr>
            <w:r w:rsidRPr="00113FC1">
              <w:rPr>
                <w:b/>
                <w:i/>
                <w:iCs/>
                <w:color w:val="365F91" w:themeColor="accent1" w:themeShade="BF"/>
              </w:rPr>
              <w:t xml:space="preserve">1.24 – 2.19% price </w:t>
            </w:r>
            <w:r>
              <w:rPr>
                <w:b/>
                <w:i/>
                <w:iCs/>
                <w:color w:val="365F91" w:themeColor="accent1" w:themeShade="BF"/>
              </w:rPr>
              <w:t>effect (1.7% average)</w:t>
            </w:r>
          </w:p>
        </w:tc>
      </w:tr>
      <w:tr w:rsidR="00D45A28" w:rsidRPr="000D61D1" w14:paraId="1E8B2597" w14:textId="77777777" w:rsidTr="00870105">
        <w:trPr>
          <w:trHeight w:val="590"/>
        </w:trPr>
        <w:tc>
          <w:tcPr>
            <w:tcW w:w="2835" w:type="dxa"/>
            <w:tcBorders>
              <w:left w:val="nil"/>
              <w:bottom w:val="nil"/>
              <w:right w:val="nil"/>
            </w:tcBorders>
            <w:shd w:val="clear" w:color="auto" w:fill="auto"/>
            <w:vAlign w:val="center"/>
            <w:hideMark/>
          </w:tcPr>
          <w:p w14:paraId="0FE9DA02" w14:textId="3FBD64E8" w:rsidR="00D45A28" w:rsidRPr="000D61D1" w:rsidRDefault="00D45A28" w:rsidP="00D45A28">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Pr>
                <w:rFonts w:ascii="Calibri" w:eastAsia="Times New Roman" w:hAnsi="Calibri" w:cs="Calibri"/>
                <w:color w:val="000000"/>
                <w:lang w:val="en-AU" w:eastAsia="en-AU"/>
              </w:rPr>
              <w:t>Sub-group</w:t>
            </w:r>
          </w:p>
        </w:tc>
        <w:tc>
          <w:tcPr>
            <w:tcW w:w="913" w:type="dxa"/>
            <w:tcBorders>
              <w:left w:val="nil"/>
              <w:bottom w:val="nil"/>
              <w:right w:val="nil"/>
            </w:tcBorders>
            <w:shd w:val="clear" w:color="000000" w:fill="E7E6E6"/>
            <w:vAlign w:val="center"/>
            <w:hideMark/>
          </w:tcPr>
          <w:p w14:paraId="195D2D69" w14:textId="6CF1F987" w:rsidR="00D45A28" w:rsidRPr="000D61D1" w:rsidRDefault="00D45A28" w:rsidP="00D45A28">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New Tax Policy </w:t>
            </w:r>
            <w:r>
              <w:rPr>
                <w:rFonts w:ascii="Calibri" w:eastAsia="Times New Roman" w:hAnsi="Calibri" w:cs="Calibri"/>
                <w:color w:val="000000"/>
                <w:sz w:val="22"/>
                <w:szCs w:val="22"/>
                <w:lang w:val="en-AU" w:eastAsia="en-AU"/>
              </w:rPr>
              <w:t xml:space="preserve">$ </w:t>
            </w:r>
          </w:p>
        </w:tc>
        <w:tc>
          <w:tcPr>
            <w:tcW w:w="913" w:type="dxa"/>
            <w:tcBorders>
              <w:left w:val="nil"/>
              <w:bottom w:val="nil"/>
              <w:right w:val="nil"/>
            </w:tcBorders>
            <w:shd w:val="clear" w:color="auto" w:fill="auto"/>
            <w:vAlign w:val="center"/>
            <w:hideMark/>
          </w:tcPr>
          <w:p w14:paraId="26A3CED7" w14:textId="19FEA323" w:rsidR="00D45A28" w:rsidRPr="000D61D1" w:rsidRDefault="00D45A28" w:rsidP="00D45A28">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w:t>
            </w:r>
            <w:r>
              <w:rPr>
                <w:rFonts w:ascii="Calibri" w:eastAsia="Times New Roman" w:hAnsi="Calibri" w:cs="Calibri"/>
                <w:color w:val="000000"/>
                <w:sz w:val="22"/>
                <w:szCs w:val="22"/>
                <w:lang w:val="en-AU" w:eastAsia="en-AU"/>
              </w:rPr>
              <w:t>$</w:t>
            </w:r>
            <w:r w:rsidRPr="000D61D1">
              <w:rPr>
                <w:rFonts w:ascii="Calibri" w:eastAsia="Times New Roman" w:hAnsi="Calibri" w:cs="Calibri"/>
                <w:color w:val="000000"/>
                <w:sz w:val="22"/>
                <w:szCs w:val="22"/>
                <w:lang w:val="en-AU" w:eastAsia="en-AU"/>
              </w:rPr>
              <w:t xml:space="preserve"> </w:t>
            </w:r>
          </w:p>
        </w:tc>
        <w:tc>
          <w:tcPr>
            <w:tcW w:w="1150" w:type="dxa"/>
            <w:tcBorders>
              <w:left w:val="nil"/>
              <w:bottom w:val="nil"/>
              <w:right w:val="nil"/>
            </w:tcBorders>
            <w:shd w:val="clear" w:color="auto" w:fill="auto"/>
            <w:vAlign w:val="center"/>
            <w:hideMark/>
          </w:tcPr>
          <w:p w14:paraId="7542E2B2" w14:textId="58C52930" w:rsidR="00D45A28" w:rsidRPr="000D61D1" w:rsidRDefault="00D45A28" w:rsidP="00D45A28">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Difference </w:t>
            </w:r>
            <w:r>
              <w:rPr>
                <w:rFonts w:ascii="Calibri" w:eastAsia="Times New Roman" w:hAnsi="Calibri" w:cs="Calibri"/>
                <w:color w:val="000000"/>
                <w:sz w:val="22"/>
                <w:szCs w:val="22"/>
                <w:lang w:val="en-AU" w:eastAsia="en-AU"/>
              </w:rPr>
              <w:t>$</w:t>
            </w:r>
          </w:p>
        </w:tc>
        <w:tc>
          <w:tcPr>
            <w:tcW w:w="1135" w:type="dxa"/>
            <w:tcBorders>
              <w:left w:val="nil"/>
              <w:bottom w:val="nil"/>
              <w:right w:val="nil"/>
            </w:tcBorders>
            <w:shd w:val="clear" w:color="auto" w:fill="auto"/>
            <w:vAlign w:val="center"/>
            <w:hideMark/>
          </w:tcPr>
          <w:p w14:paraId="21FFC9A4" w14:textId="77777777" w:rsidR="00D45A28" w:rsidRPr="000D61D1" w:rsidRDefault="00D45A28" w:rsidP="00D45A28">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New tax policy - % of income spent </w:t>
            </w:r>
          </w:p>
        </w:tc>
        <w:tc>
          <w:tcPr>
            <w:tcW w:w="1157" w:type="dxa"/>
            <w:tcBorders>
              <w:left w:val="nil"/>
              <w:bottom w:val="nil"/>
              <w:right w:val="nil"/>
            </w:tcBorders>
            <w:shd w:val="clear" w:color="auto" w:fill="auto"/>
            <w:vAlign w:val="center"/>
            <w:hideMark/>
          </w:tcPr>
          <w:p w14:paraId="6CE75F88" w14:textId="77777777" w:rsidR="00D45A28" w:rsidRPr="000D61D1" w:rsidRDefault="00D45A28" w:rsidP="00D45A28">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Old tax policy - % of income spent </w:t>
            </w:r>
          </w:p>
        </w:tc>
        <w:tc>
          <w:tcPr>
            <w:tcW w:w="1153" w:type="dxa"/>
            <w:tcBorders>
              <w:left w:val="nil"/>
              <w:bottom w:val="nil"/>
              <w:right w:val="nil"/>
            </w:tcBorders>
            <w:shd w:val="clear" w:color="auto" w:fill="auto"/>
            <w:vAlign w:val="center"/>
            <w:hideMark/>
          </w:tcPr>
          <w:p w14:paraId="0348E523" w14:textId="29B389AE" w:rsidR="00D45A28" w:rsidRPr="000D61D1" w:rsidRDefault="00D45A28" w:rsidP="00D45A28">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r>
              <w:rPr>
                <w:rFonts w:ascii="Calibri" w:eastAsia="Times New Roman" w:hAnsi="Calibri" w:cs="Calibri"/>
                <w:color w:val="000000"/>
                <w:sz w:val="22"/>
                <w:szCs w:val="22"/>
                <w:lang w:val="en-AU" w:eastAsia="en-AU"/>
              </w:rPr>
              <w:t xml:space="preserve"> % points</w:t>
            </w:r>
            <w:r w:rsidRPr="000D61D1">
              <w:rPr>
                <w:rFonts w:ascii="Calibri" w:eastAsia="Times New Roman" w:hAnsi="Calibri" w:cs="Calibri"/>
                <w:color w:val="000000"/>
                <w:sz w:val="22"/>
                <w:szCs w:val="22"/>
                <w:lang w:val="en-AU" w:eastAsia="en-AU"/>
              </w:rPr>
              <w:t xml:space="preserve"> </w:t>
            </w:r>
          </w:p>
        </w:tc>
      </w:tr>
      <w:tr w:rsidR="00D45A28" w:rsidRPr="000D61D1" w14:paraId="694B6CC8" w14:textId="77777777" w:rsidTr="003C620A">
        <w:trPr>
          <w:trHeight w:val="290"/>
        </w:trPr>
        <w:tc>
          <w:tcPr>
            <w:tcW w:w="2835" w:type="dxa"/>
            <w:tcBorders>
              <w:top w:val="nil"/>
              <w:left w:val="nil"/>
              <w:bottom w:val="nil"/>
              <w:right w:val="nil"/>
            </w:tcBorders>
            <w:shd w:val="clear" w:color="auto" w:fill="auto"/>
            <w:vAlign w:val="center"/>
            <w:hideMark/>
          </w:tcPr>
          <w:p w14:paraId="0660F437"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First home buyers</w:t>
            </w:r>
          </w:p>
        </w:tc>
        <w:tc>
          <w:tcPr>
            <w:tcW w:w="913" w:type="dxa"/>
            <w:tcBorders>
              <w:top w:val="nil"/>
              <w:left w:val="nil"/>
              <w:bottom w:val="nil"/>
              <w:right w:val="nil"/>
            </w:tcBorders>
            <w:shd w:val="clear" w:color="000000" w:fill="E7E6E6"/>
            <w:vAlign w:val="center"/>
            <w:hideMark/>
          </w:tcPr>
          <w:p w14:paraId="50858412"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14,498</w:t>
            </w:r>
          </w:p>
        </w:tc>
        <w:tc>
          <w:tcPr>
            <w:tcW w:w="913" w:type="dxa"/>
            <w:tcBorders>
              <w:top w:val="nil"/>
              <w:left w:val="nil"/>
              <w:bottom w:val="nil"/>
              <w:right w:val="nil"/>
            </w:tcBorders>
            <w:shd w:val="clear" w:color="auto" w:fill="auto"/>
            <w:vAlign w:val="center"/>
            <w:hideMark/>
          </w:tcPr>
          <w:p w14:paraId="2D28992E"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18,664</w:t>
            </w:r>
          </w:p>
        </w:tc>
        <w:tc>
          <w:tcPr>
            <w:tcW w:w="1150" w:type="dxa"/>
            <w:tcBorders>
              <w:top w:val="nil"/>
              <w:left w:val="nil"/>
              <w:bottom w:val="nil"/>
              <w:right w:val="nil"/>
            </w:tcBorders>
            <w:shd w:val="clear" w:color="auto" w:fill="auto"/>
            <w:vAlign w:val="center"/>
            <w:hideMark/>
          </w:tcPr>
          <w:p w14:paraId="0989501B"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-4,166</w:t>
            </w:r>
          </w:p>
        </w:tc>
        <w:tc>
          <w:tcPr>
            <w:tcW w:w="1135" w:type="dxa"/>
            <w:tcBorders>
              <w:top w:val="nil"/>
              <w:left w:val="nil"/>
              <w:bottom w:val="nil"/>
              <w:right w:val="nil"/>
            </w:tcBorders>
            <w:shd w:val="clear" w:color="auto" w:fill="auto"/>
            <w:vAlign w:val="center"/>
            <w:hideMark/>
          </w:tcPr>
          <w:p w14:paraId="73D2DFD7"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17.07</w:t>
            </w:r>
          </w:p>
        </w:tc>
        <w:tc>
          <w:tcPr>
            <w:tcW w:w="1157" w:type="dxa"/>
            <w:tcBorders>
              <w:top w:val="nil"/>
              <w:left w:val="nil"/>
              <w:bottom w:val="nil"/>
              <w:right w:val="nil"/>
            </w:tcBorders>
            <w:shd w:val="clear" w:color="auto" w:fill="auto"/>
            <w:vAlign w:val="center"/>
            <w:hideMark/>
          </w:tcPr>
          <w:p w14:paraId="7BE2389B"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22.11</w:t>
            </w:r>
          </w:p>
        </w:tc>
        <w:tc>
          <w:tcPr>
            <w:tcW w:w="1153" w:type="dxa"/>
            <w:tcBorders>
              <w:top w:val="nil"/>
              <w:left w:val="nil"/>
              <w:bottom w:val="nil"/>
              <w:right w:val="nil"/>
            </w:tcBorders>
            <w:shd w:val="clear" w:color="auto" w:fill="auto"/>
            <w:vAlign w:val="center"/>
            <w:hideMark/>
          </w:tcPr>
          <w:p w14:paraId="30A29C1A"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-5.04</w:t>
            </w:r>
          </w:p>
        </w:tc>
      </w:tr>
      <w:tr w:rsidR="00D45A28" w:rsidRPr="000D61D1" w14:paraId="56EE197E" w14:textId="77777777" w:rsidTr="003C620A">
        <w:trPr>
          <w:trHeight w:val="290"/>
        </w:trPr>
        <w:tc>
          <w:tcPr>
            <w:tcW w:w="2835" w:type="dxa"/>
            <w:tcBorders>
              <w:top w:val="nil"/>
              <w:left w:val="nil"/>
              <w:bottom w:val="nil"/>
              <w:right w:val="nil"/>
            </w:tcBorders>
            <w:shd w:val="clear" w:color="auto" w:fill="auto"/>
            <w:vAlign w:val="center"/>
            <w:hideMark/>
          </w:tcPr>
          <w:p w14:paraId="0D991E9C"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Low-income homeowner</w:t>
            </w:r>
          </w:p>
        </w:tc>
        <w:tc>
          <w:tcPr>
            <w:tcW w:w="913" w:type="dxa"/>
            <w:tcBorders>
              <w:top w:val="nil"/>
              <w:left w:val="nil"/>
              <w:bottom w:val="nil"/>
              <w:right w:val="nil"/>
            </w:tcBorders>
            <w:shd w:val="clear" w:color="000000" w:fill="E7E6E6"/>
            <w:vAlign w:val="center"/>
            <w:hideMark/>
          </w:tcPr>
          <w:p w14:paraId="4637F401"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2,051</w:t>
            </w:r>
          </w:p>
        </w:tc>
        <w:tc>
          <w:tcPr>
            <w:tcW w:w="913" w:type="dxa"/>
            <w:tcBorders>
              <w:top w:val="nil"/>
              <w:left w:val="nil"/>
              <w:bottom w:val="nil"/>
              <w:right w:val="nil"/>
            </w:tcBorders>
            <w:shd w:val="clear" w:color="auto" w:fill="auto"/>
            <w:vAlign w:val="center"/>
            <w:hideMark/>
          </w:tcPr>
          <w:p w14:paraId="6B98A014"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1,930</w:t>
            </w:r>
          </w:p>
        </w:tc>
        <w:tc>
          <w:tcPr>
            <w:tcW w:w="1150" w:type="dxa"/>
            <w:tcBorders>
              <w:top w:val="nil"/>
              <w:left w:val="nil"/>
              <w:bottom w:val="nil"/>
              <w:right w:val="nil"/>
            </w:tcBorders>
            <w:shd w:val="clear" w:color="auto" w:fill="auto"/>
            <w:vAlign w:val="center"/>
            <w:hideMark/>
          </w:tcPr>
          <w:p w14:paraId="594217AD"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121</w:t>
            </w:r>
          </w:p>
        </w:tc>
        <w:tc>
          <w:tcPr>
            <w:tcW w:w="1135" w:type="dxa"/>
            <w:tcBorders>
              <w:top w:val="nil"/>
              <w:left w:val="nil"/>
              <w:bottom w:val="nil"/>
              <w:right w:val="nil"/>
            </w:tcBorders>
            <w:shd w:val="clear" w:color="auto" w:fill="auto"/>
            <w:vAlign w:val="center"/>
            <w:hideMark/>
          </w:tcPr>
          <w:p w14:paraId="57931DCA"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4.84</w:t>
            </w:r>
          </w:p>
        </w:tc>
        <w:tc>
          <w:tcPr>
            <w:tcW w:w="1157" w:type="dxa"/>
            <w:tcBorders>
              <w:top w:val="nil"/>
              <w:left w:val="nil"/>
              <w:bottom w:val="nil"/>
              <w:right w:val="nil"/>
            </w:tcBorders>
            <w:shd w:val="clear" w:color="auto" w:fill="auto"/>
            <w:vAlign w:val="center"/>
            <w:hideMark/>
          </w:tcPr>
          <w:p w14:paraId="41EAB556"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4.55</w:t>
            </w:r>
          </w:p>
        </w:tc>
        <w:tc>
          <w:tcPr>
            <w:tcW w:w="1153" w:type="dxa"/>
            <w:tcBorders>
              <w:top w:val="nil"/>
              <w:left w:val="nil"/>
              <w:bottom w:val="nil"/>
              <w:right w:val="nil"/>
            </w:tcBorders>
            <w:shd w:val="clear" w:color="auto" w:fill="auto"/>
            <w:vAlign w:val="center"/>
            <w:hideMark/>
          </w:tcPr>
          <w:p w14:paraId="643B6DBF"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0.29</w:t>
            </w:r>
          </w:p>
        </w:tc>
      </w:tr>
      <w:tr w:rsidR="00D45A28" w:rsidRPr="000D61D1" w14:paraId="10823D5E" w14:textId="77777777" w:rsidTr="003C620A">
        <w:trPr>
          <w:trHeight w:val="290"/>
        </w:trPr>
        <w:tc>
          <w:tcPr>
            <w:tcW w:w="2835" w:type="dxa"/>
            <w:tcBorders>
              <w:top w:val="nil"/>
              <w:left w:val="nil"/>
              <w:bottom w:val="nil"/>
              <w:right w:val="nil"/>
            </w:tcBorders>
            <w:shd w:val="clear" w:color="auto" w:fill="auto"/>
            <w:vAlign w:val="center"/>
            <w:hideMark/>
          </w:tcPr>
          <w:p w14:paraId="0754E034"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Low-income renter</w:t>
            </w:r>
          </w:p>
        </w:tc>
        <w:tc>
          <w:tcPr>
            <w:tcW w:w="913" w:type="dxa"/>
            <w:tcBorders>
              <w:top w:val="nil"/>
              <w:left w:val="nil"/>
              <w:bottom w:val="nil"/>
              <w:right w:val="nil"/>
            </w:tcBorders>
            <w:shd w:val="clear" w:color="000000" w:fill="E7E6E6"/>
            <w:vAlign w:val="center"/>
            <w:hideMark/>
          </w:tcPr>
          <w:p w14:paraId="5E29CDCE"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8,598</w:t>
            </w:r>
          </w:p>
        </w:tc>
        <w:tc>
          <w:tcPr>
            <w:tcW w:w="913" w:type="dxa"/>
            <w:tcBorders>
              <w:top w:val="nil"/>
              <w:left w:val="nil"/>
              <w:bottom w:val="nil"/>
              <w:right w:val="nil"/>
            </w:tcBorders>
            <w:shd w:val="clear" w:color="auto" w:fill="auto"/>
            <w:vAlign w:val="center"/>
            <w:hideMark/>
          </w:tcPr>
          <w:p w14:paraId="04C94A68"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10,692</w:t>
            </w:r>
          </w:p>
        </w:tc>
        <w:tc>
          <w:tcPr>
            <w:tcW w:w="1150" w:type="dxa"/>
            <w:tcBorders>
              <w:top w:val="nil"/>
              <w:left w:val="nil"/>
              <w:bottom w:val="nil"/>
              <w:right w:val="nil"/>
            </w:tcBorders>
            <w:shd w:val="clear" w:color="auto" w:fill="auto"/>
            <w:vAlign w:val="center"/>
            <w:hideMark/>
          </w:tcPr>
          <w:p w14:paraId="393820D8"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-2,094</w:t>
            </w:r>
          </w:p>
        </w:tc>
        <w:tc>
          <w:tcPr>
            <w:tcW w:w="1135" w:type="dxa"/>
            <w:tcBorders>
              <w:top w:val="nil"/>
              <w:left w:val="nil"/>
              <w:bottom w:val="nil"/>
              <w:right w:val="nil"/>
            </w:tcBorders>
            <w:shd w:val="clear" w:color="auto" w:fill="auto"/>
            <w:vAlign w:val="center"/>
            <w:hideMark/>
          </w:tcPr>
          <w:p w14:paraId="3950C6A0"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17.82</w:t>
            </w:r>
          </w:p>
        </w:tc>
        <w:tc>
          <w:tcPr>
            <w:tcW w:w="1157" w:type="dxa"/>
            <w:tcBorders>
              <w:top w:val="nil"/>
              <w:left w:val="nil"/>
              <w:bottom w:val="nil"/>
              <w:right w:val="nil"/>
            </w:tcBorders>
            <w:shd w:val="clear" w:color="auto" w:fill="auto"/>
            <w:vAlign w:val="center"/>
            <w:hideMark/>
          </w:tcPr>
          <w:p w14:paraId="6AE0BEE4"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22.65</w:t>
            </w:r>
          </w:p>
        </w:tc>
        <w:tc>
          <w:tcPr>
            <w:tcW w:w="1153" w:type="dxa"/>
            <w:tcBorders>
              <w:top w:val="nil"/>
              <w:left w:val="nil"/>
              <w:bottom w:val="nil"/>
              <w:right w:val="nil"/>
            </w:tcBorders>
            <w:shd w:val="clear" w:color="auto" w:fill="auto"/>
            <w:vAlign w:val="center"/>
            <w:hideMark/>
          </w:tcPr>
          <w:p w14:paraId="4B0817B4"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-4.82</w:t>
            </w:r>
          </w:p>
        </w:tc>
      </w:tr>
      <w:tr w:rsidR="00D45A28" w:rsidRPr="000D61D1" w14:paraId="60223599" w14:textId="77777777" w:rsidTr="003C620A">
        <w:trPr>
          <w:trHeight w:val="290"/>
        </w:trPr>
        <w:tc>
          <w:tcPr>
            <w:tcW w:w="2835" w:type="dxa"/>
            <w:tcBorders>
              <w:top w:val="nil"/>
              <w:left w:val="nil"/>
              <w:bottom w:val="nil"/>
              <w:right w:val="nil"/>
            </w:tcBorders>
            <w:shd w:val="clear" w:color="auto" w:fill="auto"/>
            <w:vAlign w:val="center"/>
            <w:hideMark/>
          </w:tcPr>
          <w:p w14:paraId="6F7904FB"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Middle-income homeowner</w:t>
            </w:r>
          </w:p>
        </w:tc>
        <w:tc>
          <w:tcPr>
            <w:tcW w:w="913" w:type="dxa"/>
            <w:tcBorders>
              <w:top w:val="nil"/>
              <w:left w:val="nil"/>
              <w:bottom w:val="nil"/>
              <w:right w:val="nil"/>
            </w:tcBorders>
            <w:shd w:val="clear" w:color="000000" w:fill="E7E6E6"/>
            <w:vAlign w:val="center"/>
            <w:hideMark/>
          </w:tcPr>
          <w:p w14:paraId="10C0F61D"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3,546</w:t>
            </w:r>
          </w:p>
        </w:tc>
        <w:tc>
          <w:tcPr>
            <w:tcW w:w="913" w:type="dxa"/>
            <w:tcBorders>
              <w:top w:val="nil"/>
              <w:left w:val="nil"/>
              <w:bottom w:val="nil"/>
              <w:right w:val="nil"/>
            </w:tcBorders>
            <w:shd w:val="clear" w:color="auto" w:fill="auto"/>
            <w:vAlign w:val="center"/>
            <w:hideMark/>
          </w:tcPr>
          <w:p w14:paraId="55AE83C9"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3,635</w:t>
            </w:r>
          </w:p>
        </w:tc>
        <w:tc>
          <w:tcPr>
            <w:tcW w:w="1150" w:type="dxa"/>
            <w:tcBorders>
              <w:top w:val="nil"/>
              <w:left w:val="nil"/>
              <w:bottom w:val="nil"/>
              <w:right w:val="nil"/>
            </w:tcBorders>
            <w:shd w:val="clear" w:color="auto" w:fill="auto"/>
            <w:vAlign w:val="center"/>
            <w:hideMark/>
          </w:tcPr>
          <w:p w14:paraId="23029A47"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-89</w:t>
            </w:r>
          </w:p>
        </w:tc>
        <w:tc>
          <w:tcPr>
            <w:tcW w:w="1135" w:type="dxa"/>
            <w:tcBorders>
              <w:top w:val="nil"/>
              <w:left w:val="nil"/>
              <w:bottom w:val="nil"/>
              <w:right w:val="nil"/>
            </w:tcBorders>
            <w:shd w:val="clear" w:color="auto" w:fill="auto"/>
            <w:vAlign w:val="center"/>
            <w:hideMark/>
          </w:tcPr>
          <w:p w14:paraId="35E54A9E"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4.34</w:t>
            </w:r>
          </w:p>
        </w:tc>
        <w:tc>
          <w:tcPr>
            <w:tcW w:w="1157" w:type="dxa"/>
            <w:tcBorders>
              <w:top w:val="nil"/>
              <w:left w:val="nil"/>
              <w:bottom w:val="nil"/>
              <w:right w:val="nil"/>
            </w:tcBorders>
            <w:shd w:val="clear" w:color="auto" w:fill="auto"/>
            <w:vAlign w:val="center"/>
            <w:hideMark/>
          </w:tcPr>
          <w:p w14:paraId="386C6B69"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4.45</w:t>
            </w:r>
          </w:p>
        </w:tc>
        <w:tc>
          <w:tcPr>
            <w:tcW w:w="1153" w:type="dxa"/>
            <w:tcBorders>
              <w:top w:val="nil"/>
              <w:left w:val="nil"/>
              <w:bottom w:val="nil"/>
              <w:right w:val="nil"/>
            </w:tcBorders>
            <w:shd w:val="clear" w:color="auto" w:fill="auto"/>
            <w:vAlign w:val="center"/>
            <w:hideMark/>
          </w:tcPr>
          <w:p w14:paraId="32617715"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-0.11</w:t>
            </w:r>
          </w:p>
        </w:tc>
      </w:tr>
      <w:tr w:rsidR="00D45A28" w:rsidRPr="000D61D1" w14:paraId="65E77B54" w14:textId="77777777" w:rsidTr="003C620A">
        <w:trPr>
          <w:trHeight w:val="290"/>
        </w:trPr>
        <w:tc>
          <w:tcPr>
            <w:tcW w:w="2835" w:type="dxa"/>
            <w:tcBorders>
              <w:top w:val="nil"/>
              <w:left w:val="nil"/>
              <w:bottom w:val="nil"/>
              <w:right w:val="nil"/>
            </w:tcBorders>
            <w:shd w:val="clear" w:color="auto" w:fill="auto"/>
            <w:vAlign w:val="center"/>
            <w:hideMark/>
          </w:tcPr>
          <w:p w14:paraId="1B6F07AD"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Middle-income renter</w:t>
            </w:r>
          </w:p>
        </w:tc>
        <w:tc>
          <w:tcPr>
            <w:tcW w:w="913" w:type="dxa"/>
            <w:tcBorders>
              <w:top w:val="nil"/>
              <w:left w:val="nil"/>
              <w:bottom w:val="nil"/>
              <w:right w:val="nil"/>
            </w:tcBorders>
            <w:shd w:val="clear" w:color="000000" w:fill="E7E6E6"/>
            <w:vAlign w:val="center"/>
            <w:hideMark/>
          </w:tcPr>
          <w:p w14:paraId="0D862A34"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12,831</w:t>
            </w:r>
          </w:p>
        </w:tc>
        <w:tc>
          <w:tcPr>
            <w:tcW w:w="913" w:type="dxa"/>
            <w:tcBorders>
              <w:top w:val="nil"/>
              <w:left w:val="nil"/>
              <w:bottom w:val="nil"/>
              <w:right w:val="nil"/>
            </w:tcBorders>
            <w:shd w:val="clear" w:color="auto" w:fill="auto"/>
            <w:vAlign w:val="center"/>
            <w:hideMark/>
          </w:tcPr>
          <w:p w14:paraId="6F0DC2C3"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16,972</w:t>
            </w:r>
          </w:p>
        </w:tc>
        <w:tc>
          <w:tcPr>
            <w:tcW w:w="1150" w:type="dxa"/>
            <w:tcBorders>
              <w:top w:val="nil"/>
              <w:left w:val="nil"/>
              <w:bottom w:val="nil"/>
              <w:right w:val="nil"/>
            </w:tcBorders>
            <w:shd w:val="clear" w:color="auto" w:fill="auto"/>
            <w:vAlign w:val="center"/>
            <w:hideMark/>
          </w:tcPr>
          <w:p w14:paraId="7DF5A3AE"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-4,141</w:t>
            </w:r>
          </w:p>
        </w:tc>
        <w:tc>
          <w:tcPr>
            <w:tcW w:w="1135" w:type="dxa"/>
            <w:tcBorders>
              <w:top w:val="nil"/>
              <w:left w:val="nil"/>
              <w:bottom w:val="nil"/>
              <w:right w:val="nil"/>
            </w:tcBorders>
            <w:shd w:val="clear" w:color="auto" w:fill="auto"/>
            <w:vAlign w:val="center"/>
            <w:hideMark/>
          </w:tcPr>
          <w:p w14:paraId="53953954"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19.29</w:t>
            </w:r>
          </w:p>
        </w:tc>
        <w:tc>
          <w:tcPr>
            <w:tcW w:w="1157" w:type="dxa"/>
            <w:tcBorders>
              <w:top w:val="nil"/>
              <w:left w:val="nil"/>
              <w:bottom w:val="nil"/>
              <w:right w:val="nil"/>
            </w:tcBorders>
            <w:shd w:val="clear" w:color="auto" w:fill="auto"/>
            <w:vAlign w:val="center"/>
            <w:hideMark/>
          </w:tcPr>
          <w:p w14:paraId="1EC533BE"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25.46</w:t>
            </w:r>
          </w:p>
        </w:tc>
        <w:tc>
          <w:tcPr>
            <w:tcW w:w="1153" w:type="dxa"/>
            <w:tcBorders>
              <w:top w:val="nil"/>
              <w:left w:val="nil"/>
              <w:bottom w:val="nil"/>
              <w:right w:val="nil"/>
            </w:tcBorders>
            <w:shd w:val="clear" w:color="auto" w:fill="auto"/>
            <w:vAlign w:val="center"/>
            <w:hideMark/>
          </w:tcPr>
          <w:p w14:paraId="0E5ECCE7"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-6.17</w:t>
            </w:r>
          </w:p>
        </w:tc>
      </w:tr>
      <w:tr w:rsidR="00D45A28" w:rsidRPr="000D61D1" w14:paraId="11D329D2" w14:textId="77777777" w:rsidTr="003C620A">
        <w:trPr>
          <w:trHeight w:val="290"/>
        </w:trPr>
        <w:tc>
          <w:tcPr>
            <w:tcW w:w="2835" w:type="dxa"/>
            <w:tcBorders>
              <w:top w:val="nil"/>
              <w:left w:val="nil"/>
              <w:bottom w:val="nil"/>
              <w:right w:val="nil"/>
            </w:tcBorders>
            <w:shd w:val="clear" w:color="auto" w:fill="auto"/>
            <w:vAlign w:val="center"/>
            <w:hideMark/>
          </w:tcPr>
          <w:p w14:paraId="7C73354E"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Pensioner homeowner</w:t>
            </w:r>
          </w:p>
        </w:tc>
        <w:tc>
          <w:tcPr>
            <w:tcW w:w="913" w:type="dxa"/>
            <w:tcBorders>
              <w:top w:val="nil"/>
              <w:left w:val="nil"/>
              <w:bottom w:val="nil"/>
              <w:right w:val="nil"/>
            </w:tcBorders>
            <w:shd w:val="clear" w:color="000000" w:fill="E7E6E6"/>
            <w:vAlign w:val="center"/>
            <w:hideMark/>
          </w:tcPr>
          <w:p w14:paraId="6AD0F1D6"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2,346</w:t>
            </w:r>
          </w:p>
        </w:tc>
        <w:tc>
          <w:tcPr>
            <w:tcW w:w="913" w:type="dxa"/>
            <w:tcBorders>
              <w:top w:val="nil"/>
              <w:left w:val="nil"/>
              <w:bottom w:val="nil"/>
              <w:right w:val="nil"/>
            </w:tcBorders>
            <w:shd w:val="clear" w:color="auto" w:fill="auto"/>
            <w:vAlign w:val="center"/>
            <w:hideMark/>
          </w:tcPr>
          <w:p w14:paraId="6CDA8C5C"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1,993</w:t>
            </w:r>
          </w:p>
        </w:tc>
        <w:tc>
          <w:tcPr>
            <w:tcW w:w="1150" w:type="dxa"/>
            <w:tcBorders>
              <w:top w:val="nil"/>
              <w:left w:val="nil"/>
              <w:bottom w:val="nil"/>
              <w:right w:val="nil"/>
            </w:tcBorders>
            <w:shd w:val="clear" w:color="auto" w:fill="auto"/>
            <w:vAlign w:val="center"/>
            <w:hideMark/>
          </w:tcPr>
          <w:p w14:paraId="17479BBD"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354</w:t>
            </w:r>
          </w:p>
        </w:tc>
        <w:tc>
          <w:tcPr>
            <w:tcW w:w="1135" w:type="dxa"/>
            <w:tcBorders>
              <w:top w:val="nil"/>
              <w:left w:val="nil"/>
              <w:bottom w:val="nil"/>
              <w:right w:val="nil"/>
            </w:tcBorders>
            <w:shd w:val="clear" w:color="auto" w:fill="auto"/>
            <w:vAlign w:val="center"/>
            <w:hideMark/>
          </w:tcPr>
          <w:p w14:paraId="312E4DF2"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4.04</w:t>
            </w:r>
          </w:p>
        </w:tc>
        <w:tc>
          <w:tcPr>
            <w:tcW w:w="1157" w:type="dxa"/>
            <w:tcBorders>
              <w:top w:val="nil"/>
              <w:left w:val="nil"/>
              <w:bottom w:val="nil"/>
              <w:right w:val="nil"/>
            </w:tcBorders>
            <w:shd w:val="clear" w:color="auto" w:fill="auto"/>
            <w:vAlign w:val="center"/>
            <w:hideMark/>
          </w:tcPr>
          <w:p w14:paraId="5870FDCD"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3.43</w:t>
            </w:r>
          </w:p>
        </w:tc>
        <w:tc>
          <w:tcPr>
            <w:tcW w:w="1153" w:type="dxa"/>
            <w:tcBorders>
              <w:top w:val="nil"/>
              <w:left w:val="nil"/>
              <w:bottom w:val="nil"/>
              <w:right w:val="nil"/>
            </w:tcBorders>
            <w:shd w:val="clear" w:color="auto" w:fill="auto"/>
            <w:vAlign w:val="center"/>
            <w:hideMark/>
          </w:tcPr>
          <w:p w14:paraId="01C586DB"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0.61</w:t>
            </w:r>
          </w:p>
        </w:tc>
      </w:tr>
      <w:tr w:rsidR="00D45A28" w:rsidRPr="000D61D1" w14:paraId="47FB282B" w14:textId="77777777" w:rsidTr="003C620A">
        <w:trPr>
          <w:trHeight w:val="290"/>
        </w:trPr>
        <w:tc>
          <w:tcPr>
            <w:tcW w:w="2835" w:type="dxa"/>
            <w:tcBorders>
              <w:top w:val="nil"/>
              <w:left w:val="nil"/>
              <w:bottom w:val="nil"/>
              <w:right w:val="nil"/>
            </w:tcBorders>
            <w:shd w:val="clear" w:color="auto" w:fill="auto"/>
            <w:vAlign w:val="center"/>
            <w:hideMark/>
          </w:tcPr>
          <w:p w14:paraId="6CF821D9"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Pensioner renter</w:t>
            </w:r>
          </w:p>
        </w:tc>
        <w:tc>
          <w:tcPr>
            <w:tcW w:w="913" w:type="dxa"/>
            <w:tcBorders>
              <w:top w:val="nil"/>
              <w:left w:val="nil"/>
              <w:bottom w:val="nil"/>
              <w:right w:val="nil"/>
            </w:tcBorders>
            <w:shd w:val="clear" w:color="000000" w:fill="E7E6E6"/>
            <w:vAlign w:val="center"/>
            <w:hideMark/>
          </w:tcPr>
          <w:p w14:paraId="06377A65"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9,987</w:t>
            </w:r>
          </w:p>
        </w:tc>
        <w:tc>
          <w:tcPr>
            <w:tcW w:w="913" w:type="dxa"/>
            <w:tcBorders>
              <w:top w:val="nil"/>
              <w:left w:val="nil"/>
              <w:bottom w:val="nil"/>
              <w:right w:val="nil"/>
            </w:tcBorders>
            <w:shd w:val="clear" w:color="auto" w:fill="auto"/>
            <w:vAlign w:val="center"/>
            <w:hideMark/>
          </w:tcPr>
          <w:p w14:paraId="195F3236"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12,432</w:t>
            </w:r>
          </w:p>
        </w:tc>
        <w:tc>
          <w:tcPr>
            <w:tcW w:w="1150" w:type="dxa"/>
            <w:tcBorders>
              <w:top w:val="nil"/>
              <w:left w:val="nil"/>
              <w:bottom w:val="nil"/>
              <w:right w:val="nil"/>
            </w:tcBorders>
            <w:shd w:val="clear" w:color="auto" w:fill="auto"/>
            <w:vAlign w:val="center"/>
            <w:hideMark/>
          </w:tcPr>
          <w:p w14:paraId="7415F9F6"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-2,446</w:t>
            </w:r>
          </w:p>
        </w:tc>
        <w:tc>
          <w:tcPr>
            <w:tcW w:w="1135" w:type="dxa"/>
            <w:tcBorders>
              <w:top w:val="nil"/>
              <w:left w:val="nil"/>
              <w:bottom w:val="nil"/>
              <w:right w:val="nil"/>
            </w:tcBorders>
            <w:shd w:val="clear" w:color="auto" w:fill="auto"/>
            <w:vAlign w:val="center"/>
            <w:hideMark/>
          </w:tcPr>
          <w:p w14:paraId="0A2342FD"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20.32</w:t>
            </w:r>
          </w:p>
        </w:tc>
        <w:tc>
          <w:tcPr>
            <w:tcW w:w="1157" w:type="dxa"/>
            <w:tcBorders>
              <w:top w:val="nil"/>
              <w:left w:val="nil"/>
              <w:bottom w:val="nil"/>
              <w:right w:val="nil"/>
            </w:tcBorders>
            <w:shd w:val="clear" w:color="auto" w:fill="auto"/>
            <w:vAlign w:val="center"/>
            <w:hideMark/>
          </w:tcPr>
          <w:p w14:paraId="05CD97B1"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25.30</w:t>
            </w:r>
          </w:p>
        </w:tc>
        <w:tc>
          <w:tcPr>
            <w:tcW w:w="1153" w:type="dxa"/>
            <w:tcBorders>
              <w:top w:val="nil"/>
              <w:left w:val="nil"/>
              <w:bottom w:val="nil"/>
              <w:right w:val="nil"/>
            </w:tcBorders>
            <w:shd w:val="clear" w:color="auto" w:fill="auto"/>
            <w:vAlign w:val="center"/>
            <w:hideMark/>
          </w:tcPr>
          <w:p w14:paraId="3B41021F"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-4.98</w:t>
            </w:r>
          </w:p>
        </w:tc>
      </w:tr>
      <w:tr w:rsidR="00D45A28" w:rsidRPr="000D61D1" w14:paraId="29419F57" w14:textId="77777777" w:rsidTr="003C620A">
        <w:trPr>
          <w:trHeight w:val="290"/>
        </w:trPr>
        <w:tc>
          <w:tcPr>
            <w:tcW w:w="2835" w:type="dxa"/>
            <w:tcBorders>
              <w:top w:val="nil"/>
              <w:left w:val="nil"/>
              <w:right w:val="nil"/>
            </w:tcBorders>
            <w:shd w:val="clear" w:color="auto" w:fill="auto"/>
            <w:vAlign w:val="center"/>
            <w:hideMark/>
          </w:tcPr>
          <w:p w14:paraId="0940C959"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Female-head homeowner</w:t>
            </w:r>
          </w:p>
        </w:tc>
        <w:tc>
          <w:tcPr>
            <w:tcW w:w="913" w:type="dxa"/>
            <w:tcBorders>
              <w:top w:val="nil"/>
              <w:left w:val="nil"/>
              <w:right w:val="nil"/>
            </w:tcBorders>
            <w:shd w:val="clear" w:color="000000" w:fill="E7E6E6"/>
            <w:vAlign w:val="center"/>
            <w:hideMark/>
          </w:tcPr>
          <w:p w14:paraId="15791900"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3,365</w:t>
            </w:r>
          </w:p>
        </w:tc>
        <w:tc>
          <w:tcPr>
            <w:tcW w:w="913" w:type="dxa"/>
            <w:tcBorders>
              <w:top w:val="nil"/>
              <w:left w:val="nil"/>
              <w:right w:val="nil"/>
            </w:tcBorders>
            <w:shd w:val="clear" w:color="auto" w:fill="auto"/>
            <w:vAlign w:val="center"/>
            <w:hideMark/>
          </w:tcPr>
          <w:p w14:paraId="61C0DB48"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3,260</w:t>
            </w:r>
          </w:p>
        </w:tc>
        <w:tc>
          <w:tcPr>
            <w:tcW w:w="1150" w:type="dxa"/>
            <w:tcBorders>
              <w:top w:val="nil"/>
              <w:left w:val="nil"/>
              <w:right w:val="nil"/>
            </w:tcBorders>
            <w:shd w:val="clear" w:color="auto" w:fill="auto"/>
            <w:vAlign w:val="center"/>
            <w:hideMark/>
          </w:tcPr>
          <w:p w14:paraId="3EA94188"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105</w:t>
            </w:r>
          </w:p>
        </w:tc>
        <w:tc>
          <w:tcPr>
            <w:tcW w:w="1135" w:type="dxa"/>
            <w:tcBorders>
              <w:top w:val="nil"/>
              <w:left w:val="nil"/>
              <w:right w:val="nil"/>
            </w:tcBorders>
            <w:shd w:val="clear" w:color="auto" w:fill="auto"/>
            <w:vAlign w:val="center"/>
            <w:hideMark/>
          </w:tcPr>
          <w:p w14:paraId="7E43D937"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4.18</w:t>
            </w:r>
          </w:p>
        </w:tc>
        <w:tc>
          <w:tcPr>
            <w:tcW w:w="1157" w:type="dxa"/>
            <w:tcBorders>
              <w:top w:val="nil"/>
              <w:left w:val="nil"/>
              <w:right w:val="nil"/>
            </w:tcBorders>
            <w:shd w:val="clear" w:color="auto" w:fill="auto"/>
            <w:vAlign w:val="center"/>
            <w:hideMark/>
          </w:tcPr>
          <w:p w14:paraId="0BF118E1"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4.05</w:t>
            </w:r>
          </w:p>
        </w:tc>
        <w:tc>
          <w:tcPr>
            <w:tcW w:w="1153" w:type="dxa"/>
            <w:tcBorders>
              <w:top w:val="nil"/>
              <w:left w:val="nil"/>
              <w:right w:val="nil"/>
            </w:tcBorders>
            <w:shd w:val="clear" w:color="auto" w:fill="auto"/>
            <w:vAlign w:val="center"/>
            <w:hideMark/>
          </w:tcPr>
          <w:p w14:paraId="3B5439FE"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0.13</w:t>
            </w:r>
          </w:p>
        </w:tc>
      </w:tr>
      <w:tr w:rsidR="00D45A28" w:rsidRPr="000D61D1" w14:paraId="509B095A" w14:textId="77777777" w:rsidTr="003C620A">
        <w:trPr>
          <w:trHeight w:val="300"/>
        </w:trPr>
        <w:tc>
          <w:tcPr>
            <w:tcW w:w="2835" w:type="dxa"/>
            <w:tcBorders>
              <w:top w:val="nil"/>
              <w:left w:val="nil"/>
              <w:bottom w:val="single" w:sz="12" w:space="0" w:color="auto"/>
              <w:right w:val="nil"/>
            </w:tcBorders>
            <w:shd w:val="clear" w:color="auto" w:fill="auto"/>
            <w:vAlign w:val="center"/>
            <w:hideMark/>
          </w:tcPr>
          <w:p w14:paraId="558A8CD1" w14:textId="77777777" w:rsidR="00D45A28" w:rsidRPr="000D61D1" w:rsidRDefault="00D45A28" w:rsidP="00D45A28">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Female head renter</w:t>
            </w:r>
          </w:p>
        </w:tc>
        <w:tc>
          <w:tcPr>
            <w:tcW w:w="913" w:type="dxa"/>
            <w:tcBorders>
              <w:top w:val="nil"/>
              <w:left w:val="nil"/>
              <w:bottom w:val="single" w:sz="12" w:space="0" w:color="auto"/>
              <w:right w:val="nil"/>
            </w:tcBorders>
            <w:shd w:val="clear" w:color="000000" w:fill="E7E6E6"/>
            <w:vAlign w:val="center"/>
            <w:hideMark/>
          </w:tcPr>
          <w:p w14:paraId="3F492151"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14,415</w:t>
            </w:r>
          </w:p>
        </w:tc>
        <w:tc>
          <w:tcPr>
            <w:tcW w:w="913" w:type="dxa"/>
            <w:tcBorders>
              <w:top w:val="nil"/>
              <w:left w:val="nil"/>
              <w:bottom w:val="single" w:sz="12" w:space="0" w:color="auto"/>
              <w:right w:val="nil"/>
            </w:tcBorders>
            <w:shd w:val="clear" w:color="auto" w:fill="auto"/>
            <w:vAlign w:val="center"/>
            <w:hideMark/>
          </w:tcPr>
          <w:p w14:paraId="738FEFC6"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18,855</w:t>
            </w:r>
          </w:p>
        </w:tc>
        <w:tc>
          <w:tcPr>
            <w:tcW w:w="1150" w:type="dxa"/>
            <w:tcBorders>
              <w:top w:val="nil"/>
              <w:left w:val="nil"/>
              <w:bottom w:val="single" w:sz="12" w:space="0" w:color="auto"/>
              <w:right w:val="nil"/>
            </w:tcBorders>
            <w:shd w:val="clear" w:color="auto" w:fill="auto"/>
            <w:vAlign w:val="center"/>
            <w:hideMark/>
          </w:tcPr>
          <w:p w14:paraId="73EE667A"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-4,440</w:t>
            </w:r>
          </w:p>
        </w:tc>
        <w:tc>
          <w:tcPr>
            <w:tcW w:w="1135" w:type="dxa"/>
            <w:tcBorders>
              <w:top w:val="nil"/>
              <w:left w:val="nil"/>
              <w:bottom w:val="single" w:sz="12" w:space="0" w:color="auto"/>
              <w:right w:val="nil"/>
            </w:tcBorders>
            <w:shd w:val="clear" w:color="auto" w:fill="auto"/>
            <w:vAlign w:val="center"/>
            <w:hideMark/>
          </w:tcPr>
          <w:p w14:paraId="1BDE57B9"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17.28</w:t>
            </w:r>
          </w:p>
        </w:tc>
        <w:tc>
          <w:tcPr>
            <w:tcW w:w="1157" w:type="dxa"/>
            <w:tcBorders>
              <w:top w:val="nil"/>
              <w:left w:val="nil"/>
              <w:bottom w:val="single" w:sz="12" w:space="0" w:color="auto"/>
              <w:right w:val="nil"/>
            </w:tcBorders>
            <w:shd w:val="clear" w:color="auto" w:fill="auto"/>
            <w:vAlign w:val="center"/>
            <w:hideMark/>
          </w:tcPr>
          <w:p w14:paraId="3BD8225C"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22.60</w:t>
            </w:r>
          </w:p>
        </w:tc>
        <w:tc>
          <w:tcPr>
            <w:tcW w:w="1153" w:type="dxa"/>
            <w:tcBorders>
              <w:top w:val="nil"/>
              <w:left w:val="nil"/>
              <w:bottom w:val="single" w:sz="12" w:space="0" w:color="auto"/>
              <w:right w:val="nil"/>
            </w:tcBorders>
            <w:shd w:val="clear" w:color="auto" w:fill="auto"/>
            <w:vAlign w:val="center"/>
            <w:hideMark/>
          </w:tcPr>
          <w:p w14:paraId="6DAAE834" w14:textId="77777777" w:rsidR="00D45A28" w:rsidRPr="000171E9" w:rsidRDefault="00D45A28" w:rsidP="00D45A28">
            <w:pPr>
              <w:spacing w:after="0"/>
              <w:jc w:val="right"/>
              <w:rPr>
                <w:rFonts w:ascii="Calibri" w:eastAsia="Times New Roman" w:hAnsi="Calibri" w:cs="Calibri"/>
                <w:color w:val="000000"/>
                <w:sz w:val="22"/>
                <w:szCs w:val="22"/>
                <w:lang w:val="en-AU" w:eastAsia="en-AU"/>
              </w:rPr>
            </w:pPr>
            <w:r w:rsidRPr="000171E9">
              <w:rPr>
                <w:sz w:val="22"/>
                <w:szCs w:val="22"/>
              </w:rPr>
              <w:t>-5.32</w:t>
            </w:r>
          </w:p>
        </w:tc>
      </w:tr>
    </w:tbl>
    <w:p w14:paraId="66C2A247" w14:textId="77777777" w:rsidR="003C620A" w:rsidRPr="000D61D1" w:rsidRDefault="003C620A" w:rsidP="003C620A">
      <w:pPr>
        <w:pStyle w:val="BlockText"/>
        <w:rPr>
          <w:lang w:val="en-AU"/>
        </w:rPr>
      </w:pPr>
      <w:r w:rsidRPr="000D61D1">
        <w:rPr>
          <w:i/>
          <w:lang w:val="en-AU"/>
        </w:rPr>
        <w:t>Source:</w:t>
      </w:r>
      <w:r w:rsidRPr="000D61D1">
        <w:rPr>
          <w:lang w:val="en-AU"/>
        </w:rPr>
        <w:t xml:space="preserve"> Calculations from NATSEM microsimulation model.</w:t>
      </w:r>
      <w:r w:rsidRPr="000D61D1">
        <w:rPr>
          <w:lang w:val="en-AU"/>
        </w:rPr>
        <w:br/>
      </w:r>
    </w:p>
    <w:p w14:paraId="53D85CCD" w14:textId="77777777" w:rsidR="003C620A" w:rsidRPr="000D61D1" w:rsidRDefault="003C620A" w:rsidP="003C620A">
      <w:pPr>
        <w:pStyle w:val="Heading3"/>
        <w:rPr>
          <w:lang w:val="en-AU"/>
        </w:rPr>
      </w:pPr>
      <w:bookmarkStart w:id="17" w:name="_Toc43911478"/>
      <w:r w:rsidRPr="000D61D1">
        <w:rPr>
          <w:lang w:val="en-AU"/>
        </w:rPr>
        <w:lastRenderedPageBreak/>
        <w:t>Results by income quintile</w:t>
      </w:r>
      <w:bookmarkEnd w:id="17"/>
    </w:p>
    <w:p w14:paraId="2E6D0A9A" w14:textId="12574205" w:rsidR="003C620A" w:rsidRPr="000D61D1" w:rsidRDefault="003C620A" w:rsidP="003C620A">
      <w:pPr>
        <w:rPr>
          <w:lang w:val="en-AU"/>
        </w:rPr>
      </w:pPr>
      <w:r w:rsidRPr="000D61D1">
        <w:rPr>
          <w:lang w:val="en-AU"/>
        </w:rPr>
        <w:t xml:space="preserve">This section provides the results from our modelling by income quintile. The results for the impact on the distribution of rates are shown </w:t>
      </w:r>
      <w:r w:rsidRPr="00A6304C">
        <w:rPr>
          <w:lang w:val="en-AU"/>
        </w:rPr>
        <w:t xml:space="preserve">in </w:t>
      </w:r>
      <w:r w:rsidRPr="00A6304C">
        <w:rPr>
          <w:lang w:val="en-AU"/>
        </w:rPr>
        <w:fldChar w:fldCharType="begin"/>
      </w:r>
      <w:r w:rsidRPr="00A6304C">
        <w:rPr>
          <w:lang w:val="en-AU"/>
        </w:rPr>
        <w:instrText xml:space="preserve"> REF _Ref32496674 \h </w:instrText>
      </w:r>
      <w:r w:rsidRPr="00A6304C">
        <w:rPr>
          <w:lang w:val="en-AU"/>
        </w:rPr>
      </w:r>
      <w:r w:rsidR="00A6304C" w:rsidRPr="00A6304C">
        <w:rPr>
          <w:lang w:val="en-AU"/>
        </w:rPr>
        <w:instrText xml:space="preserve"> \* MERGEFORMAT </w:instrText>
      </w:r>
      <w:r w:rsidRPr="00A6304C">
        <w:rPr>
          <w:lang w:val="en-AU"/>
        </w:rPr>
        <w:fldChar w:fldCharType="separate"/>
      </w:r>
      <w:r w:rsidR="00A6304C" w:rsidRPr="00A6304C">
        <w:t>Table 5</w:t>
      </w:r>
      <w:r w:rsidRPr="00A6304C">
        <w:rPr>
          <w:lang w:val="en-AU"/>
        </w:rPr>
        <w:fldChar w:fldCharType="end"/>
      </w:r>
      <w:r w:rsidRPr="000D61D1">
        <w:rPr>
          <w:lang w:val="en-AU"/>
        </w:rPr>
        <w:t xml:space="preserve">; the stamp duty distribution in </w:t>
      </w:r>
      <w:r w:rsidR="00A6304C">
        <w:rPr>
          <w:lang w:val="en-AU"/>
        </w:rPr>
        <w:t>Table 6</w:t>
      </w:r>
      <w:r w:rsidRPr="000D61D1">
        <w:rPr>
          <w:lang w:val="en-AU"/>
        </w:rPr>
        <w:t xml:space="preserve">; the number of properties purchased  in </w:t>
      </w:r>
      <w:r w:rsidR="00A6304C">
        <w:rPr>
          <w:lang w:val="en-AU"/>
        </w:rPr>
        <w:t>Table 7</w:t>
      </w:r>
      <w:r w:rsidRPr="000D61D1">
        <w:rPr>
          <w:lang w:val="en-AU"/>
        </w:rPr>
        <w:t xml:space="preserve">; the and for the change in terms of incomes is shown in </w:t>
      </w:r>
      <w:r w:rsidR="00A6304C">
        <w:rPr>
          <w:lang w:val="en-AU"/>
        </w:rPr>
        <w:t>Table 8</w:t>
      </w:r>
      <w:r w:rsidRPr="000D61D1">
        <w:rPr>
          <w:lang w:val="en-AU"/>
        </w:rPr>
        <w:t>.</w:t>
      </w:r>
    </w:p>
    <w:p w14:paraId="283C7F87" w14:textId="65F7CB8C" w:rsidR="003C620A" w:rsidRPr="000D61D1" w:rsidRDefault="00A6304C" w:rsidP="003C620A">
      <w:pPr>
        <w:rPr>
          <w:lang w:val="en-AU"/>
        </w:rPr>
      </w:pPr>
      <w:r>
        <w:rPr>
          <w:lang w:val="en-AU"/>
        </w:rPr>
        <w:t>Table 5</w:t>
      </w:r>
      <w:r w:rsidR="003C620A" w:rsidRPr="000D61D1">
        <w:rPr>
          <w:lang w:val="en-AU"/>
        </w:rPr>
        <w:t xml:space="preserve"> shows the distribution of the total rates paid by each income quintile. The figure of </w:t>
      </w:r>
      <w:r w:rsidR="003C620A">
        <w:rPr>
          <w:lang w:val="en-AU"/>
        </w:rPr>
        <w:t>8</w:t>
      </w:r>
      <w:r w:rsidR="003C620A" w:rsidRPr="000D61D1">
        <w:rPr>
          <w:lang w:val="en-AU"/>
        </w:rPr>
        <w:t>.</w:t>
      </w:r>
      <w:r w:rsidR="003C620A">
        <w:rPr>
          <w:lang w:val="en-AU"/>
        </w:rPr>
        <w:t>73</w:t>
      </w:r>
      <w:r w:rsidR="003C620A" w:rsidRPr="000D61D1">
        <w:rPr>
          <w:lang w:val="en-AU"/>
        </w:rPr>
        <w:t xml:space="preserve">% means that income quintile 1 pays </w:t>
      </w:r>
      <w:r w:rsidR="003C620A">
        <w:rPr>
          <w:lang w:val="en-AU"/>
        </w:rPr>
        <w:t>8</w:t>
      </w:r>
      <w:r w:rsidR="003C620A" w:rsidRPr="000D61D1">
        <w:rPr>
          <w:lang w:val="en-AU"/>
        </w:rPr>
        <w:t>.</w:t>
      </w:r>
      <w:r w:rsidR="003C620A">
        <w:rPr>
          <w:lang w:val="en-AU"/>
        </w:rPr>
        <w:t>73</w:t>
      </w:r>
      <w:r w:rsidR="003C620A" w:rsidRPr="000D61D1">
        <w:rPr>
          <w:lang w:val="en-AU"/>
        </w:rPr>
        <w:t xml:space="preserve"> per cent of the total rates collected by the ACT Government. This will partly be because rates are only paid by owners, and many families in quintile 1 will be renters, either public or private. </w:t>
      </w:r>
      <w:r w:rsidR="003C620A" w:rsidRPr="00CF171D">
        <w:t xml:space="preserve"> </w:t>
      </w:r>
      <w:r w:rsidR="003C620A">
        <w:rPr>
          <w:lang w:val="en-AU"/>
        </w:rPr>
        <w:t>In addition,</w:t>
      </w:r>
      <w:r w:rsidR="003C620A" w:rsidRPr="00CF171D">
        <w:rPr>
          <w:lang w:val="en-AU"/>
        </w:rPr>
        <w:t xml:space="preserve"> </w:t>
      </w:r>
      <w:r w:rsidR="003C620A">
        <w:rPr>
          <w:lang w:val="en-AU"/>
        </w:rPr>
        <w:t>those</w:t>
      </w:r>
      <w:r w:rsidR="003C620A" w:rsidRPr="00CF171D">
        <w:rPr>
          <w:lang w:val="en-AU"/>
        </w:rPr>
        <w:t xml:space="preserve"> </w:t>
      </w:r>
      <w:r w:rsidR="003C620A">
        <w:rPr>
          <w:lang w:val="en-AU"/>
        </w:rPr>
        <w:t xml:space="preserve">families </w:t>
      </w:r>
      <w:r w:rsidR="003C620A" w:rsidRPr="00CF171D">
        <w:rPr>
          <w:lang w:val="en-AU"/>
        </w:rPr>
        <w:t xml:space="preserve">in Q1 </w:t>
      </w:r>
      <w:r w:rsidR="003C620A">
        <w:rPr>
          <w:lang w:val="en-AU"/>
        </w:rPr>
        <w:t xml:space="preserve">who do own properties </w:t>
      </w:r>
      <w:r w:rsidR="003C620A" w:rsidRPr="00CF171D">
        <w:rPr>
          <w:lang w:val="en-AU"/>
        </w:rPr>
        <w:t xml:space="preserve">are more likely to live in properties with lower unimproved values, </w:t>
      </w:r>
      <w:r w:rsidR="003C620A">
        <w:rPr>
          <w:lang w:val="en-AU"/>
        </w:rPr>
        <w:t xml:space="preserve">or be receiving rate assistance, </w:t>
      </w:r>
      <w:r w:rsidR="003C620A" w:rsidRPr="00CF171D">
        <w:rPr>
          <w:lang w:val="en-AU"/>
        </w:rPr>
        <w:t xml:space="preserve">and therefore, their rates </w:t>
      </w:r>
      <w:proofErr w:type="gramStart"/>
      <w:r w:rsidR="003C620A" w:rsidRPr="00CF171D">
        <w:rPr>
          <w:lang w:val="en-AU"/>
        </w:rPr>
        <w:t>bills</w:t>
      </w:r>
      <w:proofErr w:type="gramEnd"/>
      <w:r w:rsidR="003C620A" w:rsidRPr="00CF171D">
        <w:rPr>
          <w:lang w:val="en-AU"/>
        </w:rPr>
        <w:t xml:space="preserve"> and the proportion of rates raised from them would be lower. </w:t>
      </w:r>
      <w:r w:rsidR="003C620A">
        <w:rPr>
          <w:lang w:val="en-AU"/>
        </w:rPr>
        <w:t>Despite this, those families in</w:t>
      </w:r>
      <w:r w:rsidR="003C620A" w:rsidRPr="00CF171D">
        <w:rPr>
          <w:lang w:val="en-AU"/>
        </w:rPr>
        <w:t xml:space="preserve"> Q3 and Q4 </w:t>
      </w:r>
      <w:r w:rsidR="003C620A">
        <w:rPr>
          <w:lang w:val="en-AU"/>
        </w:rPr>
        <w:t>experience</w:t>
      </w:r>
      <w:r w:rsidR="003C620A" w:rsidRPr="00CF171D">
        <w:rPr>
          <w:lang w:val="en-AU"/>
        </w:rPr>
        <w:t xml:space="preserve"> the biggest percentage point decrease in the proportion of total rates paid </w:t>
      </w:r>
      <w:r w:rsidR="003C620A">
        <w:rPr>
          <w:lang w:val="en-AU"/>
        </w:rPr>
        <w:t>after the new policy is introduced.</w:t>
      </w:r>
    </w:p>
    <w:p w14:paraId="33F51FC2" w14:textId="77777777" w:rsidR="003C620A" w:rsidRPr="000D61D1" w:rsidRDefault="003C620A" w:rsidP="003C620A">
      <w:pPr>
        <w:rPr>
          <w:lang w:val="en-AU"/>
        </w:rPr>
      </w:pPr>
      <w:r w:rsidRPr="000D61D1">
        <w:rPr>
          <w:lang w:val="en-AU"/>
        </w:rPr>
        <w:t xml:space="preserve">Assuming an equal distribution, the amount in each income quintile would be 20%. </w:t>
      </w:r>
      <w:proofErr w:type="gramStart"/>
      <w:r w:rsidRPr="000D61D1">
        <w:rPr>
          <w:lang w:val="en-AU"/>
        </w:rPr>
        <w:t>It can be seen that the</w:t>
      </w:r>
      <w:proofErr w:type="gramEnd"/>
      <w:r w:rsidRPr="000D61D1">
        <w:rPr>
          <w:lang w:val="en-AU"/>
        </w:rPr>
        <w:t xml:space="preserve"> rates are progressive – as incomes increase, the proportion of the total rates paid by each income quintile increases. The new tax policy is more progressive – Q5 has increased their proportion by 2.</w:t>
      </w:r>
      <w:r>
        <w:rPr>
          <w:lang w:val="en-AU"/>
        </w:rPr>
        <w:t>42</w:t>
      </w:r>
      <w:r w:rsidRPr="000D61D1">
        <w:rPr>
          <w:lang w:val="en-AU"/>
        </w:rPr>
        <w:t xml:space="preserve"> percentage points, while all the other income quintiles have reduced their contribution.</w:t>
      </w:r>
    </w:p>
    <w:p w14:paraId="5DD0146A" w14:textId="77777777" w:rsidR="003C620A" w:rsidRPr="000D61D1" w:rsidRDefault="003C620A" w:rsidP="003C620A">
      <w:pPr>
        <w:rPr>
          <w:lang w:val="en-AU"/>
        </w:rPr>
      </w:pPr>
      <w:r w:rsidRPr="000D61D1">
        <w:rPr>
          <w:lang w:val="en-AU"/>
        </w:rPr>
        <w:t xml:space="preserve">There is also not much difference between the results without the </w:t>
      </w:r>
      <w:r>
        <w:rPr>
          <w:lang w:val="en-AU"/>
        </w:rPr>
        <w:t xml:space="preserve">property </w:t>
      </w:r>
      <w:r w:rsidRPr="000D61D1">
        <w:rPr>
          <w:lang w:val="en-AU"/>
        </w:rPr>
        <w:t xml:space="preserve">price increases; and the results with the </w:t>
      </w:r>
      <w:r>
        <w:rPr>
          <w:lang w:val="en-AU"/>
        </w:rPr>
        <w:t xml:space="preserve">property </w:t>
      </w:r>
      <w:r w:rsidRPr="000D61D1">
        <w:rPr>
          <w:lang w:val="en-AU"/>
        </w:rPr>
        <w:t>price increases.</w:t>
      </w:r>
    </w:p>
    <w:p w14:paraId="48DA2FD0" w14:textId="53A643E9" w:rsidR="003C620A" w:rsidRPr="000D61D1" w:rsidRDefault="003C620A" w:rsidP="003C620A">
      <w:pPr>
        <w:pStyle w:val="TableCaption"/>
        <w:rPr>
          <w:lang w:val="en-AU"/>
        </w:rPr>
      </w:pPr>
      <w:bookmarkStart w:id="18" w:name="_Toc43911492"/>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5</w:t>
      </w:r>
      <w:r w:rsidRPr="000D61D1">
        <w:rPr>
          <w:lang w:val="en-AU"/>
        </w:rPr>
        <w:fldChar w:fldCharType="end"/>
      </w:r>
      <w:r w:rsidRPr="000D61D1">
        <w:rPr>
          <w:lang w:val="en-AU"/>
        </w:rPr>
        <w:t xml:space="preserve"> - The impact of tax reform on the general rate distribution (net of rebate) by income quintile, average 2012 – 2018</w:t>
      </w:r>
      <w:bookmarkEnd w:id="18"/>
    </w:p>
    <w:tbl>
      <w:tblPr>
        <w:tblW w:w="7371" w:type="dxa"/>
        <w:tblLook w:val="04A0" w:firstRow="1" w:lastRow="0" w:firstColumn="1" w:lastColumn="0" w:noHBand="0" w:noVBand="1"/>
        <w:tblCaption w:val="Table 22b - The impact of tax reform on the general rate payment (net of rebate) by income quintile, average 2012 - 2018"/>
      </w:tblPr>
      <w:tblGrid>
        <w:gridCol w:w="1418"/>
        <w:gridCol w:w="1984"/>
        <w:gridCol w:w="1843"/>
        <w:gridCol w:w="2126"/>
      </w:tblGrid>
      <w:tr w:rsidR="003C620A" w:rsidRPr="000D61D1" w14:paraId="07982661" w14:textId="77777777" w:rsidTr="003C620A">
        <w:trPr>
          <w:trHeight w:val="410"/>
        </w:trPr>
        <w:tc>
          <w:tcPr>
            <w:tcW w:w="1418" w:type="dxa"/>
            <w:tcBorders>
              <w:top w:val="single" w:sz="8" w:space="0" w:color="auto"/>
              <w:left w:val="nil"/>
              <w:bottom w:val="single" w:sz="8" w:space="0" w:color="auto"/>
              <w:right w:val="nil"/>
            </w:tcBorders>
            <w:shd w:val="clear" w:color="auto" w:fill="auto"/>
            <w:vAlign w:val="center"/>
            <w:hideMark/>
          </w:tcPr>
          <w:p w14:paraId="756920DE" w14:textId="1406BC98" w:rsidR="003C620A" w:rsidRPr="000D61D1" w:rsidRDefault="003C620A" w:rsidP="003C620A">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sidR="00D45A28">
              <w:rPr>
                <w:rFonts w:ascii="Calibri" w:eastAsia="Times New Roman" w:hAnsi="Calibri" w:cs="Calibri"/>
                <w:color w:val="000000"/>
                <w:lang w:val="en-AU" w:eastAsia="en-AU"/>
              </w:rPr>
              <w:t>Quintile</w:t>
            </w:r>
          </w:p>
        </w:tc>
        <w:tc>
          <w:tcPr>
            <w:tcW w:w="1984" w:type="dxa"/>
            <w:tcBorders>
              <w:top w:val="single" w:sz="8" w:space="0" w:color="auto"/>
              <w:left w:val="nil"/>
              <w:bottom w:val="single" w:sz="8" w:space="0" w:color="auto"/>
              <w:right w:val="nil"/>
            </w:tcBorders>
            <w:shd w:val="clear" w:color="000000" w:fill="E7E6E6"/>
            <w:vAlign w:val="center"/>
            <w:hideMark/>
          </w:tcPr>
          <w:p w14:paraId="5D1ECA79"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w:t>
            </w:r>
          </w:p>
        </w:tc>
        <w:tc>
          <w:tcPr>
            <w:tcW w:w="1843" w:type="dxa"/>
            <w:tcBorders>
              <w:top w:val="single" w:sz="8" w:space="0" w:color="auto"/>
              <w:left w:val="nil"/>
              <w:bottom w:val="single" w:sz="8" w:space="0" w:color="auto"/>
              <w:right w:val="nil"/>
            </w:tcBorders>
            <w:shd w:val="clear" w:color="auto" w:fill="auto"/>
            <w:vAlign w:val="center"/>
            <w:hideMark/>
          </w:tcPr>
          <w:p w14:paraId="014A7E78"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w:t>
            </w:r>
          </w:p>
        </w:tc>
        <w:tc>
          <w:tcPr>
            <w:tcW w:w="2126" w:type="dxa"/>
            <w:tcBorders>
              <w:top w:val="single" w:sz="8" w:space="0" w:color="auto"/>
              <w:left w:val="nil"/>
              <w:bottom w:val="single" w:sz="8" w:space="0" w:color="auto"/>
              <w:right w:val="nil"/>
            </w:tcBorders>
            <w:shd w:val="clear" w:color="auto" w:fill="auto"/>
            <w:vAlign w:val="center"/>
            <w:hideMark/>
          </w:tcPr>
          <w:p w14:paraId="21E27466"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 points)</w:t>
            </w:r>
          </w:p>
        </w:tc>
      </w:tr>
      <w:tr w:rsidR="003C620A" w:rsidRPr="000D61D1" w14:paraId="6F891796" w14:textId="77777777" w:rsidTr="003C620A">
        <w:trPr>
          <w:trHeight w:val="290"/>
        </w:trPr>
        <w:tc>
          <w:tcPr>
            <w:tcW w:w="1418" w:type="dxa"/>
            <w:tcBorders>
              <w:top w:val="nil"/>
              <w:left w:val="nil"/>
              <w:bottom w:val="nil"/>
              <w:right w:val="nil"/>
            </w:tcBorders>
            <w:shd w:val="clear" w:color="auto" w:fill="auto"/>
            <w:vAlign w:val="center"/>
            <w:hideMark/>
          </w:tcPr>
          <w:p w14:paraId="7305147D"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1984" w:type="dxa"/>
            <w:tcBorders>
              <w:top w:val="nil"/>
              <w:left w:val="nil"/>
              <w:bottom w:val="nil"/>
              <w:right w:val="nil"/>
            </w:tcBorders>
            <w:shd w:val="clear" w:color="000000" w:fill="E7E6E6"/>
            <w:vAlign w:val="center"/>
            <w:hideMark/>
          </w:tcPr>
          <w:p w14:paraId="24EFFF47"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8.73</w:t>
            </w:r>
          </w:p>
        </w:tc>
        <w:tc>
          <w:tcPr>
            <w:tcW w:w="1843" w:type="dxa"/>
            <w:tcBorders>
              <w:top w:val="nil"/>
              <w:left w:val="nil"/>
              <w:bottom w:val="nil"/>
              <w:right w:val="nil"/>
            </w:tcBorders>
            <w:shd w:val="clear" w:color="auto" w:fill="auto"/>
            <w:vAlign w:val="center"/>
            <w:hideMark/>
          </w:tcPr>
          <w:p w14:paraId="26210C67"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9.02</w:t>
            </w:r>
          </w:p>
        </w:tc>
        <w:tc>
          <w:tcPr>
            <w:tcW w:w="2126" w:type="dxa"/>
            <w:tcBorders>
              <w:top w:val="nil"/>
              <w:left w:val="nil"/>
              <w:bottom w:val="nil"/>
              <w:right w:val="nil"/>
            </w:tcBorders>
            <w:shd w:val="clear" w:color="auto" w:fill="auto"/>
            <w:vAlign w:val="center"/>
            <w:hideMark/>
          </w:tcPr>
          <w:p w14:paraId="5CE59B71"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-0.29</w:t>
            </w:r>
          </w:p>
        </w:tc>
      </w:tr>
      <w:tr w:rsidR="003C620A" w:rsidRPr="000D61D1" w14:paraId="411081E7" w14:textId="77777777" w:rsidTr="003C620A">
        <w:trPr>
          <w:trHeight w:val="290"/>
        </w:trPr>
        <w:tc>
          <w:tcPr>
            <w:tcW w:w="1418" w:type="dxa"/>
            <w:tcBorders>
              <w:top w:val="nil"/>
              <w:left w:val="nil"/>
              <w:bottom w:val="nil"/>
              <w:right w:val="nil"/>
            </w:tcBorders>
            <w:shd w:val="clear" w:color="auto" w:fill="auto"/>
            <w:vAlign w:val="center"/>
            <w:hideMark/>
          </w:tcPr>
          <w:p w14:paraId="795AD804"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1984" w:type="dxa"/>
            <w:tcBorders>
              <w:top w:val="nil"/>
              <w:left w:val="nil"/>
              <w:bottom w:val="nil"/>
              <w:right w:val="nil"/>
            </w:tcBorders>
            <w:shd w:val="clear" w:color="000000" w:fill="E7E6E6"/>
            <w:vAlign w:val="center"/>
            <w:hideMark/>
          </w:tcPr>
          <w:p w14:paraId="2D1DFB7A"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12.03</w:t>
            </w:r>
          </w:p>
        </w:tc>
        <w:tc>
          <w:tcPr>
            <w:tcW w:w="1843" w:type="dxa"/>
            <w:tcBorders>
              <w:top w:val="nil"/>
              <w:left w:val="nil"/>
              <w:bottom w:val="nil"/>
              <w:right w:val="nil"/>
            </w:tcBorders>
            <w:shd w:val="clear" w:color="auto" w:fill="auto"/>
            <w:vAlign w:val="center"/>
            <w:hideMark/>
          </w:tcPr>
          <w:p w14:paraId="7245520E"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12.51</w:t>
            </w:r>
          </w:p>
        </w:tc>
        <w:tc>
          <w:tcPr>
            <w:tcW w:w="2126" w:type="dxa"/>
            <w:tcBorders>
              <w:top w:val="nil"/>
              <w:left w:val="nil"/>
              <w:bottom w:val="nil"/>
              <w:right w:val="nil"/>
            </w:tcBorders>
            <w:shd w:val="clear" w:color="auto" w:fill="auto"/>
            <w:vAlign w:val="center"/>
            <w:hideMark/>
          </w:tcPr>
          <w:p w14:paraId="6869E203"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-0.48</w:t>
            </w:r>
          </w:p>
        </w:tc>
      </w:tr>
      <w:tr w:rsidR="003C620A" w:rsidRPr="000D61D1" w14:paraId="58B41DA8" w14:textId="77777777" w:rsidTr="003C620A">
        <w:trPr>
          <w:trHeight w:val="290"/>
        </w:trPr>
        <w:tc>
          <w:tcPr>
            <w:tcW w:w="1418" w:type="dxa"/>
            <w:tcBorders>
              <w:top w:val="nil"/>
              <w:left w:val="nil"/>
              <w:bottom w:val="nil"/>
              <w:right w:val="nil"/>
            </w:tcBorders>
            <w:shd w:val="clear" w:color="auto" w:fill="auto"/>
            <w:vAlign w:val="center"/>
            <w:hideMark/>
          </w:tcPr>
          <w:p w14:paraId="31545B94"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1984" w:type="dxa"/>
            <w:tcBorders>
              <w:top w:val="nil"/>
              <w:left w:val="nil"/>
              <w:bottom w:val="nil"/>
              <w:right w:val="nil"/>
            </w:tcBorders>
            <w:shd w:val="clear" w:color="000000" w:fill="E7E6E6"/>
            <w:vAlign w:val="center"/>
            <w:hideMark/>
          </w:tcPr>
          <w:p w14:paraId="0C49FC62"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17.54</w:t>
            </w:r>
          </w:p>
        </w:tc>
        <w:tc>
          <w:tcPr>
            <w:tcW w:w="1843" w:type="dxa"/>
            <w:tcBorders>
              <w:top w:val="nil"/>
              <w:left w:val="nil"/>
              <w:bottom w:val="nil"/>
              <w:right w:val="nil"/>
            </w:tcBorders>
            <w:shd w:val="clear" w:color="auto" w:fill="auto"/>
            <w:vAlign w:val="center"/>
            <w:hideMark/>
          </w:tcPr>
          <w:p w14:paraId="0D63F73F"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18.40</w:t>
            </w:r>
          </w:p>
        </w:tc>
        <w:tc>
          <w:tcPr>
            <w:tcW w:w="2126" w:type="dxa"/>
            <w:tcBorders>
              <w:top w:val="nil"/>
              <w:left w:val="nil"/>
              <w:bottom w:val="nil"/>
              <w:right w:val="nil"/>
            </w:tcBorders>
            <w:shd w:val="clear" w:color="auto" w:fill="auto"/>
            <w:vAlign w:val="center"/>
            <w:hideMark/>
          </w:tcPr>
          <w:p w14:paraId="4F10F5D7"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-0.87</w:t>
            </w:r>
          </w:p>
        </w:tc>
      </w:tr>
      <w:tr w:rsidR="003C620A" w:rsidRPr="000D61D1" w14:paraId="7D9696A9" w14:textId="77777777" w:rsidTr="003C620A">
        <w:trPr>
          <w:trHeight w:val="290"/>
        </w:trPr>
        <w:tc>
          <w:tcPr>
            <w:tcW w:w="1418" w:type="dxa"/>
            <w:tcBorders>
              <w:top w:val="nil"/>
              <w:left w:val="nil"/>
              <w:bottom w:val="nil"/>
              <w:right w:val="nil"/>
            </w:tcBorders>
            <w:shd w:val="clear" w:color="auto" w:fill="auto"/>
            <w:vAlign w:val="center"/>
            <w:hideMark/>
          </w:tcPr>
          <w:p w14:paraId="10E2AD18"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1984" w:type="dxa"/>
            <w:tcBorders>
              <w:top w:val="nil"/>
              <w:left w:val="nil"/>
              <w:bottom w:val="nil"/>
              <w:right w:val="nil"/>
            </w:tcBorders>
            <w:shd w:val="clear" w:color="000000" w:fill="E7E6E6"/>
            <w:vAlign w:val="center"/>
            <w:hideMark/>
          </w:tcPr>
          <w:p w14:paraId="63173D3F"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21.93</w:t>
            </w:r>
          </w:p>
        </w:tc>
        <w:tc>
          <w:tcPr>
            <w:tcW w:w="1843" w:type="dxa"/>
            <w:tcBorders>
              <w:top w:val="nil"/>
              <w:left w:val="nil"/>
              <w:bottom w:val="nil"/>
              <w:right w:val="nil"/>
            </w:tcBorders>
            <w:shd w:val="clear" w:color="auto" w:fill="auto"/>
            <w:vAlign w:val="center"/>
            <w:hideMark/>
          </w:tcPr>
          <w:p w14:paraId="0D957753"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22.71</w:t>
            </w:r>
          </w:p>
        </w:tc>
        <w:tc>
          <w:tcPr>
            <w:tcW w:w="2126" w:type="dxa"/>
            <w:tcBorders>
              <w:top w:val="nil"/>
              <w:left w:val="nil"/>
              <w:bottom w:val="nil"/>
              <w:right w:val="nil"/>
            </w:tcBorders>
            <w:shd w:val="clear" w:color="auto" w:fill="auto"/>
            <w:vAlign w:val="center"/>
            <w:hideMark/>
          </w:tcPr>
          <w:p w14:paraId="3A0F7209"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-0.78</w:t>
            </w:r>
          </w:p>
        </w:tc>
      </w:tr>
      <w:tr w:rsidR="003C620A" w:rsidRPr="000D61D1" w14:paraId="4FD97DF9" w14:textId="77777777" w:rsidTr="003C620A">
        <w:trPr>
          <w:trHeight w:val="300"/>
        </w:trPr>
        <w:tc>
          <w:tcPr>
            <w:tcW w:w="1418" w:type="dxa"/>
            <w:tcBorders>
              <w:top w:val="nil"/>
              <w:left w:val="nil"/>
              <w:bottom w:val="nil"/>
              <w:right w:val="nil"/>
            </w:tcBorders>
            <w:shd w:val="clear" w:color="auto" w:fill="auto"/>
            <w:vAlign w:val="center"/>
            <w:hideMark/>
          </w:tcPr>
          <w:p w14:paraId="151ED7F8"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1984" w:type="dxa"/>
            <w:tcBorders>
              <w:top w:val="nil"/>
              <w:left w:val="nil"/>
              <w:bottom w:val="nil"/>
              <w:right w:val="nil"/>
            </w:tcBorders>
            <w:shd w:val="clear" w:color="000000" w:fill="E7E6E6"/>
            <w:vAlign w:val="center"/>
            <w:hideMark/>
          </w:tcPr>
          <w:p w14:paraId="5B500143"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39.78</w:t>
            </w:r>
          </w:p>
        </w:tc>
        <w:tc>
          <w:tcPr>
            <w:tcW w:w="1843" w:type="dxa"/>
            <w:tcBorders>
              <w:top w:val="nil"/>
              <w:left w:val="nil"/>
              <w:bottom w:val="nil"/>
              <w:right w:val="nil"/>
            </w:tcBorders>
            <w:shd w:val="clear" w:color="auto" w:fill="auto"/>
            <w:vAlign w:val="center"/>
            <w:hideMark/>
          </w:tcPr>
          <w:p w14:paraId="274D3BB6"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37.36</w:t>
            </w:r>
          </w:p>
        </w:tc>
        <w:tc>
          <w:tcPr>
            <w:tcW w:w="2126" w:type="dxa"/>
            <w:tcBorders>
              <w:top w:val="nil"/>
              <w:left w:val="nil"/>
              <w:bottom w:val="nil"/>
              <w:right w:val="nil"/>
            </w:tcBorders>
            <w:shd w:val="clear" w:color="auto" w:fill="auto"/>
            <w:vAlign w:val="center"/>
            <w:hideMark/>
          </w:tcPr>
          <w:p w14:paraId="58F87CD3"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2.42</w:t>
            </w:r>
          </w:p>
        </w:tc>
      </w:tr>
      <w:tr w:rsidR="00D45A28" w:rsidRPr="000D61D1" w14:paraId="2876224F" w14:textId="77777777" w:rsidTr="00870105">
        <w:trPr>
          <w:trHeight w:val="56"/>
        </w:trPr>
        <w:tc>
          <w:tcPr>
            <w:tcW w:w="7371" w:type="dxa"/>
            <w:gridSpan w:val="4"/>
            <w:tcBorders>
              <w:top w:val="single" w:sz="8" w:space="0" w:color="auto"/>
              <w:left w:val="nil"/>
              <w:right w:val="nil"/>
            </w:tcBorders>
            <w:shd w:val="clear" w:color="auto" w:fill="auto"/>
          </w:tcPr>
          <w:p w14:paraId="17F18B35" w14:textId="797E45C5" w:rsidR="00D45A28" w:rsidRPr="000D61D1" w:rsidRDefault="00D45A28" w:rsidP="00870105">
            <w:pPr>
              <w:spacing w:after="0"/>
              <w:jc w:val="center"/>
              <w:rPr>
                <w:rFonts w:ascii="Calibri" w:eastAsia="Times New Roman" w:hAnsi="Calibri" w:cs="Calibri"/>
                <w:color w:val="000000"/>
                <w:sz w:val="22"/>
                <w:szCs w:val="22"/>
                <w:lang w:val="en-AU" w:eastAsia="en-AU"/>
              </w:rPr>
            </w:pPr>
            <w:r>
              <w:rPr>
                <w:b/>
                <w:i/>
                <w:iCs/>
                <w:color w:val="365F91" w:themeColor="accent1" w:themeShade="BF"/>
              </w:rPr>
              <w:t>0.35 – 1.30%</w:t>
            </w:r>
            <w:r w:rsidRPr="00AF6491">
              <w:rPr>
                <w:b/>
                <w:i/>
                <w:iCs/>
                <w:color w:val="365F91" w:themeColor="accent1" w:themeShade="BF"/>
              </w:rPr>
              <w:t xml:space="preserve"> price </w:t>
            </w:r>
            <w:r>
              <w:rPr>
                <w:b/>
                <w:i/>
                <w:iCs/>
                <w:color w:val="365F91" w:themeColor="accent1" w:themeShade="BF"/>
              </w:rPr>
              <w:t>effect (0.8% average)</w:t>
            </w:r>
          </w:p>
        </w:tc>
      </w:tr>
      <w:tr w:rsidR="003C620A" w:rsidRPr="000D61D1" w14:paraId="77EE48A9" w14:textId="77777777" w:rsidTr="00870105">
        <w:trPr>
          <w:trHeight w:val="56"/>
        </w:trPr>
        <w:tc>
          <w:tcPr>
            <w:tcW w:w="1418" w:type="dxa"/>
            <w:tcBorders>
              <w:left w:val="nil"/>
              <w:bottom w:val="nil"/>
              <w:right w:val="nil"/>
            </w:tcBorders>
            <w:shd w:val="clear" w:color="auto" w:fill="auto"/>
            <w:vAlign w:val="center"/>
            <w:hideMark/>
          </w:tcPr>
          <w:p w14:paraId="65C292B2" w14:textId="372838B9" w:rsidR="003C620A" w:rsidRPr="000D61D1" w:rsidRDefault="00D45A28" w:rsidP="003C620A">
            <w:pPr>
              <w:spacing w:after="0"/>
              <w:rPr>
                <w:rFonts w:ascii="Calibri" w:eastAsia="Times New Roman" w:hAnsi="Calibri" w:cs="Calibri"/>
                <w:color w:val="000000"/>
                <w:lang w:val="en-AU" w:eastAsia="en-AU"/>
              </w:rPr>
            </w:pPr>
            <w:r>
              <w:rPr>
                <w:rFonts w:ascii="Calibri" w:eastAsia="Times New Roman" w:hAnsi="Calibri" w:cs="Calibri"/>
                <w:color w:val="000000"/>
                <w:lang w:val="en-AU" w:eastAsia="en-AU"/>
              </w:rPr>
              <w:t>Quintile</w:t>
            </w:r>
            <w:r w:rsidR="003C620A" w:rsidRPr="000D61D1">
              <w:rPr>
                <w:rFonts w:ascii="Calibri" w:eastAsia="Times New Roman" w:hAnsi="Calibri" w:cs="Calibri"/>
                <w:color w:val="000000"/>
                <w:lang w:val="en-AU" w:eastAsia="en-AU"/>
              </w:rPr>
              <w:t> </w:t>
            </w:r>
          </w:p>
        </w:tc>
        <w:tc>
          <w:tcPr>
            <w:tcW w:w="1984" w:type="dxa"/>
            <w:tcBorders>
              <w:left w:val="nil"/>
              <w:bottom w:val="nil"/>
              <w:right w:val="nil"/>
            </w:tcBorders>
            <w:shd w:val="clear" w:color="000000" w:fill="E7E6E6"/>
            <w:vAlign w:val="center"/>
            <w:hideMark/>
          </w:tcPr>
          <w:p w14:paraId="74829D50"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w:t>
            </w:r>
          </w:p>
        </w:tc>
        <w:tc>
          <w:tcPr>
            <w:tcW w:w="1843" w:type="dxa"/>
            <w:tcBorders>
              <w:left w:val="nil"/>
              <w:bottom w:val="nil"/>
              <w:right w:val="nil"/>
            </w:tcBorders>
            <w:shd w:val="clear" w:color="auto" w:fill="auto"/>
            <w:vAlign w:val="center"/>
            <w:hideMark/>
          </w:tcPr>
          <w:p w14:paraId="51DA006B"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w:t>
            </w:r>
          </w:p>
        </w:tc>
        <w:tc>
          <w:tcPr>
            <w:tcW w:w="2126" w:type="dxa"/>
            <w:tcBorders>
              <w:left w:val="nil"/>
              <w:bottom w:val="nil"/>
              <w:right w:val="nil"/>
            </w:tcBorders>
            <w:shd w:val="clear" w:color="auto" w:fill="auto"/>
            <w:vAlign w:val="center"/>
            <w:hideMark/>
          </w:tcPr>
          <w:p w14:paraId="334EFA8A"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 points)</w:t>
            </w:r>
          </w:p>
        </w:tc>
      </w:tr>
      <w:tr w:rsidR="003C620A" w:rsidRPr="000D61D1" w14:paraId="01C4D679" w14:textId="77777777" w:rsidTr="003C620A">
        <w:trPr>
          <w:trHeight w:val="290"/>
        </w:trPr>
        <w:tc>
          <w:tcPr>
            <w:tcW w:w="1418" w:type="dxa"/>
            <w:tcBorders>
              <w:top w:val="nil"/>
              <w:left w:val="nil"/>
              <w:bottom w:val="nil"/>
              <w:right w:val="nil"/>
            </w:tcBorders>
            <w:shd w:val="clear" w:color="auto" w:fill="auto"/>
            <w:vAlign w:val="center"/>
            <w:hideMark/>
          </w:tcPr>
          <w:p w14:paraId="7E61CD14"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1984" w:type="dxa"/>
            <w:tcBorders>
              <w:top w:val="nil"/>
              <w:left w:val="nil"/>
              <w:bottom w:val="nil"/>
              <w:right w:val="nil"/>
            </w:tcBorders>
            <w:shd w:val="clear" w:color="000000" w:fill="E7E6E6"/>
            <w:vAlign w:val="center"/>
            <w:hideMark/>
          </w:tcPr>
          <w:p w14:paraId="09056930"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8.73</w:t>
            </w:r>
          </w:p>
        </w:tc>
        <w:tc>
          <w:tcPr>
            <w:tcW w:w="1843" w:type="dxa"/>
            <w:tcBorders>
              <w:top w:val="nil"/>
              <w:left w:val="nil"/>
              <w:bottom w:val="nil"/>
              <w:right w:val="nil"/>
            </w:tcBorders>
            <w:shd w:val="clear" w:color="auto" w:fill="auto"/>
            <w:vAlign w:val="center"/>
            <w:hideMark/>
          </w:tcPr>
          <w:p w14:paraId="2FA0FFB9"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9.02</w:t>
            </w:r>
          </w:p>
        </w:tc>
        <w:tc>
          <w:tcPr>
            <w:tcW w:w="2126" w:type="dxa"/>
            <w:tcBorders>
              <w:top w:val="nil"/>
              <w:left w:val="nil"/>
              <w:bottom w:val="nil"/>
              <w:right w:val="nil"/>
            </w:tcBorders>
            <w:shd w:val="clear" w:color="auto" w:fill="auto"/>
            <w:vAlign w:val="center"/>
            <w:hideMark/>
          </w:tcPr>
          <w:p w14:paraId="4E7F3944"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-0.29</w:t>
            </w:r>
          </w:p>
        </w:tc>
      </w:tr>
      <w:tr w:rsidR="003C620A" w:rsidRPr="000D61D1" w14:paraId="4152527E" w14:textId="77777777" w:rsidTr="003C620A">
        <w:trPr>
          <w:trHeight w:val="290"/>
        </w:trPr>
        <w:tc>
          <w:tcPr>
            <w:tcW w:w="1418" w:type="dxa"/>
            <w:tcBorders>
              <w:top w:val="nil"/>
              <w:left w:val="nil"/>
              <w:bottom w:val="nil"/>
              <w:right w:val="nil"/>
            </w:tcBorders>
            <w:shd w:val="clear" w:color="auto" w:fill="auto"/>
            <w:vAlign w:val="center"/>
            <w:hideMark/>
          </w:tcPr>
          <w:p w14:paraId="7764A197"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1984" w:type="dxa"/>
            <w:tcBorders>
              <w:top w:val="nil"/>
              <w:left w:val="nil"/>
              <w:bottom w:val="nil"/>
              <w:right w:val="nil"/>
            </w:tcBorders>
            <w:shd w:val="clear" w:color="000000" w:fill="E7E6E6"/>
            <w:vAlign w:val="center"/>
            <w:hideMark/>
          </w:tcPr>
          <w:p w14:paraId="6A98228E"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12.03</w:t>
            </w:r>
          </w:p>
        </w:tc>
        <w:tc>
          <w:tcPr>
            <w:tcW w:w="1843" w:type="dxa"/>
            <w:tcBorders>
              <w:top w:val="nil"/>
              <w:left w:val="nil"/>
              <w:bottom w:val="nil"/>
              <w:right w:val="nil"/>
            </w:tcBorders>
            <w:shd w:val="clear" w:color="auto" w:fill="auto"/>
            <w:vAlign w:val="center"/>
            <w:hideMark/>
          </w:tcPr>
          <w:p w14:paraId="6972865D"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12.51</w:t>
            </w:r>
          </w:p>
        </w:tc>
        <w:tc>
          <w:tcPr>
            <w:tcW w:w="2126" w:type="dxa"/>
            <w:tcBorders>
              <w:top w:val="nil"/>
              <w:left w:val="nil"/>
              <w:bottom w:val="nil"/>
              <w:right w:val="nil"/>
            </w:tcBorders>
            <w:shd w:val="clear" w:color="auto" w:fill="auto"/>
            <w:vAlign w:val="center"/>
            <w:hideMark/>
          </w:tcPr>
          <w:p w14:paraId="69998363"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-0.49</w:t>
            </w:r>
          </w:p>
        </w:tc>
      </w:tr>
      <w:tr w:rsidR="003C620A" w:rsidRPr="000D61D1" w14:paraId="4EDB8F1F" w14:textId="77777777" w:rsidTr="003C620A">
        <w:trPr>
          <w:trHeight w:val="290"/>
        </w:trPr>
        <w:tc>
          <w:tcPr>
            <w:tcW w:w="1418" w:type="dxa"/>
            <w:tcBorders>
              <w:top w:val="nil"/>
              <w:left w:val="nil"/>
              <w:bottom w:val="nil"/>
              <w:right w:val="nil"/>
            </w:tcBorders>
            <w:shd w:val="clear" w:color="auto" w:fill="auto"/>
            <w:vAlign w:val="center"/>
            <w:hideMark/>
          </w:tcPr>
          <w:p w14:paraId="0E338A56"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1984" w:type="dxa"/>
            <w:tcBorders>
              <w:top w:val="nil"/>
              <w:left w:val="nil"/>
              <w:bottom w:val="nil"/>
              <w:right w:val="nil"/>
            </w:tcBorders>
            <w:shd w:val="clear" w:color="000000" w:fill="E7E6E6"/>
            <w:vAlign w:val="center"/>
            <w:hideMark/>
          </w:tcPr>
          <w:p w14:paraId="6A4EC18F"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17.54</w:t>
            </w:r>
          </w:p>
        </w:tc>
        <w:tc>
          <w:tcPr>
            <w:tcW w:w="1843" w:type="dxa"/>
            <w:tcBorders>
              <w:top w:val="nil"/>
              <w:left w:val="nil"/>
              <w:bottom w:val="nil"/>
              <w:right w:val="nil"/>
            </w:tcBorders>
            <w:shd w:val="clear" w:color="auto" w:fill="auto"/>
            <w:vAlign w:val="center"/>
            <w:hideMark/>
          </w:tcPr>
          <w:p w14:paraId="6A646D41"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18.40</w:t>
            </w:r>
          </w:p>
        </w:tc>
        <w:tc>
          <w:tcPr>
            <w:tcW w:w="2126" w:type="dxa"/>
            <w:tcBorders>
              <w:top w:val="nil"/>
              <w:left w:val="nil"/>
              <w:bottom w:val="nil"/>
              <w:right w:val="nil"/>
            </w:tcBorders>
            <w:shd w:val="clear" w:color="auto" w:fill="auto"/>
            <w:vAlign w:val="center"/>
            <w:hideMark/>
          </w:tcPr>
          <w:p w14:paraId="29C03C71"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-0.87</w:t>
            </w:r>
          </w:p>
        </w:tc>
      </w:tr>
      <w:tr w:rsidR="003C620A" w:rsidRPr="000D61D1" w14:paraId="70321C49" w14:textId="77777777" w:rsidTr="003C620A">
        <w:trPr>
          <w:trHeight w:val="290"/>
        </w:trPr>
        <w:tc>
          <w:tcPr>
            <w:tcW w:w="1418" w:type="dxa"/>
            <w:tcBorders>
              <w:top w:val="nil"/>
              <w:left w:val="nil"/>
              <w:bottom w:val="nil"/>
              <w:right w:val="nil"/>
            </w:tcBorders>
            <w:shd w:val="clear" w:color="auto" w:fill="auto"/>
            <w:vAlign w:val="center"/>
            <w:hideMark/>
          </w:tcPr>
          <w:p w14:paraId="580E6A75"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1984" w:type="dxa"/>
            <w:tcBorders>
              <w:top w:val="nil"/>
              <w:left w:val="nil"/>
              <w:bottom w:val="nil"/>
              <w:right w:val="nil"/>
            </w:tcBorders>
            <w:shd w:val="clear" w:color="000000" w:fill="E7E6E6"/>
            <w:vAlign w:val="center"/>
            <w:hideMark/>
          </w:tcPr>
          <w:p w14:paraId="3C16EE4F" w14:textId="77777777" w:rsidR="003C620A" w:rsidRPr="000C7A76" w:rsidRDefault="003C620A" w:rsidP="003C620A">
            <w:pPr>
              <w:spacing w:after="0"/>
              <w:jc w:val="right"/>
              <w:rPr>
                <w:rFonts w:ascii="Calibri" w:hAnsi="Calibri"/>
                <w:color w:val="000000"/>
                <w:sz w:val="22"/>
                <w:szCs w:val="22"/>
                <w:lang w:val="en-AU"/>
              </w:rPr>
            </w:pPr>
            <w:r w:rsidRPr="000C7A76">
              <w:rPr>
                <w:sz w:val="22"/>
                <w:szCs w:val="22"/>
              </w:rPr>
              <w:t>21.93</w:t>
            </w:r>
          </w:p>
        </w:tc>
        <w:tc>
          <w:tcPr>
            <w:tcW w:w="1843" w:type="dxa"/>
            <w:tcBorders>
              <w:top w:val="nil"/>
              <w:left w:val="nil"/>
              <w:bottom w:val="nil"/>
              <w:right w:val="nil"/>
            </w:tcBorders>
            <w:shd w:val="clear" w:color="auto" w:fill="auto"/>
            <w:vAlign w:val="center"/>
            <w:hideMark/>
          </w:tcPr>
          <w:p w14:paraId="56C12470" w14:textId="77777777" w:rsidR="003C620A" w:rsidRPr="000C7A76" w:rsidRDefault="003C620A" w:rsidP="003C620A">
            <w:pPr>
              <w:spacing w:after="0"/>
              <w:jc w:val="right"/>
              <w:rPr>
                <w:rFonts w:ascii="Calibri" w:hAnsi="Calibri"/>
                <w:color w:val="000000"/>
                <w:sz w:val="22"/>
                <w:szCs w:val="22"/>
                <w:lang w:val="en-AU"/>
              </w:rPr>
            </w:pPr>
            <w:r w:rsidRPr="000C7A76">
              <w:rPr>
                <w:sz w:val="22"/>
                <w:szCs w:val="22"/>
              </w:rPr>
              <w:t>22.71</w:t>
            </w:r>
          </w:p>
        </w:tc>
        <w:tc>
          <w:tcPr>
            <w:tcW w:w="2126" w:type="dxa"/>
            <w:tcBorders>
              <w:top w:val="nil"/>
              <w:left w:val="nil"/>
              <w:bottom w:val="nil"/>
              <w:right w:val="nil"/>
            </w:tcBorders>
            <w:shd w:val="clear" w:color="auto" w:fill="auto"/>
            <w:vAlign w:val="center"/>
            <w:hideMark/>
          </w:tcPr>
          <w:p w14:paraId="4A9FD16D" w14:textId="77777777" w:rsidR="003C620A" w:rsidRPr="000C7A76" w:rsidRDefault="003C620A" w:rsidP="003C620A">
            <w:pPr>
              <w:spacing w:after="0"/>
              <w:jc w:val="right"/>
              <w:rPr>
                <w:rFonts w:ascii="Calibri" w:hAnsi="Calibri"/>
                <w:color w:val="000000"/>
                <w:sz w:val="22"/>
                <w:szCs w:val="22"/>
                <w:lang w:val="en-AU"/>
              </w:rPr>
            </w:pPr>
            <w:r w:rsidRPr="000C7A76">
              <w:rPr>
                <w:sz w:val="22"/>
                <w:szCs w:val="22"/>
              </w:rPr>
              <w:t>-0.78</w:t>
            </w:r>
          </w:p>
        </w:tc>
      </w:tr>
      <w:tr w:rsidR="003C620A" w:rsidRPr="000D61D1" w14:paraId="3BFBC29F" w14:textId="77777777" w:rsidTr="003C620A">
        <w:trPr>
          <w:trHeight w:val="300"/>
        </w:trPr>
        <w:tc>
          <w:tcPr>
            <w:tcW w:w="1418" w:type="dxa"/>
            <w:tcBorders>
              <w:top w:val="nil"/>
              <w:left w:val="nil"/>
              <w:bottom w:val="nil"/>
              <w:right w:val="nil"/>
            </w:tcBorders>
            <w:shd w:val="clear" w:color="auto" w:fill="auto"/>
            <w:vAlign w:val="center"/>
            <w:hideMark/>
          </w:tcPr>
          <w:p w14:paraId="4D74069E"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1984" w:type="dxa"/>
            <w:tcBorders>
              <w:top w:val="nil"/>
              <w:left w:val="nil"/>
              <w:bottom w:val="nil"/>
              <w:right w:val="nil"/>
            </w:tcBorders>
            <w:shd w:val="clear" w:color="000000" w:fill="E7E6E6"/>
            <w:vAlign w:val="center"/>
            <w:hideMark/>
          </w:tcPr>
          <w:p w14:paraId="772EBD07"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39.78</w:t>
            </w:r>
          </w:p>
        </w:tc>
        <w:tc>
          <w:tcPr>
            <w:tcW w:w="1843" w:type="dxa"/>
            <w:tcBorders>
              <w:top w:val="nil"/>
              <w:left w:val="nil"/>
              <w:bottom w:val="nil"/>
              <w:right w:val="nil"/>
            </w:tcBorders>
            <w:shd w:val="clear" w:color="auto" w:fill="auto"/>
            <w:vAlign w:val="center"/>
            <w:hideMark/>
          </w:tcPr>
          <w:p w14:paraId="5716A962"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37.35</w:t>
            </w:r>
          </w:p>
        </w:tc>
        <w:tc>
          <w:tcPr>
            <w:tcW w:w="2126" w:type="dxa"/>
            <w:tcBorders>
              <w:top w:val="nil"/>
              <w:left w:val="nil"/>
              <w:bottom w:val="nil"/>
              <w:right w:val="nil"/>
            </w:tcBorders>
            <w:shd w:val="clear" w:color="auto" w:fill="auto"/>
            <w:vAlign w:val="center"/>
            <w:hideMark/>
          </w:tcPr>
          <w:p w14:paraId="1B6CE78D"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2.42</w:t>
            </w:r>
          </w:p>
        </w:tc>
      </w:tr>
      <w:tr w:rsidR="00D45A28" w:rsidRPr="000D61D1" w14:paraId="0AEB525A" w14:textId="77777777" w:rsidTr="00870105">
        <w:trPr>
          <w:trHeight w:val="85"/>
        </w:trPr>
        <w:tc>
          <w:tcPr>
            <w:tcW w:w="7371" w:type="dxa"/>
            <w:gridSpan w:val="4"/>
            <w:tcBorders>
              <w:top w:val="single" w:sz="8" w:space="0" w:color="auto"/>
              <w:left w:val="nil"/>
              <w:right w:val="nil"/>
            </w:tcBorders>
            <w:shd w:val="clear" w:color="auto" w:fill="auto"/>
            <w:vAlign w:val="center"/>
          </w:tcPr>
          <w:p w14:paraId="512EC93F" w14:textId="19E04E24" w:rsidR="00D45A28" w:rsidRPr="000D61D1" w:rsidRDefault="00D45A28" w:rsidP="00870105">
            <w:pPr>
              <w:spacing w:after="0"/>
              <w:jc w:val="center"/>
              <w:rPr>
                <w:rFonts w:ascii="Calibri" w:eastAsia="Times New Roman" w:hAnsi="Calibri" w:cs="Calibri"/>
                <w:color w:val="000000"/>
                <w:sz w:val="22"/>
                <w:szCs w:val="22"/>
                <w:lang w:val="en-AU" w:eastAsia="en-AU"/>
              </w:rPr>
            </w:pPr>
            <w:r w:rsidRPr="00113FC1">
              <w:rPr>
                <w:b/>
                <w:i/>
                <w:iCs/>
                <w:color w:val="365F91" w:themeColor="accent1" w:themeShade="BF"/>
              </w:rPr>
              <w:t xml:space="preserve">1.24 – 2.19% price </w:t>
            </w:r>
            <w:r>
              <w:rPr>
                <w:b/>
                <w:i/>
                <w:iCs/>
                <w:color w:val="365F91" w:themeColor="accent1" w:themeShade="BF"/>
              </w:rPr>
              <w:t>effect (1.7% average)</w:t>
            </w:r>
          </w:p>
        </w:tc>
      </w:tr>
      <w:tr w:rsidR="003C620A" w:rsidRPr="000D61D1" w14:paraId="0C721313" w14:textId="77777777" w:rsidTr="00870105">
        <w:trPr>
          <w:trHeight w:val="85"/>
        </w:trPr>
        <w:tc>
          <w:tcPr>
            <w:tcW w:w="1418" w:type="dxa"/>
            <w:tcBorders>
              <w:left w:val="nil"/>
              <w:bottom w:val="nil"/>
              <w:right w:val="nil"/>
            </w:tcBorders>
            <w:shd w:val="clear" w:color="auto" w:fill="auto"/>
            <w:vAlign w:val="center"/>
            <w:hideMark/>
          </w:tcPr>
          <w:p w14:paraId="446622A8" w14:textId="1B7A4834" w:rsidR="003C620A" w:rsidRPr="000D61D1" w:rsidRDefault="003C620A" w:rsidP="003C620A">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sidR="00D45A28">
              <w:rPr>
                <w:rFonts w:ascii="Calibri" w:eastAsia="Times New Roman" w:hAnsi="Calibri" w:cs="Calibri"/>
                <w:color w:val="000000"/>
                <w:lang w:val="en-AU" w:eastAsia="en-AU"/>
              </w:rPr>
              <w:t>Quintile</w:t>
            </w:r>
          </w:p>
        </w:tc>
        <w:tc>
          <w:tcPr>
            <w:tcW w:w="1984" w:type="dxa"/>
            <w:tcBorders>
              <w:left w:val="nil"/>
              <w:bottom w:val="nil"/>
              <w:right w:val="nil"/>
            </w:tcBorders>
            <w:shd w:val="clear" w:color="000000" w:fill="E7E6E6"/>
            <w:vAlign w:val="center"/>
            <w:hideMark/>
          </w:tcPr>
          <w:p w14:paraId="1D4C5928"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w:t>
            </w:r>
          </w:p>
        </w:tc>
        <w:tc>
          <w:tcPr>
            <w:tcW w:w="1843" w:type="dxa"/>
            <w:tcBorders>
              <w:left w:val="nil"/>
              <w:bottom w:val="nil"/>
              <w:right w:val="nil"/>
            </w:tcBorders>
            <w:shd w:val="clear" w:color="auto" w:fill="auto"/>
            <w:vAlign w:val="center"/>
            <w:hideMark/>
          </w:tcPr>
          <w:p w14:paraId="15050A02"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w:t>
            </w:r>
          </w:p>
        </w:tc>
        <w:tc>
          <w:tcPr>
            <w:tcW w:w="2126" w:type="dxa"/>
            <w:tcBorders>
              <w:left w:val="nil"/>
              <w:bottom w:val="nil"/>
              <w:right w:val="nil"/>
            </w:tcBorders>
            <w:shd w:val="clear" w:color="auto" w:fill="auto"/>
            <w:vAlign w:val="center"/>
            <w:hideMark/>
          </w:tcPr>
          <w:p w14:paraId="7D5DA439"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 points)</w:t>
            </w:r>
          </w:p>
        </w:tc>
      </w:tr>
      <w:tr w:rsidR="003C620A" w:rsidRPr="000D61D1" w14:paraId="5EA97720" w14:textId="77777777" w:rsidTr="003C620A">
        <w:trPr>
          <w:trHeight w:val="290"/>
        </w:trPr>
        <w:tc>
          <w:tcPr>
            <w:tcW w:w="1418" w:type="dxa"/>
            <w:tcBorders>
              <w:top w:val="nil"/>
              <w:left w:val="nil"/>
              <w:bottom w:val="nil"/>
              <w:right w:val="nil"/>
            </w:tcBorders>
            <w:shd w:val="clear" w:color="auto" w:fill="auto"/>
            <w:vAlign w:val="center"/>
            <w:hideMark/>
          </w:tcPr>
          <w:p w14:paraId="34973ADD"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1984" w:type="dxa"/>
            <w:tcBorders>
              <w:top w:val="nil"/>
              <w:left w:val="nil"/>
              <w:bottom w:val="nil"/>
              <w:right w:val="nil"/>
            </w:tcBorders>
            <w:shd w:val="clear" w:color="000000" w:fill="E7E6E6"/>
            <w:vAlign w:val="center"/>
            <w:hideMark/>
          </w:tcPr>
          <w:p w14:paraId="28BA0781"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8.73</w:t>
            </w:r>
          </w:p>
        </w:tc>
        <w:tc>
          <w:tcPr>
            <w:tcW w:w="1843" w:type="dxa"/>
            <w:tcBorders>
              <w:top w:val="nil"/>
              <w:left w:val="nil"/>
              <w:bottom w:val="nil"/>
              <w:right w:val="nil"/>
            </w:tcBorders>
            <w:shd w:val="clear" w:color="auto" w:fill="auto"/>
            <w:vAlign w:val="center"/>
            <w:hideMark/>
          </w:tcPr>
          <w:p w14:paraId="03BEA3D4"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9.01</w:t>
            </w:r>
          </w:p>
        </w:tc>
        <w:tc>
          <w:tcPr>
            <w:tcW w:w="2126" w:type="dxa"/>
            <w:tcBorders>
              <w:top w:val="nil"/>
              <w:left w:val="nil"/>
              <w:bottom w:val="nil"/>
              <w:right w:val="nil"/>
            </w:tcBorders>
            <w:shd w:val="clear" w:color="auto" w:fill="auto"/>
            <w:vAlign w:val="center"/>
            <w:hideMark/>
          </w:tcPr>
          <w:p w14:paraId="439FA5D3"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-0.29</w:t>
            </w:r>
          </w:p>
        </w:tc>
      </w:tr>
      <w:tr w:rsidR="003C620A" w:rsidRPr="000D61D1" w14:paraId="1402B7A1" w14:textId="77777777" w:rsidTr="003C620A">
        <w:trPr>
          <w:trHeight w:val="290"/>
        </w:trPr>
        <w:tc>
          <w:tcPr>
            <w:tcW w:w="1418" w:type="dxa"/>
            <w:tcBorders>
              <w:top w:val="nil"/>
              <w:left w:val="nil"/>
              <w:bottom w:val="nil"/>
              <w:right w:val="nil"/>
            </w:tcBorders>
            <w:shd w:val="clear" w:color="auto" w:fill="auto"/>
            <w:vAlign w:val="center"/>
            <w:hideMark/>
          </w:tcPr>
          <w:p w14:paraId="264C00E9"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1984" w:type="dxa"/>
            <w:tcBorders>
              <w:top w:val="nil"/>
              <w:left w:val="nil"/>
              <w:bottom w:val="nil"/>
              <w:right w:val="nil"/>
            </w:tcBorders>
            <w:shd w:val="clear" w:color="000000" w:fill="E7E6E6"/>
            <w:vAlign w:val="center"/>
            <w:hideMark/>
          </w:tcPr>
          <w:p w14:paraId="4CCBAEE7"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12.03</w:t>
            </w:r>
          </w:p>
        </w:tc>
        <w:tc>
          <w:tcPr>
            <w:tcW w:w="1843" w:type="dxa"/>
            <w:tcBorders>
              <w:top w:val="nil"/>
              <w:left w:val="nil"/>
              <w:bottom w:val="nil"/>
              <w:right w:val="nil"/>
            </w:tcBorders>
            <w:shd w:val="clear" w:color="auto" w:fill="auto"/>
            <w:vAlign w:val="center"/>
            <w:hideMark/>
          </w:tcPr>
          <w:p w14:paraId="3D01BFF7"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12.52</w:t>
            </w:r>
          </w:p>
        </w:tc>
        <w:tc>
          <w:tcPr>
            <w:tcW w:w="2126" w:type="dxa"/>
            <w:tcBorders>
              <w:top w:val="nil"/>
              <w:left w:val="nil"/>
              <w:bottom w:val="nil"/>
              <w:right w:val="nil"/>
            </w:tcBorders>
            <w:shd w:val="clear" w:color="auto" w:fill="auto"/>
            <w:vAlign w:val="center"/>
            <w:hideMark/>
          </w:tcPr>
          <w:p w14:paraId="072E3DBA"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-0.49</w:t>
            </w:r>
          </w:p>
        </w:tc>
      </w:tr>
      <w:tr w:rsidR="003C620A" w:rsidRPr="000D61D1" w14:paraId="129370A3" w14:textId="77777777" w:rsidTr="003C620A">
        <w:trPr>
          <w:trHeight w:val="290"/>
        </w:trPr>
        <w:tc>
          <w:tcPr>
            <w:tcW w:w="1418" w:type="dxa"/>
            <w:tcBorders>
              <w:top w:val="nil"/>
              <w:left w:val="nil"/>
              <w:bottom w:val="nil"/>
              <w:right w:val="nil"/>
            </w:tcBorders>
            <w:shd w:val="clear" w:color="auto" w:fill="auto"/>
            <w:vAlign w:val="center"/>
            <w:hideMark/>
          </w:tcPr>
          <w:p w14:paraId="474B51A9"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1984" w:type="dxa"/>
            <w:tcBorders>
              <w:top w:val="nil"/>
              <w:left w:val="nil"/>
              <w:bottom w:val="nil"/>
              <w:right w:val="nil"/>
            </w:tcBorders>
            <w:shd w:val="clear" w:color="000000" w:fill="E7E6E6"/>
            <w:vAlign w:val="center"/>
            <w:hideMark/>
          </w:tcPr>
          <w:p w14:paraId="2F88A6BF"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17.54</w:t>
            </w:r>
          </w:p>
        </w:tc>
        <w:tc>
          <w:tcPr>
            <w:tcW w:w="1843" w:type="dxa"/>
            <w:tcBorders>
              <w:top w:val="nil"/>
              <w:left w:val="nil"/>
              <w:bottom w:val="nil"/>
              <w:right w:val="nil"/>
            </w:tcBorders>
            <w:shd w:val="clear" w:color="auto" w:fill="auto"/>
            <w:vAlign w:val="center"/>
            <w:hideMark/>
          </w:tcPr>
          <w:p w14:paraId="2871CBE0"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18.41</w:t>
            </w:r>
          </w:p>
        </w:tc>
        <w:tc>
          <w:tcPr>
            <w:tcW w:w="2126" w:type="dxa"/>
            <w:tcBorders>
              <w:top w:val="nil"/>
              <w:left w:val="nil"/>
              <w:bottom w:val="nil"/>
              <w:right w:val="nil"/>
            </w:tcBorders>
            <w:shd w:val="clear" w:color="auto" w:fill="auto"/>
            <w:vAlign w:val="center"/>
            <w:hideMark/>
          </w:tcPr>
          <w:p w14:paraId="30A705BA"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-0.87</w:t>
            </w:r>
          </w:p>
        </w:tc>
      </w:tr>
      <w:tr w:rsidR="003C620A" w:rsidRPr="000D61D1" w14:paraId="5C8C4C65" w14:textId="77777777" w:rsidTr="003C620A">
        <w:trPr>
          <w:trHeight w:val="290"/>
        </w:trPr>
        <w:tc>
          <w:tcPr>
            <w:tcW w:w="1418" w:type="dxa"/>
            <w:tcBorders>
              <w:top w:val="nil"/>
              <w:left w:val="nil"/>
              <w:bottom w:val="nil"/>
              <w:right w:val="nil"/>
            </w:tcBorders>
            <w:shd w:val="clear" w:color="auto" w:fill="auto"/>
            <w:vAlign w:val="center"/>
            <w:hideMark/>
          </w:tcPr>
          <w:p w14:paraId="3D54DC4E"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1984" w:type="dxa"/>
            <w:tcBorders>
              <w:top w:val="nil"/>
              <w:left w:val="nil"/>
              <w:bottom w:val="nil"/>
              <w:right w:val="nil"/>
            </w:tcBorders>
            <w:shd w:val="clear" w:color="000000" w:fill="E7E6E6"/>
            <w:vAlign w:val="center"/>
            <w:hideMark/>
          </w:tcPr>
          <w:p w14:paraId="7B9473EC"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21.93</w:t>
            </w:r>
          </w:p>
        </w:tc>
        <w:tc>
          <w:tcPr>
            <w:tcW w:w="1843" w:type="dxa"/>
            <w:tcBorders>
              <w:top w:val="nil"/>
              <w:left w:val="nil"/>
              <w:bottom w:val="nil"/>
              <w:right w:val="nil"/>
            </w:tcBorders>
            <w:shd w:val="clear" w:color="auto" w:fill="auto"/>
            <w:vAlign w:val="center"/>
            <w:hideMark/>
          </w:tcPr>
          <w:p w14:paraId="093031E7"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22.71</w:t>
            </w:r>
          </w:p>
        </w:tc>
        <w:tc>
          <w:tcPr>
            <w:tcW w:w="2126" w:type="dxa"/>
            <w:tcBorders>
              <w:top w:val="nil"/>
              <w:left w:val="nil"/>
              <w:bottom w:val="nil"/>
              <w:right w:val="nil"/>
            </w:tcBorders>
            <w:shd w:val="clear" w:color="auto" w:fill="auto"/>
            <w:vAlign w:val="center"/>
            <w:hideMark/>
          </w:tcPr>
          <w:p w14:paraId="18F7267D" w14:textId="77777777" w:rsidR="003C620A" w:rsidRPr="000C7A76" w:rsidRDefault="003C620A" w:rsidP="003C620A">
            <w:pPr>
              <w:spacing w:after="0"/>
              <w:jc w:val="right"/>
              <w:rPr>
                <w:rFonts w:ascii="Calibri" w:eastAsia="Times New Roman" w:hAnsi="Calibri" w:cs="Calibri"/>
                <w:color w:val="000000"/>
                <w:sz w:val="22"/>
                <w:szCs w:val="22"/>
                <w:lang w:val="en-AU" w:eastAsia="en-AU"/>
              </w:rPr>
            </w:pPr>
            <w:r w:rsidRPr="000C7A76">
              <w:rPr>
                <w:sz w:val="22"/>
                <w:szCs w:val="22"/>
              </w:rPr>
              <w:t>-0.78</w:t>
            </w:r>
          </w:p>
        </w:tc>
      </w:tr>
      <w:tr w:rsidR="003C620A" w:rsidRPr="000D61D1" w14:paraId="17E120CB" w14:textId="77777777" w:rsidTr="003C620A">
        <w:trPr>
          <w:trHeight w:val="300"/>
        </w:trPr>
        <w:tc>
          <w:tcPr>
            <w:tcW w:w="1418" w:type="dxa"/>
            <w:tcBorders>
              <w:top w:val="nil"/>
              <w:left w:val="nil"/>
              <w:bottom w:val="single" w:sz="8" w:space="0" w:color="auto"/>
              <w:right w:val="nil"/>
            </w:tcBorders>
            <w:shd w:val="clear" w:color="auto" w:fill="auto"/>
            <w:vAlign w:val="center"/>
            <w:hideMark/>
          </w:tcPr>
          <w:p w14:paraId="0D5BA75F"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1984" w:type="dxa"/>
            <w:tcBorders>
              <w:top w:val="nil"/>
              <w:left w:val="nil"/>
              <w:bottom w:val="single" w:sz="8" w:space="0" w:color="auto"/>
              <w:right w:val="nil"/>
            </w:tcBorders>
            <w:shd w:val="clear" w:color="000000" w:fill="E7E6E6"/>
            <w:vAlign w:val="center"/>
            <w:hideMark/>
          </w:tcPr>
          <w:p w14:paraId="1030917A" w14:textId="77777777" w:rsidR="003C620A" w:rsidRPr="000C7A76" w:rsidRDefault="003C620A" w:rsidP="003C620A">
            <w:pPr>
              <w:spacing w:after="0"/>
              <w:jc w:val="right"/>
              <w:rPr>
                <w:rFonts w:ascii="Calibri" w:hAnsi="Calibri"/>
                <w:color w:val="000000"/>
                <w:sz w:val="22"/>
                <w:szCs w:val="22"/>
                <w:lang w:val="en-AU"/>
              </w:rPr>
            </w:pPr>
            <w:r w:rsidRPr="000C7A76">
              <w:rPr>
                <w:sz w:val="22"/>
                <w:szCs w:val="22"/>
              </w:rPr>
              <w:t>39.78</w:t>
            </w:r>
          </w:p>
        </w:tc>
        <w:tc>
          <w:tcPr>
            <w:tcW w:w="1843" w:type="dxa"/>
            <w:tcBorders>
              <w:top w:val="nil"/>
              <w:left w:val="nil"/>
              <w:bottom w:val="single" w:sz="8" w:space="0" w:color="auto"/>
              <w:right w:val="nil"/>
            </w:tcBorders>
            <w:shd w:val="clear" w:color="auto" w:fill="auto"/>
            <w:vAlign w:val="center"/>
            <w:hideMark/>
          </w:tcPr>
          <w:p w14:paraId="32499E02" w14:textId="77777777" w:rsidR="003C620A" w:rsidRPr="000C7A76" w:rsidRDefault="003C620A" w:rsidP="003C620A">
            <w:pPr>
              <w:spacing w:after="0"/>
              <w:jc w:val="right"/>
              <w:rPr>
                <w:rFonts w:ascii="Calibri" w:hAnsi="Calibri"/>
                <w:color w:val="000000"/>
                <w:sz w:val="22"/>
                <w:szCs w:val="22"/>
                <w:lang w:val="en-AU"/>
              </w:rPr>
            </w:pPr>
            <w:r w:rsidRPr="000C7A76">
              <w:rPr>
                <w:sz w:val="22"/>
                <w:szCs w:val="22"/>
              </w:rPr>
              <w:t>37.35</w:t>
            </w:r>
          </w:p>
        </w:tc>
        <w:tc>
          <w:tcPr>
            <w:tcW w:w="2126" w:type="dxa"/>
            <w:tcBorders>
              <w:top w:val="nil"/>
              <w:left w:val="nil"/>
              <w:bottom w:val="single" w:sz="8" w:space="0" w:color="auto"/>
              <w:right w:val="nil"/>
            </w:tcBorders>
            <w:shd w:val="clear" w:color="auto" w:fill="auto"/>
            <w:vAlign w:val="center"/>
            <w:hideMark/>
          </w:tcPr>
          <w:p w14:paraId="4D3F7E67" w14:textId="77777777" w:rsidR="003C620A" w:rsidRPr="000C7A76" w:rsidRDefault="003C620A" w:rsidP="003C620A">
            <w:pPr>
              <w:spacing w:after="0"/>
              <w:jc w:val="right"/>
              <w:rPr>
                <w:rFonts w:ascii="Calibri" w:hAnsi="Calibri"/>
                <w:color w:val="000000"/>
                <w:sz w:val="22"/>
                <w:szCs w:val="22"/>
                <w:lang w:val="en-AU"/>
              </w:rPr>
            </w:pPr>
            <w:r w:rsidRPr="000C7A76">
              <w:rPr>
                <w:sz w:val="22"/>
                <w:szCs w:val="22"/>
              </w:rPr>
              <w:t>2.43</w:t>
            </w:r>
          </w:p>
        </w:tc>
      </w:tr>
    </w:tbl>
    <w:p w14:paraId="32B3CA63" w14:textId="77777777" w:rsidR="003C620A" w:rsidRPr="000D61D1" w:rsidRDefault="003C620A" w:rsidP="003C620A">
      <w:pPr>
        <w:pStyle w:val="BlockText"/>
        <w:rPr>
          <w:lang w:val="en-AU"/>
        </w:rPr>
      </w:pPr>
      <w:r w:rsidRPr="000D61D1">
        <w:rPr>
          <w:i/>
          <w:lang w:val="en-AU"/>
        </w:rPr>
        <w:lastRenderedPageBreak/>
        <w:t>Source: Calculations from NATSEM microsimulation model.</w:t>
      </w:r>
      <w:r w:rsidRPr="000D61D1">
        <w:rPr>
          <w:lang w:val="en-AU"/>
        </w:rPr>
        <w:br/>
      </w:r>
    </w:p>
    <w:p w14:paraId="36680C1C" w14:textId="6B8F3AA0" w:rsidR="003C620A" w:rsidRPr="000D61D1" w:rsidRDefault="003C620A" w:rsidP="003C620A">
      <w:pPr>
        <w:rPr>
          <w:lang w:val="en-AU"/>
        </w:rPr>
      </w:pPr>
      <w:r w:rsidRPr="00A6304C">
        <w:rPr>
          <w:lang w:val="en-AU"/>
        </w:rPr>
        <w:fldChar w:fldCharType="begin"/>
      </w:r>
      <w:r w:rsidRPr="00A6304C">
        <w:rPr>
          <w:lang w:val="en-AU"/>
        </w:rPr>
        <w:instrText xml:space="preserve"> REF _Ref32498217 \h </w:instrText>
      </w:r>
      <w:r w:rsidRPr="00A6304C">
        <w:rPr>
          <w:lang w:val="en-AU"/>
        </w:rPr>
      </w:r>
      <w:r w:rsidR="00A6304C" w:rsidRPr="00A6304C">
        <w:rPr>
          <w:lang w:val="en-AU"/>
        </w:rPr>
        <w:instrText xml:space="preserve"> \* MERGEFORMAT </w:instrText>
      </w:r>
      <w:r w:rsidRPr="00A6304C">
        <w:rPr>
          <w:lang w:val="en-AU"/>
        </w:rPr>
        <w:fldChar w:fldCharType="separate"/>
      </w:r>
      <w:r w:rsidR="00A6304C" w:rsidRPr="00A6304C">
        <w:t>Table 6</w:t>
      </w:r>
      <w:r w:rsidRPr="00A6304C">
        <w:rPr>
          <w:lang w:val="en-AU"/>
        </w:rPr>
        <w:fldChar w:fldCharType="end"/>
      </w:r>
      <w:r w:rsidRPr="00A6304C">
        <w:rPr>
          <w:lang w:val="en-AU"/>
        </w:rPr>
        <w:t xml:space="preserve"> shows</w:t>
      </w:r>
      <w:r w:rsidRPr="000D61D1">
        <w:rPr>
          <w:lang w:val="en-AU"/>
        </w:rPr>
        <w:t xml:space="preserve"> the impact of the stamp duty change on different income quintiles. </w:t>
      </w:r>
      <w:proofErr w:type="gramStart"/>
      <w:r w:rsidRPr="000D61D1">
        <w:rPr>
          <w:lang w:val="en-AU"/>
        </w:rPr>
        <w:t>Similar to</w:t>
      </w:r>
      <w:proofErr w:type="gramEnd"/>
      <w:r w:rsidRPr="000D61D1">
        <w:rPr>
          <w:lang w:val="en-AU"/>
        </w:rPr>
        <w:t xml:space="preserve"> rates, stamp duty is progressive – high income </w:t>
      </w:r>
      <w:r>
        <w:rPr>
          <w:lang w:val="en-AU"/>
        </w:rPr>
        <w:t>families</w:t>
      </w:r>
      <w:r w:rsidRPr="000D61D1">
        <w:rPr>
          <w:lang w:val="en-AU"/>
        </w:rPr>
        <w:t xml:space="preserve"> pay proportionately more than low income </w:t>
      </w:r>
      <w:r>
        <w:rPr>
          <w:lang w:val="en-AU"/>
        </w:rPr>
        <w:t>families</w:t>
      </w:r>
      <w:r w:rsidRPr="000D61D1">
        <w:rPr>
          <w:lang w:val="en-AU"/>
        </w:rPr>
        <w:t xml:space="preserve">. Because stamp duty is only paid when a household sells, the impact on Q1 is very low – they pay only </w:t>
      </w:r>
      <w:r>
        <w:rPr>
          <w:lang w:val="en-AU"/>
        </w:rPr>
        <w:t>2</w:t>
      </w:r>
      <w:r w:rsidRPr="000D61D1">
        <w:rPr>
          <w:lang w:val="en-AU"/>
        </w:rPr>
        <w:t>.</w:t>
      </w:r>
      <w:r>
        <w:rPr>
          <w:lang w:val="en-AU"/>
        </w:rPr>
        <w:t>28</w:t>
      </w:r>
      <w:r w:rsidRPr="000D61D1">
        <w:rPr>
          <w:lang w:val="en-AU"/>
        </w:rPr>
        <w:t xml:space="preserve"> per cent of the total stamp duty collected under the new policy, whereas Q5 pays </w:t>
      </w:r>
      <w:r>
        <w:rPr>
          <w:lang w:val="en-AU"/>
        </w:rPr>
        <w:t xml:space="preserve">nearly </w:t>
      </w:r>
      <w:r w:rsidRPr="000D61D1">
        <w:rPr>
          <w:lang w:val="en-AU"/>
        </w:rPr>
        <w:t>40 per cent.</w:t>
      </w:r>
      <w:r>
        <w:rPr>
          <w:lang w:val="en-AU"/>
        </w:rPr>
        <w:t xml:space="preserve"> The other possible reason is that</w:t>
      </w:r>
      <w:r w:rsidRPr="000D61D1">
        <w:rPr>
          <w:lang w:val="en-AU"/>
        </w:rPr>
        <w:t xml:space="preserve"> </w:t>
      </w:r>
      <w:r>
        <w:rPr>
          <w:lang w:val="en-AU"/>
        </w:rPr>
        <w:t>those</w:t>
      </w:r>
      <w:r w:rsidRPr="009351FE">
        <w:rPr>
          <w:lang w:val="en-AU"/>
        </w:rPr>
        <w:t xml:space="preserve"> </w:t>
      </w:r>
      <w:r>
        <w:rPr>
          <w:lang w:val="en-AU"/>
        </w:rPr>
        <w:t xml:space="preserve">families </w:t>
      </w:r>
      <w:r w:rsidRPr="009351FE">
        <w:rPr>
          <w:lang w:val="en-AU"/>
        </w:rPr>
        <w:t>in Q1 are more likely to purchase properties with lower property values</w:t>
      </w:r>
      <w:r>
        <w:rPr>
          <w:lang w:val="en-AU"/>
        </w:rPr>
        <w:t xml:space="preserve"> and the </w:t>
      </w:r>
      <w:r w:rsidRPr="008100A1">
        <w:rPr>
          <w:lang w:val="en-AU"/>
        </w:rPr>
        <w:t>stamp duty paid depends on property value</w:t>
      </w:r>
      <w:r>
        <w:rPr>
          <w:lang w:val="en-AU"/>
        </w:rPr>
        <w:t>.</w:t>
      </w:r>
      <w:r w:rsidRPr="009351FE">
        <w:rPr>
          <w:lang w:val="en-AU"/>
        </w:rPr>
        <w:t xml:space="preserve"> </w:t>
      </w:r>
      <w:r w:rsidRPr="000D61D1">
        <w:rPr>
          <w:lang w:val="en-AU"/>
        </w:rPr>
        <w:t>There is not much difference in the distribution between the old and the new tax policies</w:t>
      </w:r>
      <w:r>
        <w:rPr>
          <w:lang w:val="en-AU"/>
        </w:rPr>
        <w:t xml:space="preserve">, </w:t>
      </w:r>
      <w:r w:rsidRPr="00323444">
        <w:rPr>
          <w:lang w:val="en-AU"/>
        </w:rPr>
        <w:t>Q1 – Q3 pay a slightly lower proportion and Q4 and Q5 pay a slightly higher proportion of total stamp duty revenue</w:t>
      </w:r>
      <w:r>
        <w:rPr>
          <w:lang w:val="en-AU"/>
        </w:rPr>
        <w:t>;</w:t>
      </w:r>
      <w:r w:rsidRPr="000D61D1">
        <w:rPr>
          <w:lang w:val="en-AU"/>
        </w:rPr>
        <w:t xml:space="preserve"> and increasing the </w:t>
      </w:r>
      <w:r>
        <w:rPr>
          <w:lang w:val="en-AU"/>
        </w:rPr>
        <w:t xml:space="preserve">property </w:t>
      </w:r>
      <w:r w:rsidRPr="000D61D1">
        <w:rPr>
          <w:lang w:val="en-AU"/>
        </w:rPr>
        <w:t>price did not have a large impact on the distribution.</w:t>
      </w:r>
    </w:p>
    <w:p w14:paraId="126FDBD4" w14:textId="20E9BAE5" w:rsidR="003C620A" w:rsidRPr="000D61D1" w:rsidRDefault="003C620A" w:rsidP="003C620A">
      <w:pPr>
        <w:pStyle w:val="TableCaption"/>
        <w:rPr>
          <w:lang w:val="en-AU"/>
        </w:rPr>
      </w:pPr>
      <w:bookmarkStart w:id="19" w:name="_Toc43911493"/>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6</w:t>
      </w:r>
      <w:r w:rsidRPr="000D61D1">
        <w:rPr>
          <w:lang w:val="en-AU"/>
        </w:rPr>
        <w:fldChar w:fldCharType="end"/>
      </w:r>
      <w:r w:rsidRPr="000D61D1">
        <w:rPr>
          <w:lang w:val="en-AU"/>
        </w:rPr>
        <w:t xml:space="preserve"> - The impact of tax reform on the stamp duty distribution (including concession) by income quintile, average 2012 – 2018</w:t>
      </w:r>
      <w:bookmarkEnd w:id="19"/>
    </w:p>
    <w:tbl>
      <w:tblPr>
        <w:tblW w:w="7228" w:type="dxa"/>
        <w:tblLook w:val="04A0" w:firstRow="1" w:lastRow="0" w:firstColumn="1" w:lastColumn="0" w:noHBand="0" w:noVBand="1"/>
        <w:tblCaption w:val="Table 20b - The impact of tax reform on the stamp duty distribution (including concession) by income quintile, average 2012 - 2018"/>
      </w:tblPr>
      <w:tblGrid>
        <w:gridCol w:w="1134"/>
        <w:gridCol w:w="1984"/>
        <w:gridCol w:w="1984"/>
        <w:gridCol w:w="2126"/>
      </w:tblGrid>
      <w:tr w:rsidR="003C620A" w:rsidRPr="000D61D1" w14:paraId="274AB5DD" w14:textId="77777777" w:rsidTr="003C620A">
        <w:trPr>
          <w:trHeight w:val="242"/>
        </w:trPr>
        <w:tc>
          <w:tcPr>
            <w:tcW w:w="1134" w:type="dxa"/>
            <w:tcBorders>
              <w:top w:val="single" w:sz="8" w:space="0" w:color="auto"/>
              <w:left w:val="nil"/>
              <w:bottom w:val="single" w:sz="8" w:space="0" w:color="auto"/>
              <w:right w:val="nil"/>
            </w:tcBorders>
            <w:shd w:val="clear" w:color="auto" w:fill="auto"/>
            <w:vAlign w:val="center"/>
            <w:hideMark/>
          </w:tcPr>
          <w:p w14:paraId="6851199F" w14:textId="0E617E90" w:rsidR="003C620A" w:rsidRPr="000D61D1" w:rsidRDefault="003C620A" w:rsidP="003C620A">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sidR="00D45A28">
              <w:rPr>
                <w:rFonts w:ascii="Calibri" w:eastAsia="Times New Roman" w:hAnsi="Calibri" w:cs="Calibri"/>
                <w:color w:val="000000"/>
                <w:lang w:val="en-AU" w:eastAsia="en-AU"/>
              </w:rPr>
              <w:t>Quintile</w:t>
            </w:r>
          </w:p>
        </w:tc>
        <w:tc>
          <w:tcPr>
            <w:tcW w:w="1984" w:type="dxa"/>
            <w:tcBorders>
              <w:top w:val="single" w:sz="8" w:space="0" w:color="auto"/>
              <w:left w:val="nil"/>
              <w:bottom w:val="single" w:sz="8" w:space="0" w:color="auto"/>
              <w:right w:val="nil"/>
            </w:tcBorders>
            <w:shd w:val="clear" w:color="000000" w:fill="E7E6E6"/>
            <w:vAlign w:val="center"/>
            <w:hideMark/>
          </w:tcPr>
          <w:p w14:paraId="0A50DF27"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w:t>
            </w:r>
          </w:p>
        </w:tc>
        <w:tc>
          <w:tcPr>
            <w:tcW w:w="1984" w:type="dxa"/>
            <w:tcBorders>
              <w:top w:val="single" w:sz="8" w:space="0" w:color="auto"/>
              <w:left w:val="nil"/>
              <w:bottom w:val="single" w:sz="8" w:space="0" w:color="auto"/>
              <w:right w:val="nil"/>
            </w:tcBorders>
            <w:shd w:val="clear" w:color="auto" w:fill="auto"/>
            <w:vAlign w:val="center"/>
            <w:hideMark/>
          </w:tcPr>
          <w:p w14:paraId="5B8D8E58"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w:t>
            </w:r>
          </w:p>
        </w:tc>
        <w:tc>
          <w:tcPr>
            <w:tcW w:w="2126" w:type="dxa"/>
            <w:tcBorders>
              <w:top w:val="single" w:sz="8" w:space="0" w:color="auto"/>
              <w:left w:val="nil"/>
              <w:bottom w:val="single" w:sz="8" w:space="0" w:color="auto"/>
              <w:right w:val="nil"/>
            </w:tcBorders>
            <w:shd w:val="clear" w:color="auto" w:fill="auto"/>
            <w:vAlign w:val="center"/>
            <w:hideMark/>
          </w:tcPr>
          <w:p w14:paraId="609AA221" w14:textId="1BE33951"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 point</w:t>
            </w:r>
            <w:r w:rsidR="00C53B3C">
              <w:rPr>
                <w:rFonts w:ascii="Calibri" w:eastAsia="Times New Roman" w:hAnsi="Calibri" w:cs="Calibri"/>
                <w:color w:val="000000"/>
                <w:sz w:val="22"/>
                <w:szCs w:val="22"/>
                <w:lang w:val="en-AU" w:eastAsia="en-AU"/>
              </w:rPr>
              <w:t>s</w:t>
            </w:r>
            <w:r w:rsidRPr="000D61D1">
              <w:rPr>
                <w:rFonts w:ascii="Calibri" w:eastAsia="Times New Roman" w:hAnsi="Calibri" w:cs="Calibri"/>
                <w:color w:val="000000"/>
                <w:sz w:val="22"/>
                <w:szCs w:val="22"/>
                <w:lang w:val="en-AU" w:eastAsia="en-AU"/>
              </w:rPr>
              <w:t>)</w:t>
            </w:r>
          </w:p>
        </w:tc>
      </w:tr>
      <w:tr w:rsidR="003C620A" w:rsidRPr="000D61D1" w14:paraId="0D198225" w14:textId="77777777" w:rsidTr="003C620A">
        <w:trPr>
          <w:trHeight w:val="290"/>
        </w:trPr>
        <w:tc>
          <w:tcPr>
            <w:tcW w:w="1134" w:type="dxa"/>
            <w:tcBorders>
              <w:top w:val="nil"/>
              <w:left w:val="nil"/>
              <w:bottom w:val="nil"/>
              <w:right w:val="nil"/>
            </w:tcBorders>
            <w:shd w:val="clear" w:color="auto" w:fill="auto"/>
            <w:vAlign w:val="center"/>
            <w:hideMark/>
          </w:tcPr>
          <w:p w14:paraId="782FAC02"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1984" w:type="dxa"/>
            <w:tcBorders>
              <w:top w:val="nil"/>
              <w:left w:val="nil"/>
              <w:bottom w:val="nil"/>
              <w:right w:val="nil"/>
            </w:tcBorders>
            <w:shd w:val="clear" w:color="000000" w:fill="E7E6E6"/>
            <w:vAlign w:val="center"/>
            <w:hideMark/>
          </w:tcPr>
          <w:p w14:paraId="57E6C8EE"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2.28</w:t>
            </w:r>
          </w:p>
        </w:tc>
        <w:tc>
          <w:tcPr>
            <w:tcW w:w="1984" w:type="dxa"/>
            <w:tcBorders>
              <w:top w:val="nil"/>
              <w:left w:val="nil"/>
              <w:bottom w:val="nil"/>
              <w:right w:val="nil"/>
            </w:tcBorders>
            <w:shd w:val="clear" w:color="auto" w:fill="auto"/>
            <w:vAlign w:val="center"/>
            <w:hideMark/>
          </w:tcPr>
          <w:p w14:paraId="4BB72435"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2.48</w:t>
            </w:r>
          </w:p>
        </w:tc>
        <w:tc>
          <w:tcPr>
            <w:tcW w:w="2126" w:type="dxa"/>
            <w:tcBorders>
              <w:top w:val="nil"/>
              <w:left w:val="nil"/>
              <w:bottom w:val="nil"/>
              <w:right w:val="nil"/>
            </w:tcBorders>
            <w:shd w:val="clear" w:color="auto" w:fill="auto"/>
            <w:vAlign w:val="center"/>
            <w:hideMark/>
          </w:tcPr>
          <w:p w14:paraId="4BF4E59C"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-0.19</w:t>
            </w:r>
          </w:p>
        </w:tc>
      </w:tr>
      <w:tr w:rsidR="003C620A" w:rsidRPr="000D61D1" w14:paraId="67859F06" w14:textId="77777777" w:rsidTr="003C620A">
        <w:trPr>
          <w:trHeight w:val="290"/>
        </w:trPr>
        <w:tc>
          <w:tcPr>
            <w:tcW w:w="1134" w:type="dxa"/>
            <w:tcBorders>
              <w:top w:val="nil"/>
              <w:left w:val="nil"/>
              <w:bottom w:val="nil"/>
              <w:right w:val="nil"/>
            </w:tcBorders>
            <w:shd w:val="clear" w:color="auto" w:fill="auto"/>
            <w:vAlign w:val="center"/>
            <w:hideMark/>
          </w:tcPr>
          <w:p w14:paraId="26A26B35"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1984" w:type="dxa"/>
            <w:tcBorders>
              <w:top w:val="nil"/>
              <w:left w:val="nil"/>
              <w:bottom w:val="nil"/>
              <w:right w:val="nil"/>
            </w:tcBorders>
            <w:shd w:val="clear" w:color="000000" w:fill="E7E6E6"/>
            <w:vAlign w:val="center"/>
            <w:hideMark/>
          </w:tcPr>
          <w:p w14:paraId="3FF798B6"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8.31</w:t>
            </w:r>
          </w:p>
        </w:tc>
        <w:tc>
          <w:tcPr>
            <w:tcW w:w="1984" w:type="dxa"/>
            <w:tcBorders>
              <w:top w:val="nil"/>
              <w:left w:val="nil"/>
              <w:bottom w:val="nil"/>
              <w:right w:val="nil"/>
            </w:tcBorders>
            <w:shd w:val="clear" w:color="auto" w:fill="auto"/>
            <w:vAlign w:val="center"/>
            <w:hideMark/>
          </w:tcPr>
          <w:p w14:paraId="18AA4A66"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8.48</w:t>
            </w:r>
          </w:p>
        </w:tc>
        <w:tc>
          <w:tcPr>
            <w:tcW w:w="2126" w:type="dxa"/>
            <w:tcBorders>
              <w:top w:val="nil"/>
              <w:left w:val="nil"/>
              <w:bottom w:val="nil"/>
              <w:right w:val="nil"/>
            </w:tcBorders>
            <w:shd w:val="clear" w:color="auto" w:fill="auto"/>
            <w:vAlign w:val="center"/>
            <w:hideMark/>
          </w:tcPr>
          <w:p w14:paraId="57F4DB15"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-0.17</w:t>
            </w:r>
          </w:p>
        </w:tc>
      </w:tr>
      <w:tr w:rsidR="003C620A" w:rsidRPr="000D61D1" w14:paraId="1678BC6D" w14:textId="77777777" w:rsidTr="003C620A">
        <w:trPr>
          <w:trHeight w:val="290"/>
        </w:trPr>
        <w:tc>
          <w:tcPr>
            <w:tcW w:w="1134" w:type="dxa"/>
            <w:tcBorders>
              <w:top w:val="nil"/>
              <w:left w:val="nil"/>
              <w:bottom w:val="nil"/>
              <w:right w:val="nil"/>
            </w:tcBorders>
            <w:shd w:val="clear" w:color="auto" w:fill="auto"/>
            <w:vAlign w:val="center"/>
            <w:hideMark/>
          </w:tcPr>
          <w:p w14:paraId="0C32A6B0"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1984" w:type="dxa"/>
            <w:tcBorders>
              <w:top w:val="nil"/>
              <w:left w:val="nil"/>
              <w:bottom w:val="nil"/>
              <w:right w:val="nil"/>
            </w:tcBorders>
            <w:shd w:val="clear" w:color="000000" w:fill="E7E6E6"/>
            <w:vAlign w:val="center"/>
            <w:hideMark/>
          </w:tcPr>
          <w:p w14:paraId="0E316AEF"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22.48</w:t>
            </w:r>
          </w:p>
        </w:tc>
        <w:tc>
          <w:tcPr>
            <w:tcW w:w="1984" w:type="dxa"/>
            <w:tcBorders>
              <w:top w:val="nil"/>
              <w:left w:val="nil"/>
              <w:bottom w:val="nil"/>
              <w:right w:val="nil"/>
            </w:tcBorders>
            <w:shd w:val="clear" w:color="auto" w:fill="auto"/>
            <w:vAlign w:val="center"/>
            <w:hideMark/>
          </w:tcPr>
          <w:p w14:paraId="18E000C2"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23.14</w:t>
            </w:r>
          </w:p>
        </w:tc>
        <w:tc>
          <w:tcPr>
            <w:tcW w:w="2126" w:type="dxa"/>
            <w:tcBorders>
              <w:top w:val="nil"/>
              <w:left w:val="nil"/>
              <w:bottom w:val="nil"/>
              <w:right w:val="nil"/>
            </w:tcBorders>
            <w:shd w:val="clear" w:color="auto" w:fill="auto"/>
            <w:vAlign w:val="center"/>
            <w:hideMark/>
          </w:tcPr>
          <w:p w14:paraId="6489D336"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-0.66</w:t>
            </w:r>
          </w:p>
        </w:tc>
      </w:tr>
      <w:tr w:rsidR="003C620A" w:rsidRPr="000D61D1" w14:paraId="4F3A7869" w14:textId="77777777" w:rsidTr="003C620A">
        <w:trPr>
          <w:trHeight w:val="290"/>
        </w:trPr>
        <w:tc>
          <w:tcPr>
            <w:tcW w:w="1134" w:type="dxa"/>
            <w:tcBorders>
              <w:top w:val="nil"/>
              <w:left w:val="nil"/>
              <w:bottom w:val="nil"/>
              <w:right w:val="nil"/>
            </w:tcBorders>
            <w:shd w:val="clear" w:color="auto" w:fill="auto"/>
            <w:vAlign w:val="center"/>
            <w:hideMark/>
          </w:tcPr>
          <w:p w14:paraId="30E1541A"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1984" w:type="dxa"/>
            <w:tcBorders>
              <w:top w:val="nil"/>
              <w:left w:val="nil"/>
              <w:bottom w:val="nil"/>
              <w:right w:val="nil"/>
            </w:tcBorders>
            <w:shd w:val="clear" w:color="000000" w:fill="E7E6E6"/>
            <w:vAlign w:val="center"/>
            <w:hideMark/>
          </w:tcPr>
          <w:p w14:paraId="4F642D41"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27.66</w:t>
            </w:r>
          </w:p>
        </w:tc>
        <w:tc>
          <w:tcPr>
            <w:tcW w:w="1984" w:type="dxa"/>
            <w:tcBorders>
              <w:top w:val="nil"/>
              <w:left w:val="nil"/>
              <w:bottom w:val="nil"/>
              <w:right w:val="nil"/>
            </w:tcBorders>
            <w:shd w:val="clear" w:color="auto" w:fill="auto"/>
            <w:vAlign w:val="center"/>
            <w:hideMark/>
          </w:tcPr>
          <w:p w14:paraId="5128FF36"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27.38</w:t>
            </w:r>
          </w:p>
        </w:tc>
        <w:tc>
          <w:tcPr>
            <w:tcW w:w="2126" w:type="dxa"/>
            <w:tcBorders>
              <w:top w:val="nil"/>
              <w:left w:val="nil"/>
              <w:bottom w:val="nil"/>
              <w:right w:val="nil"/>
            </w:tcBorders>
            <w:shd w:val="clear" w:color="auto" w:fill="auto"/>
            <w:vAlign w:val="center"/>
            <w:hideMark/>
          </w:tcPr>
          <w:p w14:paraId="2CD3AA56"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0.28</w:t>
            </w:r>
          </w:p>
        </w:tc>
      </w:tr>
      <w:tr w:rsidR="003C620A" w:rsidRPr="000D61D1" w14:paraId="358FC4C6" w14:textId="77777777" w:rsidTr="003C620A">
        <w:trPr>
          <w:trHeight w:val="300"/>
        </w:trPr>
        <w:tc>
          <w:tcPr>
            <w:tcW w:w="1134" w:type="dxa"/>
            <w:tcBorders>
              <w:top w:val="nil"/>
              <w:left w:val="nil"/>
              <w:bottom w:val="nil"/>
              <w:right w:val="nil"/>
            </w:tcBorders>
            <w:shd w:val="clear" w:color="auto" w:fill="auto"/>
            <w:vAlign w:val="center"/>
            <w:hideMark/>
          </w:tcPr>
          <w:p w14:paraId="112A45D0"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1984" w:type="dxa"/>
            <w:tcBorders>
              <w:top w:val="nil"/>
              <w:left w:val="nil"/>
              <w:bottom w:val="nil"/>
              <w:right w:val="nil"/>
            </w:tcBorders>
            <w:shd w:val="clear" w:color="000000" w:fill="E7E6E6"/>
            <w:vAlign w:val="center"/>
            <w:hideMark/>
          </w:tcPr>
          <w:p w14:paraId="1DC50518"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39.28</w:t>
            </w:r>
          </w:p>
        </w:tc>
        <w:tc>
          <w:tcPr>
            <w:tcW w:w="1984" w:type="dxa"/>
            <w:tcBorders>
              <w:top w:val="nil"/>
              <w:left w:val="nil"/>
              <w:bottom w:val="nil"/>
              <w:right w:val="nil"/>
            </w:tcBorders>
            <w:shd w:val="clear" w:color="auto" w:fill="auto"/>
            <w:vAlign w:val="center"/>
            <w:hideMark/>
          </w:tcPr>
          <w:p w14:paraId="2A613CF7"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38.53</w:t>
            </w:r>
          </w:p>
        </w:tc>
        <w:tc>
          <w:tcPr>
            <w:tcW w:w="2126" w:type="dxa"/>
            <w:tcBorders>
              <w:top w:val="nil"/>
              <w:left w:val="nil"/>
              <w:bottom w:val="nil"/>
              <w:right w:val="nil"/>
            </w:tcBorders>
            <w:shd w:val="clear" w:color="auto" w:fill="auto"/>
            <w:vAlign w:val="center"/>
            <w:hideMark/>
          </w:tcPr>
          <w:p w14:paraId="6F6CA200"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0.74</w:t>
            </w:r>
          </w:p>
        </w:tc>
      </w:tr>
      <w:tr w:rsidR="001B50A4" w:rsidRPr="000D61D1" w14:paraId="522BC286" w14:textId="77777777" w:rsidTr="00870105">
        <w:trPr>
          <w:trHeight w:val="297"/>
        </w:trPr>
        <w:tc>
          <w:tcPr>
            <w:tcW w:w="7228" w:type="dxa"/>
            <w:gridSpan w:val="4"/>
            <w:tcBorders>
              <w:top w:val="single" w:sz="8" w:space="0" w:color="auto"/>
              <w:left w:val="nil"/>
              <w:right w:val="nil"/>
            </w:tcBorders>
            <w:shd w:val="clear" w:color="auto" w:fill="auto"/>
            <w:vAlign w:val="center"/>
          </w:tcPr>
          <w:p w14:paraId="1CD0F71F" w14:textId="33E1A099" w:rsidR="001B50A4" w:rsidRPr="000D61D1" w:rsidRDefault="001B50A4" w:rsidP="00870105">
            <w:pPr>
              <w:spacing w:after="0"/>
              <w:jc w:val="center"/>
              <w:rPr>
                <w:rFonts w:ascii="Calibri" w:eastAsia="Times New Roman" w:hAnsi="Calibri" w:cs="Calibri"/>
                <w:color w:val="000000"/>
                <w:sz w:val="22"/>
                <w:szCs w:val="22"/>
                <w:lang w:val="en-AU" w:eastAsia="en-AU"/>
              </w:rPr>
            </w:pPr>
          </w:p>
          <w:p w14:paraId="1B8B82F5" w14:textId="17A519F6" w:rsidR="001B50A4" w:rsidRPr="000D61D1" w:rsidRDefault="001B50A4" w:rsidP="00870105">
            <w:pPr>
              <w:spacing w:after="0"/>
              <w:jc w:val="center"/>
              <w:rPr>
                <w:rFonts w:ascii="Calibri" w:eastAsia="Times New Roman" w:hAnsi="Calibri" w:cs="Calibri"/>
                <w:color w:val="000000"/>
                <w:sz w:val="22"/>
                <w:szCs w:val="22"/>
                <w:lang w:val="en-AU" w:eastAsia="en-AU"/>
              </w:rPr>
            </w:pPr>
            <w:r>
              <w:rPr>
                <w:b/>
                <w:i/>
                <w:iCs/>
                <w:color w:val="365F91" w:themeColor="accent1" w:themeShade="BF"/>
              </w:rPr>
              <w:t>0.35 – 1.30%</w:t>
            </w:r>
            <w:r w:rsidRPr="00AF6491">
              <w:rPr>
                <w:b/>
                <w:i/>
                <w:iCs/>
                <w:color w:val="365F91" w:themeColor="accent1" w:themeShade="BF"/>
              </w:rPr>
              <w:t xml:space="preserve"> </w:t>
            </w:r>
            <w:r w:rsidRPr="000D61D1">
              <w:rPr>
                <w:rFonts w:ascii="Calibri" w:eastAsia="Times New Roman" w:hAnsi="Calibri" w:cs="Calibri"/>
                <w:b/>
                <w:bCs/>
                <w:i/>
                <w:iCs/>
                <w:color w:val="365F91"/>
                <w:lang w:val="en-AU" w:eastAsia="en-AU"/>
              </w:rPr>
              <w:t>price effect</w:t>
            </w:r>
            <w:r>
              <w:rPr>
                <w:rFonts w:ascii="Calibri" w:eastAsia="Times New Roman" w:hAnsi="Calibri" w:cs="Calibri"/>
                <w:b/>
                <w:bCs/>
                <w:i/>
                <w:iCs/>
                <w:color w:val="365F91"/>
                <w:lang w:val="en-AU" w:eastAsia="en-AU"/>
              </w:rPr>
              <w:t xml:space="preserve"> (0.8% average)</w:t>
            </w:r>
          </w:p>
        </w:tc>
      </w:tr>
      <w:tr w:rsidR="003C620A" w:rsidRPr="000D61D1" w14:paraId="3F813F46" w14:textId="77777777" w:rsidTr="00870105">
        <w:trPr>
          <w:trHeight w:val="297"/>
        </w:trPr>
        <w:tc>
          <w:tcPr>
            <w:tcW w:w="1134" w:type="dxa"/>
            <w:tcBorders>
              <w:left w:val="nil"/>
              <w:bottom w:val="nil"/>
              <w:right w:val="nil"/>
            </w:tcBorders>
            <w:shd w:val="clear" w:color="auto" w:fill="auto"/>
            <w:vAlign w:val="center"/>
            <w:hideMark/>
          </w:tcPr>
          <w:p w14:paraId="677CB39F" w14:textId="04004010" w:rsidR="003C620A" w:rsidRPr="000D61D1" w:rsidRDefault="003C620A" w:rsidP="003C620A">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sidR="00D45A28">
              <w:rPr>
                <w:rFonts w:ascii="Calibri" w:eastAsia="Times New Roman" w:hAnsi="Calibri" w:cs="Calibri"/>
                <w:color w:val="000000"/>
                <w:lang w:val="en-AU" w:eastAsia="en-AU"/>
              </w:rPr>
              <w:t>Quintile</w:t>
            </w:r>
          </w:p>
        </w:tc>
        <w:tc>
          <w:tcPr>
            <w:tcW w:w="1984" w:type="dxa"/>
            <w:tcBorders>
              <w:left w:val="nil"/>
              <w:bottom w:val="nil"/>
              <w:right w:val="nil"/>
            </w:tcBorders>
            <w:shd w:val="clear" w:color="000000" w:fill="E7E6E6"/>
            <w:vAlign w:val="center"/>
            <w:hideMark/>
          </w:tcPr>
          <w:p w14:paraId="3603D6D8"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w:t>
            </w:r>
          </w:p>
        </w:tc>
        <w:tc>
          <w:tcPr>
            <w:tcW w:w="1984" w:type="dxa"/>
            <w:tcBorders>
              <w:left w:val="nil"/>
              <w:bottom w:val="nil"/>
              <w:right w:val="nil"/>
            </w:tcBorders>
            <w:shd w:val="clear" w:color="auto" w:fill="auto"/>
            <w:vAlign w:val="center"/>
            <w:hideMark/>
          </w:tcPr>
          <w:p w14:paraId="4C55EE84"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w:t>
            </w:r>
          </w:p>
        </w:tc>
        <w:tc>
          <w:tcPr>
            <w:tcW w:w="2126" w:type="dxa"/>
            <w:tcBorders>
              <w:left w:val="nil"/>
              <w:bottom w:val="nil"/>
              <w:right w:val="nil"/>
            </w:tcBorders>
            <w:shd w:val="clear" w:color="auto" w:fill="auto"/>
            <w:vAlign w:val="center"/>
            <w:hideMark/>
          </w:tcPr>
          <w:p w14:paraId="17AC13D3" w14:textId="771A9EDB"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 point</w:t>
            </w:r>
            <w:r w:rsidR="00C53B3C">
              <w:rPr>
                <w:rFonts w:ascii="Calibri" w:eastAsia="Times New Roman" w:hAnsi="Calibri" w:cs="Calibri"/>
                <w:color w:val="000000"/>
                <w:sz w:val="22"/>
                <w:szCs w:val="22"/>
                <w:lang w:val="en-AU" w:eastAsia="en-AU"/>
              </w:rPr>
              <w:t>s</w:t>
            </w:r>
            <w:r w:rsidRPr="000D61D1">
              <w:rPr>
                <w:rFonts w:ascii="Calibri" w:eastAsia="Times New Roman" w:hAnsi="Calibri" w:cs="Calibri"/>
                <w:color w:val="000000"/>
                <w:sz w:val="22"/>
                <w:szCs w:val="22"/>
                <w:lang w:val="en-AU" w:eastAsia="en-AU"/>
              </w:rPr>
              <w:t>)</w:t>
            </w:r>
          </w:p>
        </w:tc>
      </w:tr>
      <w:tr w:rsidR="003C620A" w:rsidRPr="000D61D1" w14:paraId="7AFBBAA9" w14:textId="77777777" w:rsidTr="003C620A">
        <w:trPr>
          <w:trHeight w:val="290"/>
        </w:trPr>
        <w:tc>
          <w:tcPr>
            <w:tcW w:w="1134" w:type="dxa"/>
            <w:tcBorders>
              <w:top w:val="nil"/>
              <w:left w:val="nil"/>
              <w:bottom w:val="nil"/>
              <w:right w:val="nil"/>
            </w:tcBorders>
            <w:shd w:val="clear" w:color="auto" w:fill="auto"/>
            <w:vAlign w:val="center"/>
            <w:hideMark/>
          </w:tcPr>
          <w:p w14:paraId="742182E1"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1984" w:type="dxa"/>
            <w:tcBorders>
              <w:top w:val="nil"/>
              <w:left w:val="nil"/>
              <w:bottom w:val="nil"/>
              <w:right w:val="nil"/>
            </w:tcBorders>
            <w:shd w:val="clear" w:color="000000" w:fill="E7E6E6"/>
            <w:vAlign w:val="center"/>
            <w:hideMark/>
          </w:tcPr>
          <w:p w14:paraId="44A6F922"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2.28</w:t>
            </w:r>
          </w:p>
        </w:tc>
        <w:tc>
          <w:tcPr>
            <w:tcW w:w="1984" w:type="dxa"/>
            <w:tcBorders>
              <w:top w:val="nil"/>
              <w:left w:val="nil"/>
              <w:bottom w:val="nil"/>
              <w:right w:val="nil"/>
            </w:tcBorders>
            <w:shd w:val="clear" w:color="auto" w:fill="auto"/>
            <w:vAlign w:val="center"/>
            <w:hideMark/>
          </w:tcPr>
          <w:p w14:paraId="54B06FE2"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2.47</w:t>
            </w:r>
          </w:p>
        </w:tc>
        <w:tc>
          <w:tcPr>
            <w:tcW w:w="2126" w:type="dxa"/>
            <w:tcBorders>
              <w:top w:val="nil"/>
              <w:left w:val="nil"/>
              <w:bottom w:val="nil"/>
              <w:right w:val="nil"/>
            </w:tcBorders>
            <w:shd w:val="clear" w:color="auto" w:fill="auto"/>
            <w:vAlign w:val="center"/>
            <w:hideMark/>
          </w:tcPr>
          <w:p w14:paraId="0FC10579"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-0.19</w:t>
            </w:r>
          </w:p>
        </w:tc>
      </w:tr>
      <w:tr w:rsidR="003C620A" w:rsidRPr="000D61D1" w14:paraId="30DB1E82" w14:textId="77777777" w:rsidTr="003C620A">
        <w:trPr>
          <w:trHeight w:val="290"/>
        </w:trPr>
        <w:tc>
          <w:tcPr>
            <w:tcW w:w="1134" w:type="dxa"/>
            <w:tcBorders>
              <w:top w:val="nil"/>
              <w:left w:val="nil"/>
              <w:bottom w:val="nil"/>
              <w:right w:val="nil"/>
            </w:tcBorders>
            <w:shd w:val="clear" w:color="auto" w:fill="auto"/>
            <w:vAlign w:val="center"/>
            <w:hideMark/>
          </w:tcPr>
          <w:p w14:paraId="2634DF14"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1984" w:type="dxa"/>
            <w:tcBorders>
              <w:top w:val="nil"/>
              <w:left w:val="nil"/>
              <w:bottom w:val="nil"/>
              <w:right w:val="nil"/>
            </w:tcBorders>
            <w:shd w:val="clear" w:color="000000" w:fill="E7E6E6"/>
            <w:vAlign w:val="center"/>
            <w:hideMark/>
          </w:tcPr>
          <w:p w14:paraId="555EDB81"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8.31</w:t>
            </w:r>
          </w:p>
        </w:tc>
        <w:tc>
          <w:tcPr>
            <w:tcW w:w="1984" w:type="dxa"/>
            <w:tcBorders>
              <w:top w:val="nil"/>
              <w:left w:val="nil"/>
              <w:bottom w:val="nil"/>
              <w:right w:val="nil"/>
            </w:tcBorders>
            <w:shd w:val="clear" w:color="auto" w:fill="auto"/>
            <w:vAlign w:val="center"/>
            <w:hideMark/>
          </w:tcPr>
          <w:p w14:paraId="3317CA84"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8.54</w:t>
            </w:r>
          </w:p>
        </w:tc>
        <w:tc>
          <w:tcPr>
            <w:tcW w:w="2126" w:type="dxa"/>
            <w:tcBorders>
              <w:top w:val="nil"/>
              <w:left w:val="nil"/>
              <w:bottom w:val="nil"/>
              <w:right w:val="nil"/>
            </w:tcBorders>
            <w:shd w:val="clear" w:color="auto" w:fill="auto"/>
            <w:vAlign w:val="center"/>
            <w:hideMark/>
          </w:tcPr>
          <w:p w14:paraId="32C0FDF3"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-0.22</w:t>
            </w:r>
          </w:p>
        </w:tc>
      </w:tr>
      <w:tr w:rsidR="003C620A" w:rsidRPr="000D61D1" w14:paraId="2FE5CB06" w14:textId="77777777" w:rsidTr="003C620A">
        <w:trPr>
          <w:trHeight w:val="290"/>
        </w:trPr>
        <w:tc>
          <w:tcPr>
            <w:tcW w:w="1134" w:type="dxa"/>
            <w:tcBorders>
              <w:top w:val="nil"/>
              <w:left w:val="nil"/>
              <w:bottom w:val="nil"/>
              <w:right w:val="nil"/>
            </w:tcBorders>
            <w:shd w:val="clear" w:color="auto" w:fill="auto"/>
            <w:vAlign w:val="center"/>
            <w:hideMark/>
          </w:tcPr>
          <w:p w14:paraId="612E22CA"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1984" w:type="dxa"/>
            <w:tcBorders>
              <w:top w:val="nil"/>
              <w:left w:val="nil"/>
              <w:bottom w:val="nil"/>
              <w:right w:val="nil"/>
            </w:tcBorders>
            <w:shd w:val="clear" w:color="000000" w:fill="E7E6E6"/>
            <w:vAlign w:val="center"/>
            <w:hideMark/>
          </w:tcPr>
          <w:p w14:paraId="41F976C0"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22.48</w:t>
            </w:r>
          </w:p>
        </w:tc>
        <w:tc>
          <w:tcPr>
            <w:tcW w:w="1984" w:type="dxa"/>
            <w:tcBorders>
              <w:top w:val="nil"/>
              <w:left w:val="nil"/>
              <w:bottom w:val="nil"/>
              <w:right w:val="nil"/>
            </w:tcBorders>
            <w:shd w:val="clear" w:color="auto" w:fill="auto"/>
            <w:vAlign w:val="center"/>
            <w:hideMark/>
          </w:tcPr>
          <w:p w14:paraId="1A4D75A6"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23.13</w:t>
            </w:r>
          </w:p>
        </w:tc>
        <w:tc>
          <w:tcPr>
            <w:tcW w:w="2126" w:type="dxa"/>
            <w:tcBorders>
              <w:top w:val="nil"/>
              <w:left w:val="nil"/>
              <w:bottom w:val="nil"/>
              <w:right w:val="nil"/>
            </w:tcBorders>
            <w:shd w:val="clear" w:color="auto" w:fill="auto"/>
            <w:vAlign w:val="center"/>
            <w:hideMark/>
          </w:tcPr>
          <w:p w14:paraId="28A7293D"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-0.66</w:t>
            </w:r>
          </w:p>
        </w:tc>
      </w:tr>
      <w:tr w:rsidR="003C620A" w:rsidRPr="000D61D1" w14:paraId="520F79F1" w14:textId="77777777" w:rsidTr="003C620A">
        <w:trPr>
          <w:trHeight w:val="290"/>
        </w:trPr>
        <w:tc>
          <w:tcPr>
            <w:tcW w:w="1134" w:type="dxa"/>
            <w:tcBorders>
              <w:top w:val="nil"/>
              <w:left w:val="nil"/>
              <w:bottom w:val="nil"/>
              <w:right w:val="nil"/>
            </w:tcBorders>
            <w:shd w:val="clear" w:color="auto" w:fill="auto"/>
            <w:vAlign w:val="center"/>
            <w:hideMark/>
          </w:tcPr>
          <w:p w14:paraId="1DAA720F"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1984" w:type="dxa"/>
            <w:tcBorders>
              <w:top w:val="nil"/>
              <w:left w:val="nil"/>
              <w:bottom w:val="nil"/>
              <w:right w:val="nil"/>
            </w:tcBorders>
            <w:shd w:val="clear" w:color="000000" w:fill="E7E6E6"/>
            <w:vAlign w:val="center"/>
            <w:hideMark/>
          </w:tcPr>
          <w:p w14:paraId="2EE66ADD"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27.66</w:t>
            </w:r>
          </w:p>
        </w:tc>
        <w:tc>
          <w:tcPr>
            <w:tcW w:w="1984" w:type="dxa"/>
            <w:tcBorders>
              <w:top w:val="nil"/>
              <w:left w:val="nil"/>
              <w:bottom w:val="nil"/>
              <w:right w:val="nil"/>
            </w:tcBorders>
            <w:shd w:val="clear" w:color="auto" w:fill="auto"/>
            <w:vAlign w:val="center"/>
            <w:hideMark/>
          </w:tcPr>
          <w:p w14:paraId="589E69B7"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27.36</w:t>
            </w:r>
          </w:p>
        </w:tc>
        <w:tc>
          <w:tcPr>
            <w:tcW w:w="2126" w:type="dxa"/>
            <w:tcBorders>
              <w:top w:val="nil"/>
              <w:left w:val="nil"/>
              <w:bottom w:val="nil"/>
              <w:right w:val="nil"/>
            </w:tcBorders>
            <w:shd w:val="clear" w:color="auto" w:fill="auto"/>
            <w:vAlign w:val="center"/>
            <w:hideMark/>
          </w:tcPr>
          <w:p w14:paraId="504A6B9E"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0.30</w:t>
            </w:r>
          </w:p>
        </w:tc>
      </w:tr>
      <w:tr w:rsidR="003C620A" w:rsidRPr="000D61D1" w14:paraId="00372406" w14:textId="77777777" w:rsidTr="003C620A">
        <w:trPr>
          <w:trHeight w:val="300"/>
        </w:trPr>
        <w:tc>
          <w:tcPr>
            <w:tcW w:w="1134" w:type="dxa"/>
            <w:tcBorders>
              <w:top w:val="nil"/>
              <w:left w:val="nil"/>
              <w:bottom w:val="nil"/>
              <w:right w:val="nil"/>
            </w:tcBorders>
            <w:shd w:val="clear" w:color="auto" w:fill="auto"/>
            <w:vAlign w:val="center"/>
            <w:hideMark/>
          </w:tcPr>
          <w:p w14:paraId="36C601D2"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1984" w:type="dxa"/>
            <w:tcBorders>
              <w:top w:val="nil"/>
              <w:left w:val="nil"/>
              <w:bottom w:val="nil"/>
              <w:right w:val="nil"/>
            </w:tcBorders>
            <w:shd w:val="clear" w:color="000000" w:fill="E7E6E6"/>
            <w:vAlign w:val="center"/>
            <w:hideMark/>
          </w:tcPr>
          <w:p w14:paraId="6540A503"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39.28</w:t>
            </w:r>
          </w:p>
        </w:tc>
        <w:tc>
          <w:tcPr>
            <w:tcW w:w="1984" w:type="dxa"/>
            <w:tcBorders>
              <w:top w:val="nil"/>
              <w:left w:val="nil"/>
              <w:bottom w:val="nil"/>
              <w:right w:val="nil"/>
            </w:tcBorders>
            <w:shd w:val="clear" w:color="auto" w:fill="auto"/>
            <w:vAlign w:val="center"/>
            <w:hideMark/>
          </w:tcPr>
          <w:p w14:paraId="7C07481E"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38.51</w:t>
            </w:r>
          </w:p>
        </w:tc>
        <w:tc>
          <w:tcPr>
            <w:tcW w:w="2126" w:type="dxa"/>
            <w:tcBorders>
              <w:top w:val="nil"/>
              <w:left w:val="nil"/>
              <w:bottom w:val="nil"/>
              <w:right w:val="nil"/>
            </w:tcBorders>
            <w:shd w:val="clear" w:color="auto" w:fill="auto"/>
            <w:vAlign w:val="center"/>
            <w:hideMark/>
          </w:tcPr>
          <w:p w14:paraId="3E66938B"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0.77</w:t>
            </w:r>
          </w:p>
        </w:tc>
      </w:tr>
      <w:tr w:rsidR="001B50A4" w:rsidRPr="000D61D1" w14:paraId="46BF76C4" w14:textId="77777777" w:rsidTr="00870105">
        <w:trPr>
          <w:trHeight w:val="341"/>
        </w:trPr>
        <w:tc>
          <w:tcPr>
            <w:tcW w:w="7228" w:type="dxa"/>
            <w:gridSpan w:val="4"/>
            <w:tcBorders>
              <w:top w:val="single" w:sz="8" w:space="0" w:color="auto"/>
              <w:left w:val="nil"/>
              <w:right w:val="nil"/>
            </w:tcBorders>
            <w:shd w:val="clear" w:color="auto" w:fill="auto"/>
            <w:vAlign w:val="center"/>
          </w:tcPr>
          <w:p w14:paraId="074D4DE1" w14:textId="208C3613" w:rsidR="001B50A4" w:rsidRPr="000D61D1" w:rsidRDefault="001B50A4" w:rsidP="00870105">
            <w:pPr>
              <w:spacing w:after="0"/>
              <w:jc w:val="center"/>
              <w:rPr>
                <w:rFonts w:ascii="Calibri" w:eastAsia="Times New Roman" w:hAnsi="Calibri" w:cs="Calibri"/>
                <w:color w:val="000000"/>
                <w:sz w:val="22"/>
                <w:szCs w:val="22"/>
                <w:lang w:val="en-AU" w:eastAsia="en-AU"/>
              </w:rPr>
            </w:pPr>
          </w:p>
          <w:p w14:paraId="0A24F45E" w14:textId="3BB16C15" w:rsidR="001B50A4" w:rsidRPr="000D61D1" w:rsidRDefault="001B50A4" w:rsidP="00870105">
            <w:pPr>
              <w:spacing w:after="0"/>
              <w:jc w:val="center"/>
              <w:rPr>
                <w:rFonts w:ascii="Calibri" w:eastAsia="Times New Roman" w:hAnsi="Calibri" w:cs="Calibri"/>
                <w:color w:val="000000"/>
                <w:sz w:val="22"/>
                <w:szCs w:val="22"/>
                <w:lang w:val="en-AU" w:eastAsia="en-AU"/>
              </w:rPr>
            </w:pPr>
            <w:r w:rsidRPr="00113FC1">
              <w:rPr>
                <w:b/>
                <w:i/>
                <w:iCs/>
                <w:color w:val="365F91" w:themeColor="accent1" w:themeShade="BF"/>
              </w:rPr>
              <w:t xml:space="preserve">1.24 – 2.19% </w:t>
            </w:r>
            <w:r w:rsidRPr="000D61D1">
              <w:rPr>
                <w:rFonts w:ascii="Calibri" w:eastAsia="Times New Roman" w:hAnsi="Calibri" w:cs="Calibri"/>
                <w:b/>
                <w:bCs/>
                <w:i/>
                <w:iCs/>
                <w:color w:val="365F91"/>
                <w:lang w:val="en-AU" w:eastAsia="en-AU"/>
              </w:rPr>
              <w:t>price effect</w:t>
            </w:r>
            <w:r>
              <w:rPr>
                <w:rFonts w:ascii="Calibri" w:eastAsia="Times New Roman" w:hAnsi="Calibri" w:cs="Calibri"/>
                <w:b/>
                <w:bCs/>
                <w:i/>
                <w:iCs/>
                <w:color w:val="365F91"/>
                <w:lang w:val="en-AU" w:eastAsia="en-AU"/>
              </w:rPr>
              <w:t xml:space="preserve"> (1.7% average)</w:t>
            </w:r>
          </w:p>
        </w:tc>
      </w:tr>
      <w:tr w:rsidR="003C620A" w:rsidRPr="000D61D1" w14:paraId="7D94824A" w14:textId="77777777" w:rsidTr="00870105">
        <w:trPr>
          <w:trHeight w:val="341"/>
        </w:trPr>
        <w:tc>
          <w:tcPr>
            <w:tcW w:w="1134" w:type="dxa"/>
            <w:tcBorders>
              <w:left w:val="nil"/>
              <w:bottom w:val="nil"/>
              <w:right w:val="nil"/>
            </w:tcBorders>
            <w:shd w:val="clear" w:color="auto" w:fill="auto"/>
            <w:vAlign w:val="center"/>
            <w:hideMark/>
          </w:tcPr>
          <w:p w14:paraId="5E6DBC91" w14:textId="4257A7B6" w:rsidR="003C620A" w:rsidRPr="000D61D1" w:rsidRDefault="003C620A" w:rsidP="003C620A">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sidR="00D45A28">
              <w:rPr>
                <w:rFonts w:ascii="Calibri" w:eastAsia="Times New Roman" w:hAnsi="Calibri" w:cs="Calibri"/>
                <w:color w:val="000000"/>
                <w:lang w:val="en-AU" w:eastAsia="en-AU"/>
              </w:rPr>
              <w:t>Quintile</w:t>
            </w:r>
          </w:p>
        </w:tc>
        <w:tc>
          <w:tcPr>
            <w:tcW w:w="1984" w:type="dxa"/>
            <w:tcBorders>
              <w:left w:val="nil"/>
              <w:bottom w:val="nil"/>
              <w:right w:val="nil"/>
            </w:tcBorders>
            <w:shd w:val="clear" w:color="000000" w:fill="E7E6E6"/>
            <w:vAlign w:val="center"/>
            <w:hideMark/>
          </w:tcPr>
          <w:p w14:paraId="32E7DDF8"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w:t>
            </w:r>
          </w:p>
        </w:tc>
        <w:tc>
          <w:tcPr>
            <w:tcW w:w="1984" w:type="dxa"/>
            <w:tcBorders>
              <w:left w:val="nil"/>
              <w:bottom w:val="nil"/>
              <w:right w:val="nil"/>
            </w:tcBorders>
            <w:shd w:val="clear" w:color="auto" w:fill="auto"/>
            <w:vAlign w:val="center"/>
            <w:hideMark/>
          </w:tcPr>
          <w:p w14:paraId="043B4C6A"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w:t>
            </w:r>
          </w:p>
        </w:tc>
        <w:tc>
          <w:tcPr>
            <w:tcW w:w="2126" w:type="dxa"/>
            <w:tcBorders>
              <w:left w:val="nil"/>
              <w:bottom w:val="nil"/>
              <w:right w:val="nil"/>
            </w:tcBorders>
            <w:shd w:val="clear" w:color="auto" w:fill="auto"/>
            <w:vAlign w:val="center"/>
            <w:hideMark/>
          </w:tcPr>
          <w:p w14:paraId="71EF1F66" w14:textId="534D2DDF"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 point</w:t>
            </w:r>
            <w:r w:rsidR="00C53B3C">
              <w:rPr>
                <w:rFonts w:ascii="Calibri" w:eastAsia="Times New Roman" w:hAnsi="Calibri" w:cs="Calibri"/>
                <w:color w:val="000000"/>
                <w:sz w:val="22"/>
                <w:szCs w:val="22"/>
                <w:lang w:val="en-AU" w:eastAsia="en-AU"/>
              </w:rPr>
              <w:t>s</w:t>
            </w:r>
            <w:r w:rsidRPr="000D61D1">
              <w:rPr>
                <w:rFonts w:ascii="Calibri" w:eastAsia="Times New Roman" w:hAnsi="Calibri" w:cs="Calibri"/>
                <w:color w:val="000000"/>
                <w:sz w:val="22"/>
                <w:szCs w:val="22"/>
                <w:lang w:val="en-AU" w:eastAsia="en-AU"/>
              </w:rPr>
              <w:t>)</w:t>
            </w:r>
          </w:p>
        </w:tc>
      </w:tr>
      <w:tr w:rsidR="003C620A" w:rsidRPr="000D61D1" w14:paraId="77DC3E43" w14:textId="77777777" w:rsidTr="003C620A">
        <w:trPr>
          <w:trHeight w:val="290"/>
        </w:trPr>
        <w:tc>
          <w:tcPr>
            <w:tcW w:w="1134" w:type="dxa"/>
            <w:tcBorders>
              <w:top w:val="nil"/>
              <w:left w:val="nil"/>
              <w:bottom w:val="nil"/>
              <w:right w:val="nil"/>
            </w:tcBorders>
            <w:shd w:val="clear" w:color="auto" w:fill="auto"/>
            <w:vAlign w:val="center"/>
            <w:hideMark/>
          </w:tcPr>
          <w:p w14:paraId="412B827E"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1984" w:type="dxa"/>
            <w:tcBorders>
              <w:top w:val="nil"/>
              <w:left w:val="nil"/>
              <w:bottom w:val="nil"/>
              <w:right w:val="nil"/>
            </w:tcBorders>
            <w:shd w:val="clear" w:color="000000" w:fill="E7E6E6"/>
            <w:vAlign w:val="center"/>
            <w:hideMark/>
          </w:tcPr>
          <w:p w14:paraId="3D39E355"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2.28</w:t>
            </w:r>
          </w:p>
        </w:tc>
        <w:tc>
          <w:tcPr>
            <w:tcW w:w="1984" w:type="dxa"/>
            <w:tcBorders>
              <w:top w:val="nil"/>
              <w:left w:val="nil"/>
              <w:bottom w:val="nil"/>
              <w:right w:val="nil"/>
            </w:tcBorders>
            <w:shd w:val="clear" w:color="auto" w:fill="auto"/>
            <w:vAlign w:val="center"/>
            <w:hideMark/>
          </w:tcPr>
          <w:p w14:paraId="70D2F943"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2.47</w:t>
            </w:r>
          </w:p>
        </w:tc>
        <w:tc>
          <w:tcPr>
            <w:tcW w:w="2126" w:type="dxa"/>
            <w:tcBorders>
              <w:top w:val="nil"/>
              <w:left w:val="nil"/>
              <w:bottom w:val="nil"/>
              <w:right w:val="nil"/>
            </w:tcBorders>
            <w:shd w:val="clear" w:color="auto" w:fill="auto"/>
            <w:vAlign w:val="center"/>
            <w:hideMark/>
          </w:tcPr>
          <w:p w14:paraId="68B160D2"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-0.19</w:t>
            </w:r>
          </w:p>
        </w:tc>
      </w:tr>
      <w:tr w:rsidR="003C620A" w:rsidRPr="000D61D1" w14:paraId="4D2AF066" w14:textId="77777777" w:rsidTr="003C620A">
        <w:trPr>
          <w:trHeight w:val="290"/>
        </w:trPr>
        <w:tc>
          <w:tcPr>
            <w:tcW w:w="1134" w:type="dxa"/>
            <w:tcBorders>
              <w:top w:val="nil"/>
              <w:left w:val="nil"/>
              <w:bottom w:val="nil"/>
              <w:right w:val="nil"/>
            </w:tcBorders>
            <w:shd w:val="clear" w:color="auto" w:fill="auto"/>
            <w:vAlign w:val="center"/>
            <w:hideMark/>
          </w:tcPr>
          <w:p w14:paraId="574D98B5"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1984" w:type="dxa"/>
            <w:tcBorders>
              <w:top w:val="nil"/>
              <w:left w:val="nil"/>
              <w:bottom w:val="nil"/>
              <w:right w:val="nil"/>
            </w:tcBorders>
            <w:shd w:val="clear" w:color="000000" w:fill="E7E6E6"/>
            <w:vAlign w:val="center"/>
            <w:hideMark/>
          </w:tcPr>
          <w:p w14:paraId="56E84812"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8.31</w:t>
            </w:r>
          </w:p>
        </w:tc>
        <w:tc>
          <w:tcPr>
            <w:tcW w:w="1984" w:type="dxa"/>
            <w:tcBorders>
              <w:top w:val="nil"/>
              <w:left w:val="nil"/>
              <w:bottom w:val="nil"/>
              <w:right w:val="nil"/>
            </w:tcBorders>
            <w:shd w:val="clear" w:color="auto" w:fill="auto"/>
            <w:vAlign w:val="center"/>
            <w:hideMark/>
          </w:tcPr>
          <w:p w14:paraId="2821BF18"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8.62</w:t>
            </w:r>
          </w:p>
        </w:tc>
        <w:tc>
          <w:tcPr>
            <w:tcW w:w="2126" w:type="dxa"/>
            <w:tcBorders>
              <w:top w:val="nil"/>
              <w:left w:val="nil"/>
              <w:bottom w:val="nil"/>
              <w:right w:val="nil"/>
            </w:tcBorders>
            <w:shd w:val="clear" w:color="auto" w:fill="auto"/>
            <w:vAlign w:val="center"/>
            <w:hideMark/>
          </w:tcPr>
          <w:p w14:paraId="31ACCC6B"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-0.31</w:t>
            </w:r>
          </w:p>
        </w:tc>
      </w:tr>
      <w:tr w:rsidR="003C620A" w:rsidRPr="000D61D1" w14:paraId="3611F8BD" w14:textId="77777777" w:rsidTr="003C620A">
        <w:trPr>
          <w:trHeight w:val="290"/>
        </w:trPr>
        <w:tc>
          <w:tcPr>
            <w:tcW w:w="1134" w:type="dxa"/>
            <w:tcBorders>
              <w:top w:val="nil"/>
              <w:left w:val="nil"/>
              <w:bottom w:val="nil"/>
              <w:right w:val="nil"/>
            </w:tcBorders>
            <w:shd w:val="clear" w:color="auto" w:fill="auto"/>
            <w:vAlign w:val="center"/>
            <w:hideMark/>
          </w:tcPr>
          <w:p w14:paraId="0355567F"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1984" w:type="dxa"/>
            <w:tcBorders>
              <w:top w:val="nil"/>
              <w:left w:val="nil"/>
              <w:bottom w:val="nil"/>
              <w:right w:val="nil"/>
            </w:tcBorders>
            <w:shd w:val="clear" w:color="000000" w:fill="E7E6E6"/>
            <w:vAlign w:val="center"/>
            <w:hideMark/>
          </w:tcPr>
          <w:p w14:paraId="7BE3E6A7"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22.48</w:t>
            </w:r>
          </w:p>
        </w:tc>
        <w:tc>
          <w:tcPr>
            <w:tcW w:w="1984" w:type="dxa"/>
            <w:tcBorders>
              <w:top w:val="nil"/>
              <w:left w:val="nil"/>
              <w:bottom w:val="nil"/>
              <w:right w:val="nil"/>
            </w:tcBorders>
            <w:shd w:val="clear" w:color="auto" w:fill="auto"/>
            <w:vAlign w:val="center"/>
            <w:hideMark/>
          </w:tcPr>
          <w:p w14:paraId="71148E6D"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23.08</w:t>
            </w:r>
          </w:p>
        </w:tc>
        <w:tc>
          <w:tcPr>
            <w:tcW w:w="2126" w:type="dxa"/>
            <w:tcBorders>
              <w:top w:val="nil"/>
              <w:left w:val="nil"/>
              <w:bottom w:val="nil"/>
              <w:right w:val="nil"/>
            </w:tcBorders>
            <w:shd w:val="clear" w:color="auto" w:fill="auto"/>
            <w:vAlign w:val="center"/>
            <w:hideMark/>
          </w:tcPr>
          <w:p w14:paraId="3CA8E2CF"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-0.60</w:t>
            </w:r>
          </w:p>
        </w:tc>
      </w:tr>
      <w:tr w:rsidR="003C620A" w:rsidRPr="000D61D1" w14:paraId="4C15CFA3" w14:textId="77777777" w:rsidTr="003C620A">
        <w:trPr>
          <w:trHeight w:val="290"/>
        </w:trPr>
        <w:tc>
          <w:tcPr>
            <w:tcW w:w="1134" w:type="dxa"/>
            <w:tcBorders>
              <w:top w:val="nil"/>
              <w:left w:val="nil"/>
              <w:bottom w:val="nil"/>
              <w:right w:val="nil"/>
            </w:tcBorders>
            <w:shd w:val="clear" w:color="auto" w:fill="auto"/>
            <w:vAlign w:val="center"/>
            <w:hideMark/>
          </w:tcPr>
          <w:p w14:paraId="6A8046D2"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1984" w:type="dxa"/>
            <w:tcBorders>
              <w:top w:val="nil"/>
              <w:left w:val="nil"/>
              <w:bottom w:val="nil"/>
              <w:right w:val="nil"/>
            </w:tcBorders>
            <w:shd w:val="clear" w:color="000000" w:fill="E7E6E6"/>
            <w:vAlign w:val="center"/>
            <w:hideMark/>
          </w:tcPr>
          <w:p w14:paraId="5629D029" w14:textId="77777777" w:rsidR="003C620A" w:rsidRPr="000D61D1" w:rsidRDefault="003C620A" w:rsidP="003C620A">
            <w:pPr>
              <w:spacing w:after="0"/>
              <w:jc w:val="right"/>
              <w:rPr>
                <w:rFonts w:ascii="Calibri" w:hAnsi="Calibri"/>
                <w:color w:val="000000"/>
                <w:sz w:val="22"/>
                <w:lang w:val="en-AU"/>
              </w:rPr>
            </w:pPr>
            <w:r>
              <w:t>27.66</w:t>
            </w:r>
          </w:p>
        </w:tc>
        <w:tc>
          <w:tcPr>
            <w:tcW w:w="1984" w:type="dxa"/>
            <w:tcBorders>
              <w:top w:val="nil"/>
              <w:left w:val="nil"/>
              <w:bottom w:val="nil"/>
              <w:right w:val="nil"/>
            </w:tcBorders>
            <w:shd w:val="clear" w:color="auto" w:fill="auto"/>
            <w:vAlign w:val="center"/>
            <w:hideMark/>
          </w:tcPr>
          <w:p w14:paraId="1D23A7FD" w14:textId="77777777" w:rsidR="003C620A" w:rsidRPr="000D61D1" w:rsidRDefault="003C620A" w:rsidP="003C620A">
            <w:pPr>
              <w:spacing w:after="0"/>
              <w:jc w:val="right"/>
              <w:rPr>
                <w:rFonts w:ascii="Calibri" w:hAnsi="Calibri"/>
                <w:color w:val="000000"/>
                <w:sz w:val="22"/>
                <w:lang w:val="en-AU"/>
              </w:rPr>
            </w:pPr>
            <w:r>
              <w:t>27.32</w:t>
            </w:r>
          </w:p>
        </w:tc>
        <w:tc>
          <w:tcPr>
            <w:tcW w:w="2126" w:type="dxa"/>
            <w:tcBorders>
              <w:top w:val="nil"/>
              <w:left w:val="nil"/>
              <w:bottom w:val="nil"/>
              <w:right w:val="nil"/>
            </w:tcBorders>
            <w:shd w:val="clear" w:color="auto" w:fill="auto"/>
            <w:vAlign w:val="center"/>
            <w:hideMark/>
          </w:tcPr>
          <w:p w14:paraId="7BF04862" w14:textId="77777777" w:rsidR="003C620A" w:rsidRPr="000D61D1" w:rsidRDefault="003C620A" w:rsidP="003C620A">
            <w:pPr>
              <w:spacing w:after="0"/>
              <w:jc w:val="right"/>
              <w:rPr>
                <w:rFonts w:ascii="Calibri" w:hAnsi="Calibri"/>
                <w:color w:val="000000"/>
                <w:sz w:val="22"/>
                <w:lang w:val="en-AU"/>
              </w:rPr>
            </w:pPr>
            <w:r>
              <w:t>0.34</w:t>
            </w:r>
          </w:p>
        </w:tc>
      </w:tr>
      <w:tr w:rsidR="003C620A" w:rsidRPr="000D61D1" w14:paraId="6A580C6E" w14:textId="77777777" w:rsidTr="003C620A">
        <w:trPr>
          <w:trHeight w:val="300"/>
        </w:trPr>
        <w:tc>
          <w:tcPr>
            <w:tcW w:w="1134" w:type="dxa"/>
            <w:tcBorders>
              <w:top w:val="nil"/>
              <w:left w:val="nil"/>
              <w:bottom w:val="single" w:sz="8" w:space="0" w:color="auto"/>
              <w:right w:val="nil"/>
            </w:tcBorders>
            <w:shd w:val="clear" w:color="auto" w:fill="auto"/>
            <w:vAlign w:val="center"/>
            <w:hideMark/>
          </w:tcPr>
          <w:p w14:paraId="7BCB79C0"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1984" w:type="dxa"/>
            <w:tcBorders>
              <w:top w:val="nil"/>
              <w:left w:val="nil"/>
              <w:bottom w:val="single" w:sz="8" w:space="0" w:color="auto"/>
              <w:right w:val="nil"/>
            </w:tcBorders>
            <w:shd w:val="clear" w:color="000000" w:fill="E7E6E6"/>
            <w:vAlign w:val="center"/>
            <w:hideMark/>
          </w:tcPr>
          <w:p w14:paraId="480ABD46"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39.28</w:t>
            </w:r>
          </w:p>
        </w:tc>
        <w:tc>
          <w:tcPr>
            <w:tcW w:w="1984" w:type="dxa"/>
            <w:tcBorders>
              <w:top w:val="nil"/>
              <w:left w:val="nil"/>
              <w:bottom w:val="single" w:sz="8" w:space="0" w:color="auto"/>
              <w:right w:val="nil"/>
            </w:tcBorders>
            <w:shd w:val="clear" w:color="auto" w:fill="auto"/>
            <w:vAlign w:val="center"/>
            <w:hideMark/>
          </w:tcPr>
          <w:p w14:paraId="5F0C1074"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38.50</w:t>
            </w:r>
          </w:p>
        </w:tc>
        <w:tc>
          <w:tcPr>
            <w:tcW w:w="2126" w:type="dxa"/>
            <w:tcBorders>
              <w:top w:val="nil"/>
              <w:left w:val="nil"/>
              <w:bottom w:val="single" w:sz="8" w:space="0" w:color="auto"/>
              <w:right w:val="nil"/>
            </w:tcBorders>
            <w:shd w:val="clear" w:color="auto" w:fill="auto"/>
            <w:vAlign w:val="center"/>
            <w:hideMark/>
          </w:tcPr>
          <w:p w14:paraId="6CE00CCD"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0.77</w:t>
            </w:r>
          </w:p>
        </w:tc>
      </w:tr>
    </w:tbl>
    <w:p w14:paraId="4EE1D0D2" w14:textId="77777777" w:rsidR="003C620A" w:rsidRPr="000D61D1" w:rsidRDefault="003C620A" w:rsidP="003C620A">
      <w:pPr>
        <w:pStyle w:val="TableCaption"/>
        <w:jc w:val="left"/>
        <w:rPr>
          <w:lang w:val="en-AU"/>
        </w:rPr>
      </w:pPr>
      <w:r w:rsidRPr="000D61D1">
        <w:rPr>
          <w:rFonts w:eastAsiaTheme="majorEastAsia" w:cstheme="majorBidi"/>
          <w:b w:val="0"/>
          <w:bCs/>
          <w:color w:val="auto"/>
          <w:sz w:val="20"/>
          <w:szCs w:val="20"/>
          <w:lang w:val="en-AU"/>
        </w:rPr>
        <w:t>Source: Calculations from NATSEM microsimulation model.</w:t>
      </w:r>
    </w:p>
    <w:p w14:paraId="4814E19A" w14:textId="77777777" w:rsidR="003C620A" w:rsidRDefault="003C620A" w:rsidP="003C620A">
      <w:pPr>
        <w:rPr>
          <w:lang w:val="en-AU"/>
        </w:rPr>
      </w:pPr>
    </w:p>
    <w:p w14:paraId="641FBE90" w14:textId="1BF55020" w:rsidR="003C620A" w:rsidRPr="000D61D1" w:rsidRDefault="003C620A" w:rsidP="003C620A">
      <w:pPr>
        <w:rPr>
          <w:lang w:val="en-AU"/>
        </w:rPr>
      </w:pPr>
      <w:r w:rsidRPr="000D61D1">
        <w:rPr>
          <w:lang w:val="en-AU"/>
        </w:rPr>
        <w:t xml:space="preserve">It can be seen from </w:t>
      </w:r>
      <w:r w:rsidR="00A6304C">
        <w:rPr>
          <w:lang w:val="en-AU"/>
        </w:rPr>
        <w:t>Table 7</w:t>
      </w:r>
      <w:r w:rsidRPr="000D61D1">
        <w:rPr>
          <w:lang w:val="en-AU"/>
        </w:rPr>
        <w:t xml:space="preserve"> that with no price increase, </w:t>
      </w:r>
      <w:proofErr w:type="gramStart"/>
      <w:r w:rsidRPr="000D61D1">
        <w:rPr>
          <w:lang w:val="en-AU"/>
        </w:rPr>
        <w:t>middle and high income</w:t>
      </w:r>
      <w:proofErr w:type="gramEnd"/>
      <w:r w:rsidRPr="000D61D1">
        <w:rPr>
          <w:lang w:val="en-AU"/>
        </w:rPr>
        <w:t xml:space="preserve"> earners increased their number of </w:t>
      </w:r>
      <w:r>
        <w:rPr>
          <w:lang w:val="en-AU"/>
        </w:rPr>
        <w:t xml:space="preserve">property </w:t>
      </w:r>
      <w:r w:rsidRPr="000D61D1">
        <w:rPr>
          <w:lang w:val="en-AU"/>
        </w:rPr>
        <w:t xml:space="preserve">purchases the most, although even low income families increased their purchases of housing by </w:t>
      </w:r>
      <w:r>
        <w:rPr>
          <w:lang w:val="en-AU"/>
        </w:rPr>
        <w:t>0</w:t>
      </w:r>
      <w:r w:rsidRPr="000D61D1">
        <w:rPr>
          <w:lang w:val="en-AU"/>
        </w:rPr>
        <w:t>.</w:t>
      </w:r>
      <w:r>
        <w:rPr>
          <w:lang w:val="en-AU"/>
        </w:rPr>
        <w:t xml:space="preserve">34 </w:t>
      </w:r>
      <w:r w:rsidRPr="000D61D1">
        <w:rPr>
          <w:lang w:val="en-AU"/>
        </w:rPr>
        <w:t>per cent.</w:t>
      </w:r>
    </w:p>
    <w:p w14:paraId="30DE908D" w14:textId="77777777" w:rsidR="003C620A" w:rsidRDefault="003C620A" w:rsidP="003C620A">
      <w:pPr>
        <w:rPr>
          <w:lang w:val="en-AU"/>
        </w:rPr>
      </w:pPr>
      <w:r>
        <w:rPr>
          <w:lang w:val="en-AU"/>
        </w:rPr>
        <w:t xml:space="preserve">Looking at the combined impact of rates and stamp duty in Table 17 of the technical report, because of the way the two combine, low (quintiles 1 and 2) and high (quintile 5) income families pay slightly more of the combined rates and stamp duty under the new policy </w:t>
      </w:r>
      <w:r>
        <w:rPr>
          <w:lang w:val="en-AU"/>
        </w:rPr>
        <w:lastRenderedPageBreak/>
        <w:t>compared to families in income quintiles 3 and 4. This is due to interactions between the changes in rates and stamp duty; the indicator used (proportion of total rates and stamp duty paid by each income quintile); and the fact that stamp duty for income quintiles one and two is much lower than rates payments.</w:t>
      </w:r>
    </w:p>
    <w:p w14:paraId="655C3CD3" w14:textId="77777777" w:rsidR="003C620A" w:rsidRPr="000D61D1" w:rsidRDefault="003C620A" w:rsidP="003C620A">
      <w:pPr>
        <w:rPr>
          <w:lang w:val="en-AU"/>
        </w:rPr>
      </w:pPr>
      <w:r w:rsidRPr="000D61D1">
        <w:rPr>
          <w:lang w:val="en-AU"/>
        </w:rPr>
        <w:t xml:space="preserve">Once price increases were taken into account, the group most affected were, not surprisingly, the </w:t>
      </w:r>
      <w:proofErr w:type="gramStart"/>
      <w:r w:rsidRPr="000D61D1">
        <w:rPr>
          <w:lang w:val="en-AU"/>
        </w:rPr>
        <w:t>low income</w:t>
      </w:r>
      <w:proofErr w:type="gramEnd"/>
      <w:r w:rsidRPr="000D61D1">
        <w:rPr>
          <w:lang w:val="en-AU"/>
        </w:rPr>
        <w:t xml:space="preserve"> groups. </w:t>
      </w:r>
      <w:r>
        <w:rPr>
          <w:lang w:val="en-AU"/>
        </w:rPr>
        <w:t>Property</w:t>
      </w:r>
      <w:r w:rsidRPr="000D61D1">
        <w:rPr>
          <w:lang w:val="en-AU"/>
        </w:rPr>
        <w:t xml:space="preserve"> price increases mean that they are excluded from buying housing due to affordability issues, and not meeting the deposit and repayment tests in the model. An increase </w:t>
      </w:r>
      <w:r>
        <w:rPr>
          <w:lang w:val="en-AU"/>
        </w:rPr>
        <w:t xml:space="preserve">in property prices </w:t>
      </w:r>
      <w:r w:rsidRPr="000D61D1">
        <w:rPr>
          <w:lang w:val="en-AU"/>
        </w:rPr>
        <w:t xml:space="preserve">of </w:t>
      </w:r>
      <w:r>
        <w:rPr>
          <w:lang w:val="en-AU"/>
        </w:rPr>
        <w:t xml:space="preserve">an average </w:t>
      </w:r>
      <w:r w:rsidRPr="000D61D1">
        <w:rPr>
          <w:lang w:val="en-AU"/>
        </w:rPr>
        <w:t>1.</w:t>
      </w:r>
      <w:r>
        <w:rPr>
          <w:lang w:val="en-AU"/>
        </w:rPr>
        <w:t>7</w:t>
      </w:r>
      <w:r w:rsidRPr="000D61D1">
        <w:rPr>
          <w:lang w:val="en-AU"/>
        </w:rPr>
        <w:t>% meant that the lowest income quintile</w:t>
      </w:r>
      <w:r>
        <w:rPr>
          <w:lang w:val="en-AU"/>
        </w:rPr>
        <w:t xml:space="preserve"> group</w:t>
      </w:r>
      <w:r w:rsidRPr="000D61D1">
        <w:rPr>
          <w:lang w:val="en-AU"/>
        </w:rPr>
        <w:t xml:space="preserve"> reduce</w:t>
      </w:r>
      <w:r>
        <w:rPr>
          <w:lang w:val="en-AU"/>
        </w:rPr>
        <w:t>d</w:t>
      </w:r>
      <w:r w:rsidRPr="000D61D1">
        <w:rPr>
          <w:lang w:val="en-AU"/>
        </w:rPr>
        <w:t xml:space="preserve"> their purchases by </w:t>
      </w:r>
      <w:r>
        <w:rPr>
          <w:lang w:val="en-AU"/>
        </w:rPr>
        <w:t xml:space="preserve">0.36 per cent under the new policy rather than increasing them by 0.34%, a difference of 39 properties. </w:t>
      </w:r>
      <w:proofErr w:type="gramStart"/>
      <w:r>
        <w:rPr>
          <w:lang w:val="en-AU"/>
        </w:rPr>
        <w:t>Middle and h</w:t>
      </w:r>
      <w:r w:rsidRPr="000D61D1">
        <w:rPr>
          <w:lang w:val="en-AU"/>
        </w:rPr>
        <w:t>igh income</w:t>
      </w:r>
      <w:proofErr w:type="gramEnd"/>
      <w:r w:rsidRPr="000D61D1">
        <w:rPr>
          <w:lang w:val="en-AU"/>
        </w:rPr>
        <w:t xml:space="preserve"> earners </w:t>
      </w:r>
      <w:r>
        <w:rPr>
          <w:lang w:val="en-AU"/>
        </w:rPr>
        <w:t>still increased their number of properties</w:t>
      </w:r>
      <w:r w:rsidRPr="000D61D1">
        <w:rPr>
          <w:lang w:val="en-AU"/>
        </w:rPr>
        <w:t xml:space="preserve"> purchased </w:t>
      </w:r>
      <w:r>
        <w:rPr>
          <w:lang w:val="en-AU"/>
        </w:rPr>
        <w:t>under the new policy</w:t>
      </w:r>
      <w:r w:rsidRPr="000D61D1">
        <w:rPr>
          <w:lang w:val="en-AU"/>
        </w:rPr>
        <w:t>.</w:t>
      </w:r>
    </w:p>
    <w:p w14:paraId="172BAC64" w14:textId="56AB7D03" w:rsidR="003C620A" w:rsidRPr="000D61D1" w:rsidRDefault="003C620A" w:rsidP="003C620A">
      <w:pPr>
        <w:pStyle w:val="TableCaption"/>
        <w:rPr>
          <w:lang w:val="en-AU"/>
        </w:rPr>
      </w:pPr>
      <w:bookmarkStart w:id="20" w:name="_Toc43911494"/>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7</w:t>
      </w:r>
      <w:r w:rsidRPr="000D61D1">
        <w:rPr>
          <w:lang w:val="en-AU"/>
        </w:rPr>
        <w:fldChar w:fldCharType="end"/>
      </w:r>
      <w:r w:rsidRPr="000D61D1">
        <w:rPr>
          <w:lang w:val="en-AU"/>
        </w:rPr>
        <w:t xml:space="preserve"> - The impact of tax reform on the number of residential properties purchased by income quintile, 2012 – 2018</w:t>
      </w:r>
      <w:bookmarkEnd w:id="20"/>
    </w:p>
    <w:tbl>
      <w:tblPr>
        <w:tblW w:w="8647" w:type="dxa"/>
        <w:tblLook w:val="04A0" w:firstRow="1" w:lastRow="0" w:firstColumn="1" w:lastColumn="0" w:noHBand="0" w:noVBand="1"/>
        <w:tblCaption w:val="Table 19a - The impact of tax reform on the number of residential properties purchased by income quintile, 2012 - 2018"/>
      </w:tblPr>
      <w:tblGrid>
        <w:gridCol w:w="1560"/>
        <w:gridCol w:w="2268"/>
        <w:gridCol w:w="2270"/>
        <w:gridCol w:w="1150"/>
        <w:gridCol w:w="1399"/>
      </w:tblGrid>
      <w:tr w:rsidR="003C620A" w:rsidRPr="000D61D1" w14:paraId="5966E24D" w14:textId="77777777" w:rsidTr="003C620A">
        <w:trPr>
          <w:trHeight w:val="543"/>
        </w:trPr>
        <w:tc>
          <w:tcPr>
            <w:tcW w:w="1560" w:type="dxa"/>
            <w:tcBorders>
              <w:top w:val="single" w:sz="8" w:space="0" w:color="auto"/>
              <w:left w:val="nil"/>
              <w:bottom w:val="single" w:sz="8" w:space="0" w:color="auto"/>
              <w:right w:val="nil"/>
            </w:tcBorders>
            <w:shd w:val="clear" w:color="auto" w:fill="auto"/>
            <w:vAlign w:val="center"/>
            <w:hideMark/>
          </w:tcPr>
          <w:p w14:paraId="01812EA8" w14:textId="675CD54E" w:rsidR="003C620A" w:rsidRPr="000D61D1" w:rsidRDefault="003C620A" w:rsidP="003C620A">
            <w:pPr>
              <w:spacing w:after="0"/>
              <w:rPr>
                <w:rFonts w:ascii="Calibri" w:hAnsi="Calibri"/>
                <w:color w:val="000000"/>
                <w:lang w:val="en-AU"/>
              </w:rPr>
            </w:pPr>
            <w:r w:rsidRPr="000D61D1">
              <w:rPr>
                <w:rFonts w:ascii="Calibri" w:eastAsia="Times New Roman" w:hAnsi="Calibri" w:cs="Calibri"/>
                <w:color w:val="000000"/>
                <w:lang w:val="en-AU" w:eastAsia="en-AU"/>
              </w:rPr>
              <w:t> </w:t>
            </w:r>
            <w:r w:rsidR="001B50A4">
              <w:rPr>
                <w:rFonts w:ascii="Calibri" w:eastAsia="Times New Roman" w:hAnsi="Calibri" w:cs="Calibri"/>
                <w:color w:val="000000"/>
                <w:lang w:val="en-AU" w:eastAsia="en-AU"/>
              </w:rPr>
              <w:t>Quintile</w:t>
            </w:r>
          </w:p>
        </w:tc>
        <w:tc>
          <w:tcPr>
            <w:tcW w:w="2268" w:type="dxa"/>
            <w:tcBorders>
              <w:top w:val="single" w:sz="8" w:space="0" w:color="auto"/>
              <w:left w:val="nil"/>
              <w:bottom w:val="single" w:sz="8" w:space="0" w:color="auto"/>
              <w:right w:val="nil"/>
            </w:tcBorders>
            <w:shd w:val="clear" w:color="000000" w:fill="E7E6E6"/>
            <w:vAlign w:val="center"/>
            <w:hideMark/>
          </w:tcPr>
          <w:p w14:paraId="53E78A98"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 Number of purchases</w:t>
            </w:r>
          </w:p>
        </w:tc>
        <w:tc>
          <w:tcPr>
            <w:tcW w:w="2270" w:type="dxa"/>
            <w:tcBorders>
              <w:top w:val="single" w:sz="8" w:space="0" w:color="auto"/>
              <w:left w:val="nil"/>
              <w:bottom w:val="single" w:sz="8" w:space="0" w:color="auto"/>
              <w:right w:val="nil"/>
            </w:tcBorders>
            <w:shd w:val="clear" w:color="auto" w:fill="auto"/>
            <w:vAlign w:val="center"/>
            <w:hideMark/>
          </w:tcPr>
          <w:p w14:paraId="74BCBF76"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 Number of purchases</w:t>
            </w:r>
          </w:p>
        </w:tc>
        <w:tc>
          <w:tcPr>
            <w:tcW w:w="1150" w:type="dxa"/>
            <w:tcBorders>
              <w:top w:val="single" w:sz="8" w:space="0" w:color="auto"/>
              <w:left w:val="nil"/>
              <w:bottom w:val="single" w:sz="8" w:space="0" w:color="auto"/>
              <w:right w:val="nil"/>
            </w:tcBorders>
            <w:shd w:val="clear" w:color="auto" w:fill="auto"/>
            <w:vAlign w:val="center"/>
            <w:hideMark/>
          </w:tcPr>
          <w:p w14:paraId="0809F9CC"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p>
        </w:tc>
        <w:tc>
          <w:tcPr>
            <w:tcW w:w="1399" w:type="dxa"/>
            <w:tcBorders>
              <w:top w:val="single" w:sz="8" w:space="0" w:color="auto"/>
              <w:left w:val="nil"/>
              <w:bottom w:val="single" w:sz="8" w:space="0" w:color="auto"/>
              <w:right w:val="nil"/>
            </w:tcBorders>
            <w:shd w:val="clear" w:color="auto" w:fill="auto"/>
            <w:vAlign w:val="center"/>
            <w:hideMark/>
          </w:tcPr>
          <w:p w14:paraId="01C0B831"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w:t>
            </w:r>
          </w:p>
        </w:tc>
      </w:tr>
      <w:tr w:rsidR="003C620A" w:rsidRPr="000D61D1" w14:paraId="5A434E53" w14:textId="77777777" w:rsidTr="003C620A">
        <w:trPr>
          <w:trHeight w:val="290"/>
        </w:trPr>
        <w:tc>
          <w:tcPr>
            <w:tcW w:w="1560" w:type="dxa"/>
            <w:tcBorders>
              <w:top w:val="nil"/>
              <w:left w:val="nil"/>
              <w:bottom w:val="nil"/>
              <w:right w:val="nil"/>
            </w:tcBorders>
            <w:shd w:val="clear" w:color="auto" w:fill="auto"/>
            <w:vAlign w:val="center"/>
            <w:hideMark/>
          </w:tcPr>
          <w:p w14:paraId="5B048E26"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2268" w:type="dxa"/>
            <w:tcBorders>
              <w:top w:val="nil"/>
              <w:left w:val="nil"/>
              <w:bottom w:val="nil"/>
              <w:right w:val="nil"/>
            </w:tcBorders>
            <w:shd w:val="clear" w:color="000000" w:fill="E7E6E6"/>
            <w:vAlign w:val="center"/>
            <w:hideMark/>
          </w:tcPr>
          <w:p w14:paraId="58CE210B"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5,581</w:t>
            </w:r>
          </w:p>
        </w:tc>
        <w:tc>
          <w:tcPr>
            <w:tcW w:w="2270" w:type="dxa"/>
            <w:tcBorders>
              <w:top w:val="nil"/>
              <w:left w:val="nil"/>
              <w:bottom w:val="nil"/>
              <w:right w:val="nil"/>
            </w:tcBorders>
            <w:shd w:val="clear" w:color="auto" w:fill="auto"/>
            <w:vAlign w:val="center"/>
            <w:hideMark/>
          </w:tcPr>
          <w:p w14:paraId="76D689A5"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5,562</w:t>
            </w:r>
          </w:p>
        </w:tc>
        <w:tc>
          <w:tcPr>
            <w:tcW w:w="1150" w:type="dxa"/>
            <w:tcBorders>
              <w:top w:val="nil"/>
              <w:left w:val="nil"/>
              <w:bottom w:val="nil"/>
              <w:right w:val="nil"/>
            </w:tcBorders>
            <w:shd w:val="clear" w:color="auto" w:fill="auto"/>
            <w:vAlign w:val="center"/>
            <w:hideMark/>
          </w:tcPr>
          <w:p w14:paraId="1F6B794D"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19</w:t>
            </w:r>
          </w:p>
        </w:tc>
        <w:tc>
          <w:tcPr>
            <w:tcW w:w="1399" w:type="dxa"/>
            <w:tcBorders>
              <w:top w:val="nil"/>
              <w:left w:val="nil"/>
              <w:bottom w:val="nil"/>
              <w:right w:val="nil"/>
            </w:tcBorders>
            <w:shd w:val="clear" w:color="auto" w:fill="auto"/>
            <w:vAlign w:val="center"/>
            <w:hideMark/>
          </w:tcPr>
          <w:p w14:paraId="79194A46"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0.34</w:t>
            </w:r>
          </w:p>
        </w:tc>
      </w:tr>
      <w:tr w:rsidR="003C620A" w:rsidRPr="000D61D1" w14:paraId="5FD20546" w14:textId="77777777" w:rsidTr="003C620A">
        <w:trPr>
          <w:trHeight w:val="290"/>
        </w:trPr>
        <w:tc>
          <w:tcPr>
            <w:tcW w:w="1560" w:type="dxa"/>
            <w:tcBorders>
              <w:top w:val="nil"/>
              <w:left w:val="nil"/>
              <w:bottom w:val="nil"/>
              <w:right w:val="nil"/>
            </w:tcBorders>
            <w:shd w:val="clear" w:color="auto" w:fill="auto"/>
            <w:vAlign w:val="center"/>
            <w:hideMark/>
          </w:tcPr>
          <w:p w14:paraId="63209965"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2268" w:type="dxa"/>
            <w:tcBorders>
              <w:top w:val="nil"/>
              <w:left w:val="nil"/>
              <w:bottom w:val="nil"/>
              <w:right w:val="nil"/>
            </w:tcBorders>
            <w:shd w:val="clear" w:color="000000" w:fill="E7E6E6"/>
            <w:vAlign w:val="center"/>
            <w:hideMark/>
          </w:tcPr>
          <w:p w14:paraId="74A9B053"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9,965</w:t>
            </w:r>
          </w:p>
        </w:tc>
        <w:tc>
          <w:tcPr>
            <w:tcW w:w="2270" w:type="dxa"/>
            <w:tcBorders>
              <w:top w:val="nil"/>
              <w:left w:val="nil"/>
              <w:bottom w:val="nil"/>
              <w:right w:val="nil"/>
            </w:tcBorders>
            <w:shd w:val="clear" w:color="auto" w:fill="auto"/>
            <w:vAlign w:val="center"/>
            <w:hideMark/>
          </w:tcPr>
          <w:p w14:paraId="2CDE4AED"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9,699</w:t>
            </w:r>
          </w:p>
        </w:tc>
        <w:tc>
          <w:tcPr>
            <w:tcW w:w="1150" w:type="dxa"/>
            <w:tcBorders>
              <w:top w:val="nil"/>
              <w:left w:val="nil"/>
              <w:bottom w:val="nil"/>
              <w:right w:val="nil"/>
            </w:tcBorders>
            <w:shd w:val="clear" w:color="auto" w:fill="auto"/>
            <w:vAlign w:val="center"/>
            <w:hideMark/>
          </w:tcPr>
          <w:p w14:paraId="66ED39CA"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266</w:t>
            </w:r>
          </w:p>
        </w:tc>
        <w:tc>
          <w:tcPr>
            <w:tcW w:w="1399" w:type="dxa"/>
            <w:tcBorders>
              <w:top w:val="nil"/>
              <w:left w:val="nil"/>
              <w:bottom w:val="nil"/>
              <w:right w:val="nil"/>
            </w:tcBorders>
            <w:shd w:val="clear" w:color="auto" w:fill="auto"/>
            <w:vAlign w:val="center"/>
            <w:hideMark/>
          </w:tcPr>
          <w:p w14:paraId="35CEF677"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2.74</w:t>
            </w:r>
          </w:p>
        </w:tc>
      </w:tr>
      <w:tr w:rsidR="003C620A" w:rsidRPr="000D61D1" w14:paraId="53E0DEF0" w14:textId="77777777" w:rsidTr="003C620A">
        <w:trPr>
          <w:trHeight w:val="290"/>
        </w:trPr>
        <w:tc>
          <w:tcPr>
            <w:tcW w:w="1560" w:type="dxa"/>
            <w:tcBorders>
              <w:top w:val="nil"/>
              <w:left w:val="nil"/>
              <w:bottom w:val="nil"/>
              <w:right w:val="nil"/>
            </w:tcBorders>
            <w:shd w:val="clear" w:color="auto" w:fill="auto"/>
            <w:vAlign w:val="center"/>
            <w:hideMark/>
          </w:tcPr>
          <w:p w14:paraId="17214AAA"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2268" w:type="dxa"/>
            <w:tcBorders>
              <w:top w:val="nil"/>
              <w:left w:val="nil"/>
              <w:bottom w:val="nil"/>
              <w:right w:val="nil"/>
            </w:tcBorders>
            <w:shd w:val="clear" w:color="000000" w:fill="E7E6E6"/>
            <w:vAlign w:val="center"/>
            <w:hideMark/>
          </w:tcPr>
          <w:p w14:paraId="733A1560"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23,114</w:t>
            </w:r>
          </w:p>
        </w:tc>
        <w:tc>
          <w:tcPr>
            <w:tcW w:w="2270" w:type="dxa"/>
            <w:tcBorders>
              <w:top w:val="nil"/>
              <w:left w:val="nil"/>
              <w:bottom w:val="nil"/>
              <w:right w:val="nil"/>
            </w:tcBorders>
            <w:shd w:val="clear" w:color="auto" w:fill="auto"/>
            <w:vAlign w:val="center"/>
            <w:hideMark/>
          </w:tcPr>
          <w:p w14:paraId="1652F7DE"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22,556</w:t>
            </w:r>
          </w:p>
        </w:tc>
        <w:tc>
          <w:tcPr>
            <w:tcW w:w="1150" w:type="dxa"/>
            <w:tcBorders>
              <w:top w:val="nil"/>
              <w:left w:val="nil"/>
              <w:bottom w:val="nil"/>
              <w:right w:val="nil"/>
            </w:tcBorders>
            <w:shd w:val="clear" w:color="auto" w:fill="auto"/>
            <w:vAlign w:val="center"/>
            <w:hideMark/>
          </w:tcPr>
          <w:p w14:paraId="07FBBA05"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558</w:t>
            </w:r>
          </w:p>
        </w:tc>
        <w:tc>
          <w:tcPr>
            <w:tcW w:w="1399" w:type="dxa"/>
            <w:tcBorders>
              <w:top w:val="nil"/>
              <w:left w:val="nil"/>
              <w:bottom w:val="nil"/>
              <w:right w:val="nil"/>
            </w:tcBorders>
            <w:shd w:val="clear" w:color="auto" w:fill="auto"/>
            <w:vAlign w:val="center"/>
            <w:hideMark/>
          </w:tcPr>
          <w:p w14:paraId="5F1C1866"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2.47</w:t>
            </w:r>
          </w:p>
        </w:tc>
      </w:tr>
      <w:tr w:rsidR="003C620A" w:rsidRPr="000D61D1" w14:paraId="3D4E10E5" w14:textId="77777777" w:rsidTr="003C620A">
        <w:trPr>
          <w:trHeight w:val="290"/>
        </w:trPr>
        <w:tc>
          <w:tcPr>
            <w:tcW w:w="1560" w:type="dxa"/>
            <w:tcBorders>
              <w:top w:val="nil"/>
              <w:left w:val="nil"/>
              <w:bottom w:val="nil"/>
              <w:right w:val="nil"/>
            </w:tcBorders>
            <w:shd w:val="clear" w:color="auto" w:fill="auto"/>
            <w:vAlign w:val="center"/>
            <w:hideMark/>
          </w:tcPr>
          <w:p w14:paraId="74D58DE0"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2268" w:type="dxa"/>
            <w:tcBorders>
              <w:top w:val="nil"/>
              <w:left w:val="nil"/>
              <w:bottom w:val="nil"/>
              <w:right w:val="nil"/>
            </w:tcBorders>
            <w:shd w:val="clear" w:color="000000" w:fill="E7E6E6"/>
            <w:vAlign w:val="center"/>
            <w:hideMark/>
          </w:tcPr>
          <w:p w14:paraId="3FB0D1C5"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23,640</w:t>
            </w:r>
          </w:p>
        </w:tc>
        <w:tc>
          <w:tcPr>
            <w:tcW w:w="2270" w:type="dxa"/>
            <w:tcBorders>
              <w:top w:val="nil"/>
              <w:left w:val="nil"/>
              <w:bottom w:val="nil"/>
              <w:right w:val="nil"/>
            </w:tcBorders>
            <w:shd w:val="clear" w:color="auto" w:fill="auto"/>
            <w:vAlign w:val="center"/>
            <w:hideMark/>
          </w:tcPr>
          <w:p w14:paraId="7D6C5518"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22,885</w:t>
            </w:r>
          </w:p>
        </w:tc>
        <w:tc>
          <w:tcPr>
            <w:tcW w:w="1150" w:type="dxa"/>
            <w:tcBorders>
              <w:top w:val="nil"/>
              <w:left w:val="nil"/>
              <w:bottom w:val="nil"/>
              <w:right w:val="nil"/>
            </w:tcBorders>
            <w:shd w:val="clear" w:color="auto" w:fill="auto"/>
            <w:vAlign w:val="center"/>
            <w:hideMark/>
          </w:tcPr>
          <w:p w14:paraId="40097474"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755</w:t>
            </w:r>
          </w:p>
        </w:tc>
        <w:tc>
          <w:tcPr>
            <w:tcW w:w="1399" w:type="dxa"/>
            <w:tcBorders>
              <w:top w:val="nil"/>
              <w:left w:val="nil"/>
              <w:bottom w:val="nil"/>
              <w:right w:val="nil"/>
            </w:tcBorders>
            <w:shd w:val="clear" w:color="auto" w:fill="auto"/>
            <w:vAlign w:val="center"/>
            <w:hideMark/>
          </w:tcPr>
          <w:p w14:paraId="45C54DFF"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3.30</w:t>
            </w:r>
          </w:p>
        </w:tc>
      </w:tr>
      <w:tr w:rsidR="003C620A" w:rsidRPr="000D61D1" w14:paraId="4D8D6486" w14:textId="77777777" w:rsidTr="003C620A">
        <w:trPr>
          <w:trHeight w:val="300"/>
        </w:trPr>
        <w:tc>
          <w:tcPr>
            <w:tcW w:w="1560" w:type="dxa"/>
            <w:tcBorders>
              <w:top w:val="nil"/>
              <w:left w:val="nil"/>
              <w:bottom w:val="nil"/>
              <w:right w:val="nil"/>
            </w:tcBorders>
            <w:shd w:val="clear" w:color="auto" w:fill="auto"/>
            <w:vAlign w:val="center"/>
            <w:hideMark/>
          </w:tcPr>
          <w:p w14:paraId="76EAF230"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2268" w:type="dxa"/>
            <w:tcBorders>
              <w:top w:val="nil"/>
              <w:left w:val="nil"/>
              <w:bottom w:val="nil"/>
              <w:right w:val="nil"/>
            </w:tcBorders>
            <w:shd w:val="clear" w:color="000000" w:fill="E7E6E6"/>
            <w:vAlign w:val="center"/>
            <w:hideMark/>
          </w:tcPr>
          <w:p w14:paraId="2E5A02D7"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27,468</w:t>
            </w:r>
          </w:p>
        </w:tc>
        <w:tc>
          <w:tcPr>
            <w:tcW w:w="2270" w:type="dxa"/>
            <w:tcBorders>
              <w:top w:val="nil"/>
              <w:left w:val="nil"/>
              <w:bottom w:val="nil"/>
              <w:right w:val="nil"/>
            </w:tcBorders>
            <w:shd w:val="clear" w:color="auto" w:fill="auto"/>
            <w:vAlign w:val="center"/>
            <w:hideMark/>
          </w:tcPr>
          <w:p w14:paraId="4E2BBF0E"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26,762</w:t>
            </w:r>
          </w:p>
        </w:tc>
        <w:tc>
          <w:tcPr>
            <w:tcW w:w="1150" w:type="dxa"/>
            <w:tcBorders>
              <w:top w:val="nil"/>
              <w:left w:val="nil"/>
              <w:bottom w:val="nil"/>
              <w:right w:val="nil"/>
            </w:tcBorders>
            <w:shd w:val="clear" w:color="auto" w:fill="auto"/>
            <w:vAlign w:val="center"/>
            <w:hideMark/>
          </w:tcPr>
          <w:p w14:paraId="7F4D6AD4"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706</w:t>
            </w:r>
          </w:p>
        </w:tc>
        <w:tc>
          <w:tcPr>
            <w:tcW w:w="1399" w:type="dxa"/>
            <w:tcBorders>
              <w:top w:val="nil"/>
              <w:left w:val="nil"/>
              <w:bottom w:val="nil"/>
              <w:right w:val="nil"/>
            </w:tcBorders>
            <w:shd w:val="clear" w:color="auto" w:fill="auto"/>
            <w:vAlign w:val="center"/>
            <w:hideMark/>
          </w:tcPr>
          <w:p w14:paraId="580832B0" w14:textId="77777777" w:rsidR="003C620A" w:rsidRPr="006C3C03" w:rsidRDefault="003C620A" w:rsidP="003C620A">
            <w:pPr>
              <w:spacing w:after="0"/>
              <w:jc w:val="right"/>
              <w:rPr>
                <w:rFonts w:ascii="Calibri" w:eastAsia="Times New Roman" w:hAnsi="Calibri" w:cs="Calibri"/>
                <w:color w:val="000000"/>
                <w:sz w:val="22"/>
                <w:szCs w:val="22"/>
                <w:lang w:val="en-AU" w:eastAsia="en-AU"/>
              </w:rPr>
            </w:pPr>
            <w:r w:rsidRPr="006C3C03">
              <w:rPr>
                <w:sz w:val="22"/>
                <w:szCs w:val="22"/>
              </w:rPr>
              <w:t>2.64</w:t>
            </w:r>
          </w:p>
        </w:tc>
      </w:tr>
      <w:tr w:rsidR="001B50A4" w:rsidRPr="000D61D1" w14:paraId="6C7C07A5" w14:textId="77777777" w:rsidTr="00870105">
        <w:trPr>
          <w:trHeight w:val="345"/>
        </w:trPr>
        <w:tc>
          <w:tcPr>
            <w:tcW w:w="8647" w:type="dxa"/>
            <w:gridSpan w:val="5"/>
            <w:tcBorders>
              <w:top w:val="single" w:sz="8" w:space="0" w:color="auto"/>
              <w:left w:val="nil"/>
              <w:right w:val="nil"/>
            </w:tcBorders>
            <w:shd w:val="clear" w:color="auto" w:fill="auto"/>
            <w:vAlign w:val="center"/>
          </w:tcPr>
          <w:p w14:paraId="71628B04" w14:textId="44D03BDE" w:rsidR="001B50A4" w:rsidRPr="000D61D1" w:rsidRDefault="001B50A4" w:rsidP="00870105">
            <w:pPr>
              <w:spacing w:after="0"/>
              <w:jc w:val="center"/>
              <w:rPr>
                <w:rFonts w:ascii="Calibri" w:eastAsia="Times New Roman" w:hAnsi="Calibri" w:cs="Calibri"/>
                <w:color w:val="000000"/>
                <w:sz w:val="22"/>
                <w:szCs w:val="22"/>
                <w:lang w:val="en-AU" w:eastAsia="en-AU"/>
              </w:rPr>
            </w:pPr>
            <w:r>
              <w:rPr>
                <w:b/>
                <w:i/>
                <w:iCs/>
                <w:color w:val="365F91" w:themeColor="accent1" w:themeShade="BF"/>
              </w:rPr>
              <w:t>0.35 – 1.30%</w:t>
            </w:r>
            <w:r w:rsidRPr="000D61D1">
              <w:rPr>
                <w:rFonts w:ascii="Calibri" w:eastAsia="Times New Roman" w:hAnsi="Calibri" w:cs="Calibri"/>
                <w:b/>
                <w:bCs/>
                <w:i/>
                <w:iCs/>
                <w:color w:val="365F91"/>
                <w:lang w:val="en-AU" w:eastAsia="en-AU"/>
              </w:rPr>
              <w:t xml:space="preserve"> price effect</w:t>
            </w:r>
            <w:r>
              <w:rPr>
                <w:rFonts w:ascii="Calibri" w:eastAsia="Times New Roman" w:hAnsi="Calibri" w:cs="Calibri"/>
                <w:b/>
                <w:bCs/>
                <w:i/>
                <w:iCs/>
                <w:color w:val="365F91"/>
                <w:lang w:val="en-AU" w:eastAsia="en-AU"/>
              </w:rPr>
              <w:t xml:space="preserve"> (0.8% average)</w:t>
            </w:r>
          </w:p>
        </w:tc>
      </w:tr>
      <w:tr w:rsidR="001B50A4" w:rsidRPr="000D61D1" w14:paraId="58E60F3A" w14:textId="77777777" w:rsidTr="00870105">
        <w:trPr>
          <w:trHeight w:val="345"/>
        </w:trPr>
        <w:tc>
          <w:tcPr>
            <w:tcW w:w="1560" w:type="dxa"/>
            <w:tcBorders>
              <w:left w:val="nil"/>
              <w:bottom w:val="nil"/>
              <w:right w:val="nil"/>
            </w:tcBorders>
            <w:shd w:val="clear" w:color="auto" w:fill="auto"/>
            <w:vAlign w:val="center"/>
            <w:hideMark/>
          </w:tcPr>
          <w:p w14:paraId="445659AC" w14:textId="0944A38E" w:rsidR="001B50A4" w:rsidRPr="000D61D1" w:rsidRDefault="001B50A4" w:rsidP="001B50A4">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Pr>
                <w:rFonts w:ascii="Calibri" w:eastAsia="Times New Roman" w:hAnsi="Calibri" w:cs="Calibri"/>
                <w:color w:val="000000"/>
                <w:lang w:val="en-AU" w:eastAsia="en-AU"/>
              </w:rPr>
              <w:t>Quintile</w:t>
            </w:r>
          </w:p>
        </w:tc>
        <w:tc>
          <w:tcPr>
            <w:tcW w:w="2268" w:type="dxa"/>
            <w:tcBorders>
              <w:left w:val="nil"/>
              <w:bottom w:val="nil"/>
              <w:right w:val="nil"/>
            </w:tcBorders>
            <w:shd w:val="clear" w:color="000000" w:fill="E7E6E6"/>
            <w:vAlign w:val="center"/>
            <w:hideMark/>
          </w:tcPr>
          <w:p w14:paraId="3FBAF207" w14:textId="77777777"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 Number of purchases</w:t>
            </w:r>
          </w:p>
        </w:tc>
        <w:tc>
          <w:tcPr>
            <w:tcW w:w="2270" w:type="dxa"/>
            <w:tcBorders>
              <w:left w:val="nil"/>
              <w:bottom w:val="nil"/>
              <w:right w:val="nil"/>
            </w:tcBorders>
            <w:shd w:val="clear" w:color="auto" w:fill="auto"/>
            <w:vAlign w:val="center"/>
            <w:hideMark/>
          </w:tcPr>
          <w:p w14:paraId="01E3C885" w14:textId="77777777"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 Number of purchases</w:t>
            </w:r>
          </w:p>
        </w:tc>
        <w:tc>
          <w:tcPr>
            <w:tcW w:w="1150" w:type="dxa"/>
            <w:tcBorders>
              <w:left w:val="nil"/>
              <w:bottom w:val="nil"/>
              <w:right w:val="nil"/>
            </w:tcBorders>
            <w:shd w:val="clear" w:color="auto" w:fill="auto"/>
            <w:vAlign w:val="center"/>
            <w:hideMark/>
          </w:tcPr>
          <w:p w14:paraId="1A903EDB" w14:textId="77777777"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p>
        </w:tc>
        <w:tc>
          <w:tcPr>
            <w:tcW w:w="1399" w:type="dxa"/>
            <w:tcBorders>
              <w:left w:val="nil"/>
              <w:bottom w:val="nil"/>
              <w:right w:val="nil"/>
            </w:tcBorders>
            <w:shd w:val="clear" w:color="auto" w:fill="auto"/>
            <w:vAlign w:val="center"/>
            <w:hideMark/>
          </w:tcPr>
          <w:p w14:paraId="2AC8154E" w14:textId="77777777"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w:t>
            </w:r>
          </w:p>
        </w:tc>
      </w:tr>
      <w:tr w:rsidR="001B50A4" w:rsidRPr="000D61D1" w14:paraId="7C4F185B" w14:textId="77777777" w:rsidTr="003C620A">
        <w:trPr>
          <w:trHeight w:val="290"/>
        </w:trPr>
        <w:tc>
          <w:tcPr>
            <w:tcW w:w="1560" w:type="dxa"/>
            <w:tcBorders>
              <w:top w:val="nil"/>
              <w:left w:val="nil"/>
              <w:bottom w:val="nil"/>
              <w:right w:val="nil"/>
            </w:tcBorders>
            <w:shd w:val="clear" w:color="auto" w:fill="auto"/>
            <w:vAlign w:val="center"/>
            <w:hideMark/>
          </w:tcPr>
          <w:p w14:paraId="7AC05D6E"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2268" w:type="dxa"/>
            <w:tcBorders>
              <w:top w:val="nil"/>
              <w:left w:val="nil"/>
              <w:bottom w:val="nil"/>
              <w:right w:val="nil"/>
            </w:tcBorders>
            <w:shd w:val="clear" w:color="000000" w:fill="E7E6E6"/>
            <w:vAlign w:val="center"/>
            <w:hideMark/>
          </w:tcPr>
          <w:p w14:paraId="40CD3FEB"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5,581</w:t>
            </w:r>
          </w:p>
        </w:tc>
        <w:tc>
          <w:tcPr>
            <w:tcW w:w="2270" w:type="dxa"/>
            <w:tcBorders>
              <w:top w:val="nil"/>
              <w:left w:val="nil"/>
              <w:bottom w:val="nil"/>
              <w:right w:val="nil"/>
            </w:tcBorders>
            <w:shd w:val="clear" w:color="auto" w:fill="auto"/>
            <w:vAlign w:val="center"/>
            <w:hideMark/>
          </w:tcPr>
          <w:p w14:paraId="1D19F70F"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5,578</w:t>
            </w:r>
          </w:p>
        </w:tc>
        <w:tc>
          <w:tcPr>
            <w:tcW w:w="1150" w:type="dxa"/>
            <w:tcBorders>
              <w:top w:val="nil"/>
              <w:left w:val="nil"/>
              <w:bottom w:val="nil"/>
              <w:right w:val="nil"/>
            </w:tcBorders>
            <w:shd w:val="clear" w:color="auto" w:fill="auto"/>
            <w:vAlign w:val="center"/>
            <w:hideMark/>
          </w:tcPr>
          <w:p w14:paraId="0827C861"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3</w:t>
            </w:r>
          </w:p>
        </w:tc>
        <w:tc>
          <w:tcPr>
            <w:tcW w:w="1399" w:type="dxa"/>
            <w:tcBorders>
              <w:top w:val="nil"/>
              <w:left w:val="nil"/>
              <w:bottom w:val="nil"/>
              <w:right w:val="nil"/>
            </w:tcBorders>
            <w:shd w:val="clear" w:color="auto" w:fill="auto"/>
            <w:vAlign w:val="center"/>
            <w:hideMark/>
          </w:tcPr>
          <w:p w14:paraId="793EE11D"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0.05</w:t>
            </w:r>
          </w:p>
        </w:tc>
      </w:tr>
      <w:tr w:rsidR="001B50A4" w:rsidRPr="000D61D1" w14:paraId="4BBFA390" w14:textId="77777777" w:rsidTr="003C620A">
        <w:trPr>
          <w:trHeight w:val="290"/>
        </w:trPr>
        <w:tc>
          <w:tcPr>
            <w:tcW w:w="1560" w:type="dxa"/>
            <w:tcBorders>
              <w:top w:val="nil"/>
              <w:left w:val="nil"/>
              <w:bottom w:val="nil"/>
              <w:right w:val="nil"/>
            </w:tcBorders>
            <w:shd w:val="clear" w:color="auto" w:fill="auto"/>
            <w:vAlign w:val="center"/>
            <w:hideMark/>
          </w:tcPr>
          <w:p w14:paraId="016660F6"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2268" w:type="dxa"/>
            <w:tcBorders>
              <w:top w:val="nil"/>
              <w:left w:val="nil"/>
              <w:bottom w:val="nil"/>
              <w:right w:val="nil"/>
            </w:tcBorders>
            <w:shd w:val="clear" w:color="000000" w:fill="E7E6E6"/>
            <w:vAlign w:val="center"/>
            <w:hideMark/>
          </w:tcPr>
          <w:p w14:paraId="4FA26142"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9,965</w:t>
            </w:r>
          </w:p>
        </w:tc>
        <w:tc>
          <w:tcPr>
            <w:tcW w:w="2270" w:type="dxa"/>
            <w:tcBorders>
              <w:top w:val="nil"/>
              <w:left w:val="nil"/>
              <w:bottom w:val="nil"/>
              <w:right w:val="nil"/>
            </w:tcBorders>
            <w:shd w:val="clear" w:color="auto" w:fill="auto"/>
            <w:vAlign w:val="center"/>
            <w:hideMark/>
          </w:tcPr>
          <w:p w14:paraId="2379FB0B"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9,800</w:t>
            </w:r>
          </w:p>
        </w:tc>
        <w:tc>
          <w:tcPr>
            <w:tcW w:w="1150" w:type="dxa"/>
            <w:tcBorders>
              <w:top w:val="nil"/>
              <w:left w:val="nil"/>
              <w:bottom w:val="nil"/>
              <w:right w:val="nil"/>
            </w:tcBorders>
            <w:shd w:val="clear" w:color="auto" w:fill="auto"/>
            <w:vAlign w:val="center"/>
            <w:hideMark/>
          </w:tcPr>
          <w:p w14:paraId="19A0A0AD"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165</w:t>
            </w:r>
          </w:p>
        </w:tc>
        <w:tc>
          <w:tcPr>
            <w:tcW w:w="1399" w:type="dxa"/>
            <w:tcBorders>
              <w:top w:val="nil"/>
              <w:left w:val="nil"/>
              <w:bottom w:val="nil"/>
              <w:right w:val="nil"/>
            </w:tcBorders>
            <w:shd w:val="clear" w:color="auto" w:fill="auto"/>
            <w:vAlign w:val="center"/>
            <w:hideMark/>
          </w:tcPr>
          <w:p w14:paraId="4240D1DB"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1.68</w:t>
            </w:r>
          </w:p>
        </w:tc>
      </w:tr>
      <w:tr w:rsidR="001B50A4" w:rsidRPr="000D61D1" w14:paraId="556DA138" w14:textId="77777777" w:rsidTr="003C620A">
        <w:trPr>
          <w:trHeight w:val="290"/>
        </w:trPr>
        <w:tc>
          <w:tcPr>
            <w:tcW w:w="1560" w:type="dxa"/>
            <w:tcBorders>
              <w:top w:val="nil"/>
              <w:left w:val="nil"/>
              <w:bottom w:val="nil"/>
              <w:right w:val="nil"/>
            </w:tcBorders>
            <w:shd w:val="clear" w:color="auto" w:fill="auto"/>
            <w:vAlign w:val="center"/>
            <w:hideMark/>
          </w:tcPr>
          <w:p w14:paraId="11F29F76"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2268" w:type="dxa"/>
            <w:tcBorders>
              <w:top w:val="nil"/>
              <w:left w:val="nil"/>
              <w:bottom w:val="nil"/>
              <w:right w:val="nil"/>
            </w:tcBorders>
            <w:shd w:val="clear" w:color="000000" w:fill="E7E6E6"/>
            <w:vAlign w:val="center"/>
            <w:hideMark/>
          </w:tcPr>
          <w:p w14:paraId="23DC24AC"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23,114</w:t>
            </w:r>
          </w:p>
        </w:tc>
        <w:tc>
          <w:tcPr>
            <w:tcW w:w="2270" w:type="dxa"/>
            <w:tcBorders>
              <w:top w:val="nil"/>
              <w:left w:val="nil"/>
              <w:bottom w:val="nil"/>
              <w:right w:val="nil"/>
            </w:tcBorders>
            <w:shd w:val="clear" w:color="auto" w:fill="auto"/>
            <w:vAlign w:val="center"/>
            <w:hideMark/>
          </w:tcPr>
          <w:p w14:paraId="4F7793CE"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22,601</w:t>
            </w:r>
          </w:p>
        </w:tc>
        <w:tc>
          <w:tcPr>
            <w:tcW w:w="1150" w:type="dxa"/>
            <w:tcBorders>
              <w:top w:val="nil"/>
              <w:left w:val="nil"/>
              <w:bottom w:val="nil"/>
              <w:right w:val="nil"/>
            </w:tcBorders>
            <w:shd w:val="clear" w:color="auto" w:fill="auto"/>
            <w:vAlign w:val="center"/>
            <w:hideMark/>
          </w:tcPr>
          <w:p w14:paraId="396E1DF4"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513</w:t>
            </w:r>
          </w:p>
        </w:tc>
        <w:tc>
          <w:tcPr>
            <w:tcW w:w="1399" w:type="dxa"/>
            <w:tcBorders>
              <w:top w:val="nil"/>
              <w:left w:val="nil"/>
              <w:bottom w:val="nil"/>
              <w:right w:val="nil"/>
            </w:tcBorders>
            <w:shd w:val="clear" w:color="auto" w:fill="auto"/>
            <w:vAlign w:val="center"/>
            <w:hideMark/>
          </w:tcPr>
          <w:p w14:paraId="507FE47E"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2.27</w:t>
            </w:r>
          </w:p>
        </w:tc>
      </w:tr>
      <w:tr w:rsidR="001B50A4" w:rsidRPr="000D61D1" w14:paraId="3CD302E1" w14:textId="77777777" w:rsidTr="003C620A">
        <w:trPr>
          <w:trHeight w:val="290"/>
        </w:trPr>
        <w:tc>
          <w:tcPr>
            <w:tcW w:w="1560" w:type="dxa"/>
            <w:tcBorders>
              <w:top w:val="nil"/>
              <w:left w:val="nil"/>
              <w:bottom w:val="nil"/>
              <w:right w:val="nil"/>
            </w:tcBorders>
            <w:shd w:val="clear" w:color="auto" w:fill="auto"/>
            <w:vAlign w:val="center"/>
            <w:hideMark/>
          </w:tcPr>
          <w:p w14:paraId="69CECD50"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2268" w:type="dxa"/>
            <w:tcBorders>
              <w:top w:val="nil"/>
              <w:left w:val="nil"/>
              <w:bottom w:val="nil"/>
              <w:right w:val="nil"/>
            </w:tcBorders>
            <w:shd w:val="clear" w:color="000000" w:fill="E7E6E6"/>
            <w:vAlign w:val="center"/>
            <w:hideMark/>
          </w:tcPr>
          <w:p w14:paraId="3DA76C73" w14:textId="77777777" w:rsidR="001B50A4" w:rsidRPr="00622E69" w:rsidRDefault="001B50A4" w:rsidP="001B50A4">
            <w:pPr>
              <w:spacing w:after="0"/>
              <w:jc w:val="right"/>
              <w:rPr>
                <w:rFonts w:ascii="Calibri" w:hAnsi="Calibri"/>
                <w:color w:val="000000"/>
                <w:sz w:val="22"/>
                <w:szCs w:val="22"/>
                <w:lang w:val="en-AU"/>
              </w:rPr>
            </w:pPr>
            <w:r w:rsidRPr="00622E69">
              <w:rPr>
                <w:sz w:val="22"/>
                <w:szCs w:val="22"/>
              </w:rPr>
              <w:t>23,640</w:t>
            </w:r>
          </w:p>
        </w:tc>
        <w:tc>
          <w:tcPr>
            <w:tcW w:w="2270" w:type="dxa"/>
            <w:tcBorders>
              <w:top w:val="nil"/>
              <w:left w:val="nil"/>
              <w:bottom w:val="nil"/>
              <w:right w:val="nil"/>
            </w:tcBorders>
            <w:shd w:val="clear" w:color="auto" w:fill="auto"/>
            <w:vAlign w:val="center"/>
            <w:hideMark/>
          </w:tcPr>
          <w:p w14:paraId="5AF85151" w14:textId="77777777" w:rsidR="001B50A4" w:rsidRPr="00622E69" w:rsidRDefault="001B50A4" w:rsidP="001B50A4">
            <w:pPr>
              <w:spacing w:after="0"/>
              <w:jc w:val="right"/>
              <w:rPr>
                <w:rFonts w:ascii="Calibri" w:hAnsi="Calibri"/>
                <w:color w:val="000000"/>
                <w:sz w:val="22"/>
                <w:szCs w:val="22"/>
                <w:lang w:val="en-AU"/>
              </w:rPr>
            </w:pPr>
            <w:r w:rsidRPr="00622E69">
              <w:rPr>
                <w:sz w:val="22"/>
                <w:szCs w:val="22"/>
              </w:rPr>
              <w:t>22,940</w:t>
            </w:r>
          </w:p>
        </w:tc>
        <w:tc>
          <w:tcPr>
            <w:tcW w:w="1150" w:type="dxa"/>
            <w:tcBorders>
              <w:top w:val="nil"/>
              <w:left w:val="nil"/>
              <w:bottom w:val="nil"/>
              <w:right w:val="nil"/>
            </w:tcBorders>
            <w:shd w:val="clear" w:color="auto" w:fill="auto"/>
            <w:vAlign w:val="center"/>
            <w:hideMark/>
          </w:tcPr>
          <w:p w14:paraId="03546C97" w14:textId="77777777" w:rsidR="001B50A4" w:rsidRPr="00622E69" w:rsidRDefault="001B50A4" w:rsidP="001B50A4">
            <w:pPr>
              <w:spacing w:after="0"/>
              <w:jc w:val="right"/>
              <w:rPr>
                <w:rFonts w:ascii="Calibri" w:hAnsi="Calibri"/>
                <w:color w:val="000000"/>
                <w:sz w:val="22"/>
                <w:szCs w:val="22"/>
                <w:lang w:val="en-AU"/>
              </w:rPr>
            </w:pPr>
            <w:r w:rsidRPr="00622E69">
              <w:rPr>
                <w:sz w:val="22"/>
                <w:szCs w:val="22"/>
              </w:rPr>
              <w:t>700</w:t>
            </w:r>
          </w:p>
        </w:tc>
        <w:tc>
          <w:tcPr>
            <w:tcW w:w="1399" w:type="dxa"/>
            <w:tcBorders>
              <w:top w:val="nil"/>
              <w:left w:val="nil"/>
              <w:bottom w:val="nil"/>
              <w:right w:val="nil"/>
            </w:tcBorders>
            <w:shd w:val="clear" w:color="auto" w:fill="auto"/>
            <w:vAlign w:val="center"/>
            <w:hideMark/>
          </w:tcPr>
          <w:p w14:paraId="58D6A05D" w14:textId="77777777" w:rsidR="001B50A4" w:rsidRPr="00622E69" w:rsidRDefault="001B50A4" w:rsidP="001B50A4">
            <w:pPr>
              <w:spacing w:after="0"/>
              <w:jc w:val="right"/>
              <w:rPr>
                <w:rFonts w:ascii="Calibri" w:hAnsi="Calibri"/>
                <w:color w:val="000000"/>
                <w:sz w:val="22"/>
                <w:szCs w:val="22"/>
                <w:lang w:val="en-AU"/>
              </w:rPr>
            </w:pPr>
            <w:r w:rsidRPr="00622E69">
              <w:rPr>
                <w:sz w:val="22"/>
                <w:szCs w:val="22"/>
              </w:rPr>
              <w:t>3.05</w:t>
            </w:r>
          </w:p>
        </w:tc>
      </w:tr>
      <w:tr w:rsidR="001B50A4" w:rsidRPr="000D61D1" w14:paraId="3353E912" w14:textId="77777777" w:rsidTr="003C620A">
        <w:trPr>
          <w:trHeight w:val="300"/>
        </w:trPr>
        <w:tc>
          <w:tcPr>
            <w:tcW w:w="1560" w:type="dxa"/>
            <w:tcBorders>
              <w:top w:val="nil"/>
              <w:left w:val="nil"/>
              <w:bottom w:val="nil"/>
              <w:right w:val="nil"/>
            </w:tcBorders>
            <w:shd w:val="clear" w:color="auto" w:fill="auto"/>
            <w:vAlign w:val="center"/>
            <w:hideMark/>
          </w:tcPr>
          <w:p w14:paraId="06223C39"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2268" w:type="dxa"/>
            <w:tcBorders>
              <w:top w:val="nil"/>
              <w:left w:val="nil"/>
              <w:bottom w:val="nil"/>
              <w:right w:val="nil"/>
            </w:tcBorders>
            <w:shd w:val="clear" w:color="000000" w:fill="E7E6E6"/>
            <w:vAlign w:val="center"/>
            <w:hideMark/>
          </w:tcPr>
          <w:p w14:paraId="6A6CF8F2"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27,468</w:t>
            </w:r>
          </w:p>
        </w:tc>
        <w:tc>
          <w:tcPr>
            <w:tcW w:w="2270" w:type="dxa"/>
            <w:tcBorders>
              <w:top w:val="nil"/>
              <w:left w:val="nil"/>
              <w:bottom w:val="nil"/>
              <w:right w:val="nil"/>
            </w:tcBorders>
            <w:shd w:val="clear" w:color="auto" w:fill="auto"/>
            <w:vAlign w:val="center"/>
            <w:hideMark/>
          </w:tcPr>
          <w:p w14:paraId="71975C7D"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26,807</w:t>
            </w:r>
          </w:p>
        </w:tc>
        <w:tc>
          <w:tcPr>
            <w:tcW w:w="1150" w:type="dxa"/>
            <w:tcBorders>
              <w:top w:val="nil"/>
              <w:left w:val="nil"/>
              <w:bottom w:val="nil"/>
              <w:right w:val="nil"/>
            </w:tcBorders>
            <w:shd w:val="clear" w:color="auto" w:fill="auto"/>
            <w:vAlign w:val="center"/>
            <w:hideMark/>
          </w:tcPr>
          <w:p w14:paraId="56C41BEC"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661</w:t>
            </w:r>
          </w:p>
        </w:tc>
        <w:tc>
          <w:tcPr>
            <w:tcW w:w="1399" w:type="dxa"/>
            <w:tcBorders>
              <w:top w:val="nil"/>
              <w:left w:val="nil"/>
              <w:bottom w:val="nil"/>
              <w:right w:val="nil"/>
            </w:tcBorders>
            <w:shd w:val="clear" w:color="auto" w:fill="auto"/>
            <w:vAlign w:val="center"/>
            <w:hideMark/>
          </w:tcPr>
          <w:p w14:paraId="3C7017F5" w14:textId="77777777" w:rsidR="001B50A4" w:rsidRPr="00622E69" w:rsidRDefault="001B50A4" w:rsidP="001B50A4">
            <w:pPr>
              <w:spacing w:after="0"/>
              <w:jc w:val="right"/>
              <w:rPr>
                <w:rFonts w:ascii="Calibri" w:eastAsia="Times New Roman" w:hAnsi="Calibri" w:cs="Calibri"/>
                <w:color w:val="000000"/>
                <w:sz w:val="22"/>
                <w:szCs w:val="22"/>
                <w:lang w:val="en-AU" w:eastAsia="en-AU"/>
              </w:rPr>
            </w:pPr>
            <w:r w:rsidRPr="00622E69">
              <w:rPr>
                <w:sz w:val="22"/>
                <w:szCs w:val="22"/>
              </w:rPr>
              <w:t>2.47</w:t>
            </w:r>
          </w:p>
        </w:tc>
      </w:tr>
      <w:tr w:rsidR="001B50A4" w:rsidRPr="000D61D1" w14:paraId="7A90172D" w14:textId="77777777" w:rsidTr="00870105">
        <w:trPr>
          <w:trHeight w:val="435"/>
        </w:trPr>
        <w:tc>
          <w:tcPr>
            <w:tcW w:w="8647" w:type="dxa"/>
            <w:gridSpan w:val="5"/>
            <w:tcBorders>
              <w:top w:val="single" w:sz="8" w:space="0" w:color="auto"/>
              <w:left w:val="nil"/>
              <w:right w:val="nil"/>
            </w:tcBorders>
            <w:shd w:val="clear" w:color="auto" w:fill="auto"/>
            <w:vAlign w:val="center"/>
          </w:tcPr>
          <w:p w14:paraId="27A185A0" w14:textId="03EE1B4C" w:rsidR="001B50A4" w:rsidRPr="000D61D1" w:rsidRDefault="001B50A4" w:rsidP="00870105">
            <w:pPr>
              <w:spacing w:after="0"/>
              <w:jc w:val="center"/>
              <w:rPr>
                <w:rFonts w:ascii="Calibri" w:eastAsia="Times New Roman" w:hAnsi="Calibri" w:cs="Calibri"/>
                <w:color w:val="000000"/>
                <w:sz w:val="22"/>
                <w:szCs w:val="22"/>
                <w:lang w:val="en-AU" w:eastAsia="en-AU"/>
              </w:rPr>
            </w:pPr>
            <w:r w:rsidRPr="00113FC1">
              <w:rPr>
                <w:b/>
                <w:i/>
                <w:iCs/>
                <w:color w:val="365F91" w:themeColor="accent1" w:themeShade="BF"/>
              </w:rPr>
              <w:t xml:space="preserve">1.24 – 2.19% </w:t>
            </w:r>
            <w:r w:rsidRPr="000D61D1">
              <w:rPr>
                <w:rFonts w:ascii="Calibri" w:eastAsia="Times New Roman" w:hAnsi="Calibri" w:cs="Calibri"/>
                <w:b/>
                <w:bCs/>
                <w:i/>
                <w:iCs/>
                <w:color w:val="365F91"/>
                <w:lang w:val="en-AU" w:eastAsia="en-AU"/>
              </w:rPr>
              <w:t>price effect</w:t>
            </w:r>
            <w:r>
              <w:rPr>
                <w:rFonts w:ascii="Calibri" w:eastAsia="Times New Roman" w:hAnsi="Calibri" w:cs="Calibri"/>
                <w:b/>
                <w:bCs/>
                <w:i/>
                <w:iCs/>
                <w:color w:val="365F91"/>
                <w:lang w:val="en-AU" w:eastAsia="en-AU"/>
              </w:rPr>
              <w:t xml:space="preserve"> (1.7% average)</w:t>
            </w:r>
          </w:p>
        </w:tc>
      </w:tr>
      <w:tr w:rsidR="001B50A4" w:rsidRPr="000D61D1" w14:paraId="3BE28A71" w14:textId="77777777" w:rsidTr="00870105">
        <w:trPr>
          <w:trHeight w:val="435"/>
        </w:trPr>
        <w:tc>
          <w:tcPr>
            <w:tcW w:w="1560" w:type="dxa"/>
            <w:tcBorders>
              <w:left w:val="nil"/>
              <w:bottom w:val="nil"/>
              <w:right w:val="nil"/>
            </w:tcBorders>
            <w:shd w:val="clear" w:color="auto" w:fill="auto"/>
            <w:vAlign w:val="center"/>
            <w:hideMark/>
          </w:tcPr>
          <w:p w14:paraId="352133ED" w14:textId="321F88CB" w:rsidR="001B50A4" w:rsidRPr="000D61D1" w:rsidRDefault="001B50A4" w:rsidP="001B50A4">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Pr>
                <w:rFonts w:ascii="Calibri" w:eastAsia="Times New Roman" w:hAnsi="Calibri" w:cs="Calibri"/>
                <w:color w:val="000000"/>
                <w:lang w:val="en-AU" w:eastAsia="en-AU"/>
              </w:rPr>
              <w:t>Quintile</w:t>
            </w:r>
          </w:p>
        </w:tc>
        <w:tc>
          <w:tcPr>
            <w:tcW w:w="2268" w:type="dxa"/>
            <w:tcBorders>
              <w:left w:val="nil"/>
              <w:bottom w:val="nil"/>
              <w:right w:val="nil"/>
            </w:tcBorders>
            <w:shd w:val="clear" w:color="000000" w:fill="E7E6E6"/>
            <w:vAlign w:val="center"/>
            <w:hideMark/>
          </w:tcPr>
          <w:p w14:paraId="55D1E383" w14:textId="77777777"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 Number of purchases</w:t>
            </w:r>
          </w:p>
        </w:tc>
        <w:tc>
          <w:tcPr>
            <w:tcW w:w="2270" w:type="dxa"/>
            <w:tcBorders>
              <w:left w:val="nil"/>
              <w:bottom w:val="nil"/>
              <w:right w:val="nil"/>
            </w:tcBorders>
            <w:shd w:val="clear" w:color="auto" w:fill="auto"/>
            <w:vAlign w:val="center"/>
            <w:hideMark/>
          </w:tcPr>
          <w:p w14:paraId="7011FF50" w14:textId="77777777"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 Number of purchases</w:t>
            </w:r>
          </w:p>
        </w:tc>
        <w:tc>
          <w:tcPr>
            <w:tcW w:w="1150" w:type="dxa"/>
            <w:tcBorders>
              <w:left w:val="nil"/>
              <w:bottom w:val="nil"/>
              <w:right w:val="nil"/>
            </w:tcBorders>
            <w:shd w:val="clear" w:color="auto" w:fill="auto"/>
            <w:vAlign w:val="center"/>
            <w:hideMark/>
          </w:tcPr>
          <w:p w14:paraId="7D7CA163" w14:textId="77777777"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p>
        </w:tc>
        <w:tc>
          <w:tcPr>
            <w:tcW w:w="1399" w:type="dxa"/>
            <w:tcBorders>
              <w:left w:val="nil"/>
              <w:bottom w:val="nil"/>
              <w:right w:val="nil"/>
            </w:tcBorders>
            <w:shd w:val="clear" w:color="auto" w:fill="auto"/>
            <w:vAlign w:val="center"/>
            <w:hideMark/>
          </w:tcPr>
          <w:p w14:paraId="31484096" w14:textId="77777777"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w:t>
            </w:r>
          </w:p>
        </w:tc>
      </w:tr>
      <w:tr w:rsidR="001B50A4" w:rsidRPr="000D61D1" w14:paraId="4C9A43F6" w14:textId="77777777" w:rsidTr="003C620A">
        <w:trPr>
          <w:trHeight w:val="290"/>
        </w:trPr>
        <w:tc>
          <w:tcPr>
            <w:tcW w:w="1560" w:type="dxa"/>
            <w:tcBorders>
              <w:top w:val="nil"/>
              <w:left w:val="nil"/>
              <w:bottom w:val="nil"/>
              <w:right w:val="nil"/>
            </w:tcBorders>
            <w:shd w:val="clear" w:color="auto" w:fill="auto"/>
            <w:vAlign w:val="center"/>
            <w:hideMark/>
          </w:tcPr>
          <w:p w14:paraId="335F9DF0"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2268" w:type="dxa"/>
            <w:tcBorders>
              <w:top w:val="nil"/>
              <w:left w:val="nil"/>
              <w:bottom w:val="nil"/>
              <w:right w:val="nil"/>
            </w:tcBorders>
            <w:shd w:val="clear" w:color="000000" w:fill="E7E6E6"/>
            <w:vAlign w:val="center"/>
            <w:hideMark/>
          </w:tcPr>
          <w:p w14:paraId="763AD06F"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5,581</w:t>
            </w:r>
          </w:p>
        </w:tc>
        <w:tc>
          <w:tcPr>
            <w:tcW w:w="2270" w:type="dxa"/>
            <w:tcBorders>
              <w:top w:val="nil"/>
              <w:left w:val="nil"/>
              <w:bottom w:val="nil"/>
              <w:right w:val="nil"/>
            </w:tcBorders>
            <w:shd w:val="clear" w:color="auto" w:fill="auto"/>
            <w:vAlign w:val="center"/>
            <w:hideMark/>
          </w:tcPr>
          <w:p w14:paraId="495B20C5"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5,601</w:t>
            </w:r>
          </w:p>
        </w:tc>
        <w:tc>
          <w:tcPr>
            <w:tcW w:w="1150" w:type="dxa"/>
            <w:tcBorders>
              <w:top w:val="nil"/>
              <w:left w:val="nil"/>
              <w:bottom w:val="nil"/>
              <w:right w:val="nil"/>
            </w:tcBorders>
            <w:shd w:val="clear" w:color="auto" w:fill="auto"/>
            <w:vAlign w:val="center"/>
            <w:hideMark/>
          </w:tcPr>
          <w:p w14:paraId="4804F584"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-20</w:t>
            </w:r>
          </w:p>
        </w:tc>
        <w:tc>
          <w:tcPr>
            <w:tcW w:w="1399" w:type="dxa"/>
            <w:tcBorders>
              <w:top w:val="nil"/>
              <w:left w:val="nil"/>
              <w:bottom w:val="nil"/>
              <w:right w:val="nil"/>
            </w:tcBorders>
            <w:shd w:val="clear" w:color="auto" w:fill="auto"/>
            <w:vAlign w:val="center"/>
            <w:hideMark/>
          </w:tcPr>
          <w:p w14:paraId="014B9B87"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-0.36</w:t>
            </w:r>
          </w:p>
        </w:tc>
      </w:tr>
      <w:tr w:rsidR="001B50A4" w:rsidRPr="000D61D1" w14:paraId="3A115EF9" w14:textId="77777777" w:rsidTr="003C620A">
        <w:trPr>
          <w:trHeight w:val="290"/>
        </w:trPr>
        <w:tc>
          <w:tcPr>
            <w:tcW w:w="1560" w:type="dxa"/>
            <w:tcBorders>
              <w:top w:val="nil"/>
              <w:left w:val="nil"/>
              <w:bottom w:val="nil"/>
              <w:right w:val="nil"/>
            </w:tcBorders>
            <w:shd w:val="clear" w:color="auto" w:fill="auto"/>
            <w:vAlign w:val="center"/>
            <w:hideMark/>
          </w:tcPr>
          <w:p w14:paraId="552E1DDE"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2268" w:type="dxa"/>
            <w:tcBorders>
              <w:top w:val="nil"/>
              <w:left w:val="nil"/>
              <w:bottom w:val="nil"/>
              <w:right w:val="nil"/>
            </w:tcBorders>
            <w:shd w:val="clear" w:color="000000" w:fill="E7E6E6"/>
            <w:vAlign w:val="center"/>
            <w:hideMark/>
          </w:tcPr>
          <w:p w14:paraId="653CA95C"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9,965</w:t>
            </w:r>
          </w:p>
        </w:tc>
        <w:tc>
          <w:tcPr>
            <w:tcW w:w="2270" w:type="dxa"/>
            <w:tcBorders>
              <w:top w:val="nil"/>
              <w:left w:val="nil"/>
              <w:bottom w:val="nil"/>
              <w:right w:val="nil"/>
            </w:tcBorders>
            <w:shd w:val="clear" w:color="auto" w:fill="auto"/>
            <w:vAlign w:val="center"/>
            <w:hideMark/>
          </w:tcPr>
          <w:p w14:paraId="633A14D9"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9,942</w:t>
            </w:r>
          </w:p>
        </w:tc>
        <w:tc>
          <w:tcPr>
            <w:tcW w:w="1150" w:type="dxa"/>
            <w:tcBorders>
              <w:top w:val="nil"/>
              <w:left w:val="nil"/>
              <w:bottom w:val="nil"/>
              <w:right w:val="nil"/>
            </w:tcBorders>
            <w:shd w:val="clear" w:color="auto" w:fill="auto"/>
            <w:vAlign w:val="center"/>
            <w:hideMark/>
          </w:tcPr>
          <w:p w14:paraId="463EAE49"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23</w:t>
            </w:r>
          </w:p>
        </w:tc>
        <w:tc>
          <w:tcPr>
            <w:tcW w:w="1399" w:type="dxa"/>
            <w:tcBorders>
              <w:top w:val="nil"/>
              <w:left w:val="nil"/>
              <w:bottom w:val="nil"/>
              <w:right w:val="nil"/>
            </w:tcBorders>
            <w:shd w:val="clear" w:color="auto" w:fill="auto"/>
            <w:vAlign w:val="center"/>
            <w:hideMark/>
          </w:tcPr>
          <w:p w14:paraId="6DB0FE1C"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0.23</w:t>
            </w:r>
          </w:p>
        </w:tc>
      </w:tr>
      <w:tr w:rsidR="001B50A4" w:rsidRPr="000D61D1" w14:paraId="05049F06" w14:textId="77777777" w:rsidTr="003C620A">
        <w:trPr>
          <w:trHeight w:val="290"/>
        </w:trPr>
        <w:tc>
          <w:tcPr>
            <w:tcW w:w="1560" w:type="dxa"/>
            <w:tcBorders>
              <w:top w:val="nil"/>
              <w:left w:val="nil"/>
              <w:bottom w:val="nil"/>
              <w:right w:val="nil"/>
            </w:tcBorders>
            <w:shd w:val="clear" w:color="auto" w:fill="auto"/>
            <w:vAlign w:val="center"/>
            <w:hideMark/>
          </w:tcPr>
          <w:p w14:paraId="47755863"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2268" w:type="dxa"/>
            <w:tcBorders>
              <w:top w:val="nil"/>
              <w:left w:val="nil"/>
              <w:bottom w:val="nil"/>
              <w:right w:val="nil"/>
            </w:tcBorders>
            <w:shd w:val="clear" w:color="000000" w:fill="E7E6E6"/>
            <w:vAlign w:val="center"/>
            <w:hideMark/>
          </w:tcPr>
          <w:p w14:paraId="7BCCB750"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23,114</w:t>
            </w:r>
          </w:p>
        </w:tc>
        <w:tc>
          <w:tcPr>
            <w:tcW w:w="2270" w:type="dxa"/>
            <w:tcBorders>
              <w:top w:val="nil"/>
              <w:left w:val="nil"/>
              <w:bottom w:val="nil"/>
              <w:right w:val="nil"/>
            </w:tcBorders>
            <w:shd w:val="clear" w:color="auto" w:fill="auto"/>
            <w:vAlign w:val="center"/>
            <w:hideMark/>
          </w:tcPr>
          <w:p w14:paraId="77A160BC"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22,756</w:t>
            </w:r>
          </w:p>
        </w:tc>
        <w:tc>
          <w:tcPr>
            <w:tcW w:w="1150" w:type="dxa"/>
            <w:tcBorders>
              <w:top w:val="nil"/>
              <w:left w:val="nil"/>
              <w:bottom w:val="nil"/>
              <w:right w:val="nil"/>
            </w:tcBorders>
            <w:shd w:val="clear" w:color="auto" w:fill="auto"/>
            <w:vAlign w:val="center"/>
            <w:hideMark/>
          </w:tcPr>
          <w:p w14:paraId="05090310"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358</w:t>
            </w:r>
          </w:p>
        </w:tc>
        <w:tc>
          <w:tcPr>
            <w:tcW w:w="1399" w:type="dxa"/>
            <w:tcBorders>
              <w:top w:val="nil"/>
              <w:left w:val="nil"/>
              <w:bottom w:val="nil"/>
              <w:right w:val="nil"/>
            </w:tcBorders>
            <w:shd w:val="clear" w:color="auto" w:fill="auto"/>
            <w:vAlign w:val="center"/>
            <w:hideMark/>
          </w:tcPr>
          <w:p w14:paraId="45C72C8B"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1.57</w:t>
            </w:r>
          </w:p>
        </w:tc>
      </w:tr>
      <w:tr w:rsidR="001B50A4" w:rsidRPr="000D61D1" w14:paraId="4F649D36" w14:textId="77777777" w:rsidTr="003C620A">
        <w:trPr>
          <w:trHeight w:val="290"/>
        </w:trPr>
        <w:tc>
          <w:tcPr>
            <w:tcW w:w="1560" w:type="dxa"/>
            <w:tcBorders>
              <w:top w:val="nil"/>
              <w:left w:val="nil"/>
              <w:bottom w:val="nil"/>
              <w:right w:val="nil"/>
            </w:tcBorders>
            <w:shd w:val="clear" w:color="auto" w:fill="auto"/>
            <w:vAlign w:val="center"/>
            <w:hideMark/>
          </w:tcPr>
          <w:p w14:paraId="1D556A72"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2268" w:type="dxa"/>
            <w:tcBorders>
              <w:top w:val="nil"/>
              <w:left w:val="nil"/>
              <w:bottom w:val="nil"/>
              <w:right w:val="nil"/>
            </w:tcBorders>
            <w:shd w:val="clear" w:color="000000" w:fill="E7E6E6"/>
            <w:vAlign w:val="center"/>
            <w:hideMark/>
          </w:tcPr>
          <w:p w14:paraId="70E152E8"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23,640</w:t>
            </w:r>
          </w:p>
        </w:tc>
        <w:tc>
          <w:tcPr>
            <w:tcW w:w="2270" w:type="dxa"/>
            <w:tcBorders>
              <w:top w:val="nil"/>
              <w:left w:val="nil"/>
              <w:bottom w:val="nil"/>
              <w:right w:val="nil"/>
            </w:tcBorders>
            <w:shd w:val="clear" w:color="auto" w:fill="auto"/>
            <w:vAlign w:val="center"/>
            <w:hideMark/>
          </w:tcPr>
          <w:p w14:paraId="0F3670AA"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23,096</w:t>
            </w:r>
          </w:p>
        </w:tc>
        <w:tc>
          <w:tcPr>
            <w:tcW w:w="1150" w:type="dxa"/>
            <w:tcBorders>
              <w:top w:val="nil"/>
              <w:left w:val="nil"/>
              <w:bottom w:val="nil"/>
              <w:right w:val="nil"/>
            </w:tcBorders>
            <w:shd w:val="clear" w:color="auto" w:fill="auto"/>
            <w:vAlign w:val="center"/>
            <w:hideMark/>
          </w:tcPr>
          <w:p w14:paraId="368CF044"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544</w:t>
            </w:r>
          </w:p>
        </w:tc>
        <w:tc>
          <w:tcPr>
            <w:tcW w:w="1399" w:type="dxa"/>
            <w:tcBorders>
              <w:top w:val="nil"/>
              <w:left w:val="nil"/>
              <w:bottom w:val="nil"/>
              <w:right w:val="nil"/>
            </w:tcBorders>
            <w:shd w:val="clear" w:color="auto" w:fill="auto"/>
            <w:vAlign w:val="center"/>
            <w:hideMark/>
          </w:tcPr>
          <w:p w14:paraId="57EA379E" w14:textId="77777777" w:rsidR="001B50A4" w:rsidRPr="00A12C66" w:rsidRDefault="001B50A4" w:rsidP="001B50A4">
            <w:pPr>
              <w:spacing w:after="0"/>
              <w:jc w:val="right"/>
              <w:rPr>
                <w:rFonts w:ascii="Calibri" w:eastAsia="Times New Roman" w:hAnsi="Calibri" w:cs="Calibri"/>
                <w:color w:val="000000"/>
                <w:sz w:val="22"/>
                <w:szCs w:val="22"/>
                <w:lang w:val="en-AU" w:eastAsia="en-AU"/>
              </w:rPr>
            </w:pPr>
            <w:r w:rsidRPr="00A12C66">
              <w:rPr>
                <w:sz w:val="22"/>
                <w:szCs w:val="22"/>
              </w:rPr>
              <w:t>2.36</w:t>
            </w:r>
          </w:p>
        </w:tc>
      </w:tr>
      <w:tr w:rsidR="001B50A4" w:rsidRPr="000D61D1" w14:paraId="715487CE" w14:textId="77777777" w:rsidTr="003C620A">
        <w:trPr>
          <w:trHeight w:val="300"/>
        </w:trPr>
        <w:tc>
          <w:tcPr>
            <w:tcW w:w="1560" w:type="dxa"/>
            <w:tcBorders>
              <w:top w:val="nil"/>
              <w:left w:val="nil"/>
              <w:bottom w:val="single" w:sz="8" w:space="0" w:color="auto"/>
              <w:right w:val="nil"/>
            </w:tcBorders>
            <w:shd w:val="clear" w:color="auto" w:fill="auto"/>
            <w:vAlign w:val="center"/>
            <w:hideMark/>
          </w:tcPr>
          <w:p w14:paraId="61F00146"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2268" w:type="dxa"/>
            <w:tcBorders>
              <w:top w:val="nil"/>
              <w:left w:val="nil"/>
              <w:bottom w:val="single" w:sz="8" w:space="0" w:color="auto"/>
              <w:right w:val="nil"/>
            </w:tcBorders>
            <w:shd w:val="clear" w:color="000000" w:fill="E7E6E6"/>
            <w:vAlign w:val="center"/>
            <w:hideMark/>
          </w:tcPr>
          <w:p w14:paraId="4F6DC068" w14:textId="77777777" w:rsidR="001B50A4" w:rsidRPr="00A12C66" w:rsidRDefault="001B50A4" w:rsidP="001B50A4">
            <w:pPr>
              <w:spacing w:after="0"/>
              <w:jc w:val="right"/>
              <w:rPr>
                <w:rFonts w:ascii="Calibri" w:hAnsi="Calibri"/>
                <w:color w:val="000000"/>
                <w:sz w:val="22"/>
                <w:szCs w:val="22"/>
                <w:lang w:val="en-AU"/>
              </w:rPr>
            </w:pPr>
            <w:r w:rsidRPr="00A12C66">
              <w:rPr>
                <w:sz w:val="22"/>
                <w:szCs w:val="22"/>
              </w:rPr>
              <w:t>27,468</w:t>
            </w:r>
          </w:p>
        </w:tc>
        <w:tc>
          <w:tcPr>
            <w:tcW w:w="2270" w:type="dxa"/>
            <w:tcBorders>
              <w:top w:val="nil"/>
              <w:left w:val="nil"/>
              <w:bottom w:val="single" w:sz="8" w:space="0" w:color="auto"/>
              <w:right w:val="nil"/>
            </w:tcBorders>
            <w:shd w:val="clear" w:color="auto" w:fill="auto"/>
            <w:vAlign w:val="center"/>
            <w:hideMark/>
          </w:tcPr>
          <w:p w14:paraId="407B37CA" w14:textId="77777777" w:rsidR="001B50A4" w:rsidRPr="00A12C66" w:rsidRDefault="001B50A4" w:rsidP="001B50A4">
            <w:pPr>
              <w:spacing w:after="0"/>
              <w:jc w:val="right"/>
              <w:rPr>
                <w:rFonts w:ascii="Calibri" w:hAnsi="Calibri"/>
                <w:color w:val="000000"/>
                <w:sz w:val="22"/>
                <w:szCs w:val="22"/>
                <w:lang w:val="en-AU"/>
              </w:rPr>
            </w:pPr>
            <w:r w:rsidRPr="00A12C66">
              <w:rPr>
                <w:sz w:val="22"/>
                <w:szCs w:val="22"/>
              </w:rPr>
              <w:t>27,010</w:t>
            </w:r>
          </w:p>
        </w:tc>
        <w:tc>
          <w:tcPr>
            <w:tcW w:w="1150" w:type="dxa"/>
            <w:tcBorders>
              <w:top w:val="nil"/>
              <w:left w:val="nil"/>
              <w:bottom w:val="single" w:sz="8" w:space="0" w:color="auto"/>
              <w:right w:val="nil"/>
            </w:tcBorders>
            <w:shd w:val="clear" w:color="auto" w:fill="auto"/>
            <w:vAlign w:val="center"/>
            <w:hideMark/>
          </w:tcPr>
          <w:p w14:paraId="52180A56" w14:textId="77777777" w:rsidR="001B50A4" w:rsidRPr="00A12C66" w:rsidRDefault="001B50A4" w:rsidP="001B50A4">
            <w:pPr>
              <w:spacing w:after="0"/>
              <w:jc w:val="right"/>
              <w:rPr>
                <w:rFonts w:ascii="Calibri" w:hAnsi="Calibri"/>
                <w:color w:val="000000"/>
                <w:sz w:val="22"/>
                <w:szCs w:val="22"/>
                <w:lang w:val="en-AU"/>
              </w:rPr>
            </w:pPr>
            <w:r w:rsidRPr="00A12C66">
              <w:rPr>
                <w:sz w:val="22"/>
                <w:szCs w:val="22"/>
              </w:rPr>
              <w:t>458</w:t>
            </w:r>
          </w:p>
        </w:tc>
        <w:tc>
          <w:tcPr>
            <w:tcW w:w="1399" w:type="dxa"/>
            <w:tcBorders>
              <w:top w:val="nil"/>
              <w:left w:val="nil"/>
              <w:bottom w:val="single" w:sz="8" w:space="0" w:color="auto"/>
              <w:right w:val="nil"/>
            </w:tcBorders>
            <w:shd w:val="clear" w:color="auto" w:fill="auto"/>
            <w:vAlign w:val="center"/>
            <w:hideMark/>
          </w:tcPr>
          <w:p w14:paraId="7F5169CB" w14:textId="77777777" w:rsidR="001B50A4" w:rsidRPr="00A12C66" w:rsidRDefault="001B50A4" w:rsidP="001B50A4">
            <w:pPr>
              <w:spacing w:after="0"/>
              <w:jc w:val="right"/>
              <w:rPr>
                <w:rFonts w:ascii="Calibri" w:hAnsi="Calibri"/>
                <w:color w:val="000000"/>
                <w:sz w:val="22"/>
                <w:szCs w:val="22"/>
                <w:lang w:val="en-AU"/>
              </w:rPr>
            </w:pPr>
            <w:r w:rsidRPr="00A12C66">
              <w:rPr>
                <w:sz w:val="22"/>
                <w:szCs w:val="22"/>
              </w:rPr>
              <w:t>1.70</w:t>
            </w:r>
          </w:p>
        </w:tc>
      </w:tr>
    </w:tbl>
    <w:p w14:paraId="52EADBCD" w14:textId="77777777" w:rsidR="003C620A" w:rsidRPr="000D61D1" w:rsidRDefault="003C620A" w:rsidP="003C620A">
      <w:pPr>
        <w:pStyle w:val="BlockText"/>
        <w:spacing w:before="0"/>
        <w:rPr>
          <w:lang w:val="en-AU"/>
        </w:rPr>
      </w:pPr>
      <w:r w:rsidRPr="000D61D1">
        <w:rPr>
          <w:i/>
          <w:lang w:val="en-AU"/>
        </w:rPr>
        <w:t>Source: Calculations from NATSEM microsimulation model.</w:t>
      </w:r>
      <w:r w:rsidRPr="000D61D1">
        <w:rPr>
          <w:lang w:val="en-AU"/>
        </w:rPr>
        <w:br/>
      </w:r>
    </w:p>
    <w:p w14:paraId="16FF2BF4" w14:textId="702F2A69" w:rsidR="003C620A" w:rsidRDefault="003C620A" w:rsidP="003C620A">
      <w:pPr>
        <w:rPr>
          <w:lang w:val="en-AU"/>
        </w:rPr>
      </w:pPr>
      <w:r w:rsidRPr="000D61D1">
        <w:rPr>
          <w:lang w:val="en-AU"/>
        </w:rPr>
        <w:t xml:space="preserve">The amount spent on duty and rates in absolute terms and as a percent of income, by income quintile, is shown in </w:t>
      </w:r>
      <w:r w:rsidR="00A6304C" w:rsidRPr="00A6304C">
        <w:t>Table 8</w:t>
      </w:r>
      <w:r w:rsidRPr="00A6304C">
        <w:rPr>
          <w:lang w:val="en-AU"/>
        </w:rPr>
        <w:t>.</w:t>
      </w:r>
      <w:r w:rsidRPr="000D61D1">
        <w:rPr>
          <w:lang w:val="en-AU"/>
        </w:rPr>
        <w:t xml:space="preserve"> It can be seen that </w:t>
      </w:r>
      <w:proofErr w:type="gramStart"/>
      <w:r w:rsidRPr="000D61D1">
        <w:rPr>
          <w:lang w:val="en-AU"/>
        </w:rPr>
        <w:t>low income</w:t>
      </w:r>
      <w:proofErr w:type="gramEnd"/>
      <w:r w:rsidRPr="000D61D1">
        <w:rPr>
          <w:lang w:val="en-AU"/>
        </w:rPr>
        <w:t xml:space="preserve"> families spend the least on stamp duty and rates, as identified in </w:t>
      </w:r>
      <w:r w:rsidR="00A6304C">
        <w:rPr>
          <w:lang w:val="en-AU"/>
        </w:rPr>
        <w:t>Table 5</w:t>
      </w:r>
      <w:r w:rsidRPr="000D61D1">
        <w:rPr>
          <w:lang w:val="en-AU"/>
        </w:rPr>
        <w:t xml:space="preserve"> and </w:t>
      </w:r>
      <w:r w:rsidR="00A6304C">
        <w:rPr>
          <w:lang w:val="en-AU"/>
        </w:rPr>
        <w:t>Table 6</w:t>
      </w:r>
      <w:r w:rsidRPr="000D61D1">
        <w:rPr>
          <w:lang w:val="en-AU"/>
        </w:rPr>
        <w:t xml:space="preserve"> above, and </w:t>
      </w:r>
      <w:r w:rsidR="00A6304C">
        <w:rPr>
          <w:lang w:val="en-AU"/>
        </w:rPr>
        <w:t>Table 8</w:t>
      </w:r>
      <w:r w:rsidRPr="000D61D1">
        <w:rPr>
          <w:lang w:val="en-AU"/>
        </w:rPr>
        <w:t xml:space="preserve"> reinforces the progressivity of stamp duty and rates – higher income families are paying more</w:t>
      </w:r>
      <w:r>
        <w:rPr>
          <w:lang w:val="en-AU"/>
        </w:rPr>
        <w:t xml:space="preserve"> in absolute dollars</w:t>
      </w:r>
      <w:r w:rsidRPr="000D61D1">
        <w:rPr>
          <w:lang w:val="en-AU"/>
        </w:rPr>
        <w:t>.</w:t>
      </w:r>
      <w:r>
        <w:rPr>
          <w:lang w:val="en-AU"/>
        </w:rPr>
        <w:t xml:space="preserve"> Note that </w:t>
      </w:r>
      <w:r w:rsidRPr="003B5C5C">
        <w:rPr>
          <w:lang w:val="en-AU"/>
        </w:rPr>
        <w:t>the</w:t>
      </w:r>
      <w:r>
        <w:rPr>
          <w:lang w:val="en-AU"/>
        </w:rPr>
        <w:t xml:space="preserve"> dollar value in columns 2 and 3</w:t>
      </w:r>
      <w:r w:rsidRPr="003B5C5C">
        <w:rPr>
          <w:lang w:val="en-AU"/>
        </w:rPr>
        <w:t xml:space="preserve"> represent the average stamp duty and rates paid by all households in a year, over the time period analysed for each quintile, where </w:t>
      </w:r>
      <w:r w:rsidRPr="003B5C5C">
        <w:rPr>
          <w:lang w:val="en-AU"/>
        </w:rPr>
        <w:lastRenderedPageBreak/>
        <w:t xml:space="preserve">not every </w:t>
      </w:r>
      <w:r>
        <w:rPr>
          <w:lang w:val="en-AU"/>
        </w:rPr>
        <w:t>family</w:t>
      </w:r>
      <w:r w:rsidRPr="003B5C5C">
        <w:rPr>
          <w:lang w:val="en-AU"/>
        </w:rPr>
        <w:t xml:space="preserve"> in a quintile purchases a property during the time period analysed (2012-2018). </w:t>
      </w:r>
      <w:r w:rsidRPr="000D61D1">
        <w:rPr>
          <w:lang w:val="en-AU"/>
        </w:rPr>
        <w:t xml:space="preserve"> </w:t>
      </w:r>
    </w:p>
    <w:p w14:paraId="5645F95E" w14:textId="4D45B52A" w:rsidR="003C620A" w:rsidRPr="000D61D1" w:rsidRDefault="00A6304C" w:rsidP="003C620A">
      <w:pPr>
        <w:rPr>
          <w:lang w:val="en-AU"/>
        </w:rPr>
      </w:pPr>
      <w:r>
        <w:rPr>
          <w:lang w:val="en-AU"/>
        </w:rPr>
        <w:t xml:space="preserve">Table 8 </w:t>
      </w:r>
      <w:r w:rsidR="003C620A" w:rsidRPr="000D61D1">
        <w:rPr>
          <w:lang w:val="en-AU"/>
        </w:rPr>
        <w:t xml:space="preserve">also shows that lower income families are spending more on stamp duty and rates as a proportion of their income, and that this is higher under the new tax policy. Under the new tax policy, they are paying </w:t>
      </w:r>
      <w:r w:rsidR="003C620A">
        <w:rPr>
          <w:lang w:val="en-AU"/>
        </w:rPr>
        <w:t>5</w:t>
      </w:r>
      <w:r w:rsidR="003C620A" w:rsidRPr="000D61D1">
        <w:rPr>
          <w:lang w:val="en-AU"/>
        </w:rPr>
        <w:t>.</w:t>
      </w:r>
      <w:r w:rsidR="003C620A">
        <w:rPr>
          <w:lang w:val="en-AU"/>
        </w:rPr>
        <w:t>91</w:t>
      </w:r>
      <w:r w:rsidR="003C620A" w:rsidRPr="000D61D1">
        <w:rPr>
          <w:lang w:val="en-AU"/>
        </w:rPr>
        <w:t xml:space="preserve"> per cent of their income on rates and stamp duty; whereas under the old system this was </w:t>
      </w:r>
      <w:r w:rsidR="003C620A">
        <w:rPr>
          <w:lang w:val="en-AU"/>
        </w:rPr>
        <w:t>5.32</w:t>
      </w:r>
      <w:r w:rsidR="003C620A" w:rsidRPr="000D61D1">
        <w:rPr>
          <w:lang w:val="en-AU"/>
        </w:rPr>
        <w:t xml:space="preserve"> per cent before including the price effect.</w:t>
      </w:r>
      <w:r w:rsidR="003C620A">
        <w:rPr>
          <w:lang w:val="en-AU"/>
        </w:rPr>
        <w:t xml:space="preserve"> For high income families in Q5, this is around 4%. The reason for this is that rates are based on unimproved value of land, not on income. This means a </w:t>
      </w:r>
      <w:proofErr w:type="gramStart"/>
      <w:r w:rsidR="003C620A">
        <w:rPr>
          <w:lang w:val="en-AU"/>
        </w:rPr>
        <w:t>low income</w:t>
      </w:r>
      <w:proofErr w:type="gramEnd"/>
      <w:r w:rsidR="003C620A">
        <w:rPr>
          <w:lang w:val="en-AU"/>
        </w:rPr>
        <w:t xml:space="preserve"> pensioner can be paying rates on a high value block of land. While subsidies based on income and pensioner status are applied, the rates and stamp duty for low income families as a proportion of their income after any subsidies is still higher than for high income families. </w:t>
      </w:r>
    </w:p>
    <w:p w14:paraId="557C8129" w14:textId="77777777" w:rsidR="003C620A" w:rsidRPr="000D61D1" w:rsidRDefault="003C620A" w:rsidP="003C620A">
      <w:pPr>
        <w:rPr>
          <w:lang w:val="en-AU"/>
        </w:rPr>
      </w:pPr>
      <w:r w:rsidRPr="000D61D1">
        <w:rPr>
          <w:lang w:val="en-AU"/>
        </w:rPr>
        <w:t>Those in income quintile Q3 and Q4 benefit from the new tax system, paying $</w:t>
      </w:r>
      <w:r>
        <w:rPr>
          <w:lang w:val="en-AU"/>
        </w:rPr>
        <w:t>324</w:t>
      </w:r>
      <w:r w:rsidRPr="000D61D1">
        <w:rPr>
          <w:lang w:val="en-AU"/>
        </w:rPr>
        <w:t xml:space="preserve"> (Q3) and $</w:t>
      </w:r>
      <w:r>
        <w:rPr>
          <w:lang w:val="en-AU"/>
        </w:rPr>
        <w:t>231</w:t>
      </w:r>
      <w:r w:rsidRPr="000D61D1">
        <w:rPr>
          <w:lang w:val="en-AU"/>
        </w:rPr>
        <w:t xml:space="preserve"> (Q4) less in rates and stamp duty</w:t>
      </w:r>
      <w:r>
        <w:rPr>
          <w:lang w:val="en-AU"/>
        </w:rPr>
        <w:t xml:space="preserve"> before any price effect</w:t>
      </w:r>
      <w:r w:rsidRPr="000D61D1">
        <w:rPr>
          <w:lang w:val="en-AU"/>
        </w:rPr>
        <w:t>.</w:t>
      </w:r>
    </w:p>
    <w:p w14:paraId="0C3D2769" w14:textId="6222B2BB" w:rsidR="003C620A" w:rsidRPr="000D61D1" w:rsidRDefault="003C620A" w:rsidP="003C620A">
      <w:pPr>
        <w:rPr>
          <w:lang w:val="en-AU"/>
        </w:rPr>
      </w:pPr>
      <w:r w:rsidRPr="000D61D1">
        <w:rPr>
          <w:lang w:val="en-AU"/>
        </w:rPr>
        <w:t xml:space="preserve">The impact of </w:t>
      </w:r>
      <w:r>
        <w:rPr>
          <w:lang w:val="en-AU"/>
        </w:rPr>
        <w:t xml:space="preserve">property </w:t>
      </w:r>
      <w:r w:rsidRPr="000D61D1">
        <w:rPr>
          <w:lang w:val="en-AU"/>
        </w:rPr>
        <w:t>price changes on the rates and stamp duty paid by income quintile is not large.</w:t>
      </w:r>
    </w:p>
    <w:p w14:paraId="211DA8C9" w14:textId="245846EC" w:rsidR="003C620A" w:rsidRPr="000D61D1" w:rsidRDefault="003C620A" w:rsidP="003C620A">
      <w:pPr>
        <w:pStyle w:val="TableCaption"/>
        <w:rPr>
          <w:lang w:val="en-AU"/>
        </w:rPr>
      </w:pPr>
      <w:bookmarkStart w:id="21" w:name="_Toc43911495"/>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8</w:t>
      </w:r>
      <w:r w:rsidRPr="000D61D1">
        <w:rPr>
          <w:lang w:val="en-AU"/>
        </w:rPr>
        <w:fldChar w:fldCharType="end"/>
      </w:r>
      <w:r w:rsidRPr="000D61D1">
        <w:rPr>
          <w:lang w:val="en-AU"/>
        </w:rPr>
        <w:t xml:space="preserve"> - The impact of tax reform on rates and stamp duty paid by income quintile, average 2012 – 2018</w:t>
      </w:r>
      <w:bookmarkEnd w:id="21"/>
    </w:p>
    <w:tbl>
      <w:tblPr>
        <w:tblW w:w="8639" w:type="dxa"/>
        <w:tblLook w:val="04A0" w:firstRow="1" w:lastRow="0" w:firstColumn="1" w:lastColumn="0" w:noHBand="0" w:noVBand="1"/>
        <w:tblCaption w:val="Table 34b - The impact of the stamp duty and general rate payment on income by income quintile, average 2012 - 2018"/>
      </w:tblPr>
      <w:tblGrid>
        <w:gridCol w:w="1651"/>
        <w:gridCol w:w="1365"/>
        <w:gridCol w:w="906"/>
        <w:gridCol w:w="1262"/>
        <w:gridCol w:w="1155"/>
        <w:gridCol w:w="1150"/>
        <w:gridCol w:w="1150"/>
      </w:tblGrid>
      <w:tr w:rsidR="003C620A" w:rsidRPr="000D61D1" w14:paraId="3E6E4A82" w14:textId="77777777" w:rsidTr="00870105">
        <w:trPr>
          <w:trHeight w:val="580"/>
        </w:trPr>
        <w:tc>
          <w:tcPr>
            <w:tcW w:w="1651" w:type="dxa"/>
            <w:tcBorders>
              <w:top w:val="single" w:sz="8" w:space="0" w:color="auto"/>
              <w:left w:val="nil"/>
              <w:bottom w:val="single" w:sz="8" w:space="0" w:color="auto"/>
              <w:right w:val="nil"/>
            </w:tcBorders>
            <w:shd w:val="clear" w:color="auto" w:fill="auto"/>
            <w:vAlign w:val="center"/>
            <w:hideMark/>
          </w:tcPr>
          <w:p w14:paraId="09E0DEFF" w14:textId="77963AFB" w:rsidR="003C620A" w:rsidRPr="000D61D1" w:rsidRDefault="003C620A" w:rsidP="003C620A">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sidR="001B50A4">
              <w:rPr>
                <w:rFonts w:ascii="Calibri" w:eastAsia="Times New Roman" w:hAnsi="Calibri" w:cs="Calibri"/>
                <w:color w:val="000000"/>
                <w:lang w:val="en-AU" w:eastAsia="en-AU"/>
              </w:rPr>
              <w:t>Quintile</w:t>
            </w:r>
          </w:p>
        </w:tc>
        <w:tc>
          <w:tcPr>
            <w:tcW w:w="1365" w:type="dxa"/>
            <w:tcBorders>
              <w:top w:val="single" w:sz="8" w:space="0" w:color="auto"/>
              <w:left w:val="nil"/>
              <w:bottom w:val="single" w:sz="8" w:space="0" w:color="auto"/>
              <w:right w:val="nil"/>
            </w:tcBorders>
            <w:shd w:val="clear" w:color="000000" w:fill="E7E6E6"/>
            <w:vAlign w:val="center"/>
            <w:hideMark/>
          </w:tcPr>
          <w:p w14:paraId="12D7840D" w14:textId="7A76DDB5"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w:t>
            </w:r>
            <w:r w:rsidR="001B50A4">
              <w:rPr>
                <w:rFonts w:ascii="Calibri" w:eastAsia="Times New Roman" w:hAnsi="Calibri" w:cs="Calibri"/>
                <w:color w:val="000000"/>
                <w:sz w:val="22"/>
                <w:szCs w:val="22"/>
                <w:lang w:val="en-AU" w:eastAsia="en-AU"/>
              </w:rPr>
              <w:t xml:space="preserve"> $</w:t>
            </w:r>
          </w:p>
        </w:tc>
        <w:tc>
          <w:tcPr>
            <w:tcW w:w="906" w:type="dxa"/>
            <w:tcBorders>
              <w:top w:val="single" w:sz="8" w:space="0" w:color="auto"/>
              <w:left w:val="nil"/>
              <w:bottom w:val="single" w:sz="8" w:space="0" w:color="auto"/>
              <w:right w:val="nil"/>
            </w:tcBorders>
            <w:shd w:val="clear" w:color="auto" w:fill="auto"/>
            <w:vAlign w:val="center"/>
            <w:hideMark/>
          </w:tcPr>
          <w:p w14:paraId="70F1AF07" w14:textId="7C40E702"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w:t>
            </w:r>
            <w:r w:rsidR="001B50A4">
              <w:rPr>
                <w:rFonts w:ascii="Calibri" w:eastAsia="Times New Roman" w:hAnsi="Calibri" w:cs="Calibri"/>
                <w:color w:val="000000"/>
                <w:sz w:val="22"/>
                <w:szCs w:val="22"/>
                <w:lang w:val="en-AU" w:eastAsia="en-AU"/>
              </w:rPr>
              <w:t xml:space="preserve"> $ </w:t>
            </w:r>
          </w:p>
        </w:tc>
        <w:tc>
          <w:tcPr>
            <w:tcW w:w="1262" w:type="dxa"/>
            <w:tcBorders>
              <w:top w:val="single" w:sz="8" w:space="0" w:color="auto"/>
              <w:left w:val="nil"/>
              <w:bottom w:val="single" w:sz="8" w:space="0" w:color="auto"/>
              <w:right w:val="nil"/>
            </w:tcBorders>
            <w:shd w:val="clear" w:color="auto" w:fill="auto"/>
            <w:vAlign w:val="center"/>
            <w:hideMark/>
          </w:tcPr>
          <w:p w14:paraId="02D48440" w14:textId="780D72BD"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r w:rsidR="001B50A4">
              <w:rPr>
                <w:rFonts w:ascii="Calibri" w:eastAsia="Times New Roman" w:hAnsi="Calibri" w:cs="Calibri"/>
                <w:color w:val="000000"/>
                <w:sz w:val="22"/>
                <w:szCs w:val="22"/>
                <w:lang w:val="en-AU" w:eastAsia="en-AU"/>
              </w:rPr>
              <w:t xml:space="preserve"> $</w:t>
            </w:r>
          </w:p>
        </w:tc>
        <w:tc>
          <w:tcPr>
            <w:tcW w:w="1155" w:type="dxa"/>
            <w:tcBorders>
              <w:top w:val="single" w:sz="8" w:space="0" w:color="auto"/>
              <w:left w:val="nil"/>
              <w:bottom w:val="single" w:sz="8" w:space="0" w:color="auto"/>
              <w:right w:val="nil"/>
            </w:tcBorders>
            <w:shd w:val="clear" w:color="auto" w:fill="auto"/>
            <w:vAlign w:val="center"/>
            <w:hideMark/>
          </w:tcPr>
          <w:p w14:paraId="2DE24386"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New Tax Policy - % of income spent </w:t>
            </w:r>
          </w:p>
        </w:tc>
        <w:tc>
          <w:tcPr>
            <w:tcW w:w="1150" w:type="dxa"/>
            <w:tcBorders>
              <w:top w:val="single" w:sz="8" w:space="0" w:color="auto"/>
              <w:left w:val="nil"/>
              <w:bottom w:val="single" w:sz="8" w:space="0" w:color="auto"/>
              <w:right w:val="nil"/>
            </w:tcBorders>
            <w:shd w:val="clear" w:color="auto" w:fill="auto"/>
            <w:vAlign w:val="center"/>
            <w:hideMark/>
          </w:tcPr>
          <w:p w14:paraId="5C452EF7"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Old Tax Policy - % of income spent </w:t>
            </w:r>
          </w:p>
        </w:tc>
        <w:tc>
          <w:tcPr>
            <w:tcW w:w="1150" w:type="dxa"/>
            <w:tcBorders>
              <w:top w:val="single" w:sz="8" w:space="0" w:color="auto"/>
              <w:left w:val="nil"/>
              <w:bottom w:val="single" w:sz="8" w:space="0" w:color="auto"/>
              <w:right w:val="nil"/>
            </w:tcBorders>
            <w:shd w:val="clear" w:color="auto" w:fill="auto"/>
            <w:vAlign w:val="center"/>
            <w:hideMark/>
          </w:tcPr>
          <w:p w14:paraId="6527AEEB" w14:textId="1859CD8F"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r w:rsidR="001B50A4">
              <w:rPr>
                <w:rFonts w:ascii="Calibri" w:eastAsia="Times New Roman" w:hAnsi="Calibri" w:cs="Calibri"/>
                <w:color w:val="000000"/>
                <w:sz w:val="22"/>
                <w:szCs w:val="22"/>
                <w:lang w:val="en-AU" w:eastAsia="en-AU"/>
              </w:rPr>
              <w:t xml:space="preserve"> % points</w:t>
            </w:r>
            <w:r w:rsidRPr="000D61D1">
              <w:rPr>
                <w:rFonts w:ascii="Calibri" w:eastAsia="Times New Roman" w:hAnsi="Calibri" w:cs="Calibri"/>
                <w:color w:val="000000"/>
                <w:sz w:val="22"/>
                <w:szCs w:val="22"/>
                <w:lang w:val="en-AU" w:eastAsia="en-AU"/>
              </w:rPr>
              <w:t xml:space="preserve"> </w:t>
            </w:r>
          </w:p>
        </w:tc>
      </w:tr>
      <w:tr w:rsidR="003C620A" w:rsidRPr="000D61D1" w14:paraId="090ACCD8" w14:textId="77777777" w:rsidTr="00870105">
        <w:trPr>
          <w:trHeight w:val="290"/>
        </w:trPr>
        <w:tc>
          <w:tcPr>
            <w:tcW w:w="1651" w:type="dxa"/>
            <w:tcBorders>
              <w:top w:val="single" w:sz="8" w:space="0" w:color="auto"/>
              <w:left w:val="nil"/>
              <w:bottom w:val="nil"/>
              <w:right w:val="nil"/>
            </w:tcBorders>
            <w:shd w:val="clear" w:color="auto" w:fill="auto"/>
            <w:vAlign w:val="center"/>
            <w:hideMark/>
          </w:tcPr>
          <w:p w14:paraId="061A6617"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1365" w:type="dxa"/>
            <w:tcBorders>
              <w:top w:val="single" w:sz="8" w:space="0" w:color="auto"/>
              <w:left w:val="nil"/>
              <w:bottom w:val="nil"/>
              <w:right w:val="nil"/>
            </w:tcBorders>
            <w:shd w:val="clear" w:color="000000" w:fill="E7E6E6"/>
            <w:vAlign w:val="center"/>
            <w:hideMark/>
          </w:tcPr>
          <w:p w14:paraId="3DCB315C"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1,532</w:t>
            </w:r>
          </w:p>
        </w:tc>
        <w:tc>
          <w:tcPr>
            <w:tcW w:w="906" w:type="dxa"/>
            <w:tcBorders>
              <w:top w:val="single" w:sz="8" w:space="0" w:color="auto"/>
              <w:left w:val="nil"/>
              <w:bottom w:val="nil"/>
              <w:right w:val="nil"/>
            </w:tcBorders>
            <w:shd w:val="clear" w:color="auto" w:fill="auto"/>
            <w:vAlign w:val="center"/>
            <w:hideMark/>
          </w:tcPr>
          <w:p w14:paraId="37316852"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1,378</w:t>
            </w:r>
          </w:p>
        </w:tc>
        <w:tc>
          <w:tcPr>
            <w:tcW w:w="1262" w:type="dxa"/>
            <w:tcBorders>
              <w:top w:val="single" w:sz="8" w:space="0" w:color="auto"/>
              <w:left w:val="nil"/>
              <w:bottom w:val="nil"/>
              <w:right w:val="nil"/>
            </w:tcBorders>
            <w:shd w:val="clear" w:color="auto" w:fill="auto"/>
            <w:vAlign w:val="center"/>
            <w:hideMark/>
          </w:tcPr>
          <w:p w14:paraId="7D7BD9B8"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153</w:t>
            </w:r>
          </w:p>
        </w:tc>
        <w:tc>
          <w:tcPr>
            <w:tcW w:w="1155" w:type="dxa"/>
            <w:tcBorders>
              <w:top w:val="single" w:sz="8" w:space="0" w:color="auto"/>
              <w:left w:val="nil"/>
              <w:bottom w:val="nil"/>
              <w:right w:val="nil"/>
            </w:tcBorders>
            <w:shd w:val="clear" w:color="auto" w:fill="auto"/>
            <w:vAlign w:val="center"/>
            <w:hideMark/>
          </w:tcPr>
          <w:p w14:paraId="135C5012"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5.91</w:t>
            </w:r>
          </w:p>
        </w:tc>
        <w:tc>
          <w:tcPr>
            <w:tcW w:w="1150" w:type="dxa"/>
            <w:tcBorders>
              <w:top w:val="single" w:sz="8" w:space="0" w:color="auto"/>
              <w:left w:val="nil"/>
              <w:bottom w:val="nil"/>
              <w:right w:val="nil"/>
            </w:tcBorders>
            <w:shd w:val="clear" w:color="auto" w:fill="auto"/>
            <w:vAlign w:val="center"/>
            <w:hideMark/>
          </w:tcPr>
          <w:p w14:paraId="57788F7D"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5.32</w:t>
            </w:r>
          </w:p>
        </w:tc>
        <w:tc>
          <w:tcPr>
            <w:tcW w:w="1150" w:type="dxa"/>
            <w:tcBorders>
              <w:top w:val="single" w:sz="8" w:space="0" w:color="auto"/>
              <w:left w:val="nil"/>
              <w:bottom w:val="nil"/>
              <w:right w:val="nil"/>
            </w:tcBorders>
            <w:shd w:val="clear" w:color="auto" w:fill="auto"/>
            <w:vAlign w:val="center"/>
            <w:hideMark/>
          </w:tcPr>
          <w:p w14:paraId="47259D27"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0.59</w:t>
            </w:r>
          </w:p>
        </w:tc>
      </w:tr>
      <w:tr w:rsidR="003C620A" w:rsidRPr="000D61D1" w14:paraId="62ADAEB6" w14:textId="77777777" w:rsidTr="001B50A4">
        <w:trPr>
          <w:trHeight w:val="290"/>
        </w:trPr>
        <w:tc>
          <w:tcPr>
            <w:tcW w:w="1651" w:type="dxa"/>
            <w:tcBorders>
              <w:top w:val="nil"/>
              <w:left w:val="nil"/>
              <w:bottom w:val="nil"/>
              <w:right w:val="nil"/>
            </w:tcBorders>
            <w:shd w:val="clear" w:color="auto" w:fill="auto"/>
            <w:vAlign w:val="center"/>
            <w:hideMark/>
          </w:tcPr>
          <w:p w14:paraId="7E612E9E"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1365" w:type="dxa"/>
            <w:tcBorders>
              <w:top w:val="nil"/>
              <w:left w:val="nil"/>
              <w:bottom w:val="nil"/>
              <w:right w:val="nil"/>
            </w:tcBorders>
            <w:shd w:val="clear" w:color="000000" w:fill="E7E6E6"/>
            <w:vAlign w:val="center"/>
            <w:hideMark/>
          </w:tcPr>
          <w:p w14:paraId="71464D6B"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2,768</w:t>
            </w:r>
          </w:p>
        </w:tc>
        <w:tc>
          <w:tcPr>
            <w:tcW w:w="906" w:type="dxa"/>
            <w:tcBorders>
              <w:top w:val="nil"/>
              <w:left w:val="nil"/>
              <w:bottom w:val="nil"/>
              <w:right w:val="nil"/>
            </w:tcBorders>
            <w:shd w:val="clear" w:color="auto" w:fill="auto"/>
            <w:vAlign w:val="center"/>
            <w:hideMark/>
          </w:tcPr>
          <w:p w14:paraId="311502F9"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2,738</w:t>
            </w:r>
          </w:p>
        </w:tc>
        <w:tc>
          <w:tcPr>
            <w:tcW w:w="1262" w:type="dxa"/>
            <w:tcBorders>
              <w:top w:val="nil"/>
              <w:left w:val="nil"/>
              <w:bottom w:val="nil"/>
              <w:right w:val="nil"/>
            </w:tcBorders>
            <w:shd w:val="clear" w:color="auto" w:fill="auto"/>
            <w:vAlign w:val="center"/>
            <w:hideMark/>
          </w:tcPr>
          <w:p w14:paraId="0E1FE31A"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31</w:t>
            </w:r>
          </w:p>
        </w:tc>
        <w:tc>
          <w:tcPr>
            <w:tcW w:w="1155" w:type="dxa"/>
            <w:tcBorders>
              <w:top w:val="nil"/>
              <w:left w:val="nil"/>
              <w:bottom w:val="nil"/>
              <w:right w:val="nil"/>
            </w:tcBorders>
            <w:shd w:val="clear" w:color="auto" w:fill="auto"/>
            <w:vAlign w:val="center"/>
            <w:hideMark/>
          </w:tcPr>
          <w:p w14:paraId="78580B59"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4.70</w:t>
            </w:r>
          </w:p>
        </w:tc>
        <w:tc>
          <w:tcPr>
            <w:tcW w:w="1150" w:type="dxa"/>
            <w:tcBorders>
              <w:top w:val="nil"/>
              <w:left w:val="nil"/>
              <w:bottom w:val="nil"/>
              <w:right w:val="nil"/>
            </w:tcBorders>
            <w:shd w:val="clear" w:color="auto" w:fill="auto"/>
            <w:vAlign w:val="center"/>
            <w:hideMark/>
          </w:tcPr>
          <w:p w14:paraId="64B84A4B"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4.65</w:t>
            </w:r>
          </w:p>
        </w:tc>
        <w:tc>
          <w:tcPr>
            <w:tcW w:w="1150" w:type="dxa"/>
            <w:tcBorders>
              <w:top w:val="nil"/>
              <w:left w:val="nil"/>
              <w:bottom w:val="nil"/>
              <w:right w:val="nil"/>
            </w:tcBorders>
            <w:shd w:val="clear" w:color="auto" w:fill="auto"/>
            <w:vAlign w:val="center"/>
            <w:hideMark/>
          </w:tcPr>
          <w:p w14:paraId="0D070DEB"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0.05</w:t>
            </w:r>
          </w:p>
        </w:tc>
      </w:tr>
      <w:tr w:rsidR="003C620A" w:rsidRPr="000D61D1" w14:paraId="2F66662B" w14:textId="77777777" w:rsidTr="001B50A4">
        <w:trPr>
          <w:trHeight w:val="290"/>
        </w:trPr>
        <w:tc>
          <w:tcPr>
            <w:tcW w:w="1651" w:type="dxa"/>
            <w:tcBorders>
              <w:top w:val="nil"/>
              <w:left w:val="nil"/>
              <w:bottom w:val="nil"/>
              <w:right w:val="nil"/>
            </w:tcBorders>
            <w:shd w:val="clear" w:color="auto" w:fill="auto"/>
            <w:vAlign w:val="center"/>
            <w:hideMark/>
          </w:tcPr>
          <w:p w14:paraId="3C145AC1"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1365" w:type="dxa"/>
            <w:tcBorders>
              <w:top w:val="nil"/>
              <w:left w:val="nil"/>
              <w:bottom w:val="nil"/>
              <w:right w:val="nil"/>
            </w:tcBorders>
            <w:shd w:val="clear" w:color="000000" w:fill="E7E6E6"/>
            <w:vAlign w:val="center"/>
            <w:hideMark/>
          </w:tcPr>
          <w:p w14:paraId="73EA6165"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4,096</w:t>
            </w:r>
          </w:p>
        </w:tc>
        <w:tc>
          <w:tcPr>
            <w:tcW w:w="906" w:type="dxa"/>
            <w:tcBorders>
              <w:top w:val="nil"/>
              <w:left w:val="nil"/>
              <w:bottom w:val="nil"/>
              <w:right w:val="nil"/>
            </w:tcBorders>
            <w:shd w:val="clear" w:color="auto" w:fill="auto"/>
            <w:vAlign w:val="center"/>
            <w:hideMark/>
          </w:tcPr>
          <w:p w14:paraId="01A7643E"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4,420</w:t>
            </w:r>
          </w:p>
        </w:tc>
        <w:tc>
          <w:tcPr>
            <w:tcW w:w="1262" w:type="dxa"/>
            <w:tcBorders>
              <w:top w:val="nil"/>
              <w:left w:val="nil"/>
              <w:bottom w:val="nil"/>
              <w:right w:val="nil"/>
            </w:tcBorders>
            <w:shd w:val="clear" w:color="auto" w:fill="auto"/>
            <w:vAlign w:val="center"/>
            <w:hideMark/>
          </w:tcPr>
          <w:p w14:paraId="0DBD5E71"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-324</w:t>
            </w:r>
          </w:p>
        </w:tc>
        <w:tc>
          <w:tcPr>
            <w:tcW w:w="1155" w:type="dxa"/>
            <w:tcBorders>
              <w:top w:val="nil"/>
              <w:left w:val="nil"/>
              <w:bottom w:val="nil"/>
              <w:right w:val="nil"/>
            </w:tcBorders>
            <w:shd w:val="clear" w:color="auto" w:fill="auto"/>
            <w:vAlign w:val="center"/>
            <w:hideMark/>
          </w:tcPr>
          <w:p w14:paraId="34DCC635"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5.07</w:t>
            </w:r>
          </w:p>
        </w:tc>
        <w:tc>
          <w:tcPr>
            <w:tcW w:w="1150" w:type="dxa"/>
            <w:tcBorders>
              <w:top w:val="nil"/>
              <w:left w:val="nil"/>
              <w:bottom w:val="nil"/>
              <w:right w:val="nil"/>
            </w:tcBorders>
            <w:shd w:val="clear" w:color="auto" w:fill="auto"/>
            <w:vAlign w:val="center"/>
            <w:hideMark/>
          </w:tcPr>
          <w:p w14:paraId="14ACA43A"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5.47</w:t>
            </w:r>
          </w:p>
        </w:tc>
        <w:tc>
          <w:tcPr>
            <w:tcW w:w="1150" w:type="dxa"/>
            <w:tcBorders>
              <w:top w:val="nil"/>
              <w:left w:val="nil"/>
              <w:bottom w:val="nil"/>
              <w:right w:val="nil"/>
            </w:tcBorders>
            <w:shd w:val="clear" w:color="auto" w:fill="auto"/>
            <w:vAlign w:val="center"/>
            <w:hideMark/>
          </w:tcPr>
          <w:p w14:paraId="3E251369"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-0.40</w:t>
            </w:r>
          </w:p>
        </w:tc>
      </w:tr>
      <w:tr w:rsidR="003C620A" w:rsidRPr="000D61D1" w14:paraId="19987FEF" w14:textId="77777777" w:rsidTr="001B50A4">
        <w:trPr>
          <w:trHeight w:val="290"/>
        </w:trPr>
        <w:tc>
          <w:tcPr>
            <w:tcW w:w="1651" w:type="dxa"/>
            <w:tcBorders>
              <w:top w:val="nil"/>
              <w:left w:val="nil"/>
              <w:bottom w:val="nil"/>
              <w:right w:val="nil"/>
            </w:tcBorders>
            <w:shd w:val="clear" w:color="auto" w:fill="auto"/>
            <w:vAlign w:val="center"/>
            <w:hideMark/>
          </w:tcPr>
          <w:p w14:paraId="066A58A4"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1365" w:type="dxa"/>
            <w:tcBorders>
              <w:top w:val="nil"/>
              <w:left w:val="nil"/>
              <w:bottom w:val="nil"/>
              <w:right w:val="nil"/>
            </w:tcBorders>
            <w:shd w:val="clear" w:color="000000" w:fill="E7E6E6"/>
            <w:vAlign w:val="center"/>
            <w:hideMark/>
          </w:tcPr>
          <w:p w14:paraId="38D736F6"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5,019</w:t>
            </w:r>
          </w:p>
        </w:tc>
        <w:tc>
          <w:tcPr>
            <w:tcW w:w="906" w:type="dxa"/>
            <w:tcBorders>
              <w:top w:val="nil"/>
              <w:left w:val="nil"/>
              <w:bottom w:val="nil"/>
              <w:right w:val="nil"/>
            </w:tcBorders>
            <w:shd w:val="clear" w:color="auto" w:fill="auto"/>
            <w:vAlign w:val="center"/>
            <w:hideMark/>
          </w:tcPr>
          <w:p w14:paraId="33645BBA"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5,250</w:t>
            </w:r>
          </w:p>
        </w:tc>
        <w:tc>
          <w:tcPr>
            <w:tcW w:w="1262" w:type="dxa"/>
            <w:tcBorders>
              <w:top w:val="nil"/>
              <w:left w:val="nil"/>
              <w:bottom w:val="nil"/>
              <w:right w:val="nil"/>
            </w:tcBorders>
            <w:shd w:val="clear" w:color="auto" w:fill="auto"/>
            <w:vAlign w:val="center"/>
            <w:hideMark/>
          </w:tcPr>
          <w:p w14:paraId="2C1FB8AD"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-231</w:t>
            </w:r>
          </w:p>
        </w:tc>
        <w:tc>
          <w:tcPr>
            <w:tcW w:w="1155" w:type="dxa"/>
            <w:tcBorders>
              <w:top w:val="nil"/>
              <w:left w:val="nil"/>
              <w:bottom w:val="nil"/>
              <w:right w:val="nil"/>
            </w:tcBorders>
            <w:shd w:val="clear" w:color="auto" w:fill="auto"/>
            <w:vAlign w:val="center"/>
            <w:hideMark/>
          </w:tcPr>
          <w:p w14:paraId="57FC90F9"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4.59</w:t>
            </w:r>
          </w:p>
        </w:tc>
        <w:tc>
          <w:tcPr>
            <w:tcW w:w="1150" w:type="dxa"/>
            <w:tcBorders>
              <w:top w:val="nil"/>
              <w:left w:val="nil"/>
              <w:bottom w:val="nil"/>
              <w:right w:val="nil"/>
            </w:tcBorders>
            <w:shd w:val="clear" w:color="auto" w:fill="auto"/>
            <w:vAlign w:val="center"/>
            <w:hideMark/>
          </w:tcPr>
          <w:p w14:paraId="0F528F47"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4.79</w:t>
            </w:r>
          </w:p>
        </w:tc>
        <w:tc>
          <w:tcPr>
            <w:tcW w:w="1150" w:type="dxa"/>
            <w:tcBorders>
              <w:top w:val="nil"/>
              <w:left w:val="nil"/>
              <w:bottom w:val="nil"/>
              <w:right w:val="nil"/>
            </w:tcBorders>
            <w:shd w:val="clear" w:color="auto" w:fill="auto"/>
            <w:vAlign w:val="center"/>
            <w:hideMark/>
          </w:tcPr>
          <w:p w14:paraId="6D4F6311"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-0.21</w:t>
            </w:r>
          </w:p>
        </w:tc>
      </w:tr>
      <w:tr w:rsidR="003C620A" w:rsidRPr="000D61D1" w14:paraId="0BE6AA1E" w14:textId="77777777" w:rsidTr="001B50A4">
        <w:trPr>
          <w:trHeight w:val="300"/>
        </w:trPr>
        <w:tc>
          <w:tcPr>
            <w:tcW w:w="1651" w:type="dxa"/>
            <w:tcBorders>
              <w:top w:val="nil"/>
              <w:left w:val="nil"/>
              <w:bottom w:val="nil"/>
              <w:right w:val="nil"/>
            </w:tcBorders>
            <w:shd w:val="clear" w:color="auto" w:fill="auto"/>
            <w:vAlign w:val="center"/>
            <w:hideMark/>
          </w:tcPr>
          <w:p w14:paraId="0A70B7F0"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1365" w:type="dxa"/>
            <w:tcBorders>
              <w:top w:val="nil"/>
              <w:left w:val="nil"/>
              <w:bottom w:val="nil"/>
              <w:right w:val="nil"/>
            </w:tcBorders>
            <w:shd w:val="clear" w:color="000000" w:fill="E7E6E6"/>
            <w:vAlign w:val="center"/>
            <w:hideMark/>
          </w:tcPr>
          <w:p w14:paraId="214D29F0"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6,511</w:t>
            </w:r>
          </w:p>
        </w:tc>
        <w:tc>
          <w:tcPr>
            <w:tcW w:w="906" w:type="dxa"/>
            <w:tcBorders>
              <w:top w:val="nil"/>
              <w:left w:val="nil"/>
              <w:bottom w:val="nil"/>
              <w:right w:val="nil"/>
            </w:tcBorders>
            <w:shd w:val="clear" w:color="auto" w:fill="auto"/>
            <w:vAlign w:val="center"/>
            <w:hideMark/>
          </w:tcPr>
          <w:p w14:paraId="284E950F"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6,325</w:t>
            </w:r>
          </w:p>
        </w:tc>
        <w:tc>
          <w:tcPr>
            <w:tcW w:w="1262" w:type="dxa"/>
            <w:tcBorders>
              <w:top w:val="nil"/>
              <w:left w:val="nil"/>
              <w:bottom w:val="nil"/>
              <w:right w:val="nil"/>
            </w:tcBorders>
            <w:shd w:val="clear" w:color="auto" w:fill="auto"/>
            <w:vAlign w:val="center"/>
            <w:hideMark/>
          </w:tcPr>
          <w:p w14:paraId="69B9351E"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186</w:t>
            </w:r>
          </w:p>
        </w:tc>
        <w:tc>
          <w:tcPr>
            <w:tcW w:w="1155" w:type="dxa"/>
            <w:tcBorders>
              <w:top w:val="nil"/>
              <w:left w:val="nil"/>
              <w:bottom w:val="nil"/>
              <w:right w:val="nil"/>
            </w:tcBorders>
            <w:shd w:val="clear" w:color="auto" w:fill="auto"/>
            <w:vAlign w:val="center"/>
            <w:hideMark/>
          </w:tcPr>
          <w:p w14:paraId="0137A37B"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4.13</w:t>
            </w:r>
          </w:p>
        </w:tc>
        <w:tc>
          <w:tcPr>
            <w:tcW w:w="1150" w:type="dxa"/>
            <w:tcBorders>
              <w:top w:val="nil"/>
              <w:left w:val="nil"/>
              <w:bottom w:val="nil"/>
              <w:right w:val="nil"/>
            </w:tcBorders>
            <w:shd w:val="clear" w:color="auto" w:fill="auto"/>
            <w:vAlign w:val="center"/>
            <w:hideMark/>
          </w:tcPr>
          <w:p w14:paraId="4E876885"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4.01</w:t>
            </w:r>
          </w:p>
        </w:tc>
        <w:tc>
          <w:tcPr>
            <w:tcW w:w="1150" w:type="dxa"/>
            <w:tcBorders>
              <w:top w:val="nil"/>
              <w:left w:val="nil"/>
              <w:bottom w:val="nil"/>
              <w:right w:val="nil"/>
            </w:tcBorders>
            <w:shd w:val="clear" w:color="auto" w:fill="auto"/>
            <w:vAlign w:val="center"/>
            <w:hideMark/>
          </w:tcPr>
          <w:p w14:paraId="3BC1910E" w14:textId="77777777" w:rsidR="003C620A" w:rsidRPr="00D37288" w:rsidRDefault="003C620A" w:rsidP="003C620A">
            <w:pPr>
              <w:spacing w:after="0"/>
              <w:jc w:val="right"/>
              <w:rPr>
                <w:rFonts w:ascii="Calibri" w:eastAsia="Times New Roman" w:hAnsi="Calibri" w:cs="Calibri"/>
                <w:color w:val="000000"/>
                <w:sz w:val="22"/>
                <w:szCs w:val="22"/>
                <w:lang w:val="en-AU" w:eastAsia="en-AU"/>
              </w:rPr>
            </w:pPr>
            <w:r w:rsidRPr="00D37288">
              <w:rPr>
                <w:sz w:val="22"/>
                <w:szCs w:val="22"/>
              </w:rPr>
              <w:t>0.12</w:t>
            </w:r>
          </w:p>
        </w:tc>
      </w:tr>
      <w:tr w:rsidR="001B50A4" w:rsidRPr="000D61D1" w14:paraId="2B535935" w14:textId="77777777" w:rsidTr="00870105">
        <w:trPr>
          <w:trHeight w:val="580"/>
        </w:trPr>
        <w:tc>
          <w:tcPr>
            <w:tcW w:w="8639" w:type="dxa"/>
            <w:gridSpan w:val="7"/>
            <w:tcBorders>
              <w:top w:val="single" w:sz="8" w:space="0" w:color="auto"/>
              <w:left w:val="nil"/>
              <w:right w:val="nil"/>
            </w:tcBorders>
            <w:shd w:val="clear" w:color="auto" w:fill="auto"/>
            <w:vAlign w:val="center"/>
          </w:tcPr>
          <w:p w14:paraId="02B9C1FB" w14:textId="4D8C808D" w:rsidR="001B50A4" w:rsidRPr="000D61D1" w:rsidRDefault="001B50A4" w:rsidP="00870105">
            <w:pPr>
              <w:spacing w:after="0"/>
              <w:jc w:val="center"/>
              <w:rPr>
                <w:rFonts w:ascii="Calibri" w:eastAsia="Times New Roman" w:hAnsi="Calibri" w:cs="Calibri"/>
                <w:color w:val="000000"/>
                <w:sz w:val="22"/>
                <w:szCs w:val="22"/>
                <w:lang w:val="en-AU" w:eastAsia="en-AU"/>
              </w:rPr>
            </w:pPr>
            <w:r>
              <w:rPr>
                <w:b/>
                <w:i/>
                <w:iCs/>
                <w:color w:val="365F91" w:themeColor="accent1" w:themeShade="BF"/>
              </w:rPr>
              <w:t>0.35 – 1.30%</w:t>
            </w:r>
            <w:r w:rsidRPr="00AF6491">
              <w:rPr>
                <w:b/>
                <w:i/>
                <w:iCs/>
                <w:color w:val="365F91" w:themeColor="accent1" w:themeShade="BF"/>
              </w:rPr>
              <w:t xml:space="preserve"> price </w:t>
            </w:r>
            <w:r>
              <w:rPr>
                <w:b/>
                <w:i/>
                <w:iCs/>
                <w:color w:val="365F91" w:themeColor="accent1" w:themeShade="BF"/>
              </w:rPr>
              <w:t>effect (0.8% average)</w:t>
            </w:r>
          </w:p>
        </w:tc>
      </w:tr>
      <w:tr w:rsidR="001B50A4" w:rsidRPr="000D61D1" w14:paraId="4210B52F" w14:textId="77777777" w:rsidTr="00870105">
        <w:trPr>
          <w:trHeight w:val="580"/>
        </w:trPr>
        <w:tc>
          <w:tcPr>
            <w:tcW w:w="1651" w:type="dxa"/>
            <w:tcBorders>
              <w:left w:val="nil"/>
              <w:bottom w:val="nil"/>
              <w:right w:val="nil"/>
            </w:tcBorders>
            <w:shd w:val="clear" w:color="auto" w:fill="auto"/>
            <w:vAlign w:val="center"/>
            <w:hideMark/>
          </w:tcPr>
          <w:p w14:paraId="2B19072F" w14:textId="065963D6" w:rsidR="001B50A4" w:rsidRPr="000D61D1" w:rsidRDefault="001B50A4" w:rsidP="001B50A4">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Pr>
                <w:rFonts w:ascii="Calibri" w:eastAsia="Times New Roman" w:hAnsi="Calibri" w:cs="Calibri"/>
                <w:color w:val="000000"/>
                <w:lang w:val="en-AU" w:eastAsia="en-AU"/>
              </w:rPr>
              <w:t>Quintile</w:t>
            </w:r>
          </w:p>
        </w:tc>
        <w:tc>
          <w:tcPr>
            <w:tcW w:w="1365" w:type="dxa"/>
            <w:tcBorders>
              <w:left w:val="nil"/>
              <w:bottom w:val="nil"/>
              <w:right w:val="nil"/>
            </w:tcBorders>
            <w:shd w:val="clear" w:color="000000" w:fill="E7E6E6"/>
            <w:vAlign w:val="center"/>
            <w:hideMark/>
          </w:tcPr>
          <w:p w14:paraId="7A355815" w14:textId="26107DF8"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w:t>
            </w:r>
            <w:r>
              <w:rPr>
                <w:rFonts w:ascii="Calibri" w:eastAsia="Times New Roman" w:hAnsi="Calibri" w:cs="Calibri"/>
                <w:color w:val="000000"/>
                <w:sz w:val="22"/>
                <w:szCs w:val="22"/>
                <w:lang w:val="en-AU" w:eastAsia="en-AU"/>
              </w:rPr>
              <w:t xml:space="preserve"> $</w:t>
            </w:r>
          </w:p>
        </w:tc>
        <w:tc>
          <w:tcPr>
            <w:tcW w:w="906" w:type="dxa"/>
            <w:tcBorders>
              <w:left w:val="nil"/>
              <w:bottom w:val="nil"/>
              <w:right w:val="nil"/>
            </w:tcBorders>
            <w:shd w:val="clear" w:color="auto" w:fill="auto"/>
            <w:vAlign w:val="center"/>
            <w:hideMark/>
          </w:tcPr>
          <w:p w14:paraId="6B811ECE" w14:textId="61BD51A8"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w:t>
            </w:r>
            <w:r>
              <w:rPr>
                <w:rFonts w:ascii="Calibri" w:eastAsia="Times New Roman" w:hAnsi="Calibri" w:cs="Calibri"/>
                <w:color w:val="000000"/>
                <w:sz w:val="22"/>
                <w:szCs w:val="22"/>
                <w:lang w:val="en-AU" w:eastAsia="en-AU"/>
              </w:rPr>
              <w:t xml:space="preserve"> $ </w:t>
            </w:r>
          </w:p>
        </w:tc>
        <w:tc>
          <w:tcPr>
            <w:tcW w:w="1262" w:type="dxa"/>
            <w:tcBorders>
              <w:left w:val="nil"/>
              <w:bottom w:val="nil"/>
              <w:right w:val="nil"/>
            </w:tcBorders>
            <w:shd w:val="clear" w:color="auto" w:fill="auto"/>
            <w:vAlign w:val="center"/>
            <w:hideMark/>
          </w:tcPr>
          <w:p w14:paraId="5387A45E" w14:textId="36F28D92"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r>
              <w:rPr>
                <w:rFonts w:ascii="Calibri" w:eastAsia="Times New Roman" w:hAnsi="Calibri" w:cs="Calibri"/>
                <w:color w:val="000000"/>
                <w:sz w:val="22"/>
                <w:szCs w:val="22"/>
                <w:lang w:val="en-AU" w:eastAsia="en-AU"/>
              </w:rPr>
              <w:t xml:space="preserve"> $</w:t>
            </w:r>
          </w:p>
        </w:tc>
        <w:tc>
          <w:tcPr>
            <w:tcW w:w="1155" w:type="dxa"/>
            <w:tcBorders>
              <w:left w:val="nil"/>
              <w:bottom w:val="nil"/>
              <w:right w:val="nil"/>
            </w:tcBorders>
            <w:shd w:val="clear" w:color="auto" w:fill="auto"/>
            <w:vAlign w:val="center"/>
            <w:hideMark/>
          </w:tcPr>
          <w:p w14:paraId="15B99AC5" w14:textId="122DF754"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New Tax Policy - % of income spent </w:t>
            </w:r>
          </w:p>
        </w:tc>
        <w:tc>
          <w:tcPr>
            <w:tcW w:w="1150" w:type="dxa"/>
            <w:tcBorders>
              <w:left w:val="nil"/>
              <w:bottom w:val="nil"/>
              <w:right w:val="nil"/>
            </w:tcBorders>
            <w:shd w:val="clear" w:color="auto" w:fill="auto"/>
            <w:vAlign w:val="center"/>
            <w:hideMark/>
          </w:tcPr>
          <w:p w14:paraId="0C732B45" w14:textId="08760A77"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Old Tax Policy - % of income spent </w:t>
            </w:r>
          </w:p>
        </w:tc>
        <w:tc>
          <w:tcPr>
            <w:tcW w:w="1150" w:type="dxa"/>
            <w:tcBorders>
              <w:left w:val="nil"/>
              <w:bottom w:val="nil"/>
              <w:right w:val="nil"/>
            </w:tcBorders>
            <w:shd w:val="clear" w:color="auto" w:fill="auto"/>
            <w:vAlign w:val="center"/>
            <w:hideMark/>
          </w:tcPr>
          <w:p w14:paraId="394FB648" w14:textId="337C2C81"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r>
              <w:rPr>
                <w:rFonts w:ascii="Calibri" w:eastAsia="Times New Roman" w:hAnsi="Calibri" w:cs="Calibri"/>
                <w:color w:val="000000"/>
                <w:sz w:val="22"/>
                <w:szCs w:val="22"/>
                <w:lang w:val="en-AU" w:eastAsia="en-AU"/>
              </w:rPr>
              <w:t xml:space="preserve"> % points</w:t>
            </w:r>
            <w:r w:rsidRPr="000D61D1">
              <w:rPr>
                <w:rFonts w:ascii="Calibri" w:eastAsia="Times New Roman" w:hAnsi="Calibri" w:cs="Calibri"/>
                <w:color w:val="000000"/>
                <w:sz w:val="22"/>
                <w:szCs w:val="22"/>
                <w:lang w:val="en-AU" w:eastAsia="en-AU"/>
              </w:rPr>
              <w:t xml:space="preserve"> </w:t>
            </w:r>
          </w:p>
        </w:tc>
      </w:tr>
      <w:tr w:rsidR="001B50A4" w:rsidRPr="000D61D1" w14:paraId="51E1B81A" w14:textId="77777777" w:rsidTr="001B50A4">
        <w:trPr>
          <w:trHeight w:val="290"/>
        </w:trPr>
        <w:tc>
          <w:tcPr>
            <w:tcW w:w="1651" w:type="dxa"/>
            <w:tcBorders>
              <w:top w:val="nil"/>
              <w:left w:val="nil"/>
              <w:bottom w:val="nil"/>
              <w:right w:val="nil"/>
            </w:tcBorders>
            <w:shd w:val="clear" w:color="auto" w:fill="auto"/>
            <w:vAlign w:val="center"/>
            <w:hideMark/>
          </w:tcPr>
          <w:p w14:paraId="1B0EA829"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1365" w:type="dxa"/>
            <w:tcBorders>
              <w:top w:val="nil"/>
              <w:left w:val="nil"/>
              <w:bottom w:val="nil"/>
              <w:right w:val="nil"/>
            </w:tcBorders>
            <w:shd w:val="clear" w:color="000000" w:fill="E7E6E6"/>
            <w:vAlign w:val="center"/>
            <w:hideMark/>
          </w:tcPr>
          <w:p w14:paraId="1C55E698"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1,532</w:t>
            </w:r>
          </w:p>
        </w:tc>
        <w:tc>
          <w:tcPr>
            <w:tcW w:w="906" w:type="dxa"/>
            <w:tcBorders>
              <w:top w:val="nil"/>
              <w:left w:val="nil"/>
              <w:bottom w:val="nil"/>
              <w:right w:val="nil"/>
            </w:tcBorders>
            <w:shd w:val="clear" w:color="auto" w:fill="auto"/>
            <w:vAlign w:val="center"/>
            <w:hideMark/>
          </w:tcPr>
          <w:p w14:paraId="267C0374"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1,374</w:t>
            </w:r>
          </w:p>
        </w:tc>
        <w:tc>
          <w:tcPr>
            <w:tcW w:w="1262" w:type="dxa"/>
            <w:tcBorders>
              <w:top w:val="nil"/>
              <w:left w:val="nil"/>
              <w:bottom w:val="nil"/>
              <w:right w:val="nil"/>
            </w:tcBorders>
            <w:shd w:val="clear" w:color="auto" w:fill="auto"/>
            <w:vAlign w:val="center"/>
            <w:hideMark/>
          </w:tcPr>
          <w:p w14:paraId="7E9D2F63"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157</w:t>
            </w:r>
          </w:p>
        </w:tc>
        <w:tc>
          <w:tcPr>
            <w:tcW w:w="1155" w:type="dxa"/>
            <w:tcBorders>
              <w:top w:val="nil"/>
              <w:left w:val="nil"/>
              <w:bottom w:val="nil"/>
              <w:right w:val="nil"/>
            </w:tcBorders>
            <w:shd w:val="clear" w:color="auto" w:fill="auto"/>
            <w:vAlign w:val="center"/>
            <w:hideMark/>
          </w:tcPr>
          <w:p w14:paraId="6F2FD648"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5.91</w:t>
            </w:r>
          </w:p>
        </w:tc>
        <w:tc>
          <w:tcPr>
            <w:tcW w:w="1150" w:type="dxa"/>
            <w:tcBorders>
              <w:top w:val="nil"/>
              <w:left w:val="nil"/>
              <w:bottom w:val="nil"/>
              <w:right w:val="nil"/>
            </w:tcBorders>
            <w:shd w:val="clear" w:color="auto" w:fill="auto"/>
            <w:vAlign w:val="center"/>
            <w:hideMark/>
          </w:tcPr>
          <w:p w14:paraId="193C88F6"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5.31</w:t>
            </w:r>
          </w:p>
        </w:tc>
        <w:tc>
          <w:tcPr>
            <w:tcW w:w="1150" w:type="dxa"/>
            <w:tcBorders>
              <w:top w:val="nil"/>
              <w:left w:val="nil"/>
              <w:bottom w:val="nil"/>
              <w:right w:val="nil"/>
            </w:tcBorders>
            <w:shd w:val="clear" w:color="auto" w:fill="auto"/>
            <w:vAlign w:val="center"/>
            <w:hideMark/>
          </w:tcPr>
          <w:p w14:paraId="425F0222"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0.61</w:t>
            </w:r>
          </w:p>
        </w:tc>
      </w:tr>
      <w:tr w:rsidR="001B50A4" w:rsidRPr="000D61D1" w14:paraId="026E1DAF" w14:textId="77777777" w:rsidTr="001B50A4">
        <w:trPr>
          <w:trHeight w:val="290"/>
        </w:trPr>
        <w:tc>
          <w:tcPr>
            <w:tcW w:w="1651" w:type="dxa"/>
            <w:tcBorders>
              <w:top w:val="nil"/>
              <w:left w:val="nil"/>
              <w:bottom w:val="nil"/>
              <w:right w:val="nil"/>
            </w:tcBorders>
            <w:shd w:val="clear" w:color="auto" w:fill="auto"/>
            <w:vAlign w:val="center"/>
            <w:hideMark/>
          </w:tcPr>
          <w:p w14:paraId="5B60B0E9"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1365" w:type="dxa"/>
            <w:tcBorders>
              <w:top w:val="nil"/>
              <w:left w:val="nil"/>
              <w:bottom w:val="nil"/>
              <w:right w:val="nil"/>
            </w:tcBorders>
            <w:shd w:val="clear" w:color="000000" w:fill="E7E6E6"/>
            <w:vAlign w:val="center"/>
            <w:hideMark/>
          </w:tcPr>
          <w:p w14:paraId="276FB0F7"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2,768</w:t>
            </w:r>
          </w:p>
        </w:tc>
        <w:tc>
          <w:tcPr>
            <w:tcW w:w="906" w:type="dxa"/>
            <w:tcBorders>
              <w:top w:val="nil"/>
              <w:left w:val="nil"/>
              <w:bottom w:val="nil"/>
              <w:right w:val="nil"/>
            </w:tcBorders>
            <w:shd w:val="clear" w:color="auto" w:fill="auto"/>
            <w:vAlign w:val="center"/>
            <w:hideMark/>
          </w:tcPr>
          <w:p w14:paraId="02E4B0CD"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2,735</w:t>
            </w:r>
          </w:p>
        </w:tc>
        <w:tc>
          <w:tcPr>
            <w:tcW w:w="1262" w:type="dxa"/>
            <w:tcBorders>
              <w:top w:val="nil"/>
              <w:left w:val="nil"/>
              <w:bottom w:val="nil"/>
              <w:right w:val="nil"/>
            </w:tcBorders>
            <w:shd w:val="clear" w:color="auto" w:fill="auto"/>
            <w:vAlign w:val="center"/>
            <w:hideMark/>
          </w:tcPr>
          <w:p w14:paraId="1A5F5D60"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34</w:t>
            </w:r>
          </w:p>
        </w:tc>
        <w:tc>
          <w:tcPr>
            <w:tcW w:w="1155" w:type="dxa"/>
            <w:tcBorders>
              <w:top w:val="nil"/>
              <w:left w:val="nil"/>
              <w:bottom w:val="nil"/>
              <w:right w:val="nil"/>
            </w:tcBorders>
            <w:shd w:val="clear" w:color="auto" w:fill="auto"/>
            <w:vAlign w:val="center"/>
            <w:hideMark/>
          </w:tcPr>
          <w:p w14:paraId="578DE87E"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4.70</w:t>
            </w:r>
          </w:p>
        </w:tc>
        <w:tc>
          <w:tcPr>
            <w:tcW w:w="1150" w:type="dxa"/>
            <w:tcBorders>
              <w:top w:val="nil"/>
              <w:left w:val="nil"/>
              <w:bottom w:val="nil"/>
              <w:right w:val="nil"/>
            </w:tcBorders>
            <w:shd w:val="clear" w:color="auto" w:fill="auto"/>
            <w:vAlign w:val="center"/>
            <w:hideMark/>
          </w:tcPr>
          <w:p w14:paraId="7A1D1897"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4.64</w:t>
            </w:r>
          </w:p>
        </w:tc>
        <w:tc>
          <w:tcPr>
            <w:tcW w:w="1150" w:type="dxa"/>
            <w:tcBorders>
              <w:top w:val="nil"/>
              <w:left w:val="nil"/>
              <w:bottom w:val="nil"/>
              <w:right w:val="nil"/>
            </w:tcBorders>
            <w:shd w:val="clear" w:color="auto" w:fill="auto"/>
            <w:vAlign w:val="center"/>
            <w:hideMark/>
          </w:tcPr>
          <w:p w14:paraId="49454B7F"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0.05</w:t>
            </w:r>
          </w:p>
        </w:tc>
      </w:tr>
      <w:tr w:rsidR="001B50A4" w:rsidRPr="000D61D1" w14:paraId="40B52ED3" w14:textId="77777777" w:rsidTr="001B50A4">
        <w:trPr>
          <w:trHeight w:val="290"/>
        </w:trPr>
        <w:tc>
          <w:tcPr>
            <w:tcW w:w="1651" w:type="dxa"/>
            <w:tcBorders>
              <w:top w:val="nil"/>
              <w:left w:val="nil"/>
              <w:bottom w:val="nil"/>
              <w:right w:val="nil"/>
            </w:tcBorders>
            <w:shd w:val="clear" w:color="auto" w:fill="auto"/>
            <w:vAlign w:val="center"/>
            <w:hideMark/>
          </w:tcPr>
          <w:p w14:paraId="55756E2E"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1365" w:type="dxa"/>
            <w:tcBorders>
              <w:top w:val="nil"/>
              <w:left w:val="nil"/>
              <w:bottom w:val="nil"/>
              <w:right w:val="nil"/>
            </w:tcBorders>
            <w:shd w:val="clear" w:color="000000" w:fill="E7E6E6"/>
            <w:vAlign w:val="center"/>
            <w:hideMark/>
          </w:tcPr>
          <w:p w14:paraId="1510CFFB"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4,096</w:t>
            </w:r>
          </w:p>
        </w:tc>
        <w:tc>
          <w:tcPr>
            <w:tcW w:w="906" w:type="dxa"/>
            <w:tcBorders>
              <w:top w:val="nil"/>
              <w:left w:val="nil"/>
              <w:bottom w:val="nil"/>
              <w:right w:val="nil"/>
            </w:tcBorders>
            <w:shd w:val="clear" w:color="auto" w:fill="auto"/>
            <w:vAlign w:val="center"/>
            <w:hideMark/>
          </w:tcPr>
          <w:p w14:paraId="41077E91"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4,396</w:t>
            </w:r>
          </w:p>
        </w:tc>
        <w:tc>
          <w:tcPr>
            <w:tcW w:w="1262" w:type="dxa"/>
            <w:tcBorders>
              <w:top w:val="nil"/>
              <w:left w:val="nil"/>
              <w:bottom w:val="nil"/>
              <w:right w:val="nil"/>
            </w:tcBorders>
            <w:shd w:val="clear" w:color="auto" w:fill="auto"/>
            <w:vAlign w:val="center"/>
            <w:hideMark/>
          </w:tcPr>
          <w:p w14:paraId="578F44DC"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-299</w:t>
            </w:r>
          </w:p>
        </w:tc>
        <w:tc>
          <w:tcPr>
            <w:tcW w:w="1155" w:type="dxa"/>
            <w:tcBorders>
              <w:top w:val="nil"/>
              <w:left w:val="nil"/>
              <w:bottom w:val="nil"/>
              <w:right w:val="nil"/>
            </w:tcBorders>
            <w:shd w:val="clear" w:color="auto" w:fill="auto"/>
            <w:vAlign w:val="center"/>
            <w:hideMark/>
          </w:tcPr>
          <w:p w14:paraId="2E519100"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5.07</w:t>
            </w:r>
          </w:p>
        </w:tc>
        <w:tc>
          <w:tcPr>
            <w:tcW w:w="1150" w:type="dxa"/>
            <w:tcBorders>
              <w:top w:val="nil"/>
              <w:left w:val="nil"/>
              <w:bottom w:val="nil"/>
              <w:right w:val="nil"/>
            </w:tcBorders>
            <w:shd w:val="clear" w:color="auto" w:fill="auto"/>
            <w:vAlign w:val="center"/>
            <w:hideMark/>
          </w:tcPr>
          <w:p w14:paraId="0A34881E"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5.44</w:t>
            </w:r>
          </w:p>
        </w:tc>
        <w:tc>
          <w:tcPr>
            <w:tcW w:w="1150" w:type="dxa"/>
            <w:tcBorders>
              <w:top w:val="nil"/>
              <w:left w:val="nil"/>
              <w:bottom w:val="nil"/>
              <w:right w:val="nil"/>
            </w:tcBorders>
            <w:shd w:val="clear" w:color="auto" w:fill="auto"/>
            <w:vAlign w:val="center"/>
            <w:hideMark/>
          </w:tcPr>
          <w:p w14:paraId="1C569595"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-0.37</w:t>
            </w:r>
          </w:p>
        </w:tc>
      </w:tr>
      <w:tr w:rsidR="001B50A4" w:rsidRPr="000D61D1" w14:paraId="396C2DAF" w14:textId="77777777" w:rsidTr="001B50A4">
        <w:trPr>
          <w:trHeight w:val="290"/>
        </w:trPr>
        <w:tc>
          <w:tcPr>
            <w:tcW w:w="1651" w:type="dxa"/>
            <w:tcBorders>
              <w:top w:val="nil"/>
              <w:left w:val="nil"/>
              <w:bottom w:val="nil"/>
              <w:right w:val="nil"/>
            </w:tcBorders>
            <w:shd w:val="clear" w:color="auto" w:fill="auto"/>
            <w:vAlign w:val="center"/>
            <w:hideMark/>
          </w:tcPr>
          <w:p w14:paraId="01D22940"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1365" w:type="dxa"/>
            <w:tcBorders>
              <w:top w:val="nil"/>
              <w:left w:val="nil"/>
              <w:bottom w:val="nil"/>
              <w:right w:val="nil"/>
            </w:tcBorders>
            <w:shd w:val="clear" w:color="000000" w:fill="E7E6E6"/>
            <w:vAlign w:val="center"/>
            <w:hideMark/>
          </w:tcPr>
          <w:p w14:paraId="7685327F" w14:textId="77777777" w:rsidR="001B50A4" w:rsidRPr="004E01A6" w:rsidRDefault="001B50A4" w:rsidP="001B50A4">
            <w:pPr>
              <w:spacing w:after="0"/>
              <w:jc w:val="right"/>
              <w:rPr>
                <w:rFonts w:ascii="Calibri" w:hAnsi="Calibri"/>
                <w:color w:val="000000"/>
                <w:sz w:val="22"/>
                <w:szCs w:val="22"/>
                <w:lang w:val="en-AU"/>
              </w:rPr>
            </w:pPr>
            <w:r w:rsidRPr="004E01A6">
              <w:rPr>
                <w:sz w:val="22"/>
                <w:szCs w:val="22"/>
              </w:rPr>
              <w:t>5,019</w:t>
            </w:r>
          </w:p>
        </w:tc>
        <w:tc>
          <w:tcPr>
            <w:tcW w:w="906" w:type="dxa"/>
            <w:tcBorders>
              <w:top w:val="nil"/>
              <w:left w:val="nil"/>
              <w:bottom w:val="nil"/>
              <w:right w:val="nil"/>
            </w:tcBorders>
            <w:shd w:val="clear" w:color="auto" w:fill="auto"/>
            <w:vAlign w:val="center"/>
            <w:hideMark/>
          </w:tcPr>
          <w:p w14:paraId="6EEF1F75" w14:textId="77777777" w:rsidR="001B50A4" w:rsidRPr="004E01A6" w:rsidRDefault="001B50A4" w:rsidP="001B50A4">
            <w:pPr>
              <w:spacing w:after="0"/>
              <w:jc w:val="right"/>
              <w:rPr>
                <w:rFonts w:ascii="Calibri" w:hAnsi="Calibri"/>
                <w:color w:val="000000"/>
                <w:sz w:val="22"/>
                <w:szCs w:val="22"/>
                <w:lang w:val="en-AU"/>
              </w:rPr>
            </w:pPr>
            <w:r w:rsidRPr="004E01A6">
              <w:rPr>
                <w:sz w:val="22"/>
                <w:szCs w:val="22"/>
              </w:rPr>
              <w:t>5,219</w:t>
            </w:r>
          </w:p>
        </w:tc>
        <w:tc>
          <w:tcPr>
            <w:tcW w:w="1262" w:type="dxa"/>
            <w:tcBorders>
              <w:top w:val="nil"/>
              <w:left w:val="nil"/>
              <w:bottom w:val="nil"/>
              <w:right w:val="nil"/>
            </w:tcBorders>
            <w:shd w:val="clear" w:color="auto" w:fill="auto"/>
            <w:vAlign w:val="center"/>
            <w:hideMark/>
          </w:tcPr>
          <w:p w14:paraId="6696BCDE" w14:textId="77777777" w:rsidR="001B50A4" w:rsidRPr="004E01A6" w:rsidRDefault="001B50A4" w:rsidP="001B50A4">
            <w:pPr>
              <w:spacing w:after="0"/>
              <w:jc w:val="right"/>
              <w:rPr>
                <w:rFonts w:ascii="Calibri" w:hAnsi="Calibri"/>
                <w:color w:val="000000"/>
                <w:sz w:val="22"/>
                <w:szCs w:val="22"/>
                <w:lang w:val="en-AU"/>
              </w:rPr>
            </w:pPr>
            <w:r w:rsidRPr="004E01A6">
              <w:rPr>
                <w:sz w:val="22"/>
                <w:szCs w:val="22"/>
              </w:rPr>
              <w:t>-200</w:t>
            </w:r>
          </w:p>
        </w:tc>
        <w:tc>
          <w:tcPr>
            <w:tcW w:w="1155" w:type="dxa"/>
            <w:tcBorders>
              <w:top w:val="nil"/>
              <w:left w:val="nil"/>
              <w:bottom w:val="nil"/>
              <w:right w:val="nil"/>
            </w:tcBorders>
            <w:shd w:val="clear" w:color="auto" w:fill="auto"/>
            <w:vAlign w:val="center"/>
            <w:hideMark/>
          </w:tcPr>
          <w:p w14:paraId="3FD88A1C" w14:textId="77777777" w:rsidR="001B50A4" w:rsidRPr="004E01A6" w:rsidRDefault="001B50A4" w:rsidP="001B50A4">
            <w:pPr>
              <w:spacing w:after="0"/>
              <w:jc w:val="right"/>
              <w:rPr>
                <w:rFonts w:ascii="Calibri" w:hAnsi="Calibri"/>
                <w:color w:val="000000"/>
                <w:sz w:val="22"/>
                <w:szCs w:val="22"/>
                <w:lang w:val="en-AU"/>
              </w:rPr>
            </w:pPr>
            <w:r w:rsidRPr="004E01A6">
              <w:rPr>
                <w:sz w:val="22"/>
                <w:szCs w:val="22"/>
              </w:rPr>
              <w:t>4.59</w:t>
            </w:r>
          </w:p>
        </w:tc>
        <w:tc>
          <w:tcPr>
            <w:tcW w:w="1150" w:type="dxa"/>
            <w:tcBorders>
              <w:top w:val="nil"/>
              <w:left w:val="nil"/>
              <w:bottom w:val="nil"/>
              <w:right w:val="nil"/>
            </w:tcBorders>
            <w:shd w:val="clear" w:color="auto" w:fill="auto"/>
            <w:vAlign w:val="center"/>
            <w:hideMark/>
          </w:tcPr>
          <w:p w14:paraId="71371881" w14:textId="77777777" w:rsidR="001B50A4" w:rsidRPr="004E01A6" w:rsidRDefault="001B50A4" w:rsidP="001B50A4">
            <w:pPr>
              <w:spacing w:after="0"/>
              <w:jc w:val="right"/>
              <w:rPr>
                <w:rFonts w:ascii="Calibri" w:hAnsi="Calibri"/>
                <w:color w:val="000000"/>
                <w:sz w:val="22"/>
                <w:szCs w:val="22"/>
                <w:lang w:val="en-AU"/>
              </w:rPr>
            </w:pPr>
            <w:r w:rsidRPr="004E01A6">
              <w:rPr>
                <w:sz w:val="22"/>
                <w:szCs w:val="22"/>
              </w:rPr>
              <w:t>4.77</w:t>
            </w:r>
          </w:p>
        </w:tc>
        <w:tc>
          <w:tcPr>
            <w:tcW w:w="1150" w:type="dxa"/>
            <w:tcBorders>
              <w:top w:val="nil"/>
              <w:left w:val="nil"/>
              <w:bottom w:val="nil"/>
              <w:right w:val="nil"/>
            </w:tcBorders>
            <w:shd w:val="clear" w:color="auto" w:fill="auto"/>
            <w:vAlign w:val="center"/>
            <w:hideMark/>
          </w:tcPr>
          <w:p w14:paraId="69B3FFE0" w14:textId="77777777" w:rsidR="001B50A4" w:rsidRPr="004E01A6" w:rsidRDefault="001B50A4" w:rsidP="001B50A4">
            <w:pPr>
              <w:spacing w:after="0"/>
              <w:jc w:val="right"/>
              <w:rPr>
                <w:rFonts w:ascii="Calibri" w:hAnsi="Calibri"/>
                <w:color w:val="000000"/>
                <w:sz w:val="22"/>
                <w:szCs w:val="22"/>
                <w:lang w:val="en-AU"/>
              </w:rPr>
            </w:pPr>
            <w:r w:rsidRPr="004E01A6">
              <w:rPr>
                <w:sz w:val="22"/>
                <w:szCs w:val="22"/>
              </w:rPr>
              <w:t>-0.18</w:t>
            </w:r>
          </w:p>
        </w:tc>
      </w:tr>
      <w:tr w:rsidR="001B50A4" w:rsidRPr="000D61D1" w14:paraId="4986201A" w14:textId="77777777" w:rsidTr="001B50A4">
        <w:trPr>
          <w:trHeight w:val="300"/>
        </w:trPr>
        <w:tc>
          <w:tcPr>
            <w:tcW w:w="1651" w:type="dxa"/>
            <w:tcBorders>
              <w:top w:val="nil"/>
              <w:left w:val="nil"/>
              <w:bottom w:val="nil"/>
              <w:right w:val="nil"/>
            </w:tcBorders>
            <w:shd w:val="clear" w:color="auto" w:fill="auto"/>
            <w:vAlign w:val="center"/>
            <w:hideMark/>
          </w:tcPr>
          <w:p w14:paraId="06216F57"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1365" w:type="dxa"/>
            <w:tcBorders>
              <w:top w:val="nil"/>
              <w:left w:val="nil"/>
              <w:bottom w:val="nil"/>
              <w:right w:val="nil"/>
            </w:tcBorders>
            <w:shd w:val="clear" w:color="000000" w:fill="E7E6E6"/>
            <w:vAlign w:val="center"/>
            <w:hideMark/>
          </w:tcPr>
          <w:p w14:paraId="4BB90B23"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6,511</w:t>
            </w:r>
          </w:p>
        </w:tc>
        <w:tc>
          <w:tcPr>
            <w:tcW w:w="906" w:type="dxa"/>
            <w:tcBorders>
              <w:top w:val="nil"/>
              <w:left w:val="nil"/>
              <w:bottom w:val="nil"/>
              <w:right w:val="nil"/>
            </w:tcBorders>
            <w:shd w:val="clear" w:color="auto" w:fill="auto"/>
            <w:vAlign w:val="center"/>
            <w:hideMark/>
          </w:tcPr>
          <w:p w14:paraId="14ED0FD7"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6,290</w:t>
            </w:r>
          </w:p>
        </w:tc>
        <w:tc>
          <w:tcPr>
            <w:tcW w:w="1262" w:type="dxa"/>
            <w:tcBorders>
              <w:top w:val="nil"/>
              <w:left w:val="nil"/>
              <w:bottom w:val="nil"/>
              <w:right w:val="nil"/>
            </w:tcBorders>
            <w:shd w:val="clear" w:color="auto" w:fill="auto"/>
            <w:vAlign w:val="center"/>
            <w:hideMark/>
          </w:tcPr>
          <w:p w14:paraId="65856194"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221</w:t>
            </w:r>
          </w:p>
        </w:tc>
        <w:tc>
          <w:tcPr>
            <w:tcW w:w="1155" w:type="dxa"/>
            <w:tcBorders>
              <w:top w:val="nil"/>
              <w:left w:val="nil"/>
              <w:bottom w:val="nil"/>
              <w:right w:val="nil"/>
            </w:tcBorders>
            <w:shd w:val="clear" w:color="auto" w:fill="auto"/>
            <w:vAlign w:val="center"/>
            <w:hideMark/>
          </w:tcPr>
          <w:p w14:paraId="48FD46A1"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4.13</w:t>
            </w:r>
          </w:p>
        </w:tc>
        <w:tc>
          <w:tcPr>
            <w:tcW w:w="1150" w:type="dxa"/>
            <w:tcBorders>
              <w:top w:val="nil"/>
              <w:left w:val="nil"/>
              <w:bottom w:val="nil"/>
              <w:right w:val="nil"/>
            </w:tcBorders>
            <w:shd w:val="clear" w:color="auto" w:fill="auto"/>
            <w:vAlign w:val="center"/>
            <w:hideMark/>
          </w:tcPr>
          <w:p w14:paraId="378B5C7D"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3.99</w:t>
            </w:r>
          </w:p>
        </w:tc>
        <w:tc>
          <w:tcPr>
            <w:tcW w:w="1150" w:type="dxa"/>
            <w:tcBorders>
              <w:top w:val="nil"/>
              <w:left w:val="nil"/>
              <w:bottom w:val="nil"/>
              <w:right w:val="nil"/>
            </w:tcBorders>
            <w:shd w:val="clear" w:color="auto" w:fill="auto"/>
            <w:vAlign w:val="center"/>
            <w:hideMark/>
          </w:tcPr>
          <w:p w14:paraId="7868049E" w14:textId="77777777" w:rsidR="001B50A4" w:rsidRPr="004E01A6" w:rsidRDefault="001B50A4" w:rsidP="001B50A4">
            <w:pPr>
              <w:spacing w:after="0"/>
              <w:jc w:val="right"/>
              <w:rPr>
                <w:rFonts w:ascii="Calibri" w:eastAsia="Times New Roman" w:hAnsi="Calibri" w:cs="Calibri"/>
                <w:color w:val="000000"/>
                <w:sz w:val="22"/>
                <w:szCs w:val="22"/>
                <w:lang w:val="en-AU" w:eastAsia="en-AU"/>
              </w:rPr>
            </w:pPr>
            <w:r w:rsidRPr="004E01A6">
              <w:rPr>
                <w:sz w:val="22"/>
                <w:szCs w:val="22"/>
              </w:rPr>
              <w:t>0.14</w:t>
            </w:r>
          </w:p>
        </w:tc>
      </w:tr>
      <w:tr w:rsidR="00952700" w:rsidRPr="000D61D1" w14:paraId="52EFDFC1" w14:textId="77777777" w:rsidTr="00870105">
        <w:trPr>
          <w:trHeight w:val="580"/>
        </w:trPr>
        <w:tc>
          <w:tcPr>
            <w:tcW w:w="8639" w:type="dxa"/>
            <w:gridSpan w:val="7"/>
            <w:tcBorders>
              <w:top w:val="single" w:sz="8" w:space="0" w:color="auto"/>
              <w:left w:val="nil"/>
              <w:right w:val="nil"/>
            </w:tcBorders>
            <w:shd w:val="clear" w:color="auto" w:fill="auto"/>
            <w:vAlign w:val="center"/>
          </w:tcPr>
          <w:p w14:paraId="3B62A8BB" w14:textId="5F80F852" w:rsidR="00952700" w:rsidRPr="000D61D1" w:rsidRDefault="00952700" w:rsidP="00870105">
            <w:pPr>
              <w:spacing w:after="0"/>
              <w:jc w:val="center"/>
              <w:rPr>
                <w:rFonts w:ascii="Calibri" w:eastAsia="Times New Roman" w:hAnsi="Calibri" w:cs="Calibri"/>
                <w:color w:val="000000"/>
                <w:sz w:val="22"/>
                <w:szCs w:val="22"/>
                <w:lang w:val="en-AU" w:eastAsia="en-AU"/>
              </w:rPr>
            </w:pPr>
            <w:r w:rsidRPr="00113FC1">
              <w:rPr>
                <w:b/>
                <w:i/>
                <w:iCs/>
                <w:color w:val="365F91" w:themeColor="accent1" w:themeShade="BF"/>
              </w:rPr>
              <w:t xml:space="preserve">1.24 – 2.19% price </w:t>
            </w:r>
            <w:r>
              <w:rPr>
                <w:b/>
                <w:i/>
                <w:iCs/>
                <w:color w:val="365F91" w:themeColor="accent1" w:themeShade="BF"/>
              </w:rPr>
              <w:t>effect (1.7% average)</w:t>
            </w:r>
          </w:p>
        </w:tc>
      </w:tr>
      <w:tr w:rsidR="001B50A4" w:rsidRPr="000D61D1" w14:paraId="10178F3F" w14:textId="77777777" w:rsidTr="00870105">
        <w:trPr>
          <w:trHeight w:val="580"/>
        </w:trPr>
        <w:tc>
          <w:tcPr>
            <w:tcW w:w="1651" w:type="dxa"/>
            <w:tcBorders>
              <w:left w:val="nil"/>
              <w:bottom w:val="nil"/>
              <w:right w:val="nil"/>
            </w:tcBorders>
            <w:shd w:val="clear" w:color="auto" w:fill="auto"/>
            <w:vAlign w:val="center"/>
            <w:hideMark/>
          </w:tcPr>
          <w:p w14:paraId="398A6548" w14:textId="095CEF3D" w:rsidR="001B50A4" w:rsidRPr="000D61D1" w:rsidRDefault="001B50A4" w:rsidP="001B50A4">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Pr>
                <w:rFonts w:ascii="Calibri" w:eastAsia="Times New Roman" w:hAnsi="Calibri" w:cs="Calibri"/>
                <w:color w:val="000000"/>
                <w:lang w:val="en-AU" w:eastAsia="en-AU"/>
              </w:rPr>
              <w:t>Quintile</w:t>
            </w:r>
          </w:p>
        </w:tc>
        <w:tc>
          <w:tcPr>
            <w:tcW w:w="1365" w:type="dxa"/>
            <w:tcBorders>
              <w:left w:val="nil"/>
              <w:bottom w:val="nil"/>
              <w:right w:val="nil"/>
            </w:tcBorders>
            <w:shd w:val="clear" w:color="000000" w:fill="E7E6E6"/>
            <w:vAlign w:val="center"/>
            <w:hideMark/>
          </w:tcPr>
          <w:p w14:paraId="0D5C3AD9" w14:textId="077D7B34"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w:t>
            </w:r>
            <w:r>
              <w:rPr>
                <w:rFonts w:ascii="Calibri" w:eastAsia="Times New Roman" w:hAnsi="Calibri" w:cs="Calibri"/>
                <w:color w:val="000000"/>
                <w:sz w:val="22"/>
                <w:szCs w:val="22"/>
                <w:lang w:val="en-AU" w:eastAsia="en-AU"/>
              </w:rPr>
              <w:t xml:space="preserve"> $</w:t>
            </w:r>
          </w:p>
        </w:tc>
        <w:tc>
          <w:tcPr>
            <w:tcW w:w="906" w:type="dxa"/>
            <w:tcBorders>
              <w:left w:val="nil"/>
              <w:bottom w:val="nil"/>
              <w:right w:val="nil"/>
            </w:tcBorders>
            <w:shd w:val="clear" w:color="auto" w:fill="auto"/>
            <w:vAlign w:val="center"/>
            <w:hideMark/>
          </w:tcPr>
          <w:p w14:paraId="264A5972" w14:textId="73EC38AD"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w:t>
            </w:r>
            <w:r>
              <w:rPr>
                <w:rFonts w:ascii="Calibri" w:eastAsia="Times New Roman" w:hAnsi="Calibri" w:cs="Calibri"/>
                <w:color w:val="000000"/>
                <w:sz w:val="22"/>
                <w:szCs w:val="22"/>
                <w:lang w:val="en-AU" w:eastAsia="en-AU"/>
              </w:rPr>
              <w:t xml:space="preserve"> $ </w:t>
            </w:r>
          </w:p>
        </w:tc>
        <w:tc>
          <w:tcPr>
            <w:tcW w:w="1262" w:type="dxa"/>
            <w:tcBorders>
              <w:left w:val="nil"/>
              <w:bottom w:val="nil"/>
              <w:right w:val="nil"/>
            </w:tcBorders>
            <w:shd w:val="clear" w:color="auto" w:fill="auto"/>
            <w:vAlign w:val="center"/>
            <w:hideMark/>
          </w:tcPr>
          <w:p w14:paraId="0D563040" w14:textId="48474D4B"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r>
              <w:rPr>
                <w:rFonts w:ascii="Calibri" w:eastAsia="Times New Roman" w:hAnsi="Calibri" w:cs="Calibri"/>
                <w:color w:val="000000"/>
                <w:sz w:val="22"/>
                <w:szCs w:val="22"/>
                <w:lang w:val="en-AU" w:eastAsia="en-AU"/>
              </w:rPr>
              <w:t xml:space="preserve"> $</w:t>
            </w:r>
          </w:p>
        </w:tc>
        <w:tc>
          <w:tcPr>
            <w:tcW w:w="1155" w:type="dxa"/>
            <w:tcBorders>
              <w:left w:val="nil"/>
              <w:bottom w:val="nil"/>
              <w:right w:val="nil"/>
            </w:tcBorders>
            <w:shd w:val="clear" w:color="auto" w:fill="auto"/>
            <w:vAlign w:val="center"/>
            <w:hideMark/>
          </w:tcPr>
          <w:p w14:paraId="3E85C5D1" w14:textId="726D073E"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New Tax Policy - % of income spent </w:t>
            </w:r>
          </w:p>
        </w:tc>
        <w:tc>
          <w:tcPr>
            <w:tcW w:w="1150" w:type="dxa"/>
            <w:tcBorders>
              <w:left w:val="nil"/>
              <w:bottom w:val="nil"/>
              <w:right w:val="nil"/>
            </w:tcBorders>
            <w:shd w:val="clear" w:color="auto" w:fill="auto"/>
            <w:vAlign w:val="center"/>
            <w:hideMark/>
          </w:tcPr>
          <w:p w14:paraId="2D02B01A" w14:textId="5BBBBCEC"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 xml:space="preserve">Old Tax Policy - % of income spent </w:t>
            </w:r>
          </w:p>
        </w:tc>
        <w:tc>
          <w:tcPr>
            <w:tcW w:w="1150" w:type="dxa"/>
            <w:tcBorders>
              <w:left w:val="nil"/>
              <w:bottom w:val="nil"/>
              <w:right w:val="nil"/>
            </w:tcBorders>
            <w:shd w:val="clear" w:color="auto" w:fill="auto"/>
            <w:vAlign w:val="center"/>
            <w:hideMark/>
          </w:tcPr>
          <w:p w14:paraId="5B2AB2BB" w14:textId="4C4B9D0C" w:rsidR="001B50A4" w:rsidRPr="000D61D1" w:rsidRDefault="001B50A4" w:rsidP="001B50A4">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r>
              <w:rPr>
                <w:rFonts w:ascii="Calibri" w:eastAsia="Times New Roman" w:hAnsi="Calibri" w:cs="Calibri"/>
                <w:color w:val="000000"/>
                <w:sz w:val="22"/>
                <w:szCs w:val="22"/>
                <w:lang w:val="en-AU" w:eastAsia="en-AU"/>
              </w:rPr>
              <w:t xml:space="preserve"> % points</w:t>
            </w:r>
            <w:r w:rsidRPr="000D61D1">
              <w:rPr>
                <w:rFonts w:ascii="Calibri" w:eastAsia="Times New Roman" w:hAnsi="Calibri" w:cs="Calibri"/>
                <w:color w:val="000000"/>
                <w:sz w:val="22"/>
                <w:szCs w:val="22"/>
                <w:lang w:val="en-AU" w:eastAsia="en-AU"/>
              </w:rPr>
              <w:t xml:space="preserve"> </w:t>
            </w:r>
          </w:p>
        </w:tc>
      </w:tr>
      <w:tr w:rsidR="001B50A4" w:rsidRPr="000D61D1" w14:paraId="359F0718" w14:textId="77777777" w:rsidTr="001B50A4">
        <w:trPr>
          <w:trHeight w:val="290"/>
        </w:trPr>
        <w:tc>
          <w:tcPr>
            <w:tcW w:w="1651" w:type="dxa"/>
            <w:tcBorders>
              <w:top w:val="nil"/>
              <w:left w:val="nil"/>
              <w:bottom w:val="nil"/>
              <w:right w:val="nil"/>
            </w:tcBorders>
            <w:shd w:val="clear" w:color="auto" w:fill="auto"/>
            <w:vAlign w:val="center"/>
            <w:hideMark/>
          </w:tcPr>
          <w:p w14:paraId="78B6D9E3"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color w:val="000000"/>
                <w:lang w:val="en-AU"/>
              </w:rPr>
              <w:t>Q1</w:t>
            </w:r>
          </w:p>
        </w:tc>
        <w:tc>
          <w:tcPr>
            <w:tcW w:w="1365" w:type="dxa"/>
            <w:tcBorders>
              <w:top w:val="nil"/>
              <w:left w:val="nil"/>
              <w:bottom w:val="nil"/>
              <w:right w:val="nil"/>
            </w:tcBorders>
            <w:shd w:val="clear" w:color="000000" w:fill="E7E6E6"/>
            <w:vAlign w:val="center"/>
            <w:hideMark/>
          </w:tcPr>
          <w:p w14:paraId="19D1DD31"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1,532</w:t>
            </w:r>
          </w:p>
        </w:tc>
        <w:tc>
          <w:tcPr>
            <w:tcW w:w="906" w:type="dxa"/>
            <w:tcBorders>
              <w:top w:val="nil"/>
              <w:left w:val="nil"/>
              <w:bottom w:val="nil"/>
              <w:right w:val="nil"/>
            </w:tcBorders>
            <w:shd w:val="clear" w:color="auto" w:fill="auto"/>
            <w:vAlign w:val="center"/>
            <w:hideMark/>
          </w:tcPr>
          <w:p w14:paraId="231F60DE"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1,374</w:t>
            </w:r>
          </w:p>
        </w:tc>
        <w:tc>
          <w:tcPr>
            <w:tcW w:w="1262" w:type="dxa"/>
            <w:tcBorders>
              <w:top w:val="nil"/>
              <w:left w:val="nil"/>
              <w:bottom w:val="nil"/>
              <w:right w:val="nil"/>
            </w:tcBorders>
            <w:shd w:val="clear" w:color="auto" w:fill="auto"/>
            <w:vAlign w:val="center"/>
            <w:hideMark/>
          </w:tcPr>
          <w:p w14:paraId="05D3E3BE"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158</w:t>
            </w:r>
          </w:p>
        </w:tc>
        <w:tc>
          <w:tcPr>
            <w:tcW w:w="1155" w:type="dxa"/>
            <w:tcBorders>
              <w:top w:val="nil"/>
              <w:left w:val="nil"/>
              <w:bottom w:val="nil"/>
              <w:right w:val="nil"/>
            </w:tcBorders>
            <w:shd w:val="clear" w:color="auto" w:fill="auto"/>
            <w:vAlign w:val="center"/>
            <w:hideMark/>
          </w:tcPr>
          <w:p w14:paraId="2CD4A141"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5.91</w:t>
            </w:r>
          </w:p>
        </w:tc>
        <w:tc>
          <w:tcPr>
            <w:tcW w:w="1150" w:type="dxa"/>
            <w:tcBorders>
              <w:top w:val="nil"/>
              <w:left w:val="nil"/>
              <w:bottom w:val="nil"/>
              <w:right w:val="nil"/>
            </w:tcBorders>
            <w:shd w:val="clear" w:color="auto" w:fill="auto"/>
            <w:vAlign w:val="center"/>
            <w:hideMark/>
          </w:tcPr>
          <w:p w14:paraId="743AFB0C"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5.30</w:t>
            </w:r>
          </w:p>
        </w:tc>
        <w:tc>
          <w:tcPr>
            <w:tcW w:w="1150" w:type="dxa"/>
            <w:tcBorders>
              <w:top w:val="nil"/>
              <w:left w:val="nil"/>
              <w:bottom w:val="nil"/>
              <w:right w:val="nil"/>
            </w:tcBorders>
            <w:shd w:val="clear" w:color="auto" w:fill="auto"/>
            <w:vAlign w:val="center"/>
            <w:hideMark/>
          </w:tcPr>
          <w:p w14:paraId="15BE03A8"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0.61</w:t>
            </w:r>
          </w:p>
        </w:tc>
      </w:tr>
      <w:tr w:rsidR="001B50A4" w:rsidRPr="000D61D1" w14:paraId="5D86D321" w14:textId="77777777" w:rsidTr="001B50A4">
        <w:trPr>
          <w:trHeight w:val="290"/>
        </w:trPr>
        <w:tc>
          <w:tcPr>
            <w:tcW w:w="1651" w:type="dxa"/>
            <w:tcBorders>
              <w:top w:val="nil"/>
              <w:left w:val="nil"/>
              <w:bottom w:val="nil"/>
              <w:right w:val="nil"/>
            </w:tcBorders>
            <w:shd w:val="clear" w:color="auto" w:fill="auto"/>
            <w:vAlign w:val="center"/>
            <w:hideMark/>
          </w:tcPr>
          <w:p w14:paraId="30DFED00"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color w:val="000000"/>
                <w:lang w:val="en-AU"/>
              </w:rPr>
              <w:t>Q2</w:t>
            </w:r>
          </w:p>
        </w:tc>
        <w:tc>
          <w:tcPr>
            <w:tcW w:w="1365" w:type="dxa"/>
            <w:tcBorders>
              <w:top w:val="nil"/>
              <w:left w:val="nil"/>
              <w:bottom w:val="nil"/>
              <w:right w:val="nil"/>
            </w:tcBorders>
            <w:shd w:val="clear" w:color="000000" w:fill="E7E6E6"/>
            <w:vAlign w:val="center"/>
            <w:hideMark/>
          </w:tcPr>
          <w:p w14:paraId="1993E534"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2,768</w:t>
            </w:r>
          </w:p>
        </w:tc>
        <w:tc>
          <w:tcPr>
            <w:tcW w:w="906" w:type="dxa"/>
            <w:tcBorders>
              <w:top w:val="nil"/>
              <w:left w:val="nil"/>
              <w:bottom w:val="nil"/>
              <w:right w:val="nil"/>
            </w:tcBorders>
            <w:shd w:val="clear" w:color="auto" w:fill="auto"/>
            <w:vAlign w:val="center"/>
            <w:hideMark/>
          </w:tcPr>
          <w:p w14:paraId="59CCCB50"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2,743</w:t>
            </w:r>
          </w:p>
        </w:tc>
        <w:tc>
          <w:tcPr>
            <w:tcW w:w="1262" w:type="dxa"/>
            <w:tcBorders>
              <w:top w:val="nil"/>
              <w:left w:val="nil"/>
              <w:bottom w:val="nil"/>
              <w:right w:val="nil"/>
            </w:tcBorders>
            <w:shd w:val="clear" w:color="auto" w:fill="auto"/>
            <w:vAlign w:val="center"/>
            <w:hideMark/>
          </w:tcPr>
          <w:p w14:paraId="20A0AA95"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26</w:t>
            </w:r>
          </w:p>
        </w:tc>
        <w:tc>
          <w:tcPr>
            <w:tcW w:w="1155" w:type="dxa"/>
            <w:tcBorders>
              <w:top w:val="nil"/>
              <w:left w:val="nil"/>
              <w:bottom w:val="nil"/>
              <w:right w:val="nil"/>
            </w:tcBorders>
            <w:shd w:val="clear" w:color="auto" w:fill="auto"/>
            <w:vAlign w:val="center"/>
            <w:hideMark/>
          </w:tcPr>
          <w:p w14:paraId="4EBCECE5"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4.70</w:t>
            </w:r>
          </w:p>
        </w:tc>
        <w:tc>
          <w:tcPr>
            <w:tcW w:w="1150" w:type="dxa"/>
            <w:tcBorders>
              <w:top w:val="nil"/>
              <w:left w:val="nil"/>
              <w:bottom w:val="nil"/>
              <w:right w:val="nil"/>
            </w:tcBorders>
            <w:shd w:val="clear" w:color="auto" w:fill="auto"/>
            <w:vAlign w:val="center"/>
            <w:hideMark/>
          </w:tcPr>
          <w:p w14:paraId="40D8F411"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4.65</w:t>
            </w:r>
          </w:p>
        </w:tc>
        <w:tc>
          <w:tcPr>
            <w:tcW w:w="1150" w:type="dxa"/>
            <w:tcBorders>
              <w:top w:val="nil"/>
              <w:left w:val="nil"/>
              <w:bottom w:val="nil"/>
              <w:right w:val="nil"/>
            </w:tcBorders>
            <w:shd w:val="clear" w:color="auto" w:fill="auto"/>
            <w:vAlign w:val="center"/>
            <w:hideMark/>
          </w:tcPr>
          <w:p w14:paraId="5E181913"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0.04</w:t>
            </w:r>
          </w:p>
        </w:tc>
      </w:tr>
      <w:tr w:rsidR="001B50A4" w:rsidRPr="000D61D1" w14:paraId="65DF3421" w14:textId="77777777" w:rsidTr="001B50A4">
        <w:trPr>
          <w:trHeight w:val="290"/>
        </w:trPr>
        <w:tc>
          <w:tcPr>
            <w:tcW w:w="1651" w:type="dxa"/>
            <w:tcBorders>
              <w:top w:val="nil"/>
              <w:left w:val="nil"/>
              <w:bottom w:val="nil"/>
              <w:right w:val="nil"/>
            </w:tcBorders>
            <w:shd w:val="clear" w:color="auto" w:fill="auto"/>
            <w:vAlign w:val="center"/>
            <w:hideMark/>
          </w:tcPr>
          <w:p w14:paraId="185E820A"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color w:val="000000"/>
                <w:lang w:val="en-AU"/>
              </w:rPr>
              <w:lastRenderedPageBreak/>
              <w:t>Q3</w:t>
            </w:r>
          </w:p>
        </w:tc>
        <w:tc>
          <w:tcPr>
            <w:tcW w:w="1365" w:type="dxa"/>
            <w:tcBorders>
              <w:top w:val="nil"/>
              <w:left w:val="nil"/>
              <w:bottom w:val="nil"/>
              <w:right w:val="nil"/>
            </w:tcBorders>
            <w:shd w:val="clear" w:color="000000" w:fill="E7E6E6"/>
            <w:vAlign w:val="center"/>
            <w:hideMark/>
          </w:tcPr>
          <w:p w14:paraId="7CAF866E"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4,096</w:t>
            </w:r>
          </w:p>
        </w:tc>
        <w:tc>
          <w:tcPr>
            <w:tcW w:w="906" w:type="dxa"/>
            <w:tcBorders>
              <w:top w:val="nil"/>
              <w:left w:val="nil"/>
              <w:bottom w:val="nil"/>
              <w:right w:val="nil"/>
            </w:tcBorders>
            <w:shd w:val="clear" w:color="auto" w:fill="auto"/>
            <w:vAlign w:val="center"/>
            <w:hideMark/>
          </w:tcPr>
          <w:p w14:paraId="74C53121"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4,375</w:t>
            </w:r>
          </w:p>
        </w:tc>
        <w:tc>
          <w:tcPr>
            <w:tcW w:w="1262" w:type="dxa"/>
            <w:tcBorders>
              <w:top w:val="nil"/>
              <w:left w:val="nil"/>
              <w:bottom w:val="nil"/>
              <w:right w:val="nil"/>
            </w:tcBorders>
            <w:shd w:val="clear" w:color="auto" w:fill="auto"/>
            <w:vAlign w:val="center"/>
            <w:hideMark/>
          </w:tcPr>
          <w:p w14:paraId="4BFAB2E7"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-278</w:t>
            </w:r>
          </w:p>
        </w:tc>
        <w:tc>
          <w:tcPr>
            <w:tcW w:w="1155" w:type="dxa"/>
            <w:tcBorders>
              <w:top w:val="nil"/>
              <w:left w:val="nil"/>
              <w:bottom w:val="nil"/>
              <w:right w:val="nil"/>
            </w:tcBorders>
            <w:shd w:val="clear" w:color="auto" w:fill="auto"/>
            <w:vAlign w:val="center"/>
            <w:hideMark/>
          </w:tcPr>
          <w:p w14:paraId="6BAE21C1"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5.07</w:t>
            </w:r>
          </w:p>
        </w:tc>
        <w:tc>
          <w:tcPr>
            <w:tcW w:w="1150" w:type="dxa"/>
            <w:tcBorders>
              <w:top w:val="nil"/>
              <w:left w:val="nil"/>
              <w:bottom w:val="nil"/>
              <w:right w:val="nil"/>
            </w:tcBorders>
            <w:shd w:val="clear" w:color="auto" w:fill="auto"/>
            <w:vAlign w:val="center"/>
            <w:hideMark/>
          </w:tcPr>
          <w:p w14:paraId="1251E127"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5.41</w:t>
            </w:r>
          </w:p>
        </w:tc>
        <w:tc>
          <w:tcPr>
            <w:tcW w:w="1150" w:type="dxa"/>
            <w:tcBorders>
              <w:top w:val="nil"/>
              <w:left w:val="nil"/>
              <w:bottom w:val="nil"/>
              <w:right w:val="nil"/>
            </w:tcBorders>
            <w:shd w:val="clear" w:color="auto" w:fill="auto"/>
            <w:vAlign w:val="center"/>
            <w:hideMark/>
          </w:tcPr>
          <w:p w14:paraId="6A374857"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-0.34</w:t>
            </w:r>
          </w:p>
        </w:tc>
      </w:tr>
      <w:tr w:rsidR="001B50A4" w:rsidRPr="000D61D1" w14:paraId="14ECFD3C" w14:textId="77777777" w:rsidTr="001B50A4">
        <w:trPr>
          <w:trHeight w:val="290"/>
        </w:trPr>
        <w:tc>
          <w:tcPr>
            <w:tcW w:w="1651" w:type="dxa"/>
            <w:tcBorders>
              <w:top w:val="nil"/>
              <w:left w:val="nil"/>
              <w:bottom w:val="nil"/>
              <w:right w:val="nil"/>
            </w:tcBorders>
            <w:shd w:val="clear" w:color="auto" w:fill="auto"/>
            <w:vAlign w:val="center"/>
            <w:hideMark/>
          </w:tcPr>
          <w:p w14:paraId="3EDFBFDD"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color w:val="000000"/>
                <w:lang w:val="en-AU"/>
              </w:rPr>
              <w:t>Q4</w:t>
            </w:r>
          </w:p>
        </w:tc>
        <w:tc>
          <w:tcPr>
            <w:tcW w:w="1365" w:type="dxa"/>
            <w:tcBorders>
              <w:top w:val="nil"/>
              <w:left w:val="nil"/>
              <w:bottom w:val="nil"/>
              <w:right w:val="nil"/>
            </w:tcBorders>
            <w:shd w:val="clear" w:color="000000" w:fill="E7E6E6"/>
            <w:vAlign w:val="center"/>
            <w:hideMark/>
          </w:tcPr>
          <w:p w14:paraId="28D04E03"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5,019</w:t>
            </w:r>
          </w:p>
        </w:tc>
        <w:tc>
          <w:tcPr>
            <w:tcW w:w="906" w:type="dxa"/>
            <w:tcBorders>
              <w:top w:val="nil"/>
              <w:left w:val="nil"/>
              <w:bottom w:val="nil"/>
              <w:right w:val="nil"/>
            </w:tcBorders>
            <w:shd w:val="clear" w:color="auto" w:fill="auto"/>
            <w:vAlign w:val="center"/>
            <w:hideMark/>
          </w:tcPr>
          <w:p w14:paraId="5A4DA2ED"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5,195</w:t>
            </w:r>
          </w:p>
        </w:tc>
        <w:tc>
          <w:tcPr>
            <w:tcW w:w="1262" w:type="dxa"/>
            <w:tcBorders>
              <w:top w:val="nil"/>
              <w:left w:val="nil"/>
              <w:bottom w:val="nil"/>
              <w:right w:val="nil"/>
            </w:tcBorders>
            <w:shd w:val="clear" w:color="auto" w:fill="auto"/>
            <w:vAlign w:val="center"/>
            <w:hideMark/>
          </w:tcPr>
          <w:p w14:paraId="6F705621"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-176</w:t>
            </w:r>
          </w:p>
        </w:tc>
        <w:tc>
          <w:tcPr>
            <w:tcW w:w="1155" w:type="dxa"/>
            <w:tcBorders>
              <w:top w:val="nil"/>
              <w:left w:val="nil"/>
              <w:bottom w:val="nil"/>
              <w:right w:val="nil"/>
            </w:tcBorders>
            <w:shd w:val="clear" w:color="auto" w:fill="auto"/>
            <w:vAlign w:val="center"/>
            <w:hideMark/>
          </w:tcPr>
          <w:p w14:paraId="43A52FBE"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4.59</w:t>
            </w:r>
          </w:p>
        </w:tc>
        <w:tc>
          <w:tcPr>
            <w:tcW w:w="1150" w:type="dxa"/>
            <w:tcBorders>
              <w:top w:val="nil"/>
              <w:left w:val="nil"/>
              <w:bottom w:val="nil"/>
              <w:right w:val="nil"/>
            </w:tcBorders>
            <w:shd w:val="clear" w:color="auto" w:fill="auto"/>
            <w:vAlign w:val="center"/>
            <w:hideMark/>
          </w:tcPr>
          <w:p w14:paraId="33255A53"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4.74</w:t>
            </w:r>
          </w:p>
        </w:tc>
        <w:tc>
          <w:tcPr>
            <w:tcW w:w="1150" w:type="dxa"/>
            <w:tcBorders>
              <w:top w:val="nil"/>
              <w:left w:val="nil"/>
              <w:bottom w:val="nil"/>
              <w:right w:val="nil"/>
            </w:tcBorders>
            <w:shd w:val="clear" w:color="auto" w:fill="auto"/>
            <w:vAlign w:val="center"/>
            <w:hideMark/>
          </w:tcPr>
          <w:p w14:paraId="3B06F4E0" w14:textId="77777777" w:rsidR="001B50A4" w:rsidRPr="008B1A12" w:rsidRDefault="001B50A4" w:rsidP="001B50A4">
            <w:pPr>
              <w:spacing w:after="0"/>
              <w:jc w:val="right"/>
              <w:rPr>
                <w:rFonts w:ascii="Calibri" w:eastAsia="Times New Roman" w:hAnsi="Calibri" w:cs="Calibri"/>
                <w:color w:val="000000"/>
                <w:sz w:val="22"/>
                <w:szCs w:val="22"/>
                <w:lang w:val="en-AU" w:eastAsia="en-AU"/>
              </w:rPr>
            </w:pPr>
            <w:r w:rsidRPr="008B1A12">
              <w:rPr>
                <w:sz w:val="22"/>
                <w:szCs w:val="22"/>
              </w:rPr>
              <w:t>-0.16</w:t>
            </w:r>
          </w:p>
        </w:tc>
      </w:tr>
      <w:tr w:rsidR="001B50A4" w:rsidRPr="000D61D1" w14:paraId="3B4B9EBD" w14:textId="77777777" w:rsidTr="001B50A4">
        <w:trPr>
          <w:trHeight w:val="300"/>
        </w:trPr>
        <w:tc>
          <w:tcPr>
            <w:tcW w:w="1651" w:type="dxa"/>
            <w:tcBorders>
              <w:top w:val="nil"/>
              <w:left w:val="nil"/>
              <w:bottom w:val="single" w:sz="8" w:space="0" w:color="auto"/>
              <w:right w:val="nil"/>
            </w:tcBorders>
            <w:shd w:val="clear" w:color="auto" w:fill="auto"/>
            <w:vAlign w:val="center"/>
            <w:hideMark/>
          </w:tcPr>
          <w:p w14:paraId="62BBA1B0" w14:textId="77777777" w:rsidR="001B50A4" w:rsidRPr="000D61D1" w:rsidRDefault="001B50A4" w:rsidP="001B50A4">
            <w:pPr>
              <w:spacing w:after="0"/>
              <w:jc w:val="left"/>
              <w:rPr>
                <w:rFonts w:ascii="Calibri" w:eastAsia="Times New Roman" w:hAnsi="Calibri" w:cs="Calibri"/>
                <w:color w:val="000000"/>
                <w:sz w:val="22"/>
                <w:szCs w:val="22"/>
                <w:lang w:val="en-AU" w:eastAsia="en-AU"/>
              </w:rPr>
            </w:pPr>
            <w:r w:rsidRPr="000D61D1">
              <w:rPr>
                <w:color w:val="000000"/>
                <w:lang w:val="en-AU"/>
              </w:rPr>
              <w:t>Q5</w:t>
            </w:r>
          </w:p>
        </w:tc>
        <w:tc>
          <w:tcPr>
            <w:tcW w:w="1365" w:type="dxa"/>
            <w:tcBorders>
              <w:top w:val="nil"/>
              <w:left w:val="nil"/>
              <w:bottom w:val="single" w:sz="8" w:space="0" w:color="auto"/>
              <w:right w:val="nil"/>
            </w:tcBorders>
            <w:shd w:val="clear" w:color="000000" w:fill="E7E6E6"/>
            <w:vAlign w:val="center"/>
            <w:hideMark/>
          </w:tcPr>
          <w:p w14:paraId="5336D44C" w14:textId="77777777" w:rsidR="001B50A4" w:rsidRPr="008B1A12" w:rsidRDefault="001B50A4" w:rsidP="001B50A4">
            <w:pPr>
              <w:spacing w:after="0"/>
              <w:jc w:val="right"/>
              <w:rPr>
                <w:rFonts w:ascii="Calibri" w:hAnsi="Calibri"/>
                <w:color w:val="000000"/>
                <w:sz w:val="22"/>
                <w:szCs w:val="22"/>
                <w:lang w:val="en-AU"/>
              </w:rPr>
            </w:pPr>
            <w:r w:rsidRPr="008B1A12">
              <w:rPr>
                <w:sz w:val="22"/>
                <w:szCs w:val="22"/>
              </w:rPr>
              <w:t>6,511</w:t>
            </w:r>
          </w:p>
        </w:tc>
        <w:tc>
          <w:tcPr>
            <w:tcW w:w="906" w:type="dxa"/>
            <w:tcBorders>
              <w:top w:val="nil"/>
              <w:left w:val="nil"/>
              <w:bottom w:val="single" w:sz="8" w:space="0" w:color="auto"/>
              <w:right w:val="nil"/>
            </w:tcBorders>
            <w:shd w:val="clear" w:color="auto" w:fill="auto"/>
            <w:vAlign w:val="center"/>
            <w:hideMark/>
          </w:tcPr>
          <w:p w14:paraId="797B4F02" w14:textId="77777777" w:rsidR="001B50A4" w:rsidRPr="008B1A12" w:rsidRDefault="001B50A4" w:rsidP="001B50A4">
            <w:pPr>
              <w:spacing w:after="0"/>
              <w:jc w:val="right"/>
              <w:rPr>
                <w:rFonts w:ascii="Calibri" w:hAnsi="Calibri"/>
                <w:color w:val="000000"/>
                <w:sz w:val="22"/>
                <w:szCs w:val="22"/>
                <w:lang w:val="en-AU"/>
              </w:rPr>
            </w:pPr>
            <w:r w:rsidRPr="008B1A12">
              <w:rPr>
                <w:sz w:val="22"/>
                <w:szCs w:val="22"/>
              </w:rPr>
              <w:t>6,267</w:t>
            </w:r>
          </w:p>
        </w:tc>
        <w:tc>
          <w:tcPr>
            <w:tcW w:w="1262" w:type="dxa"/>
            <w:tcBorders>
              <w:top w:val="nil"/>
              <w:left w:val="nil"/>
              <w:bottom w:val="single" w:sz="8" w:space="0" w:color="auto"/>
              <w:right w:val="nil"/>
            </w:tcBorders>
            <w:shd w:val="clear" w:color="auto" w:fill="auto"/>
            <w:vAlign w:val="center"/>
            <w:hideMark/>
          </w:tcPr>
          <w:p w14:paraId="0A92F30B" w14:textId="77777777" w:rsidR="001B50A4" w:rsidRPr="008B1A12" w:rsidRDefault="001B50A4" w:rsidP="001B50A4">
            <w:pPr>
              <w:spacing w:after="0"/>
              <w:jc w:val="right"/>
              <w:rPr>
                <w:rFonts w:ascii="Calibri" w:hAnsi="Calibri"/>
                <w:color w:val="000000"/>
                <w:sz w:val="22"/>
                <w:szCs w:val="22"/>
                <w:lang w:val="en-AU"/>
              </w:rPr>
            </w:pPr>
            <w:r w:rsidRPr="008B1A12">
              <w:rPr>
                <w:sz w:val="22"/>
                <w:szCs w:val="22"/>
              </w:rPr>
              <w:t>244</w:t>
            </w:r>
          </w:p>
        </w:tc>
        <w:tc>
          <w:tcPr>
            <w:tcW w:w="1155" w:type="dxa"/>
            <w:tcBorders>
              <w:top w:val="nil"/>
              <w:left w:val="nil"/>
              <w:bottom w:val="single" w:sz="8" w:space="0" w:color="auto"/>
              <w:right w:val="nil"/>
            </w:tcBorders>
            <w:shd w:val="clear" w:color="auto" w:fill="auto"/>
            <w:vAlign w:val="center"/>
            <w:hideMark/>
          </w:tcPr>
          <w:p w14:paraId="4282B574" w14:textId="77777777" w:rsidR="001B50A4" w:rsidRPr="008B1A12" w:rsidRDefault="001B50A4" w:rsidP="001B50A4">
            <w:pPr>
              <w:spacing w:after="0"/>
              <w:jc w:val="right"/>
              <w:rPr>
                <w:rFonts w:ascii="Calibri" w:hAnsi="Calibri"/>
                <w:color w:val="000000"/>
                <w:sz w:val="22"/>
                <w:szCs w:val="22"/>
                <w:lang w:val="en-AU"/>
              </w:rPr>
            </w:pPr>
            <w:r w:rsidRPr="008B1A12">
              <w:rPr>
                <w:sz w:val="22"/>
                <w:szCs w:val="22"/>
              </w:rPr>
              <w:t>4.13</w:t>
            </w:r>
          </w:p>
        </w:tc>
        <w:tc>
          <w:tcPr>
            <w:tcW w:w="1150" w:type="dxa"/>
            <w:tcBorders>
              <w:top w:val="nil"/>
              <w:left w:val="nil"/>
              <w:bottom w:val="single" w:sz="8" w:space="0" w:color="auto"/>
              <w:right w:val="nil"/>
            </w:tcBorders>
            <w:shd w:val="clear" w:color="auto" w:fill="auto"/>
            <w:vAlign w:val="center"/>
            <w:hideMark/>
          </w:tcPr>
          <w:p w14:paraId="2B77EF6B" w14:textId="77777777" w:rsidR="001B50A4" w:rsidRPr="008B1A12" w:rsidRDefault="001B50A4" w:rsidP="001B50A4">
            <w:pPr>
              <w:spacing w:after="0"/>
              <w:jc w:val="right"/>
              <w:rPr>
                <w:rFonts w:ascii="Calibri" w:hAnsi="Calibri"/>
                <w:color w:val="000000"/>
                <w:sz w:val="22"/>
                <w:szCs w:val="22"/>
                <w:lang w:val="en-AU"/>
              </w:rPr>
            </w:pPr>
            <w:r w:rsidRPr="008B1A12">
              <w:rPr>
                <w:sz w:val="22"/>
                <w:szCs w:val="22"/>
              </w:rPr>
              <w:t>3.98</w:t>
            </w:r>
          </w:p>
        </w:tc>
        <w:tc>
          <w:tcPr>
            <w:tcW w:w="1150" w:type="dxa"/>
            <w:tcBorders>
              <w:top w:val="nil"/>
              <w:left w:val="nil"/>
              <w:bottom w:val="single" w:sz="8" w:space="0" w:color="auto"/>
              <w:right w:val="single" w:sz="4" w:space="0" w:color="auto"/>
            </w:tcBorders>
            <w:shd w:val="clear" w:color="auto" w:fill="auto"/>
            <w:vAlign w:val="center"/>
            <w:hideMark/>
          </w:tcPr>
          <w:p w14:paraId="3328B244" w14:textId="77777777" w:rsidR="001B50A4" w:rsidRPr="008B1A12" w:rsidRDefault="001B50A4" w:rsidP="001B50A4">
            <w:pPr>
              <w:spacing w:after="0"/>
              <w:jc w:val="right"/>
              <w:rPr>
                <w:rFonts w:ascii="Calibri" w:hAnsi="Calibri"/>
                <w:color w:val="000000"/>
                <w:sz w:val="22"/>
                <w:szCs w:val="22"/>
                <w:lang w:val="en-AU"/>
              </w:rPr>
            </w:pPr>
            <w:r w:rsidRPr="008B1A12">
              <w:rPr>
                <w:sz w:val="22"/>
                <w:szCs w:val="22"/>
              </w:rPr>
              <w:t>0.15</w:t>
            </w:r>
          </w:p>
        </w:tc>
      </w:tr>
    </w:tbl>
    <w:p w14:paraId="5F158FCD" w14:textId="77777777" w:rsidR="003C620A" w:rsidRPr="000D61D1" w:rsidRDefault="003C620A" w:rsidP="003C620A">
      <w:pPr>
        <w:pStyle w:val="Caption"/>
        <w:jc w:val="left"/>
        <w:rPr>
          <w:lang w:val="en-AU"/>
        </w:rPr>
      </w:pPr>
      <w:r w:rsidRPr="000D61D1">
        <w:rPr>
          <w:lang w:val="en-AU"/>
        </w:rPr>
        <w:t>Source: Calculations from NATSEM microsimulation model.</w:t>
      </w:r>
      <w:r w:rsidRPr="000D61D1">
        <w:rPr>
          <w:lang w:val="en-AU"/>
        </w:rPr>
        <w:br/>
      </w:r>
    </w:p>
    <w:p w14:paraId="593A8ED4" w14:textId="77777777" w:rsidR="003C620A" w:rsidRPr="000D61D1" w:rsidRDefault="003C620A" w:rsidP="003C620A">
      <w:pPr>
        <w:pStyle w:val="Heading3"/>
        <w:rPr>
          <w:lang w:val="en-AU"/>
        </w:rPr>
      </w:pPr>
      <w:bookmarkStart w:id="22" w:name="_Toc43911479"/>
      <w:r w:rsidRPr="000D61D1">
        <w:rPr>
          <w:lang w:val="en-AU"/>
        </w:rPr>
        <w:t>Results by wealth quintile</w:t>
      </w:r>
      <w:bookmarkEnd w:id="22"/>
    </w:p>
    <w:p w14:paraId="36862F50" w14:textId="77777777" w:rsidR="003C620A" w:rsidRPr="000D61D1" w:rsidRDefault="003C620A" w:rsidP="003C620A">
      <w:pPr>
        <w:spacing w:line="276" w:lineRule="auto"/>
        <w:jc w:val="left"/>
        <w:rPr>
          <w:lang w:val="en-AU"/>
        </w:rPr>
      </w:pPr>
      <w:r w:rsidRPr="000D61D1">
        <w:rPr>
          <w:lang w:val="en-AU"/>
        </w:rPr>
        <w:t>This section provides the results from our modelling by wealth quintile. The results for the change in the number of properties purchased is shown in</w:t>
      </w:r>
      <w:r>
        <w:rPr>
          <w:lang w:val="en-AU"/>
        </w:rPr>
        <w:t xml:space="preserve"> Table 9; </w:t>
      </w:r>
      <w:r w:rsidRPr="000D61D1">
        <w:rPr>
          <w:lang w:val="en-AU"/>
        </w:rPr>
        <w:t>and the result</w:t>
      </w:r>
      <w:r>
        <w:rPr>
          <w:lang w:val="en-AU"/>
        </w:rPr>
        <w:t>s</w:t>
      </w:r>
      <w:r w:rsidRPr="000D61D1">
        <w:rPr>
          <w:lang w:val="en-AU"/>
        </w:rPr>
        <w:t xml:space="preserve"> on change in incomes </w:t>
      </w:r>
      <w:r>
        <w:rPr>
          <w:lang w:val="en-AU"/>
        </w:rPr>
        <w:t xml:space="preserve">by wealth quintile </w:t>
      </w:r>
      <w:r w:rsidRPr="000D61D1">
        <w:rPr>
          <w:lang w:val="en-AU"/>
        </w:rPr>
        <w:t>is shown in</w:t>
      </w:r>
      <w:r>
        <w:rPr>
          <w:lang w:val="en-AU"/>
        </w:rPr>
        <w:t xml:space="preserve"> Table 10.</w:t>
      </w:r>
    </w:p>
    <w:p w14:paraId="54D1D0CD" w14:textId="77777777" w:rsidR="003C620A" w:rsidRPr="000D61D1" w:rsidRDefault="003C620A" w:rsidP="003C620A">
      <w:pPr>
        <w:rPr>
          <w:lang w:val="en-AU"/>
        </w:rPr>
      </w:pPr>
      <w:proofErr w:type="gramStart"/>
      <w:r w:rsidRPr="000D61D1">
        <w:rPr>
          <w:lang w:val="en-AU"/>
        </w:rPr>
        <w:t>It can be seen that there</w:t>
      </w:r>
      <w:proofErr w:type="gramEnd"/>
      <w:r w:rsidRPr="000D61D1">
        <w:rPr>
          <w:lang w:val="en-AU"/>
        </w:rPr>
        <w:t xml:space="preserve"> are very few transactions for low wealth households, possibly due to the </w:t>
      </w:r>
      <w:r>
        <w:rPr>
          <w:lang w:val="en-AU"/>
        </w:rPr>
        <w:t xml:space="preserve">deposit and borrowing constraints </w:t>
      </w:r>
      <w:r w:rsidRPr="000D61D1">
        <w:rPr>
          <w:lang w:val="en-AU"/>
        </w:rPr>
        <w:t xml:space="preserve">applied in the model. </w:t>
      </w:r>
      <w:r>
        <w:rPr>
          <w:lang w:val="en-AU"/>
        </w:rPr>
        <w:t xml:space="preserve">Therefore, tax reform on </w:t>
      </w:r>
      <w:proofErr w:type="spellStart"/>
      <w:proofErr w:type="gramStart"/>
      <w:r>
        <w:rPr>
          <w:lang w:val="en-AU"/>
        </w:rPr>
        <w:t>it’s</w:t>
      </w:r>
      <w:proofErr w:type="spellEnd"/>
      <w:proofErr w:type="gramEnd"/>
      <w:r>
        <w:rPr>
          <w:lang w:val="en-AU"/>
        </w:rPr>
        <w:t xml:space="preserve"> own is not going to bring these low wealth households into buying a property – their lack of wealth means they cannot afford a deposit for a property. </w:t>
      </w:r>
      <w:r w:rsidRPr="000D61D1">
        <w:rPr>
          <w:lang w:val="en-AU"/>
        </w:rPr>
        <w:t>Most of the transactions are in wealth quintile 5, and the number of transactions under the new tax policy has increased for all wealth levels, due to the lower stamp duty.</w:t>
      </w:r>
      <w:r>
        <w:rPr>
          <w:lang w:val="en-AU"/>
        </w:rPr>
        <w:t xml:space="preserve"> </w:t>
      </w:r>
    </w:p>
    <w:p w14:paraId="10441FEB" w14:textId="77777777" w:rsidR="003C620A" w:rsidRDefault="003C620A" w:rsidP="003C620A">
      <w:pPr>
        <w:rPr>
          <w:b/>
          <w:i/>
          <w:color w:val="365F91" w:themeColor="accent1" w:themeShade="BF"/>
          <w:lang w:val="en-AU"/>
        </w:rPr>
      </w:pPr>
      <w:r w:rsidRPr="000D61D1">
        <w:rPr>
          <w:lang w:val="en-AU"/>
        </w:rPr>
        <w:t xml:space="preserve">The increase in </w:t>
      </w:r>
      <w:r>
        <w:rPr>
          <w:lang w:val="en-AU"/>
        </w:rPr>
        <w:t xml:space="preserve">property </w:t>
      </w:r>
      <w:r w:rsidRPr="000D61D1">
        <w:rPr>
          <w:lang w:val="en-AU"/>
        </w:rPr>
        <w:t xml:space="preserve">prices due to the new policy had a </w:t>
      </w:r>
      <w:r>
        <w:rPr>
          <w:lang w:val="en-AU"/>
        </w:rPr>
        <w:t>small</w:t>
      </w:r>
      <w:r w:rsidRPr="000D61D1">
        <w:rPr>
          <w:lang w:val="en-AU"/>
        </w:rPr>
        <w:t xml:space="preserve"> impact on the number of properties purchased in all wealth quintiles.</w:t>
      </w:r>
    </w:p>
    <w:p w14:paraId="20892CE0" w14:textId="1331B943" w:rsidR="003C620A" w:rsidRPr="000D61D1" w:rsidRDefault="003C620A" w:rsidP="003C620A">
      <w:pPr>
        <w:pStyle w:val="TableCaption"/>
        <w:rPr>
          <w:lang w:val="en-AU"/>
        </w:rPr>
      </w:pPr>
      <w:bookmarkStart w:id="23" w:name="_Toc43911496"/>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9</w:t>
      </w:r>
      <w:r w:rsidRPr="000D61D1">
        <w:rPr>
          <w:lang w:val="en-AU"/>
        </w:rPr>
        <w:fldChar w:fldCharType="end"/>
      </w:r>
      <w:r w:rsidRPr="000D61D1">
        <w:rPr>
          <w:lang w:val="en-AU"/>
        </w:rPr>
        <w:t xml:space="preserve"> - The impact of tax reform on the number of residential properties purchased by wealth quintile, 2012 – 2018</w:t>
      </w:r>
      <w:bookmarkEnd w:id="23"/>
    </w:p>
    <w:tbl>
      <w:tblPr>
        <w:tblW w:w="8647" w:type="dxa"/>
        <w:tblLook w:val="04A0" w:firstRow="1" w:lastRow="0" w:firstColumn="1" w:lastColumn="0" w:noHBand="0" w:noVBand="1"/>
        <w:tblCaption w:val="Table 19b - The impact of tax reform on the number of residential properties purchased by wealth quintile, 2012 - 2018"/>
      </w:tblPr>
      <w:tblGrid>
        <w:gridCol w:w="1701"/>
        <w:gridCol w:w="2240"/>
        <w:gridCol w:w="2155"/>
        <w:gridCol w:w="1150"/>
        <w:gridCol w:w="1401"/>
      </w:tblGrid>
      <w:tr w:rsidR="003C620A" w:rsidRPr="000D61D1" w14:paraId="4DE2BC83" w14:textId="77777777" w:rsidTr="003C620A">
        <w:trPr>
          <w:trHeight w:val="480"/>
        </w:trPr>
        <w:tc>
          <w:tcPr>
            <w:tcW w:w="1701" w:type="dxa"/>
            <w:tcBorders>
              <w:top w:val="single" w:sz="8" w:space="0" w:color="auto"/>
              <w:left w:val="nil"/>
              <w:bottom w:val="single" w:sz="8" w:space="0" w:color="auto"/>
              <w:right w:val="nil"/>
            </w:tcBorders>
            <w:shd w:val="clear" w:color="auto" w:fill="auto"/>
            <w:vAlign w:val="center"/>
            <w:hideMark/>
          </w:tcPr>
          <w:p w14:paraId="498B512F" w14:textId="5FD1F3ED" w:rsidR="003C620A" w:rsidRPr="000D61D1" w:rsidRDefault="003C620A" w:rsidP="003C620A">
            <w:pPr>
              <w:spacing w:after="0"/>
              <w:rPr>
                <w:rFonts w:ascii="Calibri" w:hAnsi="Calibri"/>
                <w:color w:val="000000"/>
                <w:lang w:val="en-AU"/>
              </w:rPr>
            </w:pPr>
            <w:r w:rsidRPr="000D61D1">
              <w:rPr>
                <w:rFonts w:ascii="Calibri" w:eastAsia="Times New Roman" w:hAnsi="Calibri" w:cs="Calibri"/>
                <w:color w:val="000000"/>
                <w:lang w:val="en-AU" w:eastAsia="en-AU"/>
              </w:rPr>
              <w:t> </w:t>
            </w:r>
            <w:r w:rsidR="00952700">
              <w:rPr>
                <w:rFonts w:ascii="Calibri" w:eastAsia="Times New Roman" w:hAnsi="Calibri" w:cs="Calibri"/>
                <w:color w:val="000000"/>
                <w:lang w:val="en-AU" w:eastAsia="en-AU"/>
              </w:rPr>
              <w:t>Quintile</w:t>
            </w:r>
          </w:p>
        </w:tc>
        <w:tc>
          <w:tcPr>
            <w:tcW w:w="2240" w:type="dxa"/>
            <w:tcBorders>
              <w:top w:val="single" w:sz="8" w:space="0" w:color="auto"/>
              <w:left w:val="nil"/>
              <w:bottom w:val="single" w:sz="8" w:space="0" w:color="auto"/>
              <w:right w:val="nil"/>
            </w:tcBorders>
            <w:shd w:val="clear" w:color="000000" w:fill="E7E6E6"/>
            <w:vAlign w:val="center"/>
            <w:hideMark/>
          </w:tcPr>
          <w:p w14:paraId="00B660AE"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 Number of purchases</w:t>
            </w:r>
          </w:p>
        </w:tc>
        <w:tc>
          <w:tcPr>
            <w:tcW w:w="2155" w:type="dxa"/>
            <w:tcBorders>
              <w:top w:val="single" w:sz="8" w:space="0" w:color="auto"/>
              <w:left w:val="nil"/>
              <w:bottom w:val="single" w:sz="8" w:space="0" w:color="auto"/>
              <w:right w:val="nil"/>
            </w:tcBorders>
            <w:shd w:val="clear" w:color="auto" w:fill="auto"/>
            <w:vAlign w:val="center"/>
            <w:hideMark/>
          </w:tcPr>
          <w:p w14:paraId="6FA79633"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 Number of purchases</w:t>
            </w:r>
          </w:p>
        </w:tc>
        <w:tc>
          <w:tcPr>
            <w:tcW w:w="1150" w:type="dxa"/>
            <w:tcBorders>
              <w:top w:val="single" w:sz="8" w:space="0" w:color="auto"/>
              <w:left w:val="nil"/>
              <w:bottom w:val="single" w:sz="8" w:space="0" w:color="auto"/>
              <w:right w:val="nil"/>
            </w:tcBorders>
            <w:shd w:val="clear" w:color="auto" w:fill="auto"/>
            <w:vAlign w:val="center"/>
            <w:hideMark/>
          </w:tcPr>
          <w:p w14:paraId="0B3A1C11"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p>
        </w:tc>
        <w:tc>
          <w:tcPr>
            <w:tcW w:w="1401" w:type="dxa"/>
            <w:tcBorders>
              <w:top w:val="single" w:sz="8" w:space="0" w:color="auto"/>
              <w:left w:val="nil"/>
              <w:bottom w:val="single" w:sz="8" w:space="0" w:color="auto"/>
              <w:right w:val="nil"/>
            </w:tcBorders>
            <w:shd w:val="clear" w:color="auto" w:fill="auto"/>
            <w:vAlign w:val="center"/>
            <w:hideMark/>
          </w:tcPr>
          <w:p w14:paraId="4F5368A7"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w:t>
            </w:r>
          </w:p>
        </w:tc>
      </w:tr>
      <w:tr w:rsidR="003C620A" w:rsidRPr="000D61D1" w14:paraId="720D862E" w14:textId="77777777" w:rsidTr="003C620A">
        <w:trPr>
          <w:trHeight w:val="290"/>
        </w:trPr>
        <w:tc>
          <w:tcPr>
            <w:tcW w:w="1701" w:type="dxa"/>
            <w:tcBorders>
              <w:top w:val="nil"/>
              <w:left w:val="nil"/>
              <w:bottom w:val="nil"/>
              <w:right w:val="nil"/>
            </w:tcBorders>
            <w:shd w:val="clear" w:color="auto" w:fill="auto"/>
            <w:vAlign w:val="center"/>
            <w:hideMark/>
          </w:tcPr>
          <w:p w14:paraId="0E66D25F"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2240" w:type="dxa"/>
            <w:tcBorders>
              <w:top w:val="nil"/>
              <w:left w:val="nil"/>
              <w:bottom w:val="nil"/>
              <w:right w:val="nil"/>
            </w:tcBorders>
            <w:shd w:val="clear" w:color="000000" w:fill="E7E6E6"/>
            <w:vAlign w:val="center"/>
            <w:hideMark/>
          </w:tcPr>
          <w:p w14:paraId="19A145C1"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43</w:t>
            </w:r>
          </w:p>
        </w:tc>
        <w:tc>
          <w:tcPr>
            <w:tcW w:w="2155" w:type="dxa"/>
            <w:tcBorders>
              <w:top w:val="nil"/>
              <w:left w:val="nil"/>
              <w:bottom w:val="nil"/>
              <w:right w:val="nil"/>
            </w:tcBorders>
            <w:shd w:val="clear" w:color="auto" w:fill="auto"/>
            <w:vAlign w:val="center"/>
            <w:hideMark/>
          </w:tcPr>
          <w:p w14:paraId="5AFDBC47"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43</w:t>
            </w:r>
          </w:p>
        </w:tc>
        <w:tc>
          <w:tcPr>
            <w:tcW w:w="1150" w:type="dxa"/>
            <w:tcBorders>
              <w:top w:val="nil"/>
              <w:left w:val="nil"/>
              <w:bottom w:val="nil"/>
              <w:right w:val="nil"/>
            </w:tcBorders>
            <w:shd w:val="clear" w:color="auto" w:fill="auto"/>
            <w:vAlign w:val="center"/>
            <w:hideMark/>
          </w:tcPr>
          <w:p w14:paraId="532CCE5A"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w:t>
            </w:r>
          </w:p>
        </w:tc>
        <w:tc>
          <w:tcPr>
            <w:tcW w:w="1401" w:type="dxa"/>
            <w:tcBorders>
              <w:top w:val="nil"/>
              <w:left w:val="nil"/>
              <w:bottom w:val="nil"/>
              <w:right w:val="nil"/>
            </w:tcBorders>
            <w:shd w:val="clear" w:color="auto" w:fill="auto"/>
            <w:vAlign w:val="center"/>
            <w:hideMark/>
          </w:tcPr>
          <w:p w14:paraId="78F5355F"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w:t>
            </w:r>
          </w:p>
        </w:tc>
      </w:tr>
      <w:tr w:rsidR="003C620A" w:rsidRPr="000D61D1" w14:paraId="4425A7F0" w14:textId="77777777" w:rsidTr="003C620A">
        <w:trPr>
          <w:trHeight w:val="290"/>
        </w:trPr>
        <w:tc>
          <w:tcPr>
            <w:tcW w:w="1701" w:type="dxa"/>
            <w:tcBorders>
              <w:top w:val="nil"/>
              <w:left w:val="nil"/>
              <w:bottom w:val="nil"/>
              <w:right w:val="nil"/>
            </w:tcBorders>
            <w:shd w:val="clear" w:color="auto" w:fill="auto"/>
            <w:vAlign w:val="center"/>
            <w:hideMark/>
          </w:tcPr>
          <w:p w14:paraId="0BE1788B"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2240" w:type="dxa"/>
            <w:tcBorders>
              <w:top w:val="nil"/>
              <w:left w:val="nil"/>
              <w:bottom w:val="nil"/>
              <w:right w:val="nil"/>
            </w:tcBorders>
            <w:shd w:val="clear" w:color="000000" w:fill="E7E6E6"/>
            <w:vAlign w:val="center"/>
            <w:hideMark/>
          </w:tcPr>
          <w:p w14:paraId="63DA1A47"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14,582</w:t>
            </w:r>
          </w:p>
        </w:tc>
        <w:tc>
          <w:tcPr>
            <w:tcW w:w="2155" w:type="dxa"/>
            <w:tcBorders>
              <w:top w:val="nil"/>
              <w:left w:val="nil"/>
              <w:bottom w:val="nil"/>
              <w:right w:val="nil"/>
            </w:tcBorders>
            <w:shd w:val="clear" w:color="auto" w:fill="auto"/>
            <w:vAlign w:val="center"/>
            <w:hideMark/>
          </w:tcPr>
          <w:p w14:paraId="412EEEF5"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13,229</w:t>
            </w:r>
          </w:p>
        </w:tc>
        <w:tc>
          <w:tcPr>
            <w:tcW w:w="1150" w:type="dxa"/>
            <w:tcBorders>
              <w:top w:val="nil"/>
              <w:left w:val="nil"/>
              <w:bottom w:val="nil"/>
              <w:right w:val="nil"/>
            </w:tcBorders>
            <w:shd w:val="clear" w:color="auto" w:fill="auto"/>
            <w:vAlign w:val="center"/>
            <w:hideMark/>
          </w:tcPr>
          <w:p w14:paraId="40920CB0"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1,353</w:t>
            </w:r>
          </w:p>
        </w:tc>
        <w:tc>
          <w:tcPr>
            <w:tcW w:w="1401" w:type="dxa"/>
            <w:tcBorders>
              <w:top w:val="nil"/>
              <w:left w:val="nil"/>
              <w:bottom w:val="nil"/>
              <w:right w:val="nil"/>
            </w:tcBorders>
            <w:shd w:val="clear" w:color="auto" w:fill="auto"/>
            <w:vAlign w:val="center"/>
            <w:hideMark/>
          </w:tcPr>
          <w:p w14:paraId="3DFD940E"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10.23</w:t>
            </w:r>
          </w:p>
        </w:tc>
      </w:tr>
      <w:tr w:rsidR="003C620A" w:rsidRPr="000D61D1" w14:paraId="3859A6B4" w14:textId="77777777" w:rsidTr="003C620A">
        <w:trPr>
          <w:trHeight w:val="290"/>
        </w:trPr>
        <w:tc>
          <w:tcPr>
            <w:tcW w:w="1701" w:type="dxa"/>
            <w:tcBorders>
              <w:top w:val="nil"/>
              <w:left w:val="nil"/>
              <w:bottom w:val="nil"/>
              <w:right w:val="nil"/>
            </w:tcBorders>
            <w:shd w:val="clear" w:color="auto" w:fill="auto"/>
            <w:vAlign w:val="center"/>
            <w:hideMark/>
          </w:tcPr>
          <w:p w14:paraId="73A88DA2"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2240" w:type="dxa"/>
            <w:tcBorders>
              <w:top w:val="nil"/>
              <w:left w:val="nil"/>
              <w:bottom w:val="nil"/>
              <w:right w:val="nil"/>
            </w:tcBorders>
            <w:shd w:val="clear" w:color="000000" w:fill="E7E6E6"/>
            <w:vAlign w:val="center"/>
            <w:hideMark/>
          </w:tcPr>
          <w:p w14:paraId="244E6BD3"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22,964</w:t>
            </w:r>
          </w:p>
        </w:tc>
        <w:tc>
          <w:tcPr>
            <w:tcW w:w="2155" w:type="dxa"/>
            <w:tcBorders>
              <w:top w:val="nil"/>
              <w:left w:val="nil"/>
              <w:bottom w:val="nil"/>
              <w:right w:val="nil"/>
            </w:tcBorders>
            <w:shd w:val="clear" w:color="auto" w:fill="auto"/>
            <w:vAlign w:val="center"/>
            <w:hideMark/>
          </w:tcPr>
          <w:p w14:paraId="6F8B4DC0"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22,504</w:t>
            </w:r>
          </w:p>
        </w:tc>
        <w:tc>
          <w:tcPr>
            <w:tcW w:w="1150" w:type="dxa"/>
            <w:tcBorders>
              <w:top w:val="nil"/>
              <w:left w:val="nil"/>
              <w:bottom w:val="nil"/>
              <w:right w:val="nil"/>
            </w:tcBorders>
            <w:shd w:val="clear" w:color="auto" w:fill="auto"/>
            <w:vAlign w:val="center"/>
            <w:hideMark/>
          </w:tcPr>
          <w:p w14:paraId="4E329F42"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460</w:t>
            </w:r>
          </w:p>
        </w:tc>
        <w:tc>
          <w:tcPr>
            <w:tcW w:w="1401" w:type="dxa"/>
            <w:tcBorders>
              <w:top w:val="nil"/>
              <w:left w:val="nil"/>
              <w:bottom w:val="nil"/>
              <w:right w:val="nil"/>
            </w:tcBorders>
            <w:shd w:val="clear" w:color="auto" w:fill="auto"/>
            <w:vAlign w:val="center"/>
            <w:hideMark/>
          </w:tcPr>
          <w:p w14:paraId="07147F05"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2.04</w:t>
            </w:r>
          </w:p>
        </w:tc>
      </w:tr>
      <w:tr w:rsidR="003C620A" w:rsidRPr="000D61D1" w14:paraId="1A670766" w14:textId="77777777" w:rsidTr="003C620A">
        <w:trPr>
          <w:trHeight w:val="290"/>
        </w:trPr>
        <w:tc>
          <w:tcPr>
            <w:tcW w:w="1701" w:type="dxa"/>
            <w:tcBorders>
              <w:top w:val="nil"/>
              <w:left w:val="nil"/>
              <w:bottom w:val="nil"/>
              <w:right w:val="nil"/>
            </w:tcBorders>
            <w:shd w:val="clear" w:color="auto" w:fill="auto"/>
            <w:vAlign w:val="center"/>
            <w:hideMark/>
          </w:tcPr>
          <w:p w14:paraId="625D1098"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2240" w:type="dxa"/>
            <w:tcBorders>
              <w:top w:val="nil"/>
              <w:left w:val="nil"/>
              <w:bottom w:val="nil"/>
              <w:right w:val="nil"/>
            </w:tcBorders>
            <w:shd w:val="clear" w:color="000000" w:fill="E7E6E6"/>
            <w:vAlign w:val="center"/>
            <w:hideMark/>
          </w:tcPr>
          <w:p w14:paraId="275282D1"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24,878</w:t>
            </w:r>
          </w:p>
        </w:tc>
        <w:tc>
          <w:tcPr>
            <w:tcW w:w="2155" w:type="dxa"/>
            <w:tcBorders>
              <w:top w:val="nil"/>
              <w:left w:val="nil"/>
              <w:bottom w:val="nil"/>
              <w:right w:val="nil"/>
            </w:tcBorders>
            <w:shd w:val="clear" w:color="auto" w:fill="auto"/>
            <w:vAlign w:val="center"/>
            <w:hideMark/>
          </w:tcPr>
          <w:p w14:paraId="23715F79"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24,613</w:t>
            </w:r>
          </w:p>
        </w:tc>
        <w:tc>
          <w:tcPr>
            <w:tcW w:w="1150" w:type="dxa"/>
            <w:tcBorders>
              <w:top w:val="nil"/>
              <w:left w:val="nil"/>
              <w:bottom w:val="nil"/>
              <w:right w:val="nil"/>
            </w:tcBorders>
            <w:shd w:val="clear" w:color="auto" w:fill="auto"/>
            <w:vAlign w:val="center"/>
            <w:hideMark/>
          </w:tcPr>
          <w:p w14:paraId="4F686CBD"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265</w:t>
            </w:r>
          </w:p>
        </w:tc>
        <w:tc>
          <w:tcPr>
            <w:tcW w:w="1401" w:type="dxa"/>
            <w:tcBorders>
              <w:top w:val="nil"/>
              <w:left w:val="nil"/>
              <w:bottom w:val="nil"/>
              <w:right w:val="nil"/>
            </w:tcBorders>
            <w:shd w:val="clear" w:color="auto" w:fill="auto"/>
            <w:vAlign w:val="center"/>
            <w:hideMark/>
          </w:tcPr>
          <w:p w14:paraId="742068F2"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1.08</w:t>
            </w:r>
          </w:p>
        </w:tc>
      </w:tr>
      <w:tr w:rsidR="003C620A" w:rsidRPr="000D61D1" w14:paraId="69D4AD97" w14:textId="77777777" w:rsidTr="003C620A">
        <w:trPr>
          <w:trHeight w:val="300"/>
        </w:trPr>
        <w:tc>
          <w:tcPr>
            <w:tcW w:w="1701" w:type="dxa"/>
            <w:tcBorders>
              <w:top w:val="nil"/>
              <w:left w:val="nil"/>
              <w:bottom w:val="nil"/>
              <w:right w:val="nil"/>
            </w:tcBorders>
            <w:shd w:val="clear" w:color="auto" w:fill="auto"/>
            <w:vAlign w:val="center"/>
            <w:hideMark/>
          </w:tcPr>
          <w:p w14:paraId="7D9394B7"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2240" w:type="dxa"/>
            <w:tcBorders>
              <w:top w:val="nil"/>
              <w:left w:val="nil"/>
              <w:bottom w:val="nil"/>
              <w:right w:val="nil"/>
            </w:tcBorders>
            <w:shd w:val="clear" w:color="000000" w:fill="E7E6E6"/>
            <w:vAlign w:val="center"/>
            <w:hideMark/>
          </w:tcPr>
          <w:p w14:paraId="21BD2752"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27,301</w:t>
            </w:r>
          </w:p>
        </w:tc>
        <w:tc>
          <w:tcPr>
            <w:tcW w:w="2155" w:type="dxa"/>
            <w:tcBorders>
              <w:top w:val="nil"/>
              <w:left w:val="nil"/>
              <w:bottom w:val="nil"/>
              <w:right w:val="nil"/>
            </w:tcBorders>
            <w:shd w:val="clear" w:color="auto" w:fill="auto"/>
            <w:vAlign w:val="center"/>
            <w:hideMark/>
          </w:tcPr>
          <w:p w14:paraId="709A2B8F"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27,075</w:t>
            </w:r>
          </w:p>
        </w:tc>
        <w:tc>
          <w:tcPr>
            <w:tcW w:w="1150" w:type="dxa"/>
            <w:tcBorders>
              <w:top w:val="nil"/>
              <w:left w:val="nil"/>
              <w:bottom w:val="nil"/>
              <w:right w:val="nil"/>
            </w:tcBorders>
            <w:shd w:val="clear" w:color="auto" w:fill="auto"/>
            <w:vAlign w:val="center"/>
            <w:hideMark/>
          </w:tcPr>
          <w:p w14:paraId="658604AF"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226</w:t>
            </w:r>
          </w:p>
        </w:tc>
        <w:tc>
          <w:tcPr>
            <w:tcW w:w="1401" w:type="dxa"/>
            <w:tcBorders>
              <w:top w:val="nil"/>
              <w:left w:val="nil"/>
              <w:bottom w:val="nil"/>
              <w:right w:val="nil"/>
            </w:tcBorders>
            <w:shd w:val="clear" w:color="auto" w:fill="auto"/>
            <w:vAlign w:val="center"/>
            <w:hideMark/>
          </w:tcPr>
          <w:p w14:paraId="616E919A"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0.83</w:t>
            </w:r>
          </w:p>
        </w:tc>
      </w:tr>
      <w:tr w:rsidR="00C961CF" w:rsidRPr="000D61D1" w14:paraId="1B9DF1C1" w14:textId="77777777" w:rsidTr="00870105">
        <w:trPr>
          <w:trHeight w:val="281"/>
        </w:trPr>
        <w:tc>
          <w:tcPr>
            <w:tcW w:w="8647" w:type="dxa"/>
            <w:gridSpan w:val="5"/>
            <w:tcBorders>
              <w:top w:val="single" w:sz="8" w:space="0" w:color="auto"/>
              <w:left w:val="nil"/>
              <w:right w:val="nil"/>
            </w:tcBorders>
            <w:shd w:val="clear" w:color="auto" w:fill="auto"/>
            <w:vAlign w:val="center"/>
          </w:tcPr>
          <w:p w14:paraId="49ECC713" w14:textId="19CEDECB" w:rsidR="00C961CF" w:rsidRPr="000D61D1" w:rsidRDefault="00C961CF" w:rsidP="00870105">
            <w:pPr>
              <w:spacing w:after="0"/>
              <w:jc w:val="center"/>
              <w:rPr>
                <w:rFonts w:ascii="Calibri" w:eastAsia="Times New Roman" w:hAnsi="Calibri" w:cs="Calibri"/>
                <w:color w:val="000000"/>
                <w:sz w:val="22"/>
                <w:szCs w:val="22"/>
                <w:lang w:val="en-AU" w:eastAsia="en-AU"/>
              </w:rPr>
            </w:pPr>
            <w:r>
              <w:rPr>
                <w:b/>
                <w:i/>
                <w:iCs/>
                <w:color w:val="365F91" w:themeColor="accent1" w:themeShade="BF"/>
              </w:rPr>
              <w:t>0.35 – 1.30%</w:t>
            </w:r>
            <w:r w:rsidRPr="00AF6491">
              <w:rPr>
                <w:b/>
                <w:i/>
                <w:iCs/>
                <w:color w:val="365F91" w:themeColor="accent1" w:themeShade="BF"/>
              </w:rPr>
              <w:t xml:space="preserve"> price </w:t>
            </w:r>
            <w:r>
              <w:rPr>
                <w:b/>
                <w:i/>
                <w:iCs/>
                <w:color w:val="365F91" w:themeColor="accent1" w:themeShade="BF"/>
              </w:rPr>
              <w:t>effect (0.8% average)</w:t>
            </w:r>
          </w:p>
        </w:tc>
      </w:tr>
      <w:tr w:rsidR="00C961CF" w:rsidRPr="000D61D1" w14:paraId="71654688" w14:textId="77777777" w:rsidTr="00870105">
        <w:trPr>
          <w:trHeight w:val="281"/>
        </w:trPr>
        <w:tc>
          <w:tcPr>
            <w:tcW w:w="1701" w:type="dxa"/>
            <w:tcBorders>
              <w:left w:val="nil"/>
              <w:bottom w:val="nil"/>
              <w:right w:val="nil"/>
            </w:tcBorders>
            <w:shd w:val="clear" w:color="auto" w:fill="auto"/>
            <w:vAlign w:val="center"/>
            <w:hideMark/>
          </w:tcPr>
          <w:p w14:paraId="1F14623C" w14:textId="2E7BDD54" w:rsidR="00C961CF" w:rsidRPr="000D61D1" w:rsidRDefault="00C961CF" w:rsidP="00C961CF">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Pr>
                <w:rFonts w:ascii="Calibri" w:eastAsia="Times New Roman" w:hAnsi="Calibri" w:cs="Calibri"/>
                <w:color w:val="000000"/>
                <w:lang w:val="en-AU" w:eastAsia="en-AU"/>
              </w:rPr>
              <w:t>Quintile</w:t>
            </w:r>
          </w:p>
        </w:tc>
        <w:tc>
          <w:tcPr>
            <w:tcW w:w="2240" w:type="dxa"/>
            <w:tcBorders>
              <w:left w:val="nil"/>
              <w:bottom w:val="nil"/>
              <w:right w:val="nil"/>
            </w:tcBorders>
            <w:shd w:val="clear" w:color="000000" w:fill="E7E6E6"/>
            <w:vAlign w:val="center"/>
            <w:hideMark/>
          </w:tcPr>
          <w:p w14:paraId="6C094C3F"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 Number of purchases</w:t>
            </w:r>
          </w:p>
        </w:tc>
        <w:tc>
          <w:tcPr>
            <w:tcW w:w="2155" w:type="dxa"/>
            <w:tcBorders>
              <w:left w:val="nil"/>
              <w:bottom w:val="nil"/>
              <w:right w:val="nil"/>
            </w:tcBorders>
            <w:shd w:val="clear" w:color="auto" w:fill="auto"/>
            <w:vAlign w:val="center"/>
            <w:hideMark/>
          </w:tcPr>
          <w:p w14:paraId="3BBEEC6C"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 Number of purchases</w:t>
            </w:r>
          </w:p>
        </w:tc>
        <w:tc>
          <w:tcPr>
            <w:tcW w:w="1150" w:type="dxa"/>
            <w:tcBorders>
              <w:left w:val="nil"/>
              <w:bottom w:val="nil"/>
              <w:right w:val="nil"/>
            </w:tcBorders>
            <w:shd w:val="clear" w:color="auto" w:fill="auto"/>
            <w:vAlign w:val="center"/>
            <w:hideMark/>
          </w:tcPr>
          <w:p w14:paraId="2680B57D"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p>
        </w:tc>
        <w:tc>
          <w:tcPr>
            <w:tcW w:w="1401" w:type="dxa"/>
            <w:tcBorders>
              <w:left w:val="nil"/>
              <w:bottom w:val="nil"/>
              <w:right w:val="nil"/>
            </w:tcBorders>
            <w:shd w:val="clear" w:color="auto" w:fill="auto"/>
            <w:vAlign w:val="center"/>
            <w:hideMark/>
          </w:tcPr>
          <w:p w14:paraId="32BF567A"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w:t>
            </w:r>
          </w:p>
        </w:tc>
      </w:tr>
      <w:tr w:rsidR="00C961CF" w:rsidRPr="000D61D1" w14:paraId="18673EDD" w14:textId="77777777" w:rsidTr="003C620A">
        <w:trPr>
          <w:trHeight w:val="290"/>
        </w:trPr>
        <w:tc>
          <w:tcPr>
            <w:tcW w:w="1701" w:type="dxa"/>
            <w:tcBorders>
              <w:top w:val="nil"/>
              <w:left w:val="nil"/>
              <w:bottom w:val="nil"/>
              <w:right w:val="nil"/>
            </w:tcBorders>
            <w:shd w:val="clear" w:color="auto" w:fill="auto"/>
            <w:vAlign w:val="center"/>
            <w:hideMark/>
          </w:tcPr>
          <w:p w14:paraId="571A74B3" w14:textId="77777777" w:rsidR="00C961CF" w:rsidRPr="000D61D1" w:rsidRDefault="00C961CF" w:rsidP="00C961CF">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2240" w:type="dxa"/>
            <w:tcBorders>
              <w:top w:val="nil"/>
              <w:left w:val="nil"/>
              <w:bottom w:val="nil"/>
              <w:right w:val="nil"/>
            </w:tcBorders>
            <w:shd w:val="clear" w:color="000000" w:fill="E7E6E6"/>
            <w:vAlign w:val="center"/>
            <w:hideMark/>
          </w:tcPr>
          <w:p w14:paraId="2CFBDB35"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43</w:t>
            </w:r>
          </w:p>
        </w:tc>
        <w:tc>
          <w:tcPr>
            <w:tcW w:w="2155" w:type="dxa"/>
            <w:tcBorders>
              <w:top w:val="nil"/>
              <w:left w:val="nil"/>
              <w:bottom w:val="nil"/>
              <w:right w:val="nil"/>
            </w:tcBorders>
            <w:shd w:val="clear" w:color="auto" w:fill="auto"/>
            <w:vAlign w:val="center"/>
            <w:hideMark/>
          </w:tcPr>
          <w:p w14:paraId="55155479"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43</w:t>
            </w:r>
          </w:p>
        </w:tc>
        <w:tc>
          <w:tcPr>
            <w:tcW w:w="1150" w:type="dxa"/>
            <w:tcBorders>
              <w:top w:val="nil"/>
              <w:left w:val="nil"/>
              <w:bottom w:val="nil"/>
              <w:right w:val="nil"/>
            </w:tcBorders>
            <w:shd w:val="clear" w:color="auto" w:fill="auto"/>
            <w:vAlign w:val="center"/>
            <w:hideMark/>
          </w:tcPr>
          <w:p w14:paraId="2E568617"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0</w:t>
            </w:r>
          </w:p>
        </w:tc>
        <w:tc>
          <w:tcPr>
            <w:tcW w:w="1401" w:type="dxa"/>
            <w:tcBorders>
              <w:top w:val="nil"/>
              <w:left w:val="nil"/>
              <w:bottom w:val="nil"/>
              <w:right w:val="nil"/>
            </w:tcBorders>
            <w:shd w:val="clear" w:color="auto" w:fill="auto"/>
            <w:vAlign w:val="center"/>
            <w:hideMark/>
          </w:tcPr>
          <w:p w14:paraId="4862FBEB"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0</w:t>
            </w:r>
          </w:p>
        </w:tc>
      </w:tr>
      <w:tr w:rsidR="00C961CF" w:rsidRPr="000D61D1" w14:paraId="0B397E86" w14:textId="77777777" w:rsidTr="003C620A">
        <w:trPr>
          <w:trHeight w:val="290"/>
        </w:trPr>
        <w:tc>
          <w:tcPr>
            <w:tcW w:w="1701" w:type="dxa"/>
            <w:tcBorders>
              <w:top w:val="nil"/>
              <w:left w:val="nil"/>
              <w:bottom w:val="nil"/>
              <w:right w:val="nil"/>
            </w:tcBorders>
            <w:shd w:val="clear" w:color="auto" w:fill="auto"/>
            <w:vAlign w:val="center"/>
            <w:hideMark/>
          </w:tcPr>
          <w:p w14:paraId="4BE36B9E" w14:textId="77777777" w:rsidR="00C961CF" w:rsidRPr="000D61D1" w:rsidRDefault="00C961CF" w:rsidP="00C961CF">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2240" w:type="dxa"/>
            <w:tcBorders>
              <w:top w:val="nil"/>
              <w:left w:val="nil"/>
              <w:bottom w:val="nil"/>
              <w:right w:val="nil"/>
            </w:tcBorders>
            <w:shd w:val="clear" w:color="000000" w:fill="E7E6E6"/>
            <w:vAlign w:val="center"/>
            <w:hideMark/>
          </w:tcPr>
          <w:p w14:paraId="6EA4633D"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14,582</w:t>
            </w:r>
          </w:p>
        </w:tc>
        <w:tc>
          <w:tcPr>
            <w:tcW w:w="2155" w:type="dxa"/>
            <w:tcBorders>
              <w:top w:val="nil"/>
              <w:left w:val="nil"/>
              <w:bottom w:val="nil"/>
              <w:right w:val="nil"/>
            </w:tcBorders>
            <w:shd w:val="clear" w:color="auto" w:fill="auto"/>
            <w:vAlign w:val="center"/>
            <w:hideMark/>
          </w:tcPr>
          <w:p w14:paraId="33800902"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13,351</w:t>
            </w:r>
          </w:p>
        </w:tc>
        <w:tc>
          <w:tcPr>
            <w:tcW w:w="1150" w:type="dxa"/>
            <w:tcBorders>
              <w:top w:val="nil"/>
              <w:left w:val="nil"/>
              <w:bottom w:val="nil"/>
              <w:right w:val="nil"/>
            </w:tcBorders>
            <w:shd w:val="clear" w:color="auto" w:fill="auto"/>
            <w:vAlign w:val="center"/>
            <w:hideMark/>
          </w:tcPr>
          <w:p w14:paraId="51E6504A"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1,231</w:t>
            </w:r>
          </w:p>
        </w:tc>
        <w:tc>
          <w:tcPr>
            <w:tcW w:w="1401" w:type="dxa"/>
            <w:tcBorders>
              <w:top w:val="nil"/>
              <w:left w:val="nil"/>
              <w:bottom w:val="nil"/>
              <w:right w:val="nil"/>
            </w:tcBorders>
            <w:shd w:val="clear" w:color="auto" w:fill="auto"/>
            <w:vAlign w:val="center"/>
            <w:hideMark/>
          </w:tcPr>
          <w:p w14:paraId="0BA31A6D"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9.22</w:t>
            </w:r>
          </w:p>
        </w:tc>
      </w:tr>
      <w:tr w:rsidR="00C961CF" w:rsidRPr="000D61D1" w14:paraId="2B090435" w14:textId="77777777" w:rsidTr="003C620A">
        <w:trPr>
          <w:trHeight w:val="290"/>
        </w:trPr>
        <w:tc>
          <w:tcPr>
            <w:tcW w:w="1701" w:type="dxa"/>
            <w:tcBorders>
              <w:top w:val="nil"/>
              <w:left w:val="nil"/>
              <w:bottom w:val="nil"/>
              <w:right w:val="nil"/>
            </w:tcBorders>
            <w:shd w:val="clear" w:color="auto" w:fill="auto"/>
            <w:vAlign w:val="center"/>
            <w:hideMark/>
          </w:tcPr>
          <w:p w14:paraId="37B793A0" w14:textId="77777777" w:rsidR="00C961CF" w:rsidRPr="000D61D1" w:rsidRDefault="00C961CF" w:rsidP="00C961CF">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2240" w:type="dxa"/>
            <w:tcBorders>
              <w:top w:val="nil"/>
              <w:left w:val="nil"/>
              <w:bottom w:val="nil"/>
              <w:right w:val="nil"/>
            </w:tcBorders>
            <w:shd w:val="clear" w:color="000000" w:fill="E7E6E6"/>
            <w:vAlign w:val="center"/>
            <w:hideMark/>
          </w:tcPr>
          <w:p w14:paraId="18A73CC4"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22,964</w:t>
            </w:r>
          </w:p>
        </w:tc>
        <w:tc>
          <w:tcPr>
            <w:tcW w:w="2155" w:type="dxa"/>
            <w:tcBorders>
              <w:top w:val="nil"/>
              <w:left w:val="nil"/>
              <w:bottom w:val="nil"/>
              <w:right w:val="nil"/>
            </w:tcBorders>
            <w:shd w:val="clear" w:color="auto" w:fill="auto"/>
            <w:vAlign w:val="center"/>
            <w:hideMark/>
          </w:tcPr>
          <w:p w14:paraId="62D2E44C"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22,523</w:t>
            </w:r>
          </w:p>
        </w:tc>
        <w:tc>
          <w:tcPr>
            <w:tcW w:w="1150" w:type="dxa"/>
            <w:tcBorders>
              <w:top w:val="nil"/>
              <w:left w:val="nil"/>
              <w:bottom w:val="nil"/>
              <w:right w:val="nil"/>
            </w:tcBorders>
            <w:shd w:val="clear" w:color="auto" w:fill="auto"/>
            <w:vAlign w:val="center"/>
            <w:hideMark/>
          </w:tcPr>
          <w:p w14:paraId="4F8D212F"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441</w:t>
            </w:r>
          </w:p>
        </w:tc>
        <w:tc>
          <w:tcPr>
            <w:tcW w:w="1401" w:type="dxa"/>
            <w:tcBorders>
              <w:top w:val="nil"/>
              <w:left w:val="nil"/>
              <w:bottom w:val="nil"/>
              <w:right w:val="nil"/>
            </w:tcBorders>
            <w:shd w:val="clear" w:color="auto" w:fill="auto"/>
            <w:vAlign w:val="center"/>
            <w:hideMark/>
          </w:tcPr>
          <w:p w14:paraId="743EDF4A"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1.96</w:t>
            </w:r>
          </w:p>
        </w:tc>
      </w:tr>
      <w:tr w:rsidR="00C961CF" w:rsidRPr="000D61D1" w14:paraId="2D5AD3F6" w14:textId="77777777" w:rsidTr="003C620A">
        <w:trPr>
          <w:trHeight w:val="290"/>
        </w:trPr>
        <w:tc>
          <w:tcPr>
            <w:tcW w:w="1701" w:type="dxa"/>
            <w:tcBorders>
              <w:top w:val="nil"/>
              <w:left w:val="nil"/>
              <w:bottom w:val="nil"/>
              <w:right w:val="nil"/>
            </w:tcBorders>
            <w:shd w:val="clear" w:color="auto" w:fill="auto"/>
            <w:vAlign w:val="center"/>
            <w:hideMark/>
          </w:tcPr>
          <w:p w14:paraId="13F33581" w14:textId="77777777" w:rsidR="00C961CF" w:rsidRPr="000D61D1" w:rsidRDefault="00C961CF" w:rsidP="00C961CF">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2240" w:type="dxa"/>
            <w:tcBorders>
              <w:top w:val="nil"/>
              <w:left w:val="nil"/>
              <w:bottom w:val="nil"/>
              <w:right w:val="nil"/>
            </w:tcBorders>
            <w:shd w:val="clear" w:color="000000" w:fill="E7E6E6"/>
            <w:vAlign w:val="center"/>
            <w:hideMark/>
          </w:tcPr>
          <w:p w14:paraId="74585DF1" w14:textId="77777777" w:rsidR="00C961CF" w:rsidRPr="000D61D1" w:rsidRDefault="00C961CF" w:rsidP="00C961CF">
            <w:pPr>
              <w:spacing w:after="0"/>
              <w:jc w:val="right"/>
              <w:rPr>
                <w:rFonts w:ascii="Calibri" w:hAnsi="Calibri"/>
                <w:color w:val="000000"/>
                <w:sz w:val="22"/>
                <w:lang w:val="en-AU"/>
              </w:rPr>
            </w:pPr>
            <w:r>
              <w:t>24,878</w:t>
            </w:r>
          </w:p>
        </w:tc>
        <w:tc>
          <w:tcPr>
            <w:tcW w:w="2155" w:type="dxa"/>
            <w:tcBorders>
              <w:top w:val="nil"/>
              <w:left w:val="nil"/>
              <w:bottom w:val="nil"/>
              <w:right w:val="nil"/>
            </w:tcBorders>
            <w:shd w:val="clear" w:color="auto" w:fill="auto"/>
            <w:vAlign w:val="center"/>
            <w:hideMark/>
          </w:tcPr>
          <w:p w14:paraId="7D18DCB6" w14:textId="77777777" w:rsidR="00C961CF" w:rsidRPr="000D61D1" w:rsidRDefault="00C961CF" w:rsidP="00C961CF">
            <w:pPr>
              <w:spacing w:after="0"/>
              <w:jc w:val="right"/>
              <w:rPr>
                <w:rFonts w:ascii="Calibri" w:hAnsi="Calibri"/>
                <w:color w:val="000000"/>
                <w:sz w:val="22"/>
                <w:lang w:val="en-AU"/>
              </w:rPr>
            </w:pPr>
            <w:r>
              <w:t>24,657</w:t>
            </w:r>
          </w:p>
        </w:tc>
        <w:tc>
          <w:tcPr>
            <w:tcW w:w="1150" w:type="dxa"/>
            <w:tcBorders>
              <w:top w:val="nil"/>
              <w:left w:val="nil"/>
              <w:bottom w:val="nil"/>
              <w:right w:val="nil"/>
            </w:tcBorders>
            <w:shd w:val="clear" w:color="auto" w:fill="auto"/>
            <w:vAlign w:val="center"/>
            <w:hideMark/>
          </w:tcPr>
          <w:p w14:paraId="3DD81D31" w14:textId="77777777" w:rsidR="00C961CF" w:rsidRPr="000D61D1" w:rsidRDefault="00C961CF" w:rsidP="00C961CF">
            <w:pPr>
              <w:spacing w:after="0"/>
              <w:jc w:val="right"/>
              <w:rPr>
                <w:rFonts w:ascii="Calibri" w:hAnsi="Calibri"/>
                <w:color w:val="000000"/>
                <w:sz w:val="22"/>
                <w:lang w:val="en-AU"/>
              </w:rPr>
            </w:pPr>
            <w:r>
              <w:t>221</w:t>
            </w:r>
          </w:p>
        </w:tc>
        <w:tc>
          <w:tcPr>
            <w:tcW w:w="1401" w:type="dxa"/>
            <w:tcBorders>
              <w:top w:val="nil"/>
              <w:left w:val="nil"/>
              <w:bottom w:val="nil"/>
              <w:right w:val="nil"/>
            </w:tcBorders>
            <w:shd w:val="clear" w:color="auto" w:fill="auto"/>
            <w:vAlign w:val="center"/>
            <w:hideMark/>
          </w:tcPr>
          <w:p w14:paraId="26E4AA02" w14:textId="77777777" w:rsidR="00C961CF" w:rsidRPr="000D61D1" w:rsidRDefault="00C961CF" w:rsidP="00C961CF">
            <w:pPr>
              <w:spacing w:after="0"/>
              <w:jc w:val="right"/>
              <w:rPr>
                <w:rFonts w:ascii="Calibri" w:hAnsi="Calibri"/>
                <w:color w:val="000000"/>
                <w:sz w:val="22"/>
                <w:lang w:val="en-AU"/>
              </w:rPr>
            </w:pPr>
            <w:r>
              <w:t>0.90</w:t>
            </w:r>
          </w:p>
        </w:tc>
      </w:tr>
      <w:tr w:rsidR="00C961CF" w:rsidRPr="000D61D1" w14:paraId="0CFA8DD3" w14:textId="77777777" w:rsidTr="003C620A">
        <w:trPr>
          <w:trHeight w:val="300"/>
        </w:trPr>
        <w:tc>
          <w:tcPr>
            <w:tcW w:w="1701" w:type="dxa"/>
            <w:tcBorders>
              <w:top w:val="nil"/>
              <w:left w:val="nil"/>
              <w:bottom w:val="nil"/>
              <w:right w:val="nil"/>
            </w:tcBorders>
            <w:shd w:val="clear" w:color="auto" w:fill="auto"/>
            <w:vAlign w:val="center"/>
            <w:hideMark/>
          </w:tcPr>
          <w:p w14:paraId="108257EA" w14:textId="77777777" w:rsidR="00C961CF" w:rsidRPr="000D61D1" w:rsidRDefault="00C961CF" w:rsidP="00C961CF">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2240" w:type="dxa"/>
            <w:tcBorders>
              <w:top w:val="nil"/>
              <w:left w:val="nil"/>
              <w:bottom w:val="nil"/>
              <w:right w:val="nil"/>
            </w:tcBorders>
            <w:shd w:val="clear" w:color="000000" w:fill="E7E6E6"/>
            <w:vAlign w:val="center"/>
            <w:hideMark/>
          </w:tcPr>
          <w:p w14:paraId="737373C9"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27,301</w:t>
            </w:r>
          </w:p>
        </w:tc>
        <w:tc>
          <w:tcPr>
            <w:tcW w:w="2155" w:type="dxa"/>
            <w:tcBorders>
              <w:top w:val="nil"/>
              <w:left w:val="nil"/>
              <w:bottom w:val="nil"/>
              <w:right w:val="nil"/>
            </w:tcBorders>
            <w:shd w:val="clear" w:color="auto" w:fill="auto"/>
            <w:vAlign w:val="center"/>
            <w:hideMark/>
          </w:tcPr>
          <w:p w14:paraId="2F2DE6AC"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27,152</w:t>
            </w:r>
          </w:p>
        </w:tc>
        <w:tc>
          <w:tcPr>
            <w:tcW w:w="1150" w:type="dxa"/>
            <w:tcBorders>
              <w:top w:val="nil"/>
              <w:left w:val="nil"/>
              <w:bottom w:val="nil"/>
              <w:right w:val="nil"/>
            </w:tcBorders>
            <w:shd w:val="clear" w:color="auto" w:fill="auto"/>
            <w:vAlign w:val="center"/>
            <w:hideMark/>
          </w:tcPr>
          <w:p w14:paraId="0EF729AE"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149</w:t>
            </w:r>
          </w:p>
        </w:tc>
        <w:tc>
          <w:tcPr>
            <w:tcW w:w="1401" w:type="dxa"/>
            <w:tcBorders>
              <w:top w:val="nil"/>
              <w:left w:val="nil"/>
              <w:bottom w:val="nil"/>
              <w:right w:val="nil"/>
            </w:tcBorders>
            <w:shd w:val="clear" w:color="auto" w:fill="auto"/>
            <w:vAlign w:val="center"/>
            <w:hideMark/>
          </w:tcPr>
          <w:p w14:paraId="3B06BFD8"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0.55</w:t>
            </w:r>
          </w:p>
        </w:tc>
      </w:tr>
      <w:tr w:rsidR="00C961CF" w:rsidRPr="000D61D1" w14:paraId="7825AE67" w14:textId="77777777" w:rsidTr="00870105">
        <w:trPr>
          <w:trHeight w:val="485"/>
        </w:trPr>
        <w:tc>
          <w:tcPr>
            <w:tcW w:w="8647" w:type="dxa"/>
            <w:gridSpan w:val="5"/>
            <w:tcBorders>
              <w:top w:val="single" w:sz="8" w:space="0" w:color="auto"/>
              <w:left w:val="nil"/>
              <w:right w:val="nil"/>
            </w:tcBorders>
            <w:shd w:val="clear" w:color="auto" w:fill="auto"/>
            <w:vAlign w:val="center"/>
          </w:tcPr>
          <w:p w14:paraId="009BE826" w14:textId="33DD5F0C" w:rsidR="00C961CF" w:rsidRPr="000D61D1" w:rsidRDefault="00C961CF" w:rsidP="00870105">
            <w:pPr>
              <w:spacing w:after="0"/>
              <w:jc w:val="center"/>
              <w:rPr>
                <w:rFonts w:ascii="Calibri" w:eastAsia="Times New Roman" w:hAnsi="Calibri" w:cs="Calibri"/>
                <w:color w:val="000000"/>
                <w:sz w:val="22"/>
                <w:szCs w:val="22"/>
                <w:lang w:val="en-AU" w:eastAsia="en-AU"/>
              </w:rPr>
            </w:pPr>
            <w:r w:rsidRPr="00113FC1">
              <w:rPr>
                <w:b/>
                <w:i/>
                <w:iCs/>
                <w:color w:val="365F91" w:themeColor="accent1" w:themeShade="BF"/>
              </w:rPr>
              <w:t xml:space="preserve">1.24 – 2.19% price </w:t>
            </w:r>
            <w:r>
              <w:rPr>
                <w:b/>
                <w:i/>
                <w:iCs/>
                <w:color w:val="365F91" w:themeColor="accent1" w:themeShade="BF"/>
              </w:rPr>
              <w:t>effect (1.7% average)</w:t>
            </w:r>
          </w:p>
        </w:tc>
      </w:tr>
      <w:tr w:rsidR="00C961CF" w:rsidRPr="000D61D1" w14:paraId="54A7AD7B" w14:textId="77777777" w:rsidTr="00870105">
        <w:trPr>
          <w:trHeight w:val="485"/>
        </w:trPr>
        <w:tc>
          <w:tcPr>
            <w:tcW w:w="1701" w:type="dxa"/>
            <w:tcBorders>
              <w:left w:val="nil"/>
              <w:bottom w:val="nil"/>
              <w:right w:val="nil"/>
            </w:tcBorders>
            <w:shd w:val="clear" w:color="auto" w:fill="auto"/>
            <w:vAlign w:val="center"/>
            <w:hideMark/>
          </w:tcPr>
          <w:p w14:paraId="031F8EA7" w14:textId="2BC8DF72" w:rsidR="00C961CF" w:rsidRPr="000D61D1" w:rsidRDefault="00C961CF" w:rsidP="00C961CF">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Pr>
                <w:rFonts w:ascii="Calibri" w:eastAsia="Times New Roman" w:hAnsi="Calibri" w:cs="Calibri"/>
                <w:color w:val="000000"/>
                <w:lang w:val="en-AU" w:eastAsia="en-AU"/>
              </w:rPr>
              <w:t>Quintile</w:t>
            </w:r>
          </w:p>
        </w:tc>
        <w:tc>
          <w:tcPr>
            <w:tcW w:w="2240" w:type="dxa"/>
            <w:tcBorders>
              <w:left w:val="nil"/>
              <w:bottom w:val="nil"/>
              <w:right w:val="nil"/>
            </w:tcBorders>
            <w:shd w:val="clear" w:color="000000" w:fill="E7E6E6"/>
            <w:vAlign w:val="center"/>
            <w:hideMark/>
          </w:tcPr>
          <w:p w14:paraId="6CB05C94"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 Number of purchases</w:t>
            </w:r>
          </w:p>
        </w:tc>
        <w:tc>
          <w:tcPr>
            <w:tcW w:w="2155" w:type="dxa"/>
            <w:tcBorders>
              <w:left w:val="nil"/>
              <w:bottom w:val="nil"/>
              <w:right w:val="nil"/>
            </w:tcBorders>
            <w:shd w:val="clear" w:color="auto" w:fill="auto"/>
            <w:vAlign w:val="center"/>
            <w:hideMark/>
          </w:tcPr>
          <w:p w14:paraId="44DC97A6"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 Number of purchases</w:t>
            </w:r>
          </w:p>
        </w:tc>
        <w:tc>
          <w:tcPr>
            <w:tcW w:w="1150" w:type="dxa"/>
            <w:tcBorders>
              <w:left w:val="nil"/>
              <w:bottom w:val="nil"/>
              <w:right w:val="nil"/>
            </w:tcBorders>
            <w:shd w:val="clear" w:color="auto" w:fill="auto"/>
            <w:vAlign w:val="center"/>
            <w:hideMark/>
          </w:tcPr>
          <w:p w14:paraId="5DB28BDA"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p>
        </w:tc>
        <w:tc>
          <w:tcPr>
            <w:tcW w:w="1401" w:type="dxa"/>
            <w:tcBorders>
              <w:left w:val="nil"/>
              <w:bottom w:val="nil"/>
              <w:right w:val="nil"/>
            </w:tcBorders>
            <w:shd w:val="clear" w:color="auto" w:fill="auto"/>
            <w:vAlign w:val="center"/>
            <w:hideMark/>
          </w:tcPr>
          <w:p w14:paraId="25AC0E27"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 %</w:t>
            </w:r>
          </w:p>
        </w:tc>
      </w:tr>
      <w:tr w:rsidR="00C961CF" w:rsidRPr="000D61D1" w14:paraId="7F535296" w14:textId="77777777" w:rsidTr="003C620A">
        <w:trPr>
          <w:trHeight w:val="290"/>
        </w:trPr>
        <w:tc>
          <w:tcPr>
            <w:tcW w:w="1701" w:type="dxa"/>
            <w:tcBorders>
              <w:top w:val="nil"/>
              <w:left w:val="nil"/>
              <w:bottom w:val="nil"/>
              <w:right w:val="nil"/>
            </w:tcBorders>
            <w:shd w:val="clear" w:color="auto" w:fill="auto"/>
            <w:vAlign w:val="center"/>
            <w:hideMark/>
          </w:tcPr>
          <w:p w14:paraId="498AD1CB" w14:textId="77777777" w:rsidR="00C961CF" w:rsidRPr="000D61D1" w:rsidRDefault="00C961CF" w:rsidP="00C961CF">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2240" w:type="dxa"/>
            <w:tcBorders>
              <w:top w:val="nil"/>
              <w:left w:val="nil"/>
              <w:bottom w:val="nil"/>
              <w:right w:val="nil"/>
            </w:tcBorders>
            <w:shd w:val="clear" w:color="000000" w:fill="E7E6E6"/>
            <w:vAlign w:val="center"/>
            <w:hideMark/>
          </w:tcPr>
          <w:p w14:paraId="6D9F2D6A"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43</w:t>
            </w:r>
          </w:p>
        </w:tc>
        <w:tc>
          <w:tcPr>
            <w:tcW w:w="2155" w:type="dxa"/>
            <w:tcBorders>
              <w:top w:val="nil"/>
              <w:left w:val="nil"/>
              <w:bottom w:val="nil"/>
              <w:right w:val="nil"/>
            </w:tcBorders>
            <w:shd w:val="clear" w:color="auto" w:fill="auto"/>
            <w:vAlign w:val="center"/>
            <w:hideMark/>
          </w:tcPr>
          <w:p w14:paraId="0E9E1F17"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124</w:t>
            </w:r>
          </w:p>
        </w:tc>
        <w:tc>
          <w:tcPr>
            <w:tcW w:w="1150" w:type="dxa"/>
            <w:tcBorders>
              <w:top w:val="nil"/>
              <w:left w:val="nil"/>
              <w:bottom w:val="nil"/>
              <w:right w:val="nil"/>
            </w:tcBorders>
            <w:shd w:val="clear" w:color="auto" w:fill="auto"/>
            <w:vAlign w:val="center"/>
            <w:hideMark/>
          </w:tcPr>
          <w:p w14:paraId="631B7844"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-81</w:t>
            </w:r>
          </w:p>
        </w:tc>
        <w:tc>
          <w:tcPr>
            <w:tcW w:w="1401" w:type="dxa"/>
            <w:tcBorders>
              <w:top w:val="nil"/>
              <w:left w:val="nil"/>
              <w:bottom w:val="nil"/>
              <w:right w:val="nil"/>
            </w:tcBorders>
            <w:shd w:val="clear" w:color="auto" w:fill="auto"/>
            <w:vAlign w:val="center"/>
            <w:hideMark/>
          </w:tcPr>
          <w:p w14:paraId="2FE1AA69"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-65.3</w:t>
            </w:r>
          </w:p>
        </w:tc>
      </w:tr>
      <w:tr w:rsidR="00C961CF" w:rsidRPr="000D61D1" w14:paraId="47CB0379" w14:textId="77777777" w:rsidTr="003C620A">
        <w:trPr>
          <w:trHeight w:val="290"/>
        </w:trPr>
        <w:tc>
          <w:tcPr>
            <w:tcW w:w="1701" w:type="dxa"/>
            <w:tcBorders>
              <w:top w:val="nil"/>
              <w:left w:val="nil"/>
              <w:bottom w:val="nil"/>
              <w:right w:val="nil"/>
            </w:tcBorders>
            <w:shd w:val="clear" w:color="auto" w:fill="auto"/>
            <w:vAlign w:val="center"/>
            <w:hideMark/>
          </w:tcPr>
          <w:p w14:paraId="3A943988" w14:textId="77777777" w:rsidR="00C961CF" w:rsidRPr="000D61D1" w:rsidRDefault="00C961CF" w:rsidP="00C961CF">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2240" w:type="dxa"/>
            <w:tcBorders>
              <w:top w:val="nil"/>
              <w:left w:val="nil"/>
              <w:bottom w:val="nil"/>
              <w:right w:val="nil"/>
            </w:tcBorders>
            <w:shd w:val="clear" w:color="000000" w:fill="E7E6E6"/>
            <w:vAlign w:val="center"/>
            <w:hideMark/>
          </w:tcPr>
          <w:p w14:paraId="636FE5C1"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14,582</w:t>
            </w:r>
          </w:p>
        </w:tc>
        <w:tc>
          <w:tcPr>
            <w:tcW w:w="2155" w:type="dxa"/>
            <w:tcBorders>
              <w:top w:val="nil"/>
              <w:left w:val="nil"/>
              <w:bottom w:val="nil"/>
              <w:right w:val="nil"/>
            </w:tcBorders>
            <w:shd w:val="clear" w:color="auto" w:fill="auto"/>
            <w:vAlign w:val="center"/>
            <w:hideMark/>
          </w:tcPr>
          <w:p w14:paraId="56CE04AA"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13,586</w:t>
            </w:r>
          </w:p>
        </w:tc>
        <w:tc>
          <w:tcPr>
            <w:tcW w:w="1150" w:type="dxa"/>
            <w:tcBorders>
              <w:top w:val="nil"/>
              <w:left w:val="nil"/>
              <w:bottom w:val="nil"/>
              <w:right w:val="nil"/>
            </w:tcBorders>
            <w:shd w:val="clear" w:color="auto" w:fill="auto"/>
            <w:vAlign w:val="center"/>
            <w:hideMark/>
          </w:tcPr>
          <w:p w14:paraId="3895C8A6"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996</w:t>
            </w:r>
          </w:p>
        </w:tc>
        <w:tc>
          <w:tcPr>
            <w:tcW w:w="1401" w:type="dxa"/>
            <w:tcBorders>
              <w:top w:val="nil"/>
              <w:left w:val="nil"/>
              <w:bottom w:val="nil"/>
              <w:right w:val="nil"/>
            </w:tcBorders>
            <w:shd w:val="clear" w:color="auto" w:fill="auto"/>
            <w:vAlign w:val="center"/>
            <w:hideMark/>
          </w:tcPr>
          <w:p w14:paraId="653F4871"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7.33</w:t>
            </w:r>
          </w:p>
        </w:tc>
      </w:tr>
      <w:tr w:rsidR="00C961CF" w:rsidRPr="000D61D1" w14:paraId="24EBF4D2" w14:textId="77777777" w:rsidTr="003C620A">
        <w:trPr>
          <w:trHeight w:val="290"/>
        </w:trPr>
        <w:tc>
          <w:tcPr>
            <w:tcW w:w="1701" w:type="dxa"/>
            <w:tcBorders>
              <w:top w:val="nil"/>
              <w:left w:val="nil"/>
              <w:bottom w:val="nil"/>
              <w:right w:val="nil"/>
            </w:tcBorders>
            <w:shd w:val="clear" w:color="auto" w:fill="auto"/>
            <w:vAlign w:val="center"/>
            <w:hideMark/>
          </w:tcPr>
          <w:p w14:paraId="52510C6D" w14:textId="77777777" w:rsidR="00C961CF" w:rsidRPr="000D61D1" w:rsidRDefault="00C961CF" w:rsidP="00C961CF">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2240" w:type="dxa"/>
            <w:tcBorders>
              <w:top w:val="nil"/>
              <w:left w:val="nil"/>
              <w:bottom w:val="nil"/>
              <w:right w:val="nil"/>
            </w:tcBorders>
            <w:shd w:val="clear" w:color="000000" w:fill="E7E6E6"/>
            <w:vAlign w:val="center"/>
            <w:hideMark/>
          </w:tcPr>
          <w:p w14:paraId="0A5698C7"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22,964</w:t>
            </w:r>
          </w:p>
        </w:tc>
        <w:tc>
          <w:tcPr>
            <w:tcW w:w="2155" w:type="dxa"/>
            <w:tcBorders>
              <w:top w:val="nil"/>
              <w:left w:val="nil"/>
              <w:bottom w:val="nil"/>
              <w:right w:val="nil"/>
            </w:tcBorders>
            <w:shd w:val="clear" w:color="auto" w:fill="auto"/>
            <w:vAlign w:val="center"/>
            <w:hideMark/>
          </w:tcPr>
          <w:p w14:paraId="372FC257"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22,630</w:t>
            </w:r>
          </w:p>
        </w:tc>
        <w:tc>
          <w:tcPr>
            <w:tcW w:w="1150" w:type="dxa"/>
            <w:tcBorders>
              <w:top w:val="nil"/>
              <w:left w:val="nil"/>
              <w:bottom w:val="nil"/>
              <w:right w:val="nil"/>
            </w:tcBorders>
            <w:shd w:val="clear" w:color="auto" w:fill="auto"/>
            <w:vAlign w:val="center"/>
            <w:hideMark/>
          </w:tcPr>
          <w:p w14:paraId="3E3F585A"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334</w:t>
            </w:r>
          </w:p>
        </w:tc>
        <w:tc>
          <w:tcPr>
            <w:tcW w:w="1401" w:type="dxa"/>
            <w:tcBorders>
              <w:top w:val="nil"/>
              <w:left w:val="nil"/>
              <w:bottom w:val="nil"/>
              <w:right w:val="nil"/>
            </w:tcBorders>
            <w:shd w:val="clear" w:color="auto" w:fill="auto"/>
            <w:vAlign w:val="center"/>
            <w:hideMark/>
          </w:tcPr>
          <w:p w14:paraId="1F2D38E2"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1.48</w:t>
            </w:r>
          </w:p>
        </w:tc>
      </w:tr>
      <w:tr w:rsidR="00C961CF" w:rsidRPr="000D61D1" w14:paraId="5CB1AEDE" w14:textId="77777777" w:rsidTr="003C620A">
        <w:trPr>
          <w:trHeight w:val="290"/>
        </w:trPr>
        <w:tc>
          <w:tcPr>
            <w:tcW w:w="1701" w:type="dxa"/>
            <w:tcBorders>
              <w:top w:val="nil"/>
              <w:left w:val="nil"/>
              <w:right w:val="nil"/>
            </w:tcBorders>
            <w:shd w:val="clear" w:color="auto" w:fill="auto"/>
            <w:vAlign w:val="center"/>
            <w:hideMark/>
          </w:tcPr>
          <w:p w14:paraId="0B1BD10B" w14:textId="77777777" w:rsidR="00C961CF" w:rsidRPr="000D61D1" w:rsidRDefault="00C961CF" w:rsidP="00C961CF">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2240" w:type="dxa"/>
            <w:tcBorders>
              <w:top w:val="nil"/>
              <w:left w:val="nil"/>
              <w:right w:val="nil"/>
            </w:tcBorders>
            <w:shd w:val="clear" w:color="000000" w:fill="E7E6E6"/>
            <w:vAlign w:val="center"/>
            <w:hideMark/>
          </w:tcPr>
          <w:p w14:paraId="452F41AD"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24,878</w:t>
            </w:r>
          </w:p>
        </w:tc>
        <w:tc>
          <w:tcPr>
            <w:tcW w:w="2155" w:type="dxa"/>
            <w:tcBorders>
              <w:top w:val="nil"/>
              <w:left w:val="nil"/>
              <w:right w:val="nil"/>
            </w:tcBorders>
            <w:shd w:val="clear" w:color="auto" w:fill="auto"/>
            <w:vAlign w:val="center"/>
            <w:hideMark/>
          </w:tcPr>
          <w:p w14:paraId="40F769E8"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24,807</w:t>
            </w:r>
          </w:p>
        </w:tc>
        <w:tc>
          <w:tcPr>
            <w:tcW w:w="1150" w:type="dxa"/>
            <w:tcBorders>
              <w:top w:val="nil"/>
              <w:left w:val="nil"/>
              <w:right w:val="nil"/>
            </w:tcBorders>
            <w:shd w:val="clear" w:color="auto" w:fill="auto"/>
            <w:vAlign w:val="center"/>
            <w:hideMark/>
          </w:tcPr>
          <w:p w14:paraId="6EA6BDDF"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71</w:t>
            </w:r>
          </w:p>
        </w:tc>
        <w:tc>
          <w:tcPr>
            <w:tcW w:w="1401" w:type="dxa"/>
            <w:tcBorders>
              <w:top w:val="nil"/>
              <w:left w:val="nil"/>
              <w:right w:val="nil"/>
            </w:tcBorders>
            <w:shd w:val="clear" w:color="auto" w:fill="auto"/>
            <w:vAlign w:val="center"/>
            <w:hideMark/>
          </w:tcPr>
          <w:p w14:paraId="0DCF16FD" w14:textId="77777777" w:rsidR="00C961CF" w:rsidRPr="000D61D1" w:rsidRDefault="00C961CF" w:rsidP="00C961CF">
            <w:pPr>
              <w:spacing w:after="0"/>
              <w:jc w:val="right"/>
              <w:rPr>
                <w:rFonts w:ascii="Calibri" w:eastAsia="Times New Roman" w:hAnsi="Calibri" w:cs="Calibri"/>
                <w:color w:val="000000"/>
                <w:sz w:val="22"/>
                <w:szCs w:val="22"/>
                <w:lang w:val="en-AU" w:eastAsia="en-AU"/>
              </w:rPr>
            </w:pPr>
            <w:r>
              <w:t>0.29</w:t>
            </w:r>
          </w:p>
        </w:tc>
      </w:tr>
      <w:tr w:rsidR="00C961CF" w:rsidRPr="000D61D1" w14:paraId="26F0ACF2" w14:textId="77777777" w:rsidTr="003C620A">
        <w:trPr>
          <w:trHeight w:val="290"/>
        </w:trPr>
        <w:tc>
          <w:tcPr>
            <w:tcW w:w="1701" w:type="dxa"/>
            <w:tcBorders>
              <w:top w:val="nil"/>
              <w:left w:val="nil"/>
              <w:bottom w:val="single" w:sz="12" w:space="0" w:color="auto"/>
              <w:right w:val="nil"/>
            </w:tcBorders>
            <w:shd w:val="clear" w:color="auto" w:fill="auto"/>
            <w:vAlign w:val="center"/>
            <w:hideMark/>
          </w:tcPr>
          <w:p w14:paraId="278E5504" w14:textId="77777777" w:rsidR="00C961CF" w:rsidRPr="000D61D1" w:rsidRDefault="00C961CF" w:rsidP="00C961CF">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2240" w:type="dxa"/>
            <w:tcBorders>
              <w:top w:val="nil"/>
              <w:left w:val="nil"/>
              <w:bottom w:val="single" w:sz="12" w:space="0" w:color="auto"/>
              <w:right w:val="nil"/>
            </w:tcBorders>
            <w:shd w:val="clear" w:color="000000" w:fill="E7E6E6"/>
            <w:vAlign w:val="center"/>
            <w:hideMark/>
          </w:tcPr>
          <w:p w14:paraId="1A60302E" w14:textId="77777777" w:rsidR="00C961CF" w:rsidRPr="000D61D1" w:rsidRDefault="00C961CF" w:rsidP="00C961CF">
            <w:pPr>
              <w:spacing w:after="0"/>
              <w:jc w:val="right"/>
              <w:rPr>
                <w:rFonts w:ascii="Calibri" w:hAnsi="Calibri"/>
                <w:color w:val="000000"/>
                <w:sz w:val="22"/>
                <w:lang w:val="en-AU"/>
              </w:rPr>
            </w:pPr>
            <w:r>
              <w:t>27,301</w:t>
            </w:r>
          </w:p>
        </w:tc>
        <w:tc>
          <w:tcPr>
            <w:tcW w:w="2155" w:type="dxa"/>
            <w:tcBorders>
              <w:top w:val="nil"/>
              <w:left w:val="nil"/>
              <w:bottom w:val="single" w:sz="12" w:space="0" w:color="auto"/>
              <w:right w:val="nil"/>
            </w:tcBorders>
            <w:shd w:val="clear" w:color="auto" w:fill="auto"/>
            <w:vAlign w:val="center"/>
            <w:hideMark/>
          </w:tcPr>
          <w:p w14:paraId="77251140" w14:textId="77777777" w:rsidR="00C961CF" w:rsidRPr="000D61D1" w:rsidRDefault="00C961CF" w:rsidP="00C961CF">
            <w:pPr>
              <w:spacing w:after="0"/>
              <w:jc w:val="right"/>
              <w:rPr>
                <w:rFonts w:ascii="Calibri" w:hAnsi="Calibri"/>
                <w:color w:val="000000"/>
                <w:sz w:val="22"/>
                <w:lang w:val="en-AU"/>
              </w:rPr>
            </w:pPr>
            <w:r>
              <w:t>27,258</w:t>
            </w:r>
          </w:p>
        </w:tc>
        <w:tc>
          <w:tcPr>
            <w:tcW w:w="1150" w:type="dxa"/>
            <w:tcBorders>
              <w:top w:val="nil"/>
              <w:left w:val="nil"/>
              <w:bottom w:val="single" w:sz="12" w:space="0" w:color="auto"/>
              <w:right w:val="nil"/>
            </w:tcBorders>
            <w:shd w:val="clear" w:color="auto" w:fill="auto"/>
            <w:vAlign w:val="center"/>
            <w:hideMark/>
          </w:tcPr>
          <w:p w14:paraId="6413BB76" w14:textId="77777777" w:rsidR="00C961CF" w:rsidRPr="000D61D1" w:rsidRDefault="00C961CF" w:rsidP="00C961CF">
            <w:pPr>
              <w:spacing w:after="0"/>
              <w:jc w:val="right"/>
              <w:rPr>
                <w:rFonts w:ascii="Calibri" w:hAnsi="Calibri"/>
                <w:color w:val="000000"/>
                <w:sz w:val="22"/>
                <w:lang w:val="en-AU"/>
              </w:rPr>
            </w:pPr>
            <w:r>
              <w:t>43</w:t>
            </w:r>
          </w:p>
        </w:tc>
        <w:tc>
          <w:tcPr>
            <w:tcW w:w="1401" w:type="dxa"/>
            <w:tcBorders>
              <w:top w:val="nil"/>
              <w:left w:val="nil"/>
              <w:bottom w:val="single" w:sz="12" w:space="0" w:color="auto"/>
              <w:right w:val="nil"/>
            </w:tcBorders>
            <w:shd w:val="clear" w:color="auto" w:fill="auto"/>
            <w:vAlign w:val="center"/>
            <w:hideMark/>
          </w:tcPr>
          <w:p w14:paraId="640B7768" w14:textId="77777777" w:rsidR="00C961CF" w:rsidRPr="000D61D1" w:rsidRDefault="00C961CF" w:rsidP="00C961CF">
            <w:pPr>
              <w:spacing w:after="0"/>
              <w:jc w:val="right"/>
              <w:rPr>
                <w:rFonts w:ascii="Calibri" w:hAnsi="Calibri"/>
                <w:color w:val="000000"/>
                <w:sz w:val="22"/>
                <w:lang w:val="en-AU"/>
              </w:rPr>
            </w:pPr>
            <w:r>
              <w:t>0.16</w:t>
            </w:r>
          </w:p>
        </w:tc>
      </w:tr>
    </w:tbl>
    <w:p w14:paraId="7A27836C" w14:textId="77777777" w:rsidR="003C620A" w:rsidRPr="000D61D1" w:rsidRDefault="003C620A" w:rsidP="003C620A">
      <w:pPr>
        <w:pStyle w:val="Caption"/>
        <w:jc w:val="left"/>
        <w:rPr>
          <w:lang w:val="en-AU"/>
        </w:rPr>
      </w:pPr>
      <w:r w:rsidRPr="000D61D1">
        <w:rPr>
          <w:lang w:val="en-AU"/>
        </w:rPr>
        <w:lastRenderedPageBreak/>
        <w:t>Source: Calculations from NATSEM microsimulation model.</w:t>
      </w:r>
      <w:r w:rsidRPr="000D61D1">
        <w:rPr>
          <w:lang w:val="en-AU"/>
        </w:rPr>
        <w:br/>
      </w:r>
    </w:p>
    <w:p w14:paraId="184FA7F3" w14:textId="4ED045AC" w:rsidR="003C620A" w:rsidRDefault="003C620A" w:rsidP="003C620A">
      <w:pPr>
        <w:pStyle w:val="Caption"/>
        <w:jc w:val="left"/>
        <w:rPr>
          <w:i w:val="0"/>
          <w:lang w:val="en-AU"/>
        </w:rPr>
      </w:pPr>
      <w:r>
        <w:rPr>
          <w:i w:val="0"/>
          <w:iCs/>
          <w:lang w:val="en-AU"/>
        </w:rPr>
        <w:t>Table 10</w:t>
      </w:r>
      <w:r w:rsidRPr="000D61D1">
        <w:rPr>
          <w:i w:val="0"/>
          <w:iCs/>
          <w:lang w:val="en-AU"/>
        </w:rPr>
        <w:t xml:space="preserve"> shows the impact of tax reform on rates and stamp duty paid by wealth quintile. </w:t>
      </w:r>
      <w:r w:rsidRPr="00765E42">
        <w:rPr>
          <w:i w:val="0"/>
          <w:iCs/>
          <w:lang w:val="en-AU"/>
        </w:rPr>
        <w:t>The</w:t>
      </w:r>
      <w:r>
        <w:rPr>
          <w:i w:val="0"/>
          <w:iCs/>
          <w:lang w:val="en-AU"/>
        </w:rPr>
        <w:t xml:space="preserve"> dollar figure</w:t>
      </w:r>
      <w:r w:rsidRPr="00765E42">
        <w:rPr>
          <w:i w:val="0"/>
          <w:iCs/>
          <w:lang w:val="en-AU"/>
        </w:rPr>
        <w:t xml:space="preserve"> represent</w:t>
      </w:r>
      <w:r>
        <w:rPr>
          <w:i w:val="0"/>
          <w:iCs/>
          <w:lang w:val="en-AU"/>
        </w:rPr>
        <w:t>s</w:t>
      </w:r>
      <w:r w:rsidRPr="00765E42">
        <w:rPr>
          <w:i w:val="0"/>
          <w:iCs/>
          <w:lang w:val="en-AU"/>
        </w:rPr>
        <w:t xml:space="preserve"> the average stamp duty and rates paid by all households in a year, over the time period analysed for each quintile</w:t>
      </w:r>
      <w:r>
        <w:rPr>
          <w:i w:val="0"/>
          <w:iCs/>
          <w:lang w:val="en-AU"/>
        </w:rPr>
        <w:t>.</w:t>
      </w:r>
      <w:r w:rsidRPr="00765E42">
        <w:rPr>
          <w:i w:val="0"/>
          <w:iCs/>
          <w:lang w:val="en-AU"/>
        </w:rPr>
        <w:t xml:space="preserve"> </w:t>
      </w:r>
      <w:r w:rsidRPr="000D61D1">
        <w:rPr>
          <w:i w:val="0"/>
          <w:iCs/>
          <w:lang w:val="en-AU"/>
        </w:rPr>
        <w:t>Low wealth families are worse off by $1</w:t>
      </w:r>
      <w:r>
        <w:rPr>
          <w:i w:val="0"/>
          <w:iCs/>
          <w:lang w:val="en-AU"/>
        </w:rPr>
        <w:t>32</w:t>
      </w:r>
      <w:r w:rsidRPr="000D61D1">
        <w:rPr>
          <w:i w:val="0"/>
          <w:iCs/>
          <w:lang w:val="en-AU"/>
        </w:rPr>
        <w:t>, possibly due to higher rates</w:t>
      </w:r>
      <w:r>
        <w:rPr>
          <w:i w:val="0"/>
          <w:iCs/>
          <w:lang w:val="en-AU"/>
        </w:rPr>
        <w:t xml:space="preserve"> under the new system compared to the old, and minimal benefit from stamp duty (see Tables 21 and 23 in the Technical Paper)</w:t>
      </w:r>
      <w:r w:rsidRPr="000D61D1">
        <w:rPr>
          <w:i w:val="0"/>
          <w:iCs/>
          <w:lang w:val="en-AU"/>
        </w:rPr>
        <w:t>. High wealth families are also worse off by $3</w:t>
      </w:r>
      <w:r>
        <w:rPr>
          <w:i w:val="0"/>
          <w:iCs/>
          <w:lang w:val="en-AU"/>
        </w:rPr>
        <w:t>65</w:t>
      </w:r>
      <w:r w:rsidRPr="000D61D1">
        <w:rPr>
          <w:i w:val="0"/>
          <w:iCs/>
          <w:lang w:val="en-AU"/>
        </w:rPr>
        <w:t xml:space="preserve"> a year on average, due </w:t>
      </w:r>
      <w:r>
        <w:rPr>
          <w:i w:val="0"/>
          <w:iCs/>
          <w:lang w:val="en-AU"/>
        </w:rPr>
        <w:t>to</w:t>
      </w:r>
      <w:r w:rsidRPr="000D61D1">
        <w:rPr>
          <w:i w:val="0"/>
          <w:iCs/>
          <w:lang w:val="en-AU"/>
        </w:rPr>
        <w:t xml:space="preserve"> higher rates paid on more expensive </w:t>
      </w:r>
      <w:r>
        <w:rPr>
          <w:i w:val="0"/>
          <w:iCs/>
          <w:lang w:val="en-AU"/>
        </w:rPr>
        <w:t>properties</w:t>
      </w:r>
      <w:r w:rsidRPr="000D61D1">
        <w:rPr>
          <w:i w:val="0"/>
          <w:iCs/>
          <w:lang w:val="en-AU"/>
        </w:rPr>
        <w:t xml:space="preserve">. The change in </w:t>
      </w:r>
      <w:r>
        <w:rPr>
          <w:i w:val="0"/>
          <w:iCs/>
          <w:lang w:val="en-AU"/>
        </w:rPr>
        <w:t xml:space="preserve">property </w:t>
      </w:r>
      <w:r w:rsidRPr="000D61D1">
        <w:rPr>
          <w:i w:val="0"/>
          <w:iCs/>
          <w:lang w:val="en-AU"/>
        </w:rPr>
        <w:t xml:space="preserve">prices </w:t>
      </w:r>
      <w:r>
        <w:rPr>
          <w:i w:val="0"/>
          <w:iCs/>
          <w:lang w:val="en-AU"/>
        </w:rPr>
        <w:t>had little impact on the amounts paid by wealth quintile.</w:t>
      </w:r>
    </w:p>
    <w:p w14:paraId="42EAC84E" w14:textId="77777777" w:rsidR="003C620A" w:rsidRDefault="003C620A" w:rsidP="003C620A">
      <w:pPr>
        <w:pStyle w:val="Caption"/>
        <w:jc w:val="left"/>
        <w:rPr>
          <w:b/>
          <w:i w:val="0"/>
          <w:color w:val="365F91" w:themeColor="accent1" w:themeShade="BF"/>
          <w:lang w:val="en-AU"/>
        </w:rPr>
      </w:pPr>
    </w:p>
    <w:p w14:paraId="44132690" w14:textId="415581EB" w:rsidR="003C620A" w:rsidRPr="000D61D1" w:rsidRDefault="003C620A" w:rsidP="003C620A">
      <w:pPr>
        <w:pStyle w:val="TableCaption"/>
        <w:rPr>
          <w:lang w:val="en-AU"/>
        </w:rPr>
      </w:pPr>
      <w:bookmarkStart w:id="24" w:name="_Toc43911497"/>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10</w:t>
      </w:r>
      <w:r w:rsidRPr="000D61D1">
        <w:rPr>
          <w:lang w:val="en-AU"/>
        </w:rPr>
        <w:fldChar w:fldCharType="end"/>
      </w:r>
      <w:r w:rsidRPr="000D61D1">
        <w:rPr>
          <w:lang w:val="en-AU"/>
        </w:rPr>
        <w:t xml:space="preserve"> - The impact of tax reform on rates and stamp duty paid by wealth quintile, average 2012 – 2018</w:t>
      </w:r>
      <w:bookmarkEnd w:id="24"/>
    </w:p>
    <w:tbl>
      <w:tblPr>
        <w:tblW w:w="8950" w:type="dxa"/>
        <w:tblLook w:val="04A0" w:firstRow="1" w:lastRow="0" w:firstColumn="1" w:lastColumn="0" w:noHBand="0" w:noVBand="1"/>
        <w:tblCaption w:val="Table 25c - The impact of the stamp duty and general rate payment on income by wealth quintile, average 2012 - 2018"/>
      </w:tblPr>
      <w:tblGrid>
        <w:gridCol w:w="1985"/>
        <w:gridCol w:w="1134"/>
        <w:gridCol w:w="935"/>
        <w:gridCol w:w="1150"/>
        <w:gridCol w:w="1317"/>
        <w:gridCol w:w="1276"/>
        <w:gridCol w:w="1153"/>
      </w:tblGrid>
      <w:tr w:rsidR="003C620A" w:rsidRPr="000D61D1" w14:paraId="7484DE05" w14:textId="77777777" w:rsidTr="00870105">
        <w:trPr>
          <w:trHeight w:val="580"/>
        </w:trPr>
        <w:tc>
          <w:tcPr>
            <w:tcW w:w="1985" w:type="dxa"/>
            <w:tcBorders>
              <w:top w:val="single" w:sz="8" w:space="0" w:color="auto"/>
              <w:left w:val="nil"/>
              <w:bottom w:val="single" w:sz="8" w:space="0" w:color="auto"/>
              <w:right w:val="nil"/>
            </w:tcBorders>
            <w:shd w:val="clear" w:color="auto" w:fill="auto"/>
            <w:vAlign w:val="center"/>
            <w:hideMark/>
          </w:tcPr>
          <w:p w14:paraId="2DBB2E11" w14:textId="62E861CA" w:rsidR="003C620A" w:rsidRPr="000D61D1" w:rsidRDefault="003C620A" w:rsidP="003C620A">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sidR="00C961CF">
              <w:rPr>
                <w:rFonts w:ascii="Calibri" w:eastAsia="Times New Roman" w:hAnsi="Calibri" w:cs="Calibri"/>
                <w:color w:val="000000"/>
                <w:lang w:val="en-AU" w:eastAsia="en-AU"/>
              </w:rPr>
              <w:t>Quintile</w:t>
            </w:r>
          </w:p>
        </w:tc>
        <w:tc>
          <w:tcPr>
            <w:tcW w:w="1134" w:type="dxa"/>
            <w:tcBorders>
              <w:top w:val="single" w:sz="8" w:space="0" w:color="auto"/>
              <w:left w:val="nil"/>
              <w:bottom w:val="single" w:sz="8" w:space="0" w:color="auto"/>
              <w:right w:val="nil"/>
            </w:tcBorders>
            <w:shd w:val="clear" w:color="000000" w:fill="E7E6E6"/>
            <w:vAlign w:val="center"/>
            <w:hideMark/>
          </w:tcPr>
          <w:p w14:paraId="00E30E28" w14:textId="5DFBE7F5"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w:t>
            </w:r>
            <w:r w:rsidR="00F37CA4">
              <w:rPr>
                <w:rFonts w:ascii="Calibri" w:eastAsia="Times New Roman" w:hAnsi="Calibri" w:cs="Calibri"/>
                <w:color w:val="000000"/>
                <w:sz w:val="22"/>
                <w:szCs w:val="22"/>
                <w:lang w:val="en-AU" w:eastAsia="en-AU"/>
              </w:rPr>
              <w:t xml:space="preserve"> $</w:t>
            </w:r>
          </w:p>
        </w:tc>
        <w:tc>
          <w:tcPr>
            <w:tcW w:w="935" w:type="dxa"/>
            <w:tcBorders>
              <w:top w:val="single" w:sz="8" w:space="0" w:color="auto"/>
              <w:left w:val="nil"/>
              <w:bottom w:val="single" w:sz="8" w:space="0" w:color="auto"/>
              <w:right w:val="nil"/>
            </w:tcBorders>
            <w:shd w:val="clear" w:color="auto" w:fill="auto"/>
            <w:vAlign w:val="center"/>
            <w:hideMark/>
          </w:tcPr>
          <w:p w14:paraId="21A2CF0D" w14:textId="76AAEA93"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w:t>
            </w:r>
            <w:r w:rsidR="00F37CA4">
              <w:rPr>
                <w:rFonts w:ascii="Calibri" w:eastAsia="Times New Roman" w:hAnsi="Calibri" w:cs="Calibri"/>
                <w:color w:val="000000"/>
                <w:sz w:val="22"/>
                <w:szCs w:val="22"/>
                <w:lang w:val="en-AU" w:eastAsia="en-AU"/>
              </w:rPr>
              <w:t xml:space="preserve"> $</w:t>
            </w:r>
          </w:p>
        </w:tc>
        <w:tc>
          <w:tcPr>
            <w:tcW w:w="1150" w:type="dxa"/>
            <w:tcBorders>
              <w:top w:val="single" w:sz="8" w:space="0" w:color="auto"/>
              <w:left w:val="nil"/>
              <w:bottom w:val="single" w:sz="8" w:space="0" w:color="auto"/>
              <w:right w:val="nil"/>
            </w:tcBorders>
            <w:shd w:val="clear" w:color="auto" w:fill="auto"/>
            <w:vAlign w:val="center"/>
            <w:hideMark/>
          </w:tcPr>
          <w:p w14:paraId="7DEDFA3D" w14:textId="1A543710"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r w:rsidR="00F37CA4">
              <w:rPr>
                <w:rFonts w:ascii="Calibri" w:eastAsia="Times New Roman" w:hAnsi="Calibri" w:cs="Calibri"/>
                <w:color w:val="000000"/>
                <w:sz w:val="22"/>
                <w:szCs w:val="22"/>
                <w:lang w:val="en-AU" w:eastAsia="en-AU"/>
              </w:rPr>
              <w:t xml:space="preserve"> $</w:t>
            </w:r>
            <w:r w:rsidRPr="000D61D1">
              <w:rPr>
                <w:rFonts w:ascii="Calibri" w:eastAsia="Times New Roman" w:hAnsi="Calibri" w:cs="Calibri"/>
                <w:color w:val="000000"/>
                <w:sz w:val="22"/>
                <w:szCs w:val="22"/>
                <w:lang w:val="en-AU" w:eastAsia="en-AU"/>
              </w:rPr>
              <w:t xml:space="preserve"> </w:t>
            </w:r>
          </w:p>
        </w:tc>
        <w:tc>
          <w:tcPr>
            <w:tcW w:w="1317" w:type="dxa"/>
            <w:tcBorders>
              <w:top w:val="single" w:sz="8" w:space="0" w:color="auto"/>
              <w:left w:val="nil"/>
              <w:bottom w:val="single" w:sz="8" w:space="0" w:color="auto"/>
              <w:right w:val="nil"/>
            </w:tcBorders>
            <w:shd w:val="clear" w:color="auto" w:fill="auto"/>
            <w:vAlign w:val="center"/>
            <w:hideMark/>
          </w:tcPr>
          <w:p w14:paraId="2DA5FDAB"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 % Change in income</w:t>
            </w:r>
          </w:p>
        </w:tc>
        <w:tc>
          <w:tcPr>
            <w:tcW w:w="1276" w:type="dxa"/>
            <w:tcBorders>
              <w:top w:val="single" w:sz="8" w:space="0" w:color="auto"/>
              <w:left w:val="nil"/>
              <w:bottom w:val="single" w:sz="8" w:space="0" w:color="auto"/>
              <w:right w:val="nil"/>
            </w:tcBorders>
            <w:shd w:val="clear" w:color="auto" w:fill="auto"/>
            <w:vAlign w:val="center"/>
            <w:hideMark/>
          </w:tcPr>
          <w:p w14:paraId="540162F6"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 % Change in income</w:t>
            </w:r>
          </w:p>
        </w:tc>
        <w:tc>
          <w:tcPr>
            <w:tcW w:w="1153" w:type="dxa"/>
            <w:tcBorders>
              <w:top w:val="single" w:sz="8" w:space="0" w:color="auto"/>
              <w:left w:val="nil"/>
              <w:bottom w:val="single" w:sz="8" w:space="0" w:color="auto"/>
              <w:right w:val="nil"/>
            </w:tcBorders>
            <w:shd w:val="clear" w:color="auto" w:fill="auto"/>
            <w:vAlign w:val="center"/>
            <w:hideMark/>
          </w:tcPr>
          <w:p w14:paraId="543E490A"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p>
        </w:tc>
      </w:tr>
      <w:tr w:rsidR="003C620A" w:rsidRPr="000D61D1" w14:paraId="09EADBA3" w14:textId="77777777" w:rsidTr="00870105">
        <w:trPr>
          <w:trHeight w:val="290"/>
        </w:trPr>
        <w:tc>
          <w:tcPr>
            <w:tcW w:w="1985" w:type="dxa"/>
            <w:tcBorders>
              <w:top w:val="single" w:sz="8" w:space="0" w:color="auto"/>
              <w:left w:val="nil"/>
              <w:bottom w:val="nil"/>
              <w:right w:val="nil"/>
            </w:tcBorders>
            <w:shd w:val="clear" w:color="auto" w:fill="auto"/>
            <w:vAlign w:val="center"/>
            <w:hideMark/>
          </w:tcPr>
          <w:p w14:paraId="7AE302E7"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1134" w:type="dxa"/>
            <w:tcBorders>
              <w:top w:val="single" w:sz="8" w:space="0" w:color="auto"/>
              <w:left w:val="nil"/>
              <w:bottom w:val="nil"/>
              <w:right w:val="nil"/>
            </w:tcBorders>
            <w:shd w:val="clear" w:color="000000" w:fill="E7E6E6"/>
            <w:vAlign w:val="center"/>
            <w:hideMark/>
          </w:tcPr>
          <w:p w14:paraId="71F34F6D"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1,176</w:t>
            </w:r>
          </w:p>
        </w:tc>
        <w:tc>
          <w:tcPr>
            <w:tcW w:w="935" w:type="dxa"/>
            <w:tcBorders>
              <w:top w:val="single" w:sz="8" w:space="0" w:color="auto"/>
              <w:left w:val="nil"/>
              <w:bottom w:val="nil"/>
              <w:right w:val="nil"/>
            </w:tcBorders>
            <w:shd w:val="clear" w:color="auto" w:fill="auto"/>
            <w:vAlign w:val="center"/>
            <w:hideMark/>
          </w:tcPr>
          <w:p w14:paraId="1E3AFE03"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1,044</w:t>
            </w:r>
          </w:p>
        </w:tc>
        <w:tc>
          <w:tcPr>
            <w:tcW w:w="1150" w:type="dxa"/>
            <w:tcBorders>
              <w:top w:val="single" w:sz="8" w:space="0" w:color="auto"/>
              <w:left w:val="nil"/>
              <w:bottom w:val="nil"/>
              <w:right w:val="nil"/>
            </w:tcBorders>
            <w:shd w:val="clear" w:color="auto" w:fill="auto"/>
            <w:vAlign w:val="center"/>
            <w:hideMark/>
          </w:tcPr>
          <w:p w14:paraId="582F84D7"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132</w:t>
            </w:r>
          </w:p>
        </w:tc>
        <w:tc>
          <w:tcPr>
            <w:tcW w:w="1317" w:type="dxa"/>
            <w:tcBorders>
              <w:top w:val="single" w:sz="8" w:space="0" w:color="auto"/>
              <w:left w:val="nil"/>
              <w:bottom w:val="nil"/>
              <w:right w:val="nil"/>
            </w:tcBorders>
            <w:shd w:val="clear" w:color="auto" w:fill="auto"/>
            <w:vAlign w:val="center"/>
            <w:hideMark/>
          </w:tcPr>
          <w:p w14:paraId="32081E72"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1.53</w:t>
            </w:r>
          </w:p>
        </w:tc>
        <w:tc>
          <w:tcPr>
            <w:tcW w:w="1276" w:type="dxa"/>
            <w:tcBorders>
              <w:top w:val="single" w:sz="8" w:space="0" w:color="auto"/>
              <w:left w:val="nil"/>
              <w:bottom w:val="nil"/>
              <w:right w:val="nil"/>
            </w:tcBorders>
            <w:shd w:val="clear" w:color="auto" w:fill="auto"/>
            <w:vAlign w:val="center"/>
            <w:hideMark/>
          </w:tcPr>
          <w:p w14:paraId="7C84DC4B"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1.36</w:t>
            </w:r>
          </w:p>
        </w:tc>
        <w:tc>
          <w:tcPr>
            <w:tcW w:w="1153" w:type="dxa"/>
            <w:tcBorders>
              <w:top w:val="single" w:sz="8" w:space="0" w:color="auto"/>
              <w:left w:val="nil"/>
              <w:bottom w:val="nil"/>
              <w:right w:val="nil"/>
            </w:tcBorders>
            <w:shd w:val="clear" w:color="auto" w:fill="auto"/>
            <w:vAlign w:val="center"/>
            <w:hideMark/>
          </w:tcPr>
          <w:p w14:paraId="10042422"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0.17</w:t>
            </w:r>
          </w:p>
        </w:tc>
      </w:tr>
      <w:tr w:rsidR="003C620A" w:rsidRPr="000D61D1" w14:paraId="7FFE2412" w14:textId="77777777" w:rsidTr="003C620A">
        <w:trPr>
          <w:trHeight w:val="290"/>
        </w:trPr>
        <w:tc>
          <w:tcPr>
            <w:tcW w:w="1985" w:type="dxa"/>
            <w:tcBorders>
              <w:top w:val="nil"/>
              <w:left w:val="nil"/>
              <w:bottom w:val="nil"/>
              <w:right w:val="nil"/>
            </w:tcBorders>
            <w:shd w:val="clear" w:color="auto" w:fill="auto"/>
            <w:vAlign w:val="center"/>
            <w:hideMark/>
          </w:tcPr>
          <w:p w14:paraId="11F8A0EF"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1134" w:type="dxa"/>
            <w:tcBorders>
              <w:top w:val="nil"/>
              <w:left w:val="nil"/>
              <w:bottom w:val="nil"/>
              <w:right w:val="nil"/>
            </w:tcBorders>
            <w:shd w:val="clear" w:color="000000" w:fill="E7E6E6"/>
            <w:vAlign w:val="center"/>
            <w:hideMark/>
          </w:tcPr>
          <w:p w14:paraId="0A42A474"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4,113</w:t>
            </w:r>
          </w:p>
        </w:tc>
        <w:tc>
          <w:tcPr>
            <w:tcW w:w="935" w:type="dxa"/>
            <w:tcBorders>
              <w:top w:val="nil"/>
              <w:left w:val="nil"/>
              <w:bottom w:val="nil"/>
              <w:right w:val="nil"/>
            </w:tcBorders>
            <w:shd w:val="clear" w:color="auto" w:fill="auto"/>
            <w:vAlign w:val="center"/>
            <w:hideMark/>
          </w:tcPr>
          <w:p w14:paraId="39ABAF63"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4,553</w:t>
            </w:r>
          </w:p>
        </w:tc>
        <w:tc>
          <w:tcPr>
            <w:tcW w:w="1150" w:type="dxa"/>
            <w:tcBorders>
              <w:top w:val="nil"/>
              <w:left w:val="nil"/>
              <w:bottom w:val="nil"/>
              <w:right w:val="nil"/>
            </w:tcBorders>
            <w:shd w:val="clear" w:color="auto" w:fill="auto"/>
            <w:vAlign w:val="center"/>
            <w:hideMark/>
          </w:tcPr>
          <w:p w14:paraId="0A743A1E"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-440</w:t>
            </w:r>
          </w:p>
        </w:tc>
        <w:tc>
          <w:tcPr>
            <w:tcW w:w="1317" w:type="dxa"/>
            <w:tcBorders>
              <w:top w:val="nil"/>
              <w:left w:val="nil"/>
              <w:bottom w:val="nil"/>
              <w:right w:val="nil"/>
            </w:tcBorders>
            <w:shd w:val="clear" w:color="auto" w:fill="auto"/>
            <w:vAlign w:val="center"/>
            <w:hideMark/>
          </w:tcPr>
          <w:p w14:paraId="27E63983"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5.11</w:t>
            </w:r>
          </w:p>
        </w:tc>
        <w:tc>
          <w:tcPr>
            <w:tcW w:w="1276" w:type="dxa"/>
            <w:tcBorders>
              <w:top w:val="nil"/>
              <w:left w:val="nil"/>
              <w:bottom w:val="nil"/>
              <w:right w:val="nil"/>
            </w:tcBorders>
            <w:shd w:val="clear" w:color="auto" w:fill="auto"/>
            <w:vAlign w:val="center"/>
            <w:hideMark/>
          </w:tcPr>
          <w:p w14:paraId="46391B4D"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5.66</w:t>
            </w:r>
          </w:p>
        </w:tc>
        <w:tc>
          <w:tcPr>
            <w:tcW w:w="1153" w:type="dxa"/>
            <w:tcBorders>
              <w:top w:val="nil"/>
              <w:left w:val="nil"/>
              <w:bottom w:val="nil"/>
              <w:right w:val="nil"/>
            </w:tcBorders>
            <w:shd w:val="clear" w:color="auto" w:fill="auto"/>
            <w:vAlign w:val="center"/>
            <w:hideMark/>
          </w:tcPr>
          <w:p w14:paraId="17D9221B"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-0.55</w:t>
            </w:r>
          </w:p>
        </w:tc>
      </w:tr>
      <w:tr w:rsidR="003C620A" w:rsidRPr="000D61D1" w14:paraId="214656BC" w14:textId="77777777" w:rsidTr="003C620A">
        <w:trPr>
          <w:trHeight w:val="290"/>
        </w:trPr>
        <w:tc>
          <w:tcPr>
            <w:tcW w:w="1985" w:type="dxa"/>
            <w:tcBorders>
              <w:top w:val="nil"/>
              <w:left w:val="nil"/>
              <w:bottom w:val="nil"/>
              <w:right w:val="nil"/>
            </w:tcBorders>
            <w:shd w:val="clear" w:color="auto" w:fill="auto"/>
            <w:vAlign w:val="center"/>
            <w:hideMark/>
          </w:tcPr>
          <w:p w14:paraId="53BAC491"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1134" w:type="dxa"/>
            <w:tcBorders>
              <w:top w:val="nil"/>
              <w:left w:val="nil"/>
              <w:bottom w:val="nil"/>
              <w:right w:val="nil"/>
            </w:tcBorders>
            <w:shd w:val="clear" w:color="000000" w:fill="E7E6E6"/>
            <w:vAlign w:val="center"/>
            <w:hideMark/>
          </w:tcPr>
          <w:p w14:paraId="3F13DC99"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3,578</w:t>
            </w:r>
          </w:p>
        </w:tc>
        <w:tc>
          <w:tcPr>
            <w:tcW w:w="935" w:type="dxa"/>
            <w:tcBorders>
              <w:top w:val="nil"/>
              <w:left w:val="nil"/>
              <w:bottom w:val="nil"/>
              <w:right w:val="nil"/>
            </w:tcBorders>
            <w:shd w:val="clear" w:color="auto" w:fill="auto"/>
            <w:vAlign w:val="center"/>
            <w:hideMark/>
          </w:tcPr>
          <w:p w14:paraId="78029EF6"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3,909</w:t>
            </w:r>
          </w:p>
        </w:tc>
        <w:tc>
          <w:tcPr>
            <w:tcW w:w="1150" w:type="dxa"/>
            <w:tcBorders>
              <w:top w:val="nil"/>
              <w:left w:val="nil"/>
              <w:bottom w:val="nil"/>
              <w:right w:val="nil"/>
            </w:tcBorders>
            <w:shd w:val="clear" w:color="auto" w:fill="auto"/>
            <w:vAlign w:val="center"/>
            <w:hideMark/>
          </w:tcPr>
          <w:p w14:paraId="17994B37"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-331</w:t>
            </w:r>
          </w:p>
        </w:tc>
        <w:tc>
          <w:tcPr>
            <w:tcW w:w="1317" w:type="dxa"/>
            <w:tcBorders>
              <w:top w:val="nil"/>
              <w:left w:val="nil"/>
              <w:bottom w:val="nil"/>
              <w:right w:val="nil"/>
            </w:tcBorders>
            <w:shd w:val="clear" w:color="auto" w:fill="auto"/>
            <w:vAlign w:val="center"/>
            <w:hideMark/>
          </w:tcPr>
          <w:p w14:paraId="6EE73C98"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3.86</w:t>
            </w:r>
          </w:p>
        </w:tc>
        <w:tc>
          <w:tcPr>
            <w:tcW w:w="1276" w:type="dxa"/>
            <w:tcBorders>
              <w:top w:val="nil"/>
              <w:left w:val="nil"/>
              <w:bottom w:val="nil"/>
              <w:right w:val="nil"/>
            </w:tcBorders>
            <w:shd w:val="clear" w:color="auto" w:fill="auto"/>
            <w:vAlign w:val="center"/>
            <w:hideMark/>
          </w:tcPr>
          <w:p w14:paraId="380C753A"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4.22</w:t>
            </w:r>
          </w:p>
        </w:tc>
        <w:tc>
          <w:tcPr>
            <w:tcW w:w="1153" w:type="dxa"/>
            <w:tcBorders>
              <w:top w:val="nil"/>
              <w:left w:val="nil"/>
              <w:bottom w:val="nil"/>
              <w:right w:val="nil"/>
            </w:tcBorders>
            <w:shd w:val="clear" w:color="auto" w:fill="auto"/>
            <w:vAlign w:val="center"/>
            <w:hideMark/>
          </w:tcPr>
          <w:p w14:paraId="50F9FC06"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-0.36</w:t>
            </w:r>
          </w:p>
        </w:tc>
      </w:tr>
      <w:tr w:rsidR="003C620A" w:rsidRPr="000D61D1" w14:paraId="500628A8" w14:textId="77777777" w:rsidTr="003C620A">
        <w:trPr>
          <w:trHeight w:val="290"/>
        </w:trPr>
        <w:tc>
          <w:tcPr>
            <w:tcW w:w="1985" w:type="dxa"/>
            <w:tcBorders>
              <w:top w:val="nil"/>
              <w:left w:val="nil"/>
              <w:bottom w:val="nil"/>
              <w:right w:val="nil"/>
            </w:tcBorders>
            <w:shd w:val="clear" w:color="auto" w:fill="auto"/>
            <w:vAlign w:val="center"/>
            <w:hideMark/>
          </w:tcPr>
          <w:p w14:paraId="227A3AFF"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1134" w:type="dxa"/>
            <w:tcBorders>
              <w:top w:val="nil"/>
              <w:left w:val="nil"/>
              <w:bottom w:val="nil"/>
              <w:right w:val="nil"/>
            </w:tcBorders>
            <w:shd w:val="clear" w:color="000000" w:fill="E7E6E6"/>
            <w:vAlign w:val="center"/>
            <w:hideMark/>
          </w:tcPr>
          <w:p w14:paraId="4636142A" w14:textId="77777777" w:rsidR="003C620A" w:rsidRPr="00987ED7" w:rsidRDefault="003C620A" w:rsidP="003C620A">
            <w:pPr>
              <w:spacing w:after="0"/>
              <w:jc w:val="right"/>
              <w:rPr>
                <w:rFonts w:ascii="Calibri" w:hAnsi="Calibri"/>
                <w:color w:val="000000"/>
                <w:sz w:val="22"/>
                <w:szCs w:val="22"/>
                <w:lang w:val="en-AU"/>
              </w:rPr>
            </w:pPr>
            <w:r w:rsidRPr="00987ED7">
              <w:rPr>
                <w:sz w:val="22"/>
                <w:szCs w:val="22"/>
              </w:rPr>
              <w:t>3,830</w:t>
            </w:r>
          </w:p>
        </w:tc>
        <w:tc>
          <w:tcPr>
            <w:tcW w:w="935" w:type="dxa"/>
            <w:tcBorders>
              <w:top w:val="nil"/>
              <w:left w:val="nil"/>
              <w:bottom w:val="nil"/>
              <w:right w:val="nil"/>
            </w:tcBorders>
            <w:shd w:val="clear" w:color="auto" w:fill="auto"/>
            <w:vAlign w:val="center"/>
            <w:hideMark/>
          </w:tcPr>
          <w:p w14:paraId="23B06CB2" w14:textId="77777777" w:rsidR="003C620A" w:rsidRPr="00987ED7" w:rsidRDefault="003C620A" w:rsidP="003C620A">
            <w:pPr>
              <w:spacing w:after="0"/>
              <w:jc w:val="right"/>
              <w:rPr>
                <w:rFonts w:ascii="Calibri" w:hAnsi="Calibri"/>
                <w:color w:val="000000"/>
                <w:sz w:val="22"/>
                <w:szCs w:val="22"/>
                <w:lang w:val="en-AU"/>
              </w:rPr>
            </w:pPr>
            <w:r w:rsidRPr="00987ED7">
              <w:rPr>
                <w:sz w:val="22"/>
                <w:szCs w:val="22"/>
              </w:rPr>
              <w:t>4,034</w:t>
            </w:r>
          </w:p>
        </w:tc>
        <w:tc>
          <w:tcPr>
            <w:tcW w:w="1150" w:type="dxa"/>
            <w:tcBorders>
              <w:top w:val="nil"/>
              <w:left w:val="nil"/>
              <w:bottom w:val="nil"/>
              <w:right w:val="nil"/>
            </w:tcBorders>
            <w:shd w:val="clear" w:color="auto" w:fill="auto"/>
            <w:vAlign w:val="center"/>
            <w:hideMark/>
          </w:tcPr>
          <w:p w14:paraId="4246AF8C" w14:textId="77777777" w:rsidR="003C620A" w:rsidRPr="00987ED7" w:rsidRDefault="003C620A" w:rsidP="003C620A">
            <w:pPr>
              <w:spacing w:after="0"/>
              <w:jc w:val="right"/>
              <w:rPr>
                <w:rFonts w:ascii="Calibri" w:hAnsi="Calibri"/>
                <w:color w:val="000000"/>
                <w:sz w:val="22"/>
                <w:szCs w:val="22"/>
                <w:lang w:val="en-AU"/>
              </w:rPr>
            </w:pPr>
            <w:r w:rsidRPr="00987ED7">
              <w:rPr>
                <w:sz w:val="22"/>
                <w:szCs w:val="22"/>
              </w:rPr>
              <w:t>-204</w:t>
            </w:r>
          </w:p>
        </w:tc>
        <w:tc>
          <w:tcPr>
            <w:tcW w:w="1317" w:type="dxa"/>
            <w:tcBorders>
              <w:top w:val="nil"/>
              <w:left w:val="nil"/>
              <w:bottom w:val="nil"/>
              <w:right w:val="nil"/>
            </w:tcBorders>
            <w:shd w:val="clear" w:color="auto" w:fill="auto"/>
            <w:vAlign w:val="center"/>
            <w:hideMark/>
          </w:tcPr>
          <w:p w14:paraId="2CC96142" w14:textId="77777777" w:rsidR="003C620A" w:rsidRPr="00987ED7" w:rsidRDefault="003C620A" w:rsidP="003C620A">
            <w:pPr>
              <w:spacing w:after="0"/>
              <w:jc w:val="right"/>
              <w:rPr>
                <w:rFonts w:ascii="Calibri" w:hAnsi="Calibri"/>
                <w:color w:val="000000"/>
                <w:sz w:val="22"/>
                <w:szCs w:val="22"/>
                <w:lang w:val="en-AU"/>
              </w:rPr>
            </w:pPr>
            <w:r w:rsidRPr="00987ED7">
              <w:rPr>
                <w:sz w:val="22"/>
                <w:szCs w:val="22"/>
              </w:rPr>
              <w:t>4.22</w:t>
            </w:r>
          </w:p>
        </w:tc>
        <w:tc>
          <w:tcPr>
            <w:tcW w:w="1276" w:type="dxa"/>
            <w:tcBorders>
              <w:top w:val="nil"/>
              <w:left w:val="nil"/>
              <w:bottom w:val="nil"/>
              <w:right w:val="nil"/>
            </w:tcBorders>
            <w:shd w:val="clear" w:color="auto" w:fill="auto"/>
            <w:vAlign w:val="center"/>
            <w:hideMark/>
          </w:tcPr>
          <w:p w14:paraId="44A4DAD2" w14:textId="77777777" w:rsidR="003C620A" w:rsidRPr="00987ED7" w:rsidRDefault="003C620A" w:rsidP="003C620A">
            <w:pPr>
              <w:spacing w:after="0"/>
              <w:jc w:val="right"/>
              <w:rPr>
                <w:rFonts w:ascii="Calibri" w:hAnsi="Calibri"/>
                <w:color w:val="000000"/>
                <w:sz w:val="22"/>
                <w:szCs w:val="22"/>
                <w:lang w:val="en-AU"/>
              </w:rPr>
            </w:pPr>
            <w:r w:rsidRPr="00987ED7">
              <w:rPr>
                <w:sz w:val="22"/>
                <w:szCs w:val="22"/>
              </w:rPr>
              <w:t>4.44</w:t>
            </w:r>
          </w:p>
        </w:tc>
        <w:tc>
          <w:tcPr>
            <w:tcW w:w="1153" w:type="dxa"/>
            <w:tcBorders>
              <w:top w:val="nil"/>
              <w:left w:val="nil"/>
              <w:bottom w:val="nil"/>
              <w:right w:val="nil"/>
            </w:tcBorders>
            <w:shd w:val="clear" w:color="auto" w:fill="auto"/>
            <w:vAlign w:val="center"/>
            <w:hideMark/>
          </w:tcPr>
          <w:p w14:paraId="036B8CD3" w14:textId="77777777" w:rsidR="003C620A" w:rsidRPr="00987ED7" w:rsidRDefault="003C620A" w:rsidP="003C620A">
            <w:pPr>
              <w:spacing w:after="0"/>
              <w:jc w:val="right"/>
              <w:rPr>
                <w:rFonts w:ascii="Calibri" w:hAnsi="Calibri"/>
                <w:color w:val="000000"/>
                <w:sz w:val="22"/>
                <w:szCs w:val="22"/>
                <w:lang w:val="en-AU"/>
              </w:rPr>
            </w:pPr>
            <w:r w:rsidRPr="00987ED7">
              <w:rPr>
                <w:sz w:val="22"/>
                <w:szCs w:val="22"/>
              </w:rPr>
              <w:t>-0.23</w:t>
            </w:r>
          </w:p>
        </w:tc>
      </w:tr>
      <w:tr w:rsidR="003C620A" w:rsidRPr="000D61D1" w14:paraId="7D1B81D3" w14:textId="77777777" w:rsidTr="003C620A">
        <w:trPr>
          <w:trHeight w:val="300"/>
        </w:trPr>
        <w:tc>
          <w:tcPr>
            <w:tcW w:w="1985" w:type="dxa"/>
            <w:tcBorders>
              <w:top w:val="nil"/>
              <w:left w:val="nil"/>
              <w:bottom w:val="nil"/>
              <w:right w:val="nil"/>
            </w:tcBorders>
            <w:shd w:val="clear" w:color="auto" w:fill="auto"/>
            <w:vAlign w:val="center"/>
            <w:hideMark/>
          </w:tcPr>
          <w:p w14:paraId="1752A31B"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1134" w:type="dxa"/>
            <w:tcBorders>
              <w:top w:val="nil"/>
              <w:left w:val="nil"/>
              <w:bottom w:val="nil"/>
              <w:right w:val="nil"/>
            </w:tcBorders>
            <w:shd w:val="clear" w:color="000000" w:fill="E7E6E6"/>
            <w:vAlign w:val="center"/>
            <w:hideMark/>
          </w:tcPr>
          <w:p w14:paraId="5847EFC4"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5,248</w:t>
            </w:r>
          </w:p>
        </w:tc>
        <w:tc>
          <w:tcPr>
            <w:tcW w:w="935" w:type="dxa"/>
            <w:tcBorders>
              <w:top w:val="nil"/>
              <w:left w:val="nil"/>
              <w:bottom w:val="nil"/>
              <w:right w:val="nil"/>
            </w:tcBorders>
            <w:shd w:val="clear" w:color="auto" w:fill="auto"/>
            <w:vAlign w:val="center"/>
            <w:hideMark/>
          </w:tcPr>
          <w:p w14:paraId="5AC60B71"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4,882</w:t>
            </w:r>
          </w:p>
        </w:tc>
        <w:tc>
          <w:tcPr>
            <w:tcW w:w="1150" w:type="dxa"/>
            <w:tcBorders>
              <w:top w:val="nil"/>
              <w:left w:val="nil"/>
              <w:bottom w:val="nil"/>
              <w:right w:val="nil"/>
            </w:tcBorders>
            <w:shd w:val="clear" w:color="auto" w:fill="auto"/>
            <w:vAlign w:val="center"/>
            <w:hideMark/>
          </w:tcPr>
          <w:p w14:paraId="7AB1D4B3"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365</w:t>
            </w:r>
          </w:p>
        </w:tc>
        <w:tc>
          <w:tcPr>
            <w:tcW w:w="1317" w:type="dxa"/>
            <w:tcBorders>
              <w:top w:val="nil"/>
              <w:left w:val="nil"/>
              <w:bottom w:val="nil"/>
              <w:right w:val="nil"/>
            </w:tcBorders>
            <w:shd w:val="clear" w:color="auto" w:fill="auto"/>
            <w:vAlign w:val="center"/>
            <w:hideMark/>
          </w:tcPr>
          <w:p w14:paraId="1339D163"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5.12</w:t>
            </w:r>
          </w:p>
        </w:tc>
        <w:tc>
          <w:tcPr>
            <w:tcW w:w="1276" w:type="dxa"/>
            <w:tcBorders>
              <w:top w:val="nil"/>
              <w:left w:val="nil"/>
              <w:bottom w:val="nil"/>
              <w:right w:val="nil"/>
            </w:tcBorders>
            <w:shd w:val="clear" w:color="auto" w:fill="auto"/>
            <w:vAlign w:val="center"/>
            <w:hideMark/>
          </w:tcPr>
          <w:p w14:paraId="2C228E45"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4.77</w:t>
            </w:r>
          </w:p>
        </w:tc>
        <w:tc>
          <w:tcPr>
            <w:tcW w:w="1153" w:type="dxa"/>
            <w:tcBorders>
              <w:top w:val="nil"/>
              <w:left w:val="nil"/>
              <w:bottom w:val="nil"/>
              <w:right w:val="nil"/>
            </w:tcBorders>
            <w:shd w:val="clear" w:color="auto" w:fill="auto"/>
            <w:vAlign w:val="center"/>
            <w:hideMark/>
          </w:tcPr>
          <w:p w14:paraId="44B8B599" w14:textId="77777777" w:rsidR="003C620A" w:rsidRPr="00987ED7" w:rsidRDefault="003C620A" w:rsidP="003C620A">
            <w:pPr>
              <w:spacing w:after="0"/>
              <w:jc w:val="right"/>
              <w:rPr>
                <w:rFonts w:ascii="Calibri" w:eastAsia="Times New Roman" w:hAnsi="Calibri" w:cs="Calibri"/>
                <w:color w:val="000000"/>
                <w:sz w:val="22"/>
                <w:szCs w:val="22"/>
                <w:lang w:val="en-AU" w:eastAsia="en-AU"/>
              </w:rPr>
            </w:pPr>
            <w:r w:rsidRPr="00987ED7">
              <w:rPr>
                <w:sz w:val="22"/>
                <w:szCs w:val="22"/>
              </w:rPr>
              <w:t>0.36</w:t>
            </w:r>
          </w:p>
        </w:tc>
      </w:tr>
      <w:tr w:rsidR="00F37CA4" w:rsidRPr="000D61D1" w14:paraId="1E3A10BE" w14:textId="77777777" w:rsidTr="00870105">
        <w:trPr>
          <w:trHeight w:val="580"/>
        </w:trPr>
        <w:tc>
          <w:tcPr>
            <w:tcW w:w="8950" w:type="dxa"/>
            <w:gridSpan w:val="7"/>
            <w:tcBorders>
              <w:top w:val="single" w:sz="8" w:space="0" w:color="auto"/>
              <w:left w:val="nil"/>
              <w:right w:val="nil"/>
            </w:tcBorders>
            <w:shd w:val="clear" w:color="auto" w:fill="auto"/>
            <w:vAlign w:val="center"/>
          </w:tcPr>
          <w:p w14:paraId="73B913D0" w14:textId="66F57D6B" w:rsidR="00F37CA4" w:rsidRPr="000D61D1" w:rsidRDefault="00F37CA4" w:rsidP="00870105">
            <w:pPr>
              <w:spacing w:after="0"/>
              <w:jc w:val="center"/>
              <w:rPr>
                <w:rFonts w:ascii="Calibri" w:eastAsia="Times New Roman" w:hAnsi="Calibri" w:cs="Calibri"/>
                <w:color w:val="000000"/>
                <w:sz w:val="22"/>
                <w:szCs w:val="22"/>
                <w:lang w:val="en-AU" w:eastAsia="en-AU"/>
              </w:rPr>
            </w:pPr>
            <w:r>
              <w:rPr>
                <w:b/>
                <w:i/>
                <w:iCs/>
                <w:color w:val="365F91" w:themeColor="accent1" w:themeShade="BF"/>
              </w:rPr>
              <w:t>0.35 – 1.30%</w:t>
            </w:r>
            <w:r w:rsidRPr="00AF6491">
              <w:rPr>
                <w:b/>
                <w:i/>
                <w:iCs/>
                <w:color w:val="365F91" w:themeColor="accent1" w:themeShade="BF"/>
              </w:rPr>
              <w:t xml:space="preserve"> price </w:t>
            </w:r>
            <w:r>
              <w:rPr>
                <w:b/>
                <w:i/>
                <w:iCs/>
                <w:color w:val="365F91" w:themeColor="accent1" w:themeShade="BF"/>
              </w:rPr>
              <w:t>effect (0.8% average)</w:t>
            </w:r>
          </w:p>
        </w:tc>
      </w:tr>
      <w:tr w:rsidR="003C620A" w:rsidRPr="000D61D1" w14:paraId="6F3D3298" w14:textId="77777777" w:rsidTr="00870105">
        <w:trPr>
          <w:trHeight w:val="580"/>
        </w:trPr>
        <w:tc>
          <w:tcPr>
            <w:tcW w:w="1985" w:type="dxa"/>
            <w:tcBorders>
              <w:left w:val="nil"/>
              <w:bottom w:val="nil"/>
              <w:right w:val="nil"/>
            </w:tcBorders>
            <w:shd w:val="clear" w:color="auto" w:fill="auto"/>
            <w:vAlign w:val="center"/>
            <w:hideMark/>
          </w:tcPr>
          <w:p w14:paraId="2350744A" w14:textId="320E5C7E" w:rsidR="003C620A" w:rsidRPr="000D61D1" w:rsidRDefault="003C620A" w:rsidP="003C620A">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sidR="00C961CF">
              <w:rPr>
                <w:rFonts w:ascii="Calibri" w:eastAsia="Times New Roman" w:hAnsi="Calibri" w:cs="Calibri"/>
                <w:color w:val="000000"/>
                <w:lang w:val="en-AU" w:eastAsia="en-AU"/>
              </w:rPr>
              <w:t>Quintile</w:t>
            </w:r>
          </w:p>
        </w:tc>
        <w:tc>
          <w:tcPr>
            <w:tcW w:w="1134" w:type="dxa"/>
            <w:tcBorders>
              <w:left w:val="nil"/>
              <w:bottom w:val="nil"/>
              <w:right w:val="nil"/>
            </w:tcBorders>
            <w:shd w:val="clear" w:color="000000" w:fill="E7E6E6"/>
            <w:vAlign w:val="center"/>
            <w:hideMark/>
          </w:tcPr>
          <w:p w14:paraId="6089FF71" w14:textId="3B05A2B1"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w:t>
            </w:r>
            <w:r w:rsidR="00F37CA4">
              <w:rPr>
                <w:rFonts w:ascii="Calibri" w:eastAsia="Times New Roman" w:hAnsi="Calibri" w:cs="Calibri"/>
                <w:color w:val="000000"/>
                <w:sz w:val="22"/>
                <w:szCs w:val="22"/>
                <w:lang w:val="en-AU" w:eastAsia="en-AU"/>
              </w:rPr>
              <w:t xml:space="preserve"> $</w:t>
            </w:r>
          </w:p>
        </w:tc>
        <w:tc>
          <w:tcPr>
            <w:tcW w:w="935" w:type="dxa"/>
            <w:tcBorders>
              <w:left w:val="nil"/>
              <w:bottom w:val="nil"/>
              <w:right w:val="nil"/>
            </w:tcBorders>
            <w:shd w:val="clear" w:color="auto" w:fill="auto"/>
            <w:vAlign w:val="center"/>
            <w:hideMark/>
          </w:tcPr>
          <w:p w14:paraId="2919739C" w14:textId="7344CFED"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w:t>
            </w:r>
            <w:r w:rsidR="00F37CA4">
              <w:rPr>
                <w:rFonts w:ascii="Calibri" w:eastAsia="Times New Roman" w:hAnsi="Calibri" w:cs="Calibri"/>
                <w:color w:val="000000"/>
                <w:sz w:val="22"/>
                <w:szCs w:val="22"/>
                <w:lang w:val="en-AU" w:eastAsia="en-AU"/>
              </w:rPr>
              <w:t xml:space="preserve"> $ </w:t>
            </w:r>
          </w:p>
        </w:tc>
        <w:tc>
          <w:tcPr>
            <w:tcW w:w="1150" w:type="dxa"/>
            <w:tcBorders>
              <w:left w:val="nil"/>
              <w:bottom w:val="nil"/>
              <w:right w:val="nil"/>
            </w:tcBorders>
            <w:shd w:val="clear" w:color="auto" w:fill="auto"/>
            <w:vAlign w:val="center"/>
            <w:hideMark/>
          </w:tcPr>
          <w:p w14:paraId="5074EE2E" w14:textId="3B843726"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r w:rsidR="00F37CA4">
              <w:rPr>
                <w:rFonts w:ascii="Calibri" w:eastAsia="Times New Roman" w:hAnsi="Calibri" w:cs="Calibri"/>
                <w:color w:val="000000"/>
                <w:sz w:val="22"/>
                <w:szCs w:val="22"/>
                <w:lang w:val="en-AU" w:eastAsia="en-AU"/>
              </w:rPr>
              <w:t xml:space="preserve"> $</w:t>
            </w:r>
            <w:r w:rsidRPr="000D61D1">
              <w:rPr>
                <w:rFonts w:ascii="Calibri" w:eastAsia="Times New Roman" w:hAnsi="Calibri" w:cs="Calibri"/>
                <w:color w:val="000000"/>
                <w:sz w:val="22"/>
                <w:szCs w:val="22"/>
                <w:lang w:val="en-AU" w:eastAsia="en-AU"/>
              </w:rPr>
              <w:t xml:space="preserve"> </w:t>
            </w:r>
          </w:p>
        </w:tc>
        <w:tc>
          <w:tcPr>
            <w:tcW w:w="1317" w:type="dxa"/>
            <w:tcBorders>
              <w:left w:val="nil"/>
              <w:bottom w:val="nil"/>
              <w:right w:val="nil"/>
            </w:tcBorders>
            <w:shd w:val="clear" w:color="auto" w:fill="auto"/>
            <w:vAlign w:val="center"/>
            <w:hideMark/>
          </w:tcPr>
          <w:p w14:paraId="30E231A1"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 % Change in income</w:t>
            </w:r>
          </w:p>
        </w:tc>
        <w:tc>
          <w:tcPr>
            <w:tcW w:w="1276" w:type="dxa"/>
            <w:tcBorders>
              <w:left w:val="nil"/>
              <w:bottom w:val="nil"/>
              <w:right w:val="nil"/>
            </w:tcBorders>
            <w:shd w:val="clear" w:color="auto" w:fill="auto"/>
            <w:vAlign w:val="center"/>
            <w:hideMark/>
          </w:tcPr>
          <w:p w14:paraId="7096BBF0"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 % Change in income</w:t>
            </w:r>
          </w:p>
        </w:tc>
        <w:tc>
          <w:tcPr>
            <w:tcW w:w="1153" w:type="dxa"/>
            <w:tcBorders>
              <w:left w:val="nil"/>
              <w:bottom w:val="nil"/>
              <w:right w:val="nil"/>
            </w:tcBorders>
            <w:shd w:val="clear" w:color="auto" w:fill="auto"/>
            <w:vAlign w:val="center"/>
            <w:hideMark/>
          </w:tcPr>
          <w:p w14:paraId="61B4C6D8"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p>
        </w:tc>
      </w:tr>
      <w:tr w:rsidR="003C620A" w:rsidRPr="000D61D1" w14:paraId="5C797432" w14:textId="77777777" w:rsidTr="003C620A">
        <w:trPr>
          <w:trHeight w:val="290"/>
        </w:trPr>
        <w:tc>
          <w:tcPr>
            <w:tcW w:w="1985" w:type="dxa"/>
            <w:tcBorders>
              <w:top w:val="nil"/>
              <w:left w:val="nil"/>
              <w:bottom w:val="nil"/>
              <w:right w:val="nil"/>
            </w:tcBorders>
            <w:shd w:val="clear" w:color="auto" w:fill="auto"/>
            <w:vAlign w:val="center"/>
            <w:hideMark/>
          </w:tcPr>
          <w:p w14:paraId="5475A11F"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1134" w:type="dxa"/>
            <w:tcBorders>
              <w:top w:val="nil"/>
              <w:left w:val="nil"/>
              <w:bottom w:val="nil"/>
              <w:right w:val="nil"/>
            </w:tcBorders>
            <w:shd w:val="clear" w:color="000000" w:fill="E7E6E6"/>
            <w:vAlign w:val="center"/>
            <w:hideMark/>
          </w:tcPr>
          <w:p w14:paraId="3FB31221"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1,176</w:t>
            </w:r>
          </w:p>
        </w:tc>
        <w:tc>
          <w:tcPr>
            <w:tcW w:w="935" w:type="dxa"/>
            <w:tcBorders>
              <w:top w:val="nil"/>
              <w:left w:val="nil"/>
              <w:bottom w:val="nil"/>
              <w:right w:val="nil"/>
            </w:tcBorders>
            <w:shd w:val="clear" w:color="auto" w:fill="auto"/>
            <w:vAlign w:val="center"/>
            <w:hideMark/>
          </w:tcPr>
          <w:p w14:paraId="53CB5D18"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1,043</w:t>
            </w:r>
          </w:p>
        </w:tc>
        <w:tc>
          <w:tcPr>
            <w:tcW w:w="1150" w:type="dxa"/>
            <w:tcBorders>
              <w:top w:val="nil"/>
              <w:left w:val="nil"/>
              <w:bottom w:val="nil"/>
              <w:right w:val="nil"/>
            </w:tcBorders>
            <w:shd w:val="clear" w:color="auto" w:fill="auto"/>
            <w:vAlign w:val="center"/>
            <w:hideMark/>
          </w:tcPr>
          <w:p w14:paraId="3BBF4B25"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132</w:t>
            </w:r>
          </w:p>
        </w:tc>
        <w:tc>
          <w:tcPr>
            <w:tcW w:w="1317" w:type="dxa"/>
            <w:tcBorders>
              <w:top w:val="nil"/>
              <w:left w:val="nil"/>
              <w:bottom w:val="nil"/>
              <w:right w:val="nil"/>
            </w:tcBorders>
            <w:shd w:val="clear" w:color="auto" w:fill="auto"/>
            <w:vAlign w:val="center"/>
            <w:hideMark/>
          </w:tcPr>
          <w:p w14:paraId="34B293B9"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1.53</w:t>
            </w:r>
          </w:p>
        </w:tc>
        <w:tc>
          <w:tcPr>
            <w:tcW w:w="1276" w:type="dxa"/>
            <w:tcBorders>
              <w:top w:val="nil"/>
              <w:left w:val="nil"/>
              <w:bottom w:val="nil"/>
              <w:right w:val="nil"/>
            </w:tcBorders>
            <w:shd w:val="clear" w:color="auto" w:fill="auto"/>
            <w:vAlign w:val="center"/>
            <w:hideMark/>
          </w:tcPr>
          <w:p w14:paraId="41D9EC69"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1.36</w:t>
            </w:r>
          </w:p>
        </w:tc>
        <w:tc>
          <w:tcPr>
            <w:tcW w:w="1153" w:type="dxa"/>
            <w:tcBorders>
              <w:top w:val="nil"/>
              <w:left w:val="nil"/>
              <w:bottom w:val="nil"/>
              <w:right w:val="nil"/>
            </w:tcBorders>
            <w:shd w:val="clear" w:color="auto" w:fill="auto"/>
            <w:vAlign w:val="center"/>
            <w:hideMark/>
          </w:tcPr>
          <w:p w14:paraId="604F4791"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0.17</w:t>
            </w:r>
          </w:p>
        </w:tc>
      </w:tr>
      <w:tr w:rsidR="003C620A" w:rsidRPr="000D61D1" w14:paraId="774F46D7" w14:textId="77777777" w:rsidTr="003C620A">
        <w:trPr>
          <w:trHeight w:val="290"/>
        </w:trPr>
        <w:tc>
          <w:tcPr>
            <w:tcW w:w="1985" w:type="dxa"/>
            <w:tcBorders>
              <w:top w:val="nil"/>
              <w:left w:val="nil"/>
              <w:bottom w:val="nil"/>
              <w:right w:val="nil"/>
            </w:tcBorders>
            <w:shd w:val="clear" w:color="auto" w:fill="auto"/>
            <w:vAlign w:val="center"/>
            <w:hideMark/>
          </w:tcPr>
          <w:p w14:paraId="3A6B78EF"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1134" w:type="dxa"/>
            <w:tcBorders>
              <w:top w:val="nil"/>
              <w:left w:val="nil"/>
              <w:bottom w:val="nil"/>
              <w:right w:val="nil"/>
            </w:tcBorders>
            <w:shd w:val="clear" w:color="000000" w:fill="E7E6E6"/>
            <w:vAlign w:val="center"/>
            <w:hideMark/>
          </w:tcPr>
          <w:p w14:paraId="480B2956"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4,113</w:t>
            </w:r>
          </w:p>
        </w:tc>
        <w:tc>
          <w:tcPr>
            <w:tcW w:w="935" w:type="dxa"/>
            <w:tcBorders>
              <w:top w:val="nil"/>
              <w:left w:val="nil"/>
              <w:bottom w:val="nil"/>
              <w:right w:val="nil"/>
            </w:tcBorders>
            <w:shd w:val="clear" w:color="auto" w:fill="auto"/>
            <w:vAlign w:val="center"/>
            <w:hideMark/>
          </w:tcPr>
          <w:p w14:paraId="6F3DB124"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4,543</w:t>
            </w:r>
          </w:p>
        </w:tc>
        <w:tc>
          <w:tcPr>
            <w:tcW w:w="1150" w:type="dxa"/>
            <w:tcBorders>
              <w:top w:val="nil"/>
              <w:left w:val="nil"/>
              <w:bottom w:val="nil"/>
              <w:right w:val="nil"/>
            </w:tcBorders>
            <w:shd w:val="clear" w:color="auto" w:fill="auto"/>
            <w:vAlign w:val="center"/>
            <w:hideMark/>
          </w:tcPr>
          <w:p w14:paraId="2CC1974F"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-430</w:t>
            </w:r>
          </w:p>
        </w:tc>
        <w:tc>
          <w:tcPr>
            <w:tcW w:w="1317" w:type="dxa"/>
            <w:tcBorders>
              <w:top w:val="nil"/>
              <w:left w:val="nil"/>
              <w:bottom w:val="nil"/>
              <w:right w:val="nil"/>
            </w:tcBorders>
            <w:shd w:val="clear" w:color="auto" w:fill="auto"/>
            <w:vAlign w:val="center"/>
            <w:hideMark/>
          </w:tcPr>
          <w:p w14:paraId="19D67477"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5.11</w:t>
            </w:r>
          </w:p>
        </w:tc>
        <w:tc>
          <w:tcPr>
            <w:tcW w:w="1276" w:type="dxa"/>
            <w:tcBorders>
              <w:top w:val="nil"/>
              <w:left w:val="nil"/>
              <w:bottom w:val="nil"/>
              <w:right w:val="nil"/>
            </w:tcBorders>
            <w:shd w:val="clear" w:color="auto" w:fill="auto"/>
            <w:vAlign w:val="center"/>
            <w:hideMark/>
          </w:tcPr>
          <w:p w14:paraId="533EA6A3"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5.65</w:t>
            </w:r>
          </w:p>
        </w:tc>
        <w:tc>
          <w:tcPr>
            <w:tcW w:w="1153" w:type="dxa"/>
            <w:tcBorders>
              <w:top w:val="nil"/>
              <w:left w:val="nil"/>
              <w:bottom w:val="nil"/>
              <w:right w:val="nil"/>
            </w:tcBorders>
            <w:shd w:val="clear" w:color="auto" w:fill="auto"/>
            <w:vAlign w:val="center"/>
            <w:hideMark/>
          </w:tcPr>
          <w:p w14:paraId="258B97E7"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-0.54</w:t>
            </w:r>
          </w:p>
        </w:tc>
      </w:tr>
      <w:tr w:rsidR="003C620A" w:rsidRPr="000D61D1" w14:paraId="019586E3" w14:textId="77777777" w:rsidTr="003C620A">
        <w:trPr>
          <w:trHeight w:val="290"/>
        </w:trPr>
        <w:tc>
          <w:tcPr>
            <w:tcW w:w="1985" w:type="dxa"/>
            <w:tcBorders>
              <w:top w:val="nil"/>
              <w:left w:val="nil"/>
              <w:bottom w:val="nil"/>
              <w:right w:val="nil"/>
            </w:tcBorders>
            <w:shd w:val="clear" w:color="auto" w:fill="auto"/>
            <w:vAlign w:val="center"/>
            <w:hideMark/>
          </w:tcPr>
          <w:p w14:paraId="375DA2B6"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1134" w:type="dxa"/>
            <w:tcBorders>
              <w:top w:val="nil"/>
              <w:left w:val="nil"/>
              <w:bottom w:val="nil"/>
              <w:right w:val="nil"/>
            </w:tcBorders>
            <w:shd w:val="clear" w:color="000000" w:fill="E7E6E6"/>
            <w:vAlign w:val="center"/>
            <w:hideMark/>
          </w:tcPr>
          <w:p w14:paraId="1E37FCA8"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3,578</w:t>
            </w:r>
          </w:p>
        </w:tc>
        <w:tc>
          <w:tcPr>
            <w:tcW w:w="935" w:type="dxa"/>
            <w:tcBorders>
              <w:top w:val="nil"/>
              <w:left w:val="nil"/>
              <w:bottom w:val="nil"/>
              <w:right w:val="nil"/>
            </w:tcBorders>
            <w:shd w:val="clear" w:color="auto" w:fill="auto"/>
            <w:vAlign w:val="center"/>
            <w:hideMark/>
          </w:tcPr>
          <w:p w14:paraId="64E47905"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3,880</w:t>
            </w:r>
          </w:p>
        </w:tc>
        <w:tc>
          <w:tcPr>
            <w:tcW w:w="1150" w:type="dxa"/>
            <w:tcBorders>
              <w:top w:val="nil"/>
              <w:left w:val="nil"/>
              <w:bottom w:val="nil"/>
              <w:right w:val="nil"/>
            </w:tcBorders>
            <w:shd w:val="clear" w:color="auto" w:fill="auto"/>
            <w:vAlign w:val="center"/>
            <w:hideMark/>
          </w:tcPr>
          <w:p w14:paraId="2C03934D"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-302</w:t>
            </w:r>
          </w:p>
        </w:tc>
        <w:tc>
          <w:tcPr>
            <w:tcW w:w="1317" w:type="dxa"/>
            <w:tcBorders>
              <w:top w:val="nil"/>
              <w:left w:val="nil"/>
              <w:bottom w:val="nil"/>
              <w:right w:val="nil"/>
            </w:tcBorders>
            <w:shd w:val="clear" w:color="auto" w:fill="auto"/>
            <w:vAlign w:val="center"/>
            <w:hideMark/>
          </w:tcPr>
          <w:p w14:paraId="2036CCB0"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3.86</w:t>
            </w:r>
          </w:p>
        </w:tc>
        <w:tc>
          <w:tcPr>
            <w:tcW w:w="1276" w:type="dxa"/>
            <w:tcBorders>
              <w:top w:val="nil"/>
              <w:left w:val="nil"/>
              <w:bottom w:val="nil"/>
              <w:right w:val="nil"/>
            </w:tcBorders>
            <w:shd w:val="clear" w:color="auto" w:fill="auto"/>
            <w:vAlign w:val="center"/>
            <w:hideMark/>
          </w:tcPr>
          <w:p w14:paraId="71573C00"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4.19</w:t>
            </w:r>
          </w:p>
        </w:tc>
        <w:tc>
          <w:tcPr>
            <w:tcW w:w="1153" w:type="dxa"/>
            <w:tcBorders>
              <w:top w:val="nil"/>
              <w:left w:val="nil"/>
              <w:bottom w:val="nil"/>
              <w:right w:val="nil"/>
            </w:tcBorders>
            <w:shd w:val="clear" w:color="auto" w:fill="auto"/>
            <w:vAlign w:val="center"/>
            <w:hideMark/>
          </w:tcPr>
          <w:p w14:paraId="3AA5B174"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-0.33</w:t>
            </w:r>
          </w:p>
        </w:tc>
      </w:tr>
      <w:tr w:rsidR="003C620A" w:rsidRPr="000D61D1" w14:paraId="3B56E4CB" w14:textId="77777777" w:rsidTr="003C620A">
        <w:trPr>
          <w:trHeight w:val="290"/>
        </w:trPr>
        <w:tc>
          <w:tcPr>
            <w:tcW w:w="1985" w:type="dxa"/>
            <w:tcBorders>
              <w:top w:val="nil"/>
              <w:left w:val="nil"/>
              <w:bottom w:val="nil"/>
              <w:right w:val="nil"/>
            </w:tcBorders>
            <w:shd w:val="clear" w:color="auto" w:fill="auto"/>
            <w:vAlign w:val="center"/>
            <w:hideMark/>
          </w:tcPr>
          <w:p w14:paraId="60645A7A"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1134" w:type="dxa"/>
            <w:tcBorders>
              <w:top w:val="nil"/>
              <w:left w:val="nil"/>
              <w:bottom w:val="nil"/>
              <w:right w:val="nil"/>
            </w:tcBorders>
            <w:shd w:val="clear" w:color="000000" w:fill="E7E6E6"/>
            <w:vAlign w:val="center"/>
            <w:hideMark/>
          </w:tcPr>
          <w:p w14:paraId="04EFD404" w14:textId="77777777" w:rsidR="003C620A" w:rsidRPr="00267E93" w:rsidRDefault="003C620A" w:rsidP="003C620A">
            <w:pPr>
              <w:spacing w:after="0"/>
              <w:jc w:val="right"/>
              <w:rPr>
                <w:rFonts w:ascii="Calibri" w:hAnsi="Calibri"/>
                <w:color w:val="000000"/>
                <w:sz w:val="22"/>
                <w:szCs w:val="22"/>
                <w:lang w:val="en-AU"/>
              </w:rPr>
            </w:pPr>
            <w:r w:rsidRPr="00267E93">
              <w:rPr>
                <w:sz w:val="22"/>
                <w:szCs w:val="22"/>
              </w:rPr>
              <w:t>3,830</w:t>
            </w:r>
          </w:p>
        </w:tc>
        <w:tc>
          <w:tcPr>
            <w:tcW w:w="935" w:type="dxa"/>
            <w:tcBorders>
              <w:top w:val="nil"/>
              <w:left w:val="nil"/>
              <w:bottom w:val="nil"/>
              <w:right w:val="nil"/>
            </w:tcBorders>
            <w:shd w:val="clear" w:color="auto" w:fill="auto"/>
            <w:vAlign w:val="center"/>
            <w:hideMark/>
          </w:tcPr>
          <w:p w14:paraId="7FA54649" w14:textId="77777777" w:rsidR="003C620A" w:rsidRPr="00267E93" w:rsidRDefault="003C620A" w:rsidP="003C620A">
            <w:pPr>
              <w:spacing w:after="0"/>
              <w:jc w:val="right"/>
              <w:rPr>
                <w:rFonts w:ascii="Calibri" w:hAnsi="Calibri"/>
                <w:color w:val="000000"/>
                <w:sz w:val="22"/>
                <w:szCs w:val="22"/>
                <w:lang w:val="en-AU"/>
              </w:rPr>
            </w:pPr>
            <w:r w:rsidRPr="00267E93">
              <w:rPr>
                <w:sz w:val="22"/>
                <w:szCs w:val="22"/>
              </w:rPr>
              <w:t>4,011</w:t>
            </w:r>
          </w:p>
        </w:tc>
        <w:tc>
          <w:tcPr>
            <w:tcW w:w="1150" w:type="dxa"/>
            <w:tcBorders>
              <w:top w:val="nil"/>
              <w:left w:val="nil"/>
              <w:bottom w:val="nil"/>
              <w:right w:val="nil"/>
            </w:tcBorders>
            <w:shd w:val="clear" w:color="auto" w:fill="auto"/>
            <w:vAlign w:val="center"/>
            <w:hideMark/>
          </w:tcPr>
          <w:p w14:paraId="02865E80" w14:textId="77777777" w:rsidR="003C620A" w:rsidRPr="00267E93" w:rsidRDefault="003C620A" w:rsidP="003C620A">
            <w:pPr>
              <w:spacing w:after="0"/>
              <w:jc w:val="right"/>
              <w:rPr>
                <w:rFonts w:ascii="Calibri" w:hAnsi="Calibri"/>
                <w:color w:val="000000"/>
                <w:sz w:val="22"/>
                <w:szCs w:val="22"/>
                <w:lang w:val="en-AU"/>
              </w:rPr>
            </w:pPr>
            <w:r w:rsidRPr="00267E93">
              <w:rPr>
                <w:sz w:val="22"/>
                <w:szCs w:val="22"/>
              </w:rPr>
              <w:t>-182</w:t>
            </w:r>
          </w:p>
        </w:tc>
        <w:tc>
          <w:tcPr>
            <w:tcW w:w="1317" w:type="dxa"/>
            <w:tcBorders>
              <w:top w:val="nil"/>
              <w:left w:val="nil"/>
              <w:bottom w:val="nil"/>
              <w:right w:val="nil"/>
            </w:tcBorders>
            <w:shd w:val="clear" w:color="auto" w:fill="auto"/>
            <w:vAlign w:val="center"/>
            <w:hideMark/>
          </w:tcPr>
          <w:p w14:paraId="77E41144" w14:textId="77777777" w:rsidR="003C620A" w:rsidRPr="00267E93" w:rsidRDefault="003C620A" w:rsidP="003C620A">
            <w:pPr>
              <w:spacing w:after="0"/>
              <w:jc w:val="right"/>
              <w:rPr>
                <w:rFonts w:ascii="Calibri" w:hAnsi="Calibri"/>
                <w:color w:val="000000"/>
                <w:sz w:val="22"/>
                <w:szCs w:val="22"/>
                <w:lang w:val="en-AU"/>
              </w:rPr>
            </w:pPr>
            <w:r w:rsidRPr="00267E93">
              <w:rPr>
                <w:sz w:val="22"/>
                <w:szCs w:val="22"/>
              </w:rPr>
              <w:t>4.22</w:t>
            </w:r>
          </w:p>
        </w:tc>
        <w:tc>
          <w:tcPr>
            <w:tcW w:w="1276" w:type="dxa"/>
            <w:tcBorders>
              <w:top w:val="nil"/>
              <w:left w:val="nil"/>
              <w:bottom w:val="nil"/>
              <w:right w:val="nil"/>
            </w:tcBorders>
            <w:shd w:val="clear" w:color="auto" w:fill="auto"/>
            <w:vAlign w:val="center"/>
            <w:hideMark/>
          </w:tcPr>
          <w:p w14:paraId="03774376" w14:textId="77777777" w:rsidR="003C620A" w:rsidRPr="00267E93" w:rsidRDefault="003C620A" w:rsidP="003C620A">
            <w:pPr>
              <w:spacing w:after="0"/>
              <w:jc w:val="right"/>
              <w:rPr>
                <w:rFonts w:ascii="Calibri" w:hAnsi="Calibri"/>
                <w:color w:val="000000"/>
                <w:sz w:val="22"/>
                <w:szCs w:val="22"/>
                <w:lang w:val="en-AU"/>
              </w:rPr>
            </w:pPr>
            <w:r w:rsidRPr="00267E93">
              <w:rPr>
                <w:sz w:val="22"/>
                <w:szCs w:val="22"/>
              </w:rPr>
              <w:t>4.42</w:t>
            </w:r>
          </w:p>
        </w:tc>
        <w:tc>
          <w:tcPr>
            <w:tcW w:w="1153" w:type="dxa"/>
            <w:tcBorders>
              <w:top w:val="nil"/>
              <w:left w:val="nil"/>
              <w:bottom w:val="nil"/>
              <w:right w:val="nil"/>
            </w:tcBorders>
            <w:shd w:val="clear" w:color="auto" w:fill="auto"/>
            <w:vAlign w:val="center"/>
            <w:hideMark/>
          </w:tcPr>
          <w:p w14:paraId="1163C3B0" w14:textId="77777777" w:rsidR="003C620A" w:rsidRPr="00267E93" w:rsidRDefault="003C620A" w:rsidP="003C620A">
            <w:pPr>
              <w:spacing w:after="0"/>
              <w:jc w:val="right"/>
              <w:rPr>
                <w:rFonts w:ascii="Calibri" w:hAnsi="Calibri"/>
                <w:color w:val="000000"/>
                <w:sz w:val="22"/>
                <w:szCs w:val="22"/>
                <w:lang w:val="en-AU"/>
              </w:rPr>
            </w:pPr>
            <w:r w:rsidRPr="00267E93">
              <w:rPr>
                <w:sz w:val="22"/>
                <w:szCs w:val="22"/>
              </w:rPr>
              <w:t>-0.20</w:t>
            </w:r>
          </w:p>
        </w:tc>
      </w:tr>
      <w:tr w:rsidR="003C620A" w:rsidRPr="000D61D1" w14:paraId="47204E40" w14:textId="77777777" w:rsidTr="003C620A">
        <w:trPr>
          <w:trHeight w:val="300"/>
        </w:trPr>
        <w:tc>
          <w:tcPr>
            <w:tcW w:w="1985" w:type="dxa"/>
            <w:tcBorders>
              <w:top w:val="nil"/>
              <w:left w:val="nil"/>
              <w:bottom w:val="nil"/>
              <w:right w:val="nil"/>
            </w:tcBorders>
            <w:shd w:val="clear" w:color="auto" w:fill="auto"/>
            <w:vAlign w:val="center"/>
            <w:hideMark/>
          </w:tcPr>
          <w:p w14:paraId="0F941FE2"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1134" w:type="dxa"/>
            <w:tcBorders>
              <w:top w:val="nil"/>
              <w:left w:val="nil"/>
              <w:bottom w:val="nil"/>
              <w:right w:val="nil"/>
            </w:tcBorders>
            <w:shd w:val="clear" w:color="000000" w:fill="E7E6E6"/>
            <w:vAlign w:val="center"/>
            <w:hideMark/>
          </w:tcPr>
          <w:p w14:paraId="4097D64D"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5,248</w:t>
            </w:r>
          </w:p>
        </w:tc>
        <w:tc>
          <w:tcPr>
            <w:tcW w:w="935" w:type="dxa"/>
            <w:tcBorders>
              <w:top w:val="nil"/>
              <w:left w:val="nil"/>
              <w:bottom w:val="nil"/>
              <w:right w:val="nil"/>
            </w:tcBorders>
            <w:shd w:val="clear" w:color="auto" w:fill="auto"/>
            <w:vAlign w:val="center"/>
            <w:hideMark/>
          </w:tcPr>
          <w:p w14:paraId="1C052077"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4,863</w:t>
            </w:r>
          </w:p>
        </w:tc>
        <w:tc>
          <w:tcPr>
            <w:tcW w:w="1150" w:type="dxa"/>
            <w:tcBorders>
              <w:top w:val="nil"/>
              <w:left w:val="nil"/>
              <w:bottom w:val="nil"/>
              <w:right w:val="nil"/>
            </w:tcBorders>
            <w:shd w:val="clear" w:color="auto" w:fill="auto"/>
            <w:vAlign w:val="center"/>
            <w:hideMark/>
          </w:tcPr>
          <w:p w14:paraId="0BBB3C91"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385</w:t>
            </w:r>
          </w:p>
        </w:tc>
        <w:tc>
          <w:tcPr>
            <w:tcW w:w="1317" w:type="dxa"/>
            <w:tcBorders>
              <w:top w:val="nil"/>
              <w:left w:val="nil"/>
              <w:bottom w:val="nil"/>
              <w:right w:val="nil"/>
            </w:tcBorders>
            <w:shd w:val="clear" w:color="auto" w:fill="auto"/>
            <w:vAlign w:val="center"/>
            <w:hideMark/>
          </w:tcPr>
          <w:p w14:paraId="290F3728"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5.12</w:t>
            </w:r>
          </w:p>
        </w:tc>
        <w:tc>
          <w:tcPr>
            <w:tcW w:w="1276" w:type="dxa"/>
            <w:tcBorders>
              <w:top w:val="nil"/>
              <w:left w:val="nil"/>
              <w:bottom w:val="nil"/>
              <w:right w:val="nil"/>
            </w:tcBorders>
            <w:shd w:val="clear" w:color="auto" w:fill="auto"/>
            <w:vAlign w:val="center"/>
            <w:hideMark/>
          </w:tcPr>
          <w:p w14:paraId="47C3C103"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4.75</w:t>
            </w:r>
          </w:p>
        </w:tc>
        <w:tc>
          <w:tcPr>
            <w:tcW w:w="1153" w:type="dxa"/>
            <w:tcBorders>
              <w:top w:val="nil"/>
              <w:left w:val="nil"/>
              <w:bottom w:val="nil"/>
              <w:right w:val="nil"/>
            </w:tcBorders>
            <w:shd w:val="clear" w:color="auto" w:fill="auto"/>
            <w:vAlign w:val="center"/>
            <w:hideMark/>
          </w:tcPr>
          <w:p w14:paraId="3BD074DE" w14:textId="77777777" w:rsidR="003C620A" w:rsidRPr="00267E93" w:rsidRDefault="003C620A" w:rsidP="003C620A">
            <w:pPr>
              <w:spacing w:after="0"/>
              <w:jc w:val="right"/>
              <w:rPr>
                <w:rFonts w:ascii="Calibri" w:eastAsia="Times New Roman" w:hAnsi="Calibri" w:cs="Calibri"/>
                <w:color w:val="000000"/>
                <w:sz w:val="22"/>
                <w:szCs w:val="22"/>
                <w:lang w:val="en-AU" w:eastAsia="en-AU"/>
              </w:rPr>
            </w:pPr>
            <w:r w:rsidRPr="00267E93">
              <w:rPr>
                <w:sz w:val="22"/>
                <w:szCs w:val="22"/>
              </w:rPr>
              <w:t>0.38</w:t>
            </w:r>
          </w:p>
        </w:tc>
      </w:tr>
      <w:tr w:rsidR="00F37CA4" w:rsidRPr="000D61D1" w14:paraId="3F441EB8" w14:textId="77777777" w:rsidTr="00870105">
        <w:trPr>
          <w:trHeight w:val="580"/>
        </w:trPr>
        <w:tc>
          <w:tcPr>
            <w:tcW w:w="8950" w:type="dxa"/>
            <w:gridSpan w:val="7"/>
            <w:tcBorders>
              <w:top w:val="single" w:sz="8" w:space="0" w:color="auto"/>
              <w:left w:val="nil"/>
              <w:right w:val="nil"/>
            </w:tcBorders>
            <w:shd w:val="clear" w:color="auto" w:fill="auto"/>
            <w:vAlign w:val="center"/>
          </w:tcPr>
          <w:p w14:paraId="1CA69F90" w14:textId="434FFFC5" w:rsidR="00F37CA4" w:rsidRPr="000D61D1" w:rsidRDefault="00F37CA4" w:rsidP="00870105">
            <w:pPr>
              <w:spacing w:after="0"/>
              <w:jc w:val="center"/>
              <w:rPr>
                <w:rFonts w:ascii="Calibri" w:eastAsia="Times New Roman" w:hAnsi="Calibri" w:cs="Calibri"/>
                <w:color w:val="000000"/>
                <w:sz w:val="22"/>
                <w:szCs w:val="22"/>
                <w:lang w:val="en-AU" w:eastAsia="en-AU"/>
              </w:rPr>
            </w:pPr>
            <w:r w:rsidRPr="00113FC1">
              <w:rPr>
                <w:b/>
                <w:i/>
                <w:iCs/>
                <w:color w:val="365F91" w:themeColor="accent1" w:themeShade="BF"/>
              </w:rPr>
              <w:t xml:space="preserve">1.24 – 2.19% price </w:t>
            </w:r>
            <w:r>
              <w:rPr>
                <w:b/>
                <w:i/>
                <w:iCs/>
                <w:color w:val="365F91" w:themeColor="accent1" w:themeShade="BF"/>
              </w:rPr>
              <w:t>effect (1.7% average)</w:t>
            </w:r>
          </w:p>
        </w:tc>
      </w:tr>
      <w:tr w:rsidR="003C620A" w:rsidRPr="000D61D1" w14:paraId="164E7399" w14:textId="77777777" w:rsidTr="00870105">
        <w:trPr>
          <w:trHeight w:val="580"/>
        </w:trPr>
        <w:tc>
          <w:tcPr>
            <w:tcW w:w="1985" w:type="dxa"/>
            <w:tcBorders>
              <w:left w:val="nil"/>
              <w:bottom w:val="nil"/>
              <w:right w:val="nil"/>
            </w:tcBorders>
            <w:shd w:val="clear" w:color="auto" w:fill="auto"/>
            <w:vAlign w:val="center"/>
            <w:hideMark/>
          </w:tcPr>
          <w:p w14:paraId="3D66D2C7" w14:textId="54CB5C9C" w:rsidR="003C620A" w:rsidRPr="000D61D1" w:rsidRDefault="003C620A" w:rsidP="003C620A">
            <w:pPr>
              <w:spacing w:after="0"/>
              <w:rPr>
                <w:rFonts w:ascii="Calibri" w:eastAsia="Times New Roman" w:hAnsi="Calibri" w:cs="Calibri"/>
                <w:color w:val="000000"/>
                <w:lang w:val="en-AU" w:eastAsia="en-AU"/>
              </w:rPr>
            </w:pPr>
            <w:r w:rsidRPr="000D61D1">
              <w:rPr>
                <w:rFonts w:ascii="Calibri" w:eastAsia="Times New Roman" w:hAnsi="Calibri" w:cs="Calibri"/>
                <w:color w:val="000000"/>
                <w:lang w:val="en-AU" w:eastAsia="en-AU"/>
              </w:rPr>
              <w:t> </w:t>
            </w:r>
            <w:r w:rsidR="00C961CF">
              <w:rPr>
                <w:rFonts w:ascii="Calibri" w:eastAsia="Times New Roman" w:hAnsi="Calibri" w:cs="Calibri"/>
                <w:color w:val="000000"/>
                <w:lang w:val="en-AU" w:eastAsia="en-AU"/>
              </w:rPr>
              <w:t>Quintile</w:t>
            </w:r>
          </w:p>
        </w:tc>
        <w:tc>
          <w:tcPr>
            <w:tcW w:w="1134" w:type="dxa"/>
            <w:tcBorders>
              <w:left w:val="nil"/>
              <w:bottom w:val="nil"/>
              <w:right w:val="nil"/>
            </w:tcBorders>
            <w:shd w:val="clear" w:color="000000" w:fill="E7E6E6"/>
            <w:vAlign w:val="center"/>
            <w:hideMark/>
          </w:tcPr>
          <w:p w14:paraId="2CB0FADB" w14:textId="597B1645"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w:t>
            </w:r>
            <w:r w:rsidR="00F37CA4">
              <w:rPr>
                <w:rFonts w:ascii="Calibri" w:eastAsia="Times New Roman" w:hAnsi="Calibri" w:cs="Calibri"/>
                <w:color w:val="000000"/>
                <w:sz w:val="22"/>
                <w:szCs w:val="22"/>
                <w:lang w:val="en-AU" w:eastAsia="en-AU"/>
              </w:rPr>
              <w:t xml:space="preserve"> $</w:t>
            </w:r>
          </w:p>
        </w:tc>
        <w:tc>
          <w:tcPr>
            <w:tcW w:w="935" w:type="dxa"/>
            <w:tcBorders>
              <w:left w:val="nil"/>
              <w:bottom w:val="nil"/>
              <w:right w:val="nil"/>
            </w:tcBorders>
            <w:shd w:val="clear" w:color="auto" w:fill="auto"/>
            <w:vAlign w:val="center"/>
            <w:hideMark/>
          </w:tcPr>
          <w:p w14:paraId="1C945FE1" w14:textId="71644C02"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w:t>
            </w:r>
            <w:r w:rsidR="00F37CA4">
              <w:rPr>
                <w:rFonts w:ascii="Calibri" w:eastAsia="Times New Roman" w:hAnsi="Calibri" w:cs="Calibri"/>
                <w:color w:val="000000"/>
                <w:sz w:val="22"/>
                <w:szCs w:val="22"/>
                <w:lang w:val="en-AU" w:eastAsia="en-AU"/>
              </w:rPr>
              <w:t xml:space="preserve"> $</w:t>
            </w:r>
          </w:p>
        </w:tc>
        <w:tc>
          <w:tcPr>
            <w:tcW w:w="1150" w:type="dxa"/>
            <w:tcBorders>
              <w:left w:val="nil"/>
              <w:bottom w:val="nil"/>
              <w:right w:val="nil"/>
            </w:tcBorders>
            <w:shd w:val="clear" w:color="auto" w:fill="auto"/>
            <w:vAlign w:val="center"/>
            <w:hideMark/>
          </w:tcPr>
          <w:p w14:paraId="032EF6AF" w14:textId="2D06C83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r w:rsidR="00F37CA4">
              <w:rPr>
                <w:rFonts w:ascii="Calibri" w:eastAsia="Times New Roman" w:hAnsi="Calibri" w:cs="Calibri"/>
                <w:color w:val="000000"/>
                <w:sz w:val="22"/>
                <w:szCs w:val="22"/>
                <w:lang w:val="en-AU" w:eastAsia="en-AU"/>
              </w:rPr>
              <w:t xml:space="preserve"> $</w:t>
            </w:r>
            <w:r w:rsidRPr="000D61D1">
              <w:rPr>
                <w:rFonts w:ascii="Calibri" w:eastAsia="Times New Roman" w:hAnsi="Calibri" w:cs="Calibri"/>
                <w:color w:val="000000"/>
                <w:sz w:val="22"/>
                <w:szCs w:val="22"/>
                <w:lang w:val="en-AU" w:eastAsia="en-AU"/>
              </w:rPr>
              <w:t xml:space="preserve"> </w:t>
            </w:r>
          </w:p>
        </w:tc>
        <w:tc>
          <w:tcPr>
            <w:tcW w:w="1317" w:type="dxa"/>
            <w:tcBorders>
              <w:left w:val="nil"/>
              <w:bottom w:val="nil"/>
              <w:right w:val="nil"/>
            </w:tcBorders>
            <w:shd w:val="clear" w:color="auto" w:fill="auto"/>
            <w:vAlign w:val="center"/>
            <w:hideMark/>
          </w:tcPr>
          <w:p w14:paraId="3BBA570A"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New Tax Policy - % Change in income</w:t>
            </w:r>
          </w:p>
        </w:tc>
        <w:tc>
          <w:tcPr>
            <w:tcW w:w="1276" w:type="dxa"/>
            <w:tcBorders>
              <w:left w:val="nil"/>
              <w:bottom w:val="nil"/>
              <w:right w:val="nil"/>
            </w:tcBorders>
            <w:shd w:val="clear" w:color="auto" w:fill="auto"/>
            <w:vAlign w:val="center"/>
            <w:hideMark/>
          </w:tcPr>
          <w:p w14:paraId="76A9EEB4"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Old Tax Policy - % Change in income</w:t>
            </w:r>
          </w:p>
        </w:tc>
        <w:tc>
          <w:tcPr>
            <w:tcW w:w="1153" w:type="dxa"/>
            <w:tcBorders>
              <w:left w:val="nil"/>
              <w:bottom w:val="nil"/>
              <w:right w:val="nil"/>
            </w:tcBorders>
            <w:shd w:val="clear" w:color="auto" w:fill="auto"/>
            <w:vAlign w:val="center"/>
            <w:hideMark/>
          </w:tcPr>
          <w:p w14:paraId="70375896"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Difference</w:t>
            </w:r>
          </w:p>
        </w:tc>
      </w:tr>
      <w:tr w:rsidR="003C620A" w:rsidRPr="000D61D1" w14:paraId="06118137" w14:textId="77777777" w:rsidTr="003C620A">
        <w:trPr>
          <w:trHeight w:val="290"/>
        </w:trPr>
        <w:tc>
          <w:tcPr>
            <w:tcW w:w="1985" w:type="dxa"/>
            <w:tcBorders>
              <w:top w:val="nil"/>
              <w:left w:val="nil"/>
              <w:bottom w:val="nil"/>
              <w:right w:val="nil"/>
            </w:tcBorders>
            <w:shd w:val="clear" w:color="auto" w:fill="auto"/>
            <w:vAlign w:val="center"/>
            <w:hideMark/>
          </w:tcPr>
          <w:p w14:paraId="5BF4571C"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Q1</w:t>
            </w:r>
          </w:p>
        </w:tc>
        <w:tc>
          <w:tcPr>
            <w:tcW w:w="1134" w:type="dxa"/>
            <w:tcBorders>
              <w:top w:val="nil"/>
              <w:left w:val="nil"/>
              <w:bottom w:val="nil"/>
              <w:right w:val="nil"/>
            </w:tcBorders>
            <w:shd w:val="clear" w:color="000000" w:fill="E7E6E6"/>
            <w:vAlign w:val="center"/>
            <w:hideMark/>
          </w:tcPr>
          <w:p w14:paraId="47BEC728"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1,176</w:t>
            </w:r>
          </w:p>
        </w:tc>
        <w:tc>
          <w:tcPr>
            <w:tcW w:w="935" w:type="dxa"/>
            <w:tcBorders>
              <w:top w:val="nil"/>
              <w:left w:val="nil"/>
              <w:bottom w:val="nil"/>
              <w:right w:val="nil"/>
            </w:tcBorders>
            <w:shd w:val="clear" w:color="auto" w:fill="auto"/>
            <w:vAlign w:val="center"/>
            <w:hideMark/>
          </w:tcPr>
          <w:p w14:paraId="7CEB1847"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1,034</w:t>
            </w:r>
          </w:p>
        </w:tc>
        <w:tc>
          <w:tcPr>
            <w:tcW w:w="1150" w:type="dxa"/>
            <w:tcBorders>
              <w:top w:val="nil"/>
              <w:left w:val="nil"/>
              <w:bottom w:val="nil"/>
              <w:right w:val="nil"/>
            </w:tcBorders>
            <w:shd w:val="clear" w:color="auto" w:fill="auto"/>
            <w:vAlign w:val="center"/>
            <w:hideMark/>
          </w:tcPr>
          <w:p w14:paraId="620F5852"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141</w:t>
            </w:r>
          </w:p>
        </w:tc>
        <w:tc>
          <w:tcPr>
            <w:tcW w:w="1317" w:type="dxa"/>
            <w:tcBorders>
              <w:top w:val="nil"/>
              <w:left w:val="nil"/>
              <w:bottom w:val="nil"/>
              <w:right w:val="nil"/>
            </w:tcBorders>
            <w:shd w:val="clear" w:color="auto" w:fill="auto"/>
            <w:vAlign w:val="center"/>
            <w:hideMark/>
          </w:tcPr>
          <w:p w14:paraId="01BC3DCD"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1.53</w:t>
            </w:r>
          </w:p>
        </w:tc>
        <w:tc>
          <w:tcPr>
            <w:tcW w:w="1276" w:type="dxa"/>
            <w:tcBorders>
              <w:top w:val="nil"/>
              <w:left w:val="nil"/>
              <w:bottom w:val="nil"/>
              <w:right w:val="nil"/>
            </w:tcBorders>
            <w:shd w:val="clear" w:color="auto" w:fill="auto"/>
            <w:vAlign w:val="center"/>
            <w:hideMark/>
          </w:tcPr>
          <w:p w14:paraId="2D9B8630"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1.36</w:t>
            </w:r>
          </w:p>
        </w:tc>
        <w:tc>
          <w:tcPr>
            <w:tcW w:w="1153" w:type="dxa"/>
            <w:tcBorders>
              <w:top w:val="nil"/>
              <w:left w:val="nil"/>
              <w:bottom w:val="nil"/>
              <w:right w:val="nil"/>
            </w:tcBorders>
            <w:shd w:val="clear" w:color="auto" w:fill="auto"/>
            <w:vAlign w:val="center"/>
            <w:hideMark/>
          </w:tcPr>
          <w:p w14:paraId="4277B96E"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0.18</w:t>
            </w:r>
          </w:p>
        </w:tc>
      </w:tr>
      <w:tr w:rsidR="003C620A" w:rsidRPr="000D61D1" w14:paraId="7202213A" w14:textId="77777777" w:rsidTr="003C620A">
        <w:trPr>
          <w:trHeight w:val="290"/>
        </w:trPr>
        <w:tc>
          <w:tcPr>
            <w:tcW w:w="1985" w:type="dxa"/>
            <w:tcBorders>
              <w:top w:val="nil"/>
              <w:left w:val="nil"/>
              <w:bottom w:val="nil"/>
              <w:right w:val="nil"/>
            </w:tcBorders>
            <w:shd w:val="clear" w:color="auto" w:fill="auto"/>
            <w:vAlign w:val="center"/>
            <w:hideMark/>
          </w:tcPr>
          <w:p w14:paraId="6896BCB2"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Q2</w:t>
            </w:r>
          </w:p>
        </w:tc>
        <w:tc>
          <w:tcPr>
            <w:tcW w:w="1134" w:type="dxa"/>
            <w:tcBorders>
              <w:top w:val="nil"/>
              <w:left w:val="nil"/>
              <w:bottom w:val="nil"/>
              <w:right w:val="nil"/>
            </w:tcBorders>
            <w:shd w:val="clear" w:color="000000" w:fill="E7E6E6"/>
            <w:vAlign w:val="center"/>
            <w:hideMark/>
          </w:tcPr>
          <w:p w14:paraId="79D1EED3"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4,113</w:t>
            </w:r>
          </w:p>
        </w:tc>
        <w:tc>
          <w:tcPr>
            <w:tcW w:w="935" w:type="dxa"/>
            <w:tcBorders>
              <w:top w:val="nil"/>
              <w:left w:val="nil"/>
              <w:bottom w:val="nil"/>
              <w:right w:val="nil"/>
            </w:tcBorders>
            <w:shd w:val="clear" w:color="auto" w:fill="auto"/>
            <w:vAlign w:val="center"/>
            <w:hideMark/>
          </w:tcPr>
          <w:p w14:paraId="05C3FFA7"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4,567</w:t>
            </w:r>
          </w:p>
        </w:tc>
        <w:tc>
          <w:tcPr>
            <w:tcW w:w="1150" w:type="dxa"/>
            <w:tcBorders>
              <w:top w:val="nil"/>
              <w:left w:val="nil"/>
              <w:bottom w:val="nil"/>
              <w:right w:val="nil"/>
            </w:tcBorders>
            <w:shd w:val="clear" w:color="auto" w:fill="auto"/>
            <w:vAlign w:val="center"/>
            <w:hideMark/>
          </w:tcPr>
          <w:p w14:paraId="4B336BD4"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-454</w:t>
            </w:r>
          </w:p>
        </w:tc>
        <w:tc>
          <w:tcPr>
            <w:tcW w:w="1317" w:type="dxa"/>
            <w:tcBorders>
              <w:top w:val="nil"/>
              <w:left w:val="nil"/>
              <w:bottom w:val="nil"/>
              <w:right w:val="nil"/>
            </w:tcBorders>
            <w:shd w:val="clear" w:color="auto" w:fill="auto"/>
            <w:vAlign w:val="center"/>
            <w:hideMark/>
          </w:tcPr>
          <w:p w14:paraId="0EBC8CC5"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5.11</w:t>
            </w:r>
          </w:p>
        </w:tc>
        <w:tc>
          <w:tcPr>
            <w:tcW w:w="1276" w:type="dxa"/>
            <w:tcBorders>
              <w:top w:val="nil"/>
              <w:left w:val="nil"/>
              <w:bottom w:val="nil"/>
              <w:right w:val="nil"/>
            </w:tcBorders>
            <w:shd w:val="clear" w:color="auto" w:fill="auto"/>
            <w:vAlign w:val="center"/>
            <w:hideMark/>
          </w:tcPr>
          <w:p w14:paraId="7271127E"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5.67</w:t>
            </w:r>
          </w:p>
        </w:tc>
        <w:tc>
          <w:tcPr>
            <w:tcW w:w="1153" w:type="dxa"/>
            <w:tcBorders>
              <w:top w:val="nil"/>
              <w:left w:val="nil"/>
              <w:bottom w:val="nil"/>
              <w:right w:val="nil"/>
            </w:tcBorders>
            <w:shd w:val="clear" w:color="auto" w:fill="auto"/>
            <w:vAlign w:val="center"/>
            <w:hideMark/>
          </w:tcPr>
          <w:p w14:paraId="76DF5D10"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-0.56</w:t>
            </w:r>
          </w:p>
        </w:tc>
      </w:tr>
      <w:tr w:rsidR="003C620A" w:rsidRPr="000D61D1" w14:paraId="10DBD817" w14:textId="77777777" w:rsidTr="003C620A">
        <w:trPr>
          <w:trHeight w:val="290"/>
        </w:trPr>
        <w:tc>
          <w:tcPr>
            <w:tcW w:w="1985" w:type="dxa"/>
            <w:tcBorders>
              <w:top w:val="nil"/>
              <w:left w:val="nil"/>
              <w:bottom w:val="nil"/>
              <w:right w:val="nil"/>
            </w:tcBorders>
            <w:shd w:val="clear" w:color="auto" w:fill="auto"/>
            <w:vAlign w:val="center"/>
            <w:hideMark/>
          </w:tcPr>
          <w:p w14:paraId="56C195FF"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Q3</w:t>
            </w:r>
          </w:p>
        </w:tc>
        <w:tc>
          <w:tcPr>
            <w:tcW w:w="1134" w:type="dxa"/>
            <w:tcBorders>
              <w:top w:val="nil"/>
              <w:left w:val="nil"/>
              <w:bottom w:val="nil"/>
              <w:right w:val="nil"/>
            </w:tcBorders>
            <w:shd w:val="clear" w:color="000000" w:fill="E7E6E6"/>
            <w:vAlign w:val="center"/>
            <w:hideMark/>
          </w:tcPr>
          <w:p w14:paraId="5BA42F14"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3,578</w:t>
            </w:r>
          </w:p>
        </w:tc>
        <w:tc>
          <w:tcPr>
            <w:tcW w:w="935" w:type="dxa"/>
            <w:tcBorders>
              <w:top w:val="nil"/>
              <w:left w:val="nil"/>
              <w:bottom w:val="nil"/>
              <w:right w:val="nil"/>
            </w:tcBorders>
            <w:shd w:val="clear" w:color="auto" w:fill="auto"/>
            <w:vAlign w:val="center"/>
            <w:hideMark/>
          </w:tcPr>
          <w:p w14:paraId="44AEEB21"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3,864</w:t>
            </w:r>
          </w:p>
        </w:tc>
        <w:tc>
          <w:tcPr>
            <w:tcW w:w="1150" w:type="dxa"/>
            <w:tcBorders>
              <w:top w:val="nil"/>
              <w:left w:val="nil"/>
              <w:bottom w:val="nil"/>
              <w:right w:val="nil"/>
            </w:tcBorders>
            <w:shd w:val="clear" w:color="auto" w:fill="auto"/>
            <w:vAlign w:val="center"/>
            <w:hideMark/>
          </w:tcPr>
          <w:p w14:paraId="057F3B2A"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-286</w:t>
            </w:r>
          </w:p>
        </w:tc>
        <w:tc>
          <w:tcPr>
            <w:tcW w:w="1317" w:type="dxa"/>
            <w:tcBorders>
              <w:top w:val="nil"/>
              <w:left w:val="nil"/>
              <w:bottom w:val="nil"/>
              <w:right w:val="nil"/>
            </w:tcBorders>
            <w:shd w:val="clear" w:color="auto" w:fill="auto"/>
            <w:vAlign w:val="center"/>
            <w:hideMark/>
          </w:tcPr>
          <w:p w14:paraId="7D0D7C7E"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3.86</w:t>
            </w:r>
          </w:p>
        </w:tc>
        <w:tc>
          <w:tcPr>
            <w:tcW w:w="1276" w:type="dxa"/>
            <w:tcBorders>
              <w:top w:val="nil"/>
              <w:left w:val="nil"/>
              <w:bottom w:val="nil"/>
              <w:right w:val="nil"/>
            </w:tcBorders>
            <w:shd w:val="clear" w:color="auto" w:fill="auto"/>
            <w:vAlign w:val="center"/>
            <w:hideMark/>
          </w:tcPr>
          <w:p w14:paraId="096DDD7F"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4.17</w:t>
            </w:r>
          </w:p>
        </w:tc>
        <w:tc>
          <w:tcPr>
            <w:tcW w:w="1153" w:type="dxa"/>
            <w:tcBorders>
              <w:top w:val="nil"/>
              <w:left w:val="nil"/>
              <w:bottom w:val="nil"/>
              <w:right w:val="nil"/>
            </w:tcBorders>
            <w:shd w:val="clear" w:color="auto" w:fill="auto"/>
            <w:vAlign w:val="center"/>
            <w:hideMark/>
          </w:tcPr>
          <w:p w14:paraId="56D6FE05"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-0.31</w:t>
            </w:r>
          </w:p>
        </w:tc>
      </w:tr>
      <w:tr w:rsidR="003C620A" w:rsidRPr="000D61D1" w14:paraId="09C98394" w14:textId="77777777" w:rsidTr="003C620A">
        <w:trPr>
          <w:trHeight w:val="290"/>
        </w:trPr>
        <w:tc>
          <w:tcPr>
            <w:tcW w:w="1985" w:type="dxa"/>
            <w:tcBorders>
              <w:top w:val="nil"/>
              <w:left w:val="nil"/>
              <w:bottom w:val="nil"/>
              <w:right w:val="nil"/>
            </w:tcBorders>
            <w:shd w:val="clear" w:color="auto" w:fill="auto"/>
            <w:vAlign w:val="center"/>
            <w:hideMark/>
          </w:tcPr>
          <w:p w14:paraId="5CFDAEC3"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Q4</w:t>
            </w:r>
          </w:p>
        </w:tc>
        <w:tc>
          <w:tcPr>
            <w:tcW w:w="1134" w:type="dxa"/>
            <w:tcBorders>
              <w:top w:val="nil"/>
              <w:left w:val="nil"/>
              <w:bottom w:val="nil"/>
              <w:right w:val="nil"/>
            </w:tcBorders>
            <w:shd w:val="clear" w:color="000000" w:fill="E7E6E6"/>
            <w:vAlign w:val="center"/>
            <w:hideMark/>
          </w:tcPr>
          <w:p w14:paraId="0B2668D4"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3,830</w:t>
            </w:r>
          </w:p>
        </w:tc>
        <w:tc>
          <w:tcPr>
            <w:tcW w:w="935" w:type="dxa"/>
            <w:tcBorders>
              <w:top w:val="nil"/>
              <w:left w:val="nil"/>
              <w:bottom w:val="nil"/>
              <w:right w:val="nil"/>
            </w:tcBorders>
            <w:shd w:val="clear" w:color="auto" w:fill="auto"/>
            <w:vAlign w:val="center"/>
            <w:hideMark/>
          </w:tcPr>
          <w:p w14:paraId="5B903567"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3,998</w:t>
            </w:r>
          </w:p>
        </w:tc>
        <w:tc>
          <w:tcPr>
            <w:tcW w:w="1150" w:type="dxa"/>
            <w:tcBorders>
              <w:top w:val="nil"/>
              <w:left w:val="nil"/>
              <w:bottom w:val="nil"/>
              <w:right w:val="nil"/>
            </w:tcBorders>
            <w:shd w:val="clear" w:color="auto" w:fill="auto"/>
            <w:vAlign w:val="center"/>
            <w:hideMark/>
          </w:tcPr>
          <w:p w14:paraId="465D8696"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-168</w:t>
            </w:r>
          </w:p>
        </w:tc>
        <w:tc>
          <w:tcPr>
            <w:tcW w:w="1317" w:type="dxa"/>
            <w:tcBorders>
              <w:top w:val="nil"/>
              <w:left w:val="nil"/>
              <w:bottom w:val="nil"/>
              <w:right w:val="nil"/>
            </w:tcBorders>
            <w:shd w:val="clear" w:color="auto" w:fill="auto"/>
            <w:vAlign w:val="center"/>
            <w:hideMark/>
          </w:tcPr>
          <w:p w14:paraId="0D00FDFD"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4.22</w:t>
            </w:r>
          </w:p>
        </w:tc>
        <w:tc>
          <w:tcPr>
            <w:tcW w:w="1276" w:type="dxa"/>
            <w:tcBorders>
              <w:top w:val="nil"/>
              <w:left w:val="nil"/>
              <w:bottom w:val="nil"/>
              <w:right w:val="nil"/>
            </w:tcBorders>
            <w:shd w:val="clear" w:color="auto" w:fill="auto"/>
            <w:vAlign w:val="center"/>
            <w:hideMark/>
          </w:tcPr>
          <w:p w14:paraId="7A1C900C"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4.40</w:t>
            </w:r>
          </w:p>
        </w:tc>
        <w:tc>
          <w:tcPr>
            <w:tcW w:w="1153" w:type="dxa"/>
            <w:tcBorders>
              <w:top w:val="nil"/>
              <w:left w:val="nil"/>
              <w:bottom w:val="nil"/>
              <w:right w:val="nil"/>
            </w:tcBorders>
            <w:shd w:val="clear" w:color="auto" w:fill="auto"/>
            <w:vAlign w:val="center"/>
            <w:hideMark/>
          </w:tcPr>
          <w:p w14:paraId="34CF24F4" w14:textId="77777777" w:rsidR="003C620A" w:rsidRPr="000D61D1" w:rsidRDefault="003C620A" w:rsidP="003C620A">
            <w:pPr>
              <w:spacing w:after="0"/>
              <w:jc w:val="right"/>
              <w:rPr>
                <w:rFonts w:ascii="Calibri" w:eastAsia="Times New Roman" w:hAnsi="Calibri" w:cs="Calibri"/>
                <w:color w:val="000000"/>
                <w:sz w:val="22"/>
                <w:szCs w:val="22"/>
                <w:lang w:val="en-AU" w:eastAsia="en-AU"/>
              </w:rPr>
            </w:pPr>
            <w:r>
              <w:t>-0.19</w:t>
            </w:r>
          </w:p>
        </w:tc>
      </w:tr>
      <w:tr w:rsidR="003C620A" w:rsidRPr="000D61D1" w14:paraId="6EEB2208" w14:textId="77777777" w:rsidTr="003C620A">
        <w:trPr>
          <w:trHeight w:val="300"/>
        </w:trPr>
        <w:tc>
          <w:tcPr>
            <w:tcW w:w="1985" w:type="dxa"/>
            <w:tcBorders>
              <w:top w:val="nil"/>
              <w:left w:val="nil"/>
              <w:bottom w:val="single" w:sz="8" w:space="0" w:color="auto"/>
              <w:right w:val="nil"/>
            </w:tcBorders>
            <w:shd w:val="clear" w:color="auto" w:fill="auto"/>
            <w:vAlign w:val="center"/>
            <w:hideMark/>
          </w:tcPr>
          <w:p w14:paraId="12C97D90" w14:textId="77777777" w:rsidR="003C620A" w:rsidRPr="000D61D1" w:rsidRDefault="003C620A" w:rsidP="003C620A">
            <w:pPr>
              <w:spacing w:after="0"/>
              <w:jc w:val="left"/>
              <w:rPr>
                <w:rFonts w:ascii="Calibri" w:eastAsia="Times New Roman" w:hAnsi="Calibri" w:cs="Calibri"/>
                <w:color w:val="000000"/>
                <w:sz w:val="22"/>
                <w:szCs w:val="22"/>
                <w:lang w:val="en-AU" w:eastAsia="en-AU"/>
              </w:rPr>
            </w:pPr>
            <w:r w:rsidRPr="000D61D1">
              <w:rPr>
                <w:rFonts w:ascii="Calibri" w:eastAsia="Times New Roman" w:hAnsi="Calibri" w:cs="Calibri"/>
                <w:color w:val="000000"/>
                <w:sz w:val="22"/>
                <w:szCs w:val="22"/>
                <w:lang w:val="en-AU" w:eastAsia="en-AU"/>
              </w:rPr>
              <w:t>Q5</w:t>
            </w:r>
          </w:p>
        </w:tc>
        <w:tc>
          <w:tcPr>
            <w:tcW w:w="1134" w:type="dxa"/>
            <w:tcBorders>
              <w:top w:val="nil"/>
              <w:left w:val="nil"/>
              <w:bottom w:val="single" w:sz="8" w:space="0" w:color="auto"/>
              <w:right w:val="nil"/>
            </w:tcBorders>
            <w:shd w:val="clear" w:color="000000" w:fill="E7E6E6"/>
            <w:vAlign w:val="center"/>
            <w:hideMark/>
          </w:tcPr>
          <w:p w14:paraId="56E2CB03" w14:textId="77777777" w:rsidR="003C620A" w:rsidRPr="000D61D1" w:rsidRDefault="003C620A" w:rsidP="003C620A">
            <w:pPr>
              <w:spacing w:after="0"/>
              <w:jc w:val="right"/>
              <w:rPr>
                <w:rFonts w:ascii="Calibri" w:hAnsi="Calibri"/>
                <w:color w:val="000000"/>
                <w:sz w:val="22"/>
                <w:lang w:val="en-AU"/>
              </w:rPr>
            </w:pPr>
            <w:r>
              <w:t>5,248</w:t>
            </w:r>
          </w:p>
        </w:tc>
        <w:tc>
          <w:tcPr>
            <w:tcW w:w="935" w:type="dxa"/>
            <w:tcBorders>
              <w:top w:val="nil"/>
              <w:left w:val="nil"/>
              <w:bottom w:val="single" w:sz="8" w:space="0" w:color="auto"/>
              <w:right w:val="nil"/>
            </w:tcBorders>
            <w:shd w:val="clear" w:color="auto" w:fill="auto"/>
            <w:vAlign w:val="center"/>
            <w:hideMark/>
          </w:tcPr>
          <w:p w14:paraId="559319CA" w14:textId="77777777" w:rsidR="003C620A" w:rsidRPr="000D61D1" w:rsidRDefault="003C620A" w:rsidP="003C620A">
            <w:pPr>
              <w:spacing w:after="0"/>
              <w:jc w:val="right"/>
              <w:rPr>
                <w:rFonts w:ascii="Calibri" w:hAnsi="Calibri"/>
                <w:color w:val="000000"/>
                <w:sz w:val="22"/>
                <w:lang w:val="en-AU"/>
              </w:rPr>
            </w:pPr>
            <w:r>
              <w:t>4,844</w:t>
            </w:r>
          </w:p>
        </w:tc>
        <w:tc>
          <w:tcPr>
            <w:tcW w:w="1150" w:type="dxa"/>
            <w:tcBorders>
              <w:top w:val="nil"/>
              <w:left w:val="nil"/>
              <w:bottom w:val="single" w:sz="8" w:space="0" w:color="auto"/>
              <w:right w:val="nil"/>
            </w:tcBorders>
            <w:shd w:val="clear" w:color="auto" w:fill="auto"/>
            <w:vAlign w:val="center"/>
            <w:hideMark/>
          </w:tcPr>
          <w:p w14:paraId="07514336" w14:textId="77777777" w:rsidR="003C620A" w:rsidRPr="000D61D1" w:rsidRDefault="003C620A" w:rsidP="003C620A">
            <w:pPr>
              <w:spacing w:after="0"/>
              <w:jc w:val="right"/>
              <w:rPr>
                <w:rFonts w:ascii="Calibri" w:hAnsi="Calibri"/>
                <w:color w:val="000000"/>
                <w:sz w:val="22"/>
                <w:lang w:val="en-AU"/>
              </w:rPr>
            </w:pPr>
            <w:r>
              <w:t>403</w:t>
            </w:r>
          </w:p>
        </w:tc>
        <w:tc>
          <w:tcPr>
            <w:tcW w:w="1317" w:type="dxa"/>
            <w:tcBorders>
              <w:top w:val="nil"/>
              <w:left w:val="nil"/>
              <w:bottom w:val="single" w:sz="8" w:space="0" w:color="auto"/>
              <w:right w:val="nil"/>
            </w:tcBorders>
            <w:shd w:val="clear" w:color="auto" w:fill="auto"/>
            <w:vAlign w:val="center"/>
            <w:hideMark/>
          </w:tcPr>
          <w:p w14:paraId="538C2683" w14:textId="77777777" w:rsidR="003C620A" w:rsidRPr="000D61D1" w:rsidRDefault="003C620A" w:rsidP="003C620A">
            <w:pPr>
              <w:spacing w:after="0"/>
              <w:jc w:val="right"/>
              <w:rPr>
                <w:rFonts w:ascii="Calibri" w:hAnsi="Calibri"/>
                <w:color w:val="000000"/>
                <w:sz w:val="22"/>
                <w:lang w:val="en-AU"/>
              </w:rPr>
            </w:pPr>
            <w:r>
              <w:t>5.12</w:t>
            </w:r>
          </w:p>
        </w:tc>
        <w:tc>
          <w:tcPr>
            <w:tcW w:w="1276" w:type="dxa"/>
            <w:tcBorders>
              <w:top w:val="nil"/>
              <w:left w:val="nil"/>
              <w:bottom w:val="single" w:sz="8" w:space="0" w:color="auto"/>
              <w:right w:val="nil"/>
            </w:tcBorders>
            <w:shd w:val="clear" w:color="auto" w:fill="auto"/>
            <w:vAlign w:val="center"/>
            <w:hideMark/>
          </w:tcPr>
          <w:p w14:paraId="42AE5CC3" w14:textId="77777777" w:rsidR="003C620A" w:rsidRPr="000D61D1" w:rsidRDefault="003C620A" w:rsidP="003C620A">
            <w:pPr>
              <w:spacing w:after="0"/>
              <w:jc w:val="right"/>
              <w:rPr>
                <w:rFonts w:ascii="Calibri" w:hAnsi="Calibri"/>
                <w:color w:val="000000"/>
                <w:sz w:val="22"/>
                <w:lang w:val="en-AU"/>
              </w:rPr>
            </w:pPr>
            <w:r>
              <w:t>4.73</w:t>
            </w:r>
          </w:p>
        </w:tc>
        <w:tc>
          <w:tcPr>
            <w:tcW w:w="1153" w:type="dxa"/>
            <w:tcBorders>
              <w:top w:val="nil"/>
              <w:left w:val="nil"/>
              <w:bottom w:val="single" w:sz="8" w:space="0" w:color="auto"/>
              <w:right w:val="nil"/>
            </w:tcBorders>
            <w:shd w:val="clear" w:color="auto" w:fill="auto"/>
            <w:vAlign w:val="center"/>
            <w:hideMark/>
          </w:tcPr>
          <w:p w14:paraId="36297145" w14:textId="77777777" w:rsidR="003C620A" w:rsidRPr="000D61D1" w:rsidRDefault="003C620A" w:rsidP="003C620A">
            <w:pPr>
              <w:spacing w:after="0"/>
              <w:jc w:val="right"/>
              <w:rPr>
                <w:rFonts w:ascii="Calibri" w:hAnsi="Calibri"/>
                <w:color w:val="000000"/>
                <w:sz w:val="22"/>
                <w:lang w:val="en-AU"/>
              </w:rPr>
            </w:pPr>
            <w:r>
              <w:t>0.39</w:t>
            </w:r>
          </w:p>
        </w:tc>
      </w:tr>
    </w:tbl>
    <w:p w14:paraId="4D856F10" w14:textId="77777777" w:rsidR="003C620A" w:rsidRPr="000D61D1" w:rsidRDefault="003C620A" w:rsidP="003C620A">
      <w:pPr>
        <w:pStyle w:val="Caption"/>
        <w:jc w:val="left"/>
        <w:rPr>
          <w:lang w:val="en-AU"/>
        </w:rPr>
      </w:pPr>
      <w:r w:rsidRPr="000D61D1">
        <w:rPr>
          <w:lang w:val="en-AU"/>
        </w:rPr>
        <w:t>Source: Calculations from NATSEM microsimulation model.</w:t>
      </w:r>
      <w:r w:rsidRPr="000D61D1">
        <w:rPr>
          <w:lang w:val="en-AU"/>
        </w:rPr>
        <w:br/>
      </w:r>
    </w:p>
    <w:p w14:paraId="130290DB" w14:textId="77777777" w:rsidR="003C620A" w:rsidRPr="000D61D1" w:rsidRDefault="003C620A" w:rsidP="003C620A">
      <w:pPr>
        <w:pStyle w:val="Heading3"/>
        <w:rPr>
          <w:lang w:val="en-AU"/>
        </w:rPr>
      </w:pPr>
      <w:bookmarkStart w:id="25" w:name="_Toc43911480"/>
      <w:r w:rsidRPr="000D61D1">
        <w:rPr>
          <w:lang w:val="en-AU"/>
        </w:rPr>
        <w:lastRenderedPageBreak/>
        <w:t>Discussion</w:t>
      </w:r>
      <w:bookmarkEnd w:id="25"/>
    </w:p>
    <w:p w14:paraId="647BE571" w14:textId="77777777" w:rsidR="003C620A" w:rsidRPr="000D61D1" w:rsidRDefault="003C620A" w:rsidP="003C620A">
      <w:pPr>
        <w:rPr>
          <w:lang w:val="en-AU"/>
        </w:rPr>
      </w:pPr>
      <w:r w:rsidRPr="000D61D1">
        <w:rPr>
          <w:lang w:val="en-AU"/>
        </w:rPr>
        <w:t xml:space="preserve">This work has shown that the new tax system in the ACT, before taking into account </w:t>
      </w:r>
      <w:r>
        <w:rPr>
          <w:lang w:val="en-AU"/>
        </w:rPr>
        <w:t xml:space="preserve">property </w:t>
      </w:r>
      <w:r w:rsidRPr="000D61D1">
        <w:rPr>
          <w:lang w:val="en-AU"/>
        </w:rPr>
        <w:t>price increases, can be expected to benefit all the groups we looked at by increasing the number of sales; and for most of the disadvantaged sub-groups of the population we looked at, a lower proportion of their income was being spent on stamp duty and rates over the period 2012 – 2018. Exceptions to this were some of the homeowners, who wouldn’t benefit from the reduced stamp duty; but the increase in all cases was less than 0.</w:t>
      </w:r>
      <w:r>
        <w:rPr>
          <w:lang w:val="en-AU"/>
        </w:rPr>
        <w:t>65</w:t>
      </w:r>
      <w:r w:rsidRPr="000D61D1">
        <w:rPr>
          <w:lang w:val="en-AU"/>
        </w:rPr>
        <w:t xml:space="preserve"> percentage points of their income.</w:t>
      </w:r>
    </w:p>
    <w:p w14:paraId="001E0FA0" w14:textId="77777777" w:rsidR="003C620A" w:rsidRPr="000D61D1" w:rsidRDefault="003C620A" w:rsidP="003C620A">
      <w:pPr>
        <w:rPr>
          <w:lang w:val="en-AU"/>
        </w:rPr>
      </w:pPr>
      <w:r w:rsidRPr="000D61D1">
        <w:rPr>
          <w:lang w:val="en-AU"/>
        </w:rPr>
        <w:t xml:space="preserve">Both before and after </w:t>
      </w:r>
      <w:proofErr w:type="gramStart"/>
      <w:r w:rsidRPr="000D61D1">
        <w:rPr>
          <w:lang w:val="en-AU"/>
        </w:rPr>
        <w:t>taking into account</w:t>
      </w:r>
      <w:proofErr w:type="gramEnd"/>
      <w:r w:rsidRPr="000D61D1">
        <w:rPr>
          <w:lang w:val="en-AU"/>
        </w:rPr>
        <w:t xml:space="preserve"> </w:t>
      </w:r>
      <w:r>
        <w:rPr>
          <w:lang w:val="en-AU"/>
        </w:rPr>
        <w:t>property</w:t>
      </w:r>
      <w:r w:rsidRPr="000D61D1">
        <w:rPr>
          <w:lang w:val="en-AU"/>
        </w:rPr>
        <w:t xml:space="preserve"> price increases, the new tax system shows that low income families were paying less on stamp duty and rates as a proportion of the total stamp duty and rates paid under the new system compared to the old system. For rates, the highest income quintile was the only quintile paying more as a proportion of the</w:t>
      </w:r>
      <w:r>
        <w:rPr>
          <w:lang w:val="en-AU"/>
        </w:rPr>
        <w:t xml:space="preserve"> total rates paid (Table 5)</w:t>
      </w:r>
      <w:r w:rsidRPr="000D61D1">
        <w:rPr>
          <w:lang w:val="en-AU"/>
        </w:rPr>
        <w:t>; and for stamp duty, the second two highest income quintiles were paying more</w:t>
      </w:r>
      <w:r>
        <w:rPr>
          <w:lang w:val="en-AU"/>
        </w:rPr>
        <w:t xml:space="preserve"> as a proportion of the total stamp duty paid (Table 6)</w:t>
      </w:r>
      <w:r w:rsidRPr="000D61D1">
        <w:rPr>
          <w:lang w:val="en-AU"/>
        </w:rPr>
        <w:t xml:space="preserve">. </w:t>
      </w:r>
      <w:proofErr w:type="gramStart"/>
      <w:r w:rsidRPr="000D61D1">
        <w:rPr>
          <w:lang w:val="en-AU"/>
        </w:rPr>
        <w:t>Generally</w:t>
      </w:r>
      <w:proofErr w:type="gramEnd"/>
      <w:r w:rsidRPr="000D61D1">
        <w:rPr>
          <w:lang w:val="en-AU"/>
        </w:rPr>
        <w:t xml:space="preserve"> under the new system</w:t>
      </w:r>
      <w:r>
        <w:rPr>
          <w:lang w:val="en-AU"/>
        </w:rPr>
        <w:t xml:space="preserve"> and considering spending on rates and stamp duty combined</w:t>
      </w:r>
      <w:r w:rsidRPr="000D61D1">
        <w:rPr>
          <w:lang w:val="en-AU"/>
        </w:rPr>
        <w:t>, lower income (Q1 and Q2) families and high income families (Q5) are slightly worse off; while middle income families, who are probably benefitting from the stamp duty decreases, are better off.</w:t>
      </w:r>
    </w:p>
    <w:p w14:paraId="1C4A0BFF" w14:textId="77777777" w:rsidR="003C620A" w:rsidRPr="000D61D1" w:rsidRDefault="003C620A" w:rsidP="003C620A">
      <w:pPr>
        <w:rPr>
          <w:lang w:val="en-AU"/>
        </w:rPr>
      </w:pPr>
      <w:r w:rsidRPr="000D61D1">
        <w:rPr>
          <w:lang w:val="en-AU"/>
        </w:rPr>
        <w:t xml:space="preserve">When looking at wealth quintiles, the lowest wealth (Q1) and the highest wealth (Q5) </w:t>
      </w:r>
      <w:r>
        <w:rPr>
          <w:lang w:val="en-AU"/>
        </w:rPr>
        <w:t xml:space="preserve">spent a greater proportion of their income on rates and stamp duty </w:t>
      </w:r>
      <w:r w:rsidRPr="000D61D1">
        <w:rPr>
          <w:lang w:val="en-AU"/>
        </w:rPr>
        <w:t xml:space="preserve">after tax reform; and the middle three wealth quintiles </w:t>
      </w:r>
      <w:r>
        <w:rPr>
          <w:lang w:val="en-AU"/>
        </w:rPr>
        <w:t>spend a lower proportion of their income on stamp duty and rates.</w:t>
      </w:r>
      <w:r w:rsidRPr="000D61D1">
        <w:rPr>
          <w:lang w:val="en-AU"/>
        </w:rPr>
        <w:t xml:space="preserve"> This is probably because the highest wealth </w:t>
      </w:r>
      <w:r>
        <w:rPr>
          <w:lang w:val="en-AU"/>
        </w:rPr>
        <w:t xml:space="preserve">households </w:t>
      </w:r>
      <w:r w:rsidRPr="000D61D1">
        <w:rPr>
          <w:lang w:val="en-AU"/>
        </w:rPr>
        <w:t>experience the greatest impact from the rates changes.</w:t>
      </w:r>
      <w:r>
        <w:rPr>
          <w:lang w:val="en-AU"/>
        </w:rPr>
        <w:t xml:space="preserve"> Table 24 of the Technical Report shows the proportion of stamp duty and rates combined paid by each wealth quintile. This table shows that high wealth individuals (Q5) are paying a greater proportion of rates and stamp duty under the new system; while lower wealth individuals (Q2 – Q4) are paying a lower proportion. The difference for the lowest wealth quintile was very small (an increase of 0.01 percentage points). </w:t>
      </w:r>
      <w:proofErr w:type="gramStart"/>
      <w:r>
        <w:rPr>
          <w:lang w:val="en-AU"/>
        </w:rPr>
        <w:t>So</w:t>
      </w:r>
      <w:proofErr w:type="gramEnd"/>
      <w:r>
        <w:rPr>
          <w:lang w:val="en-AU"/>
        </w:rPr>
        <w:t xml:space="preserve"> the combined impact of rates and stamp duty in the new policy is positive for mid wealth families; and negative for high wealth families.</w:t>
      </w:r>
    </w:p>
    <w:p w14:paraId="5FBB092E" w14:textId="77777777" w:rsidR="003C620A" w:rsidRDefault="003C620A" w:rsidP="003C620A">
      <w:pPr>
        <w:rPr>
          <w:lang w:val="en-AU"/>
        </w:rPr>
      </w:pPr>
      <w:r w:rsidRPr="000D61D1">
        <w:rPr>
          <w:lang w:val="en-AU"/>
        </w:rPr>
        <w:t xml:space="preserve">After </w:t>
      </w:r>
      <w:proofErr w:type="gramStart"/>
      <w:r w:rsidRPr="000D61D1">
        <w:rPr>
          <w:lang w:val="en-AU"/>
        </w:rPr>
        <w:t>taking into account</w:t>
      </w:r>
      <w:proofErr w:type="gramEnd"/>
      <w:r w:rsidRPr="000D61D1">
        <w:rPr>
          <w:lang w:val="en-AU"/>
        </w:rPr>
        <w:t xml:space="preserve"> </w:t>
      </w:r>
      <w:r>
        <w:rPr>
          <w:lang w:val="en-AU"/>
        </w:rPr>
        <w:t>property</w:t>
      </w:r>
      <w:r w:rsidRPr="000D61D1">
        <w:rPr>
          <w:lang w:val="en-AU"/>
        </w:rPr>
        <w:t xml:space="preserve"> price increases due to the new tax system, a slightly different picture emerges. If </w:t>
      </w:r>
      <w:r>
        <w:rPr>
          <w:lang w:val="en-AU"/>
        </w:rPr>
        <w:t>property</w:t>
      </w:r>
      <w:r w:rsidRPr="000D61D1">
        <w:rPr>
          <w:lang w:val="en-AU"/>
        </w:rPr>
        <w:t xml:space="preserve"> prices increase by </w:t>
      </w:r>
      <w:r>
        <w:rPr>
          <w:lang w:val="en-AU"/>
        </w:rPr>
        <w:t xml:space="preserve">an average of </w:t>
      </w:r>
      <w:r w:rsidRPr="000D61D1">
        <w:rPr>
          <w:lang w:val="en-AU"/>
        </w:rPr>
        <w:t xml:space="preserve">0.8% due to the new policy, the number of </w:t>
      </w:r>
      <w:r>
        <w:rPr>
          <w:lang w:val="en-AU"/>
        </w:rPr>
        <w:t>additional</w:t>
      </w:r>
      <w:r w:rsidRPr="000D61D1">
        <w:rPr>
          <w:lang w:val="en-AU"/>
        </w:rPr>
        <w:t xml:space="preserve"> purchases </w:t>
      </w:r>
      <w:r>
        <w:rPr>
          <w:lang w:val="en-AU"/>
        </w:rPr>
        <w:t xml:space="preserve">under the new policy falls by about 10% (from 2,304 to 2,042 in Table 2), </w:t>
      </w:r>
      <w:r w:rsidRPr="000D61D1">
        <w:rPr>
          <w:lang w:val="en-AU"/>
        </w:rPr>
        <w:t>while under a</w:t>
      </w:r>
      <w:r>
        <w:rPr>
          <w:lang w:val="en-AU"/>
        </w:rPr>
        <w:t>n average</w:t>
      </w:r>
      <w:r w:rsidRPr="000D61D1">
        <w:rPr>
          <w:lang w:val="en-AU"/>
        </w:rPr>
        <w:t xml:space="preserve"> 1</w:t>
      </w:r>
      <w:r>
        <w:rPr>
          <w:lang w:val="en-AU"/>
        </w:rPr>
        <w:t>.7</w:t>
      </w:r>
      <w:r w:rsidRPr="000D61D1">
        <w:rPr>
          <w:lang w:val="en-AU"/>
        </w:rPr>
        <w:t xml:space="preserve">% price increase the number of </w:t>
      </w:r>
      <w:r>
        <w:rPr>
          <w:lang w:val="en-AU"/>
        </w:rPr>
        <w:t xml:space="preserve">additional </w:t>
      </w:r>
      <w:r w:rsidRPr="000D61D1">
        <w:rPr>
          <w:lang w:val="en-AU"/>
        </w:rPr>
        <w:t xml:space="preserve">purchases </w:t>
      </w:r>
      <w:r>
        <w:rPr>
          <w:lang w:val="en-AU"/>
        </w:rPr>
        <w:t xml:space="preserve">falls by about 40% (2,304 to 1,363 in Table 2). In both cases, </w:t>
      </w:r>
      <w:r w:rsidRPr="000D61D1">
        <w:rPr>
          <w:lang w:val="en-AU"/>
        </w:rPr>
        <w:t xml:space="preserve">the </w:t>
      </w:r>
      <w:r>
        <w:rPr>
          <w:lang w:val="en-AU"/>
        </w:rPr>
        <w:t>impact of the new tax system is still more properties sold.</w:t>
      </w:r>
      <w:r w:rsidRPr="000D61D1">
        <w:rPr>
          <w:lang w:val="en-AU"/>
        </w:rPr>
        <w:t xml:space="preserve"> </w:t>
      </w:r>
    </w:p>
    <w:p w14:paraId="255C263E" w14:textId="77777777" w:rsidR="003C620A" w:rsidRPr="000D61D1" w:rsidRDefault="003C620A" w:rsidP="003C620A">
      <w:pPr>
        <w:rPr>
          <w:lang w:val="en-AU"/>
        </w:rPr>
      </w:pPr>
      <w:r>
        <w:rPr>
          <w:lang w:val="en-AU"/>
        </w:rPr>
        <w:t xml:space="preserve"> Table 7 shows that even with decreased properties purchased due to the modelled price increases, the number of properties purchased under tax reform is higher than without tax reform for all income quintiles except Q1 under the highest house price increase, which experienced a very small decrease in additional properties purchased of 20 properties.</w:t>
      </w:r>
    </w:p>
    <w:p w14:paraId="5B33EE04" w14:textId="77777777" w:rsidR="003C620A" w:rsidRDefault="003C620A" w:rsidP="003C620A">
      <w:pPr>
        <w:rPr>
          <w:lang w:val="en-AU"/>
        </w:rPr>
      </w:pPr>
      <w:r>
        <w:rPr>
          <w:lang w:val="en-AU"/>
        </w:rPr>
        <w:t xml:space="preserve">For first home buyers, a group that has been a focus of Government policy and incentive schemes, </w:t>
      </w:r>
      <w:r w:rsidRPr="000D61D1">
        <w:rPr>
          <w:lang w:val="en-AU"/>
        </w:rPr>
        <w:t xml:space="preserve">our analysis finds that there are </w:t>
      </w:r>
      <w:r>
        <w:rPr>
          <w:lang w:val="en-AU"/>
        </w:rPr>
        <w:t>1,599 additional</w:t>
      </w:r>
      <w:r w:rsidRPr="000D61D1">
        <w:rPr>
          <w:lang w:val="en-AU"/>
        </w:rPr>
        <w:t xml:space="preserve"> first home buyers </w:t>
      </w:r>
      <w:r>
        <w:rPr>
          <w:lang w:val="en-AU"/>
        </w:rPr>
        <w:t>if there was no price increase as a result of the new policy and that this reduces to 1,053</w:t>
      </w:r>
      <w:r w:rsidRPr="000D61D1">
        <w:rPr>
          <w:lang w:val="en-AU"/>
        </w:rPr>
        <w:t xml:space="preserve"> under a 1.</w:t>
      </w:r>
      <w:r>
        <w:rPr>
          <w:lang w:val="en-AU"/>
        </w:rPr>
        <w:t>7</w:t>
      </w:r>
      <w:r w:rsidRPr="000D61D1">
        <w:rPr>
          <w:lang w:val="en-AU"/>
        </w:rPr>
        <w:t xml:space="preserve">% </w:t>
      </w:r>
      <w:r>
        <w:rPr>
          <w:lang w:val="en-AU"/>
        </w:rPr>
        <w:t>average</w:t>
      </w:r>
      <w:r w:rsidRPr="000D61D1">
        <w:rPr>
          <w:lang w:val="en-AU"/>
        </w:rPr>
        <w:t xml:space="preserve"> price increase</w:t>
      </w:r>
      <w:r>
        <w:rPr>
          <w:lang w:val="en-AU"/>
        </w:rPr>
        <w:t xml:space="preserve"> (Table 3)</w:t>
      </w:r>
      <w:r w:rsidRPr="000D61D1">
        <w:rPr>
          <w:lang w:val="en-AU"/>
        </w:rPr>
        <w:t xml:space="preserve">. This result for first home buyers is mainly driven by the deposit and income requirements we have used in the model. While </w:t>
      </w:r>
      <w:r>
        <w:rPr>
          <w:lang w:val="en-AU"/>
        </w:rPr>
        <w:t>this</w:t>
      </w:r>
      <w:r w:rsidRPr="000D61D1">
        <w:rPr>
          <w:lang w:val="en-AU"/>
        </w:rPr>
        <w:t xml:space="preserve"> group w</w:t>
      </w:r>
      <w:r>
        <w:rPr>
          <w:lang w:val="en-AU"/>
        </w:rPr>
        <w:t>as</w:t>
      </w:r>
      <w:r w:rsidRPr="000D61D1">
        <w:rPr>
          <w:lang w:val="en-AU"/>
        </w:rPr>
        <w:t xml:space="preserve"> the most affected by the </w:t>
      </w:r>
      <w:r>
        <w:rPr>
          <w:lang w:val="en-AU"/>
        </w:rPr>
        <w:t xml:space="preserve">modelled </w:t>
      </w:r>
      <w:r w:rsidRPr="000D61D1">
        <w:rPr>
          <w:lang w:val="en-AU"/>
        </w:rPr>
        <w:t>price increase</w:t>
      </w:r>
      <w:r>
        <w:rPr>
          <w:lang w:val="en-AU"/>
        </w:rPr>
        <w:t>s</w:t>
      </w:r>
      <w:r w:rsidRPr="000D61D1">
        <w:rPr>
          <w:lang w:val="en-AU"/>
        </w:rPr>
        <w:t xml:space="preserve">, all other sub-groups also experienced decreased </w:t>
      </w:r>
      <w:r>
        <w:rPr>
          <w:lang w:val="en-AU"/>
        </w:rPr>
        <w:t xml:space="preserve">purchases </w:t>
      </w:r>
      <w:r>
        <w:rPr>
          <w:lang w:val="en-AU"/>
        </w:rPr>
        <w:lastRenderedPageBreak/>
        <w:t>after the modelled price increases</w:t>
      </w:r>
      <w:r w:rsidRPr="000D61D1">
        <w:rPr>
          <w:lang w:val="en-AU"/>
        </w:rPr>
        <w:t>; and most of the income quintiles and wealth quintiles</w:t>
      </w:r>
      <w:r>
        <w:rPr>
          <w:lang w:val="en-AU"/>
        </w:rPr>
        <w:t xml:space="preserve"> saw decreases</w:t>
      </w:r>
      <w:r w:rsidRPr="000D61D1">
        <w:rPr>
          <w:lang w:val="en-AU"/>
        </w:rPr>
        <w:t>.</w:t>
      </w:r>
    </w:p>
    <w:p w14:paraId="723EF2F5" w14:textId="77777777" w:rsidR="003C620A" w:rsidRPr="000D61D1" w:rsidRDefault="003C620A" w:rsidP="003C620A">
      <w:pPr>
        <w:rPr>
          <w:lang w:val="en-AU"/>
        </w:rPr>
      </w:pPr>
      <w:r>
        <w:rPr>
          <w:lang w:val="en-AU"/>
        </w:rPr>
        <w:t xml:space="preserve">In summary, the new policy increased sales of properties for most groups; </w:t>
      </w:r>
      <w:proofErr w:type="gramStart"/>
      <w:r>
        <w:rPr>
          <w:lang w:val="en-AU"/>
        </w:rPr>
        <w:t>however</w:t>
      </w:r>
      <w:proofErr w:type="gramEnd"/>
      <w:r>
        <w:rPr>
          <w:lang w:val="en-AU"/>
        </w:rPr>
        <w:t xml:space="preserve"> the modelled price increases then reduced the extent of this increase due to the new policy.</w:t>
      </w:r>
      <w:r w:rsidRPr="000D61D1">
        <w:rPr>
          <w:lang w:val="en-AU"/>
        </w:rPr>
        <w:t xml:space="preserve">  </w:t>
      </w:r>
    </w:p>
    <w:p w14:paraId="100233A4" w14:textId="77794382" w:rsidR="00B06EFB" w:rsidRPr="000D61D1" w:rsidRDefault="003C620A" w:rsidP="00046A38">
      <w:pPr>
        <w:rPr>
          <w:lang w:val="en-AU"/>
        </w:rPr>
      </w:pPr>
      <w:r w:rsidRPr="000D61D1">
        <w:rPr>
          <w:lang w:val="en-AU"/>
        </w:rPr>
        <w:t xml:space="preserve">With the </w:t>
      </w:r>
      <w:r>
        <w:rPr>
          <w:lang w:val="en-AU"/>
        </w:rPr>
        <w:t>property</w:t>
      </w:r>
      <w:r w:rsidRPr="000D61D1">
        <w:rPr>
          <w:lang w:val="en-AU"/>
        </w:rPr>
        <w:t xml:space="preserve"> price change, all homeowners have more spending on housing, possibly because of higher rates, and the stamp duty being paid on a more expensive </w:t>
      </w:r>
      <w:r>
        <w:rPr>
          <w:lang w:val="en-AU"/>
        </w:rPr>
        <w:t>property</w:t>
      </w:r>
      <w:r w:rsidRPr="000D61D1">
        <w:rPr>
          <w:lang w:val="en-AU"/>
        </w:rPr>
        <w:t xml:space="preserve">; and all renters </w:t>
      </w:r>
      <w:r>
        <w:rPr>
          <w:lang w:val="en-AU"/>
        </w:rPr>
        <w:t xml:space="preserve">who purchase in the period </w:t>
      </w:r>
      <w:r w:rsidRPr="000D61D1">
        <w:rPr>
          <w:lang w:val="en-AU"/>
        </w:rPr>
        <w:t xml:space="preserve">are better off, </w:t>
      </w:r>
      <w:r>
        <w:rPr>
          <w:lang w:val="en-AU"/>
        </w:rPr>
        <w:t>due to lower stamp duty, and not having to pay higher rates until they purchase.</w:t>
      </w:r>
      <w:r w:rsidR="0030360F" w:rsidRPr="000D61D1">
        <w:rPr>
          <w:lang w:val="en-AU"/>
        </w:rPr>
        <w:t>.</w:t>
      </w:r>
    </w:p>
    <w:p w14:paraId="7FCCA83A" w14:textId="6AA32DE7" w:rsidR="0016647F" w:rsidRPr="000D61D1" w:rsidRDefault="0016647F" w:rsidP="00A407FF">
      <w:pPr>
        <w:pStyle w:val="Heading1"/>
        <w:numPr>
          <w:ilvl w:val="0"/>
          <w:numId w:val="16"/>
        </w:numPr>
        <w:rPr>
          <w:lang w:val="en-AU"/>
        </w:rPr>
      </w:pPr>
      <w:bookmarkStart w:id="26" w:name="_Toc43911481"/>
      <w:r w:rsidRPr="000D61D1">
        <w:rPr>
          <w:lang w:val="en-AU"/>
        </w:rPr>
        <w:t xml:space="preserve">Results for economic and affordability impacts of the ACT tax reform </w:t>
      </w:r>
      <w:r w:rsidR="007850E7" w:rsidRPr="000D61D1">
        <w:rPr>
          <w:lang w:val="en-AU"/>
        </w:rPr>
        <w:t>(Part 2)</w:t>
      </w:r>
      <w:bookmarkEnd w:id="26"/>
    </w:p>
    <w:p w14:paraId="695EBD17" w14:textId="5A3CCED8" w:rsidR="0016647F" w:rsidRPr="000D61D1" w:rsidRDefault="0016647F" w:rsidP="0016647F">
      <w:pPr>
        <w:spacing w:before="180" w:after="180"/>
        <w:rPr>
          <w:lang w:val="en-AU"/>
        </w:rPr>
      </w:pPr>
      <w:r w:rsidRPr="000D61D1">
        <w:rPr>
          <w:lang w:val="en-AU"/>
        </w:rPr>
        <w:t xml:space="preserve">This section provides the results from the econometric analysis of the effect of the tax reform on </w:t>
      </w:r>
      <w:r w:rsidR="003704A9" w:rsidRPr="000D61D1">
        <w:rPr>
          <w:lang w:val="en-AU"/>
        </w:rPr>
        <w:t>several</w:t>
      </w:r>
      <w:r w:rsidRPr="000D61D1">
        <w:rPr>
          <w:lang w:val="en-AU"/>
        </w:rPr>
        <w:t xml:space="preserve"> different outcome variables. The difference-in-difference method used</w:t>
      </w:r>
      <w:r w:rsidR="0057454B" w:rsidRPr="000D61D1">
        <w:rPr>
          <w:lang w:val="en-AU"/>
        </w:rPr>
        <w:t>, if all assumptions hold,</w:t>
      </w:r>
      <w:r w:rsidRPr="000D61D1">
        <w:rPr>
          <w:lang w:val="en-AU"/>
        </w:rPr>
        <w:t xml:space="preserve"> gives us an estimate o</w:t>
      </w:r>
      <w:r w:rsidR="003704A9" w:rsidRPr="000D61D1">
        <w:rPr>
          <w:lang w:val="en-AU"/>
        </w:rPr>
        <w:t>f</w:t>
      </w:r>
      <w:r w:rsidRPr="000D61D1">
        <w:rPr>
          <w:lang w:val="en-AU"/>
        </w:rPr>
        <w:t xml:space="preserve"> the impact of the reform on economic effects and housing affordability in the ACT, for example, how house prices change; if rental prices go up; etc.</w:t>
      </w:r>
    </w:p>
    <w:p w14:paraId="72891DA7" w14:textId="77777777" w:rsidR="0016647F" w:rsidRPr="000D61D1" w:rsidRDefault="0016647F" w:rsidP="001922CF">
      <w:pPr>
        <w:pStyle w:val="Heading3"/>
        <w:rPr>
          <w:lang w:val="en-AU"/>
        </w:rPr>
      </w:pPr>
      <w:bookmarkStart w:id="27" w:name="_Toc43911482"/>
      <w:r w:rsidRPr="000D61D1">
        <w:rPr>
          <w:lang w:val="en-AU"/>
        </w:rPr>
        <w:t>Results for the effect on the economy</w:t>
      </w:r>
      <w:bookmarkEnd w:id="27"/>
      <w:r w:rsidRPr="000D61D1">
        <w:rPr>
          <w:lang w:val="en-AU"/>
        </w:rPr>
        <w:t xml:space="preserve"> </w:t>
      </w:r>
    </w:p>
    <w:p w14:paraId="11438B01" w14:textId="394CB2EA" w:rsidR="0016647F" w:rsidRPr="000D61D1" w:rsidRDefault="0016647F" w:rsidP="0016647F">
      <w:pPr>
        <w:rPr>
          <w:color w:val="000000" w:themeColor="text1"/>
          <w:lang w:val="en-AU"/>
        </w:rPr>
      </w:pPr>
      <w:r w:rsidRPr="000D61D1">
        <w:rPr>
          <w:lang w:val="en-AU"/>
        </w:rPr>
        <w:t>Here we provide our findings for the effects on the economy. We use the overall sales value, the sum of all property sales, as a measure for the part of the economy which is most likely going to be affected by the ACT reform</w:t>
      </w:r>
      <w:r w:rsidRPr="000D61D1">
        <w:rPr>
          <w:b/>
          <w:bCs/>
          <w:lang w:val="en-AU"/>
        </w:rPr>
        <w:t xml:space="preserve">. </w:t>
      </w:r>
      <w:r w:rsidR="00D4573D" w:rsidRPr="000D61D1">
        <w:rPr>
          <w:color w:val="000000" w:themeColor="text1"/>
          <w:lang w:val="en-AU"/>
        </w:rPr>
        <w:fldChar w:fldCharType="begin"/>
      </w:r>
      <w:r w:rsidR="00D4573D" w:rsidRPr="000D61D1">
        <w:rPr>
          <w:color w:val="000000" w:themeColor="text1"/>
          <w:lang w:val="en-AU"/>
        </w:rPr>
        <w:instrText xml:space="preserve"> REF _Ref33091477 \h  \* MERGEFORMAT </w:instrText>
      </w:r>
      <w:r w:rsidR="00D4573D" w:rsidRPr="000D61D1">
        <w:rPr>
          <w:color w:val="000000" w:themeColor="text1"/>
          <w:lang w:val="en-AU"/>
        </w:rPr>
      </w:r>
      <w:r w:rsidR="00D4573D"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11</w:t>
      </w:r>
      <w:r w:rsidR="00D4573D" w:rsidRPr="000D61D1">
        <w:rPr>
          <w:color w:val="000000" w:themeColor="text1"/>
          <w:lang w:val="en-AU"/>
        </w:rPr>
        <w:fldChar w:fldCharType="end"/>
      </w:r>
      <w:r w:rsidR="00D4573D" w:rsidRPr="000D61D1">
        <w:rPr>
          <w:color w:val="000000" w:themeColor="text1"/>
          <w:lang w:val="en-AU"/>
        </w:rPr>
        <w:t xml:space="preserve"> </w:t>
      </w:r>
      <w:r w:rsidRPr="000D61D1">
        <w:rPr>
          <w:lang w:val="en-AU"/>
        </w:rPr>
        <w:t>show</w:t>
      </w:r>
      <w:r w:rsidR="00D4573D" w:rsidRPr="000D61D1">
        <w:rPr>
          <w:lang w:val="en-AU"/>
        </w:rPr>
        <w:t>s</w:t>
      </w:r>
      <w:r w:rsidRPr="000D61D1">
        <w:rPr>
          <w:lang w:val="en-AU"/>
        </w:rPr>
        <w:t xml:space="preserve"> the results for the overall sales</w:t>
      </w:r>
      <w:r w:rsidR="00BF258B" w:rsidRPr="000D61D1">
        <w:rPr>
          <w:lang w:val="en-AU"/>
        </w:rPr>
        <w:t xml:space="preserve"> of</w:t>
      </w:r>
      <w:r w:rsidR="007E460B" w:rsidRPr="000D61D1">
        <w:rPr>
          <w:lang w:val="en-AU"/>
        </w:rPr>
        <w:t xml:space="preserve"> both</w:t>
      </w:r>
      <w:r w:rsidR="00BF258B" w:rsidRPr="000D61D1">
        <w:rPr>
          <w:lang w:val="en-AU"/>
        </w:rPr>
        <w:t xml:space="preserve"> houses</w:t>
      </w:r>
      <w:r w:rsidR="007E460B" w:rsidRPr="000D61D1">
        <w:rPr>
          <w:lang w:val="en-AU"/>
        </w:rPr>
        <w:t xml:space="preserve"> and units</w:t>
      </w:r>
      <w:r w:rsidR="00BF258B" w:rsidRPr="000D61D1">
        <w:rPr>
          <w:lang w:val="en-AU"/>
        </w:rPr>
        <w:t>.  In</w:t>
      </w:r>
      <w:r w:rsidRPr="000D61D1">
        <w:rPr>
          <w:lang w:val="en-AU"/>
        </w:rPr>
        <w:t xml:space="preserve"> </w:t>
      </w:r>
      <w:r w:rsidR="00680F56" w:rsidRPr="000D61D1">
        <w:rPr>
          <w:color w:val="000000" w:themeColor="text1"/>
          <w:lang w:val="en-AU"/>
        </w:rPr>
        <w:fldChar w:fldCharType="begin"/>
      </w:r>
      <w:r w:rsidR="00680F56" w:rsidRPr="000D61D1">
        <w:rPr>
          <w:color w:val="000000" w:themeColor="text1"/>
          <w:lang w:val="en-AU"/>
        </w:rPr>
        <w:instrText xml:space="preserve"> REF _Ref33091759 \h  \* MERGEFORMAT </w:instrText>
      </w:r>
      <w:r w:rsidR="00680F56" w:rsidRPr="000D61D1">
        <w:rPr>
          <w:color w:val="000000" w:themeColor="text1"/>
          <w:lang w:val="en-AU"/>
        </w:rPr>
      </w:r>
      <w:r w:rsidR="00680F56"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12</w:t>
      </w:r>
      <w:r w:rsidR="00680F56" w:rsidRPr="000D61D1">
        <w:rPr>
          <w:color w:val="000000" w:themeColor="text1"/>
          <w:lang w:val="en-AU"/>
        </w:rPr>
        <w:fldChar w:fldCharType="end"/>
      </w:r>
      <w:r w:rsidRPr="000D61D1">
        <w:rPr>
          <w:color w:val="000000" w:themeColor="text1"/>
          <w:lang w:val="en-AU"/>
        </w:rPr>
        <w:t xml:space="preserve"> </w:t>
      </w:r>
      <w:r w:rsidRPr="000D61D1">
        <w:rPr>
          <w:lang w:val="en-AU"/>
        </w:rPr>
        <w:t>and</w:t>
      </w:r>
      <w:r w:rsidR="00345F92" w:rsidRPr="000D61D1">
        <w:rPr>
          <w:lang w:val="en-AU"/>
        </w:rPr>
        <w:t xml:space="preserve"> </w:t>
      </w:r>
      <w:r w:rsidR="00345F92" w:rsidRPr="000D61D1">
        <w:rPr>
          <w:color w:val="000000" w:themeColor="text1"/>
          <w:lang w:val="en-AU"/>
        </w:rPr>
        <w:fldChar w:fldCharType="begin"/>
      </w:r>
      <w:r w:rsidR="00345F92" w:rsidRPr="000D61D1">
        <w:rPr>
          <w:color w:val="000000" w:themeColor="text1"/>
          <w:lang w:val="en-AU"/>
        </w:rPr>
        <w:instrText xml:space="preserve"> REF _Ref33091947 \h  \* MERGEFORMAT </w:instrText>
      </w:r>
      <w:r w:rsidR="00345F92" w:rsidRPr="000D61D1">
        <w:rPr>
          <w:color w:val="000000" w:themeColor="text1"/>
          <w:lang w:val="en-AU"/>
        </w:rPr>
      </w:r>
      <w:r w:rsidR="00345F92"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13</w:t>
      </w:r>
      <w:r w:rsidR="00345F92" w:rsidRPr="000D61D1">
        <w:rPr>
          <w:color w:val="000000" w:themeColor="text1"/>
          <w:lang w:val="en-AU"/>
        </w:rPr>
        <w:fldChar w:fldCharType="end"/>
      </w:r>
      <w:r w:rsidR="00BF258B" w:rsidRPr="000D61D1">
        <w:rPr>
          <w:color w:val="000000" w:themeColor="text1"/>
          <w:lang w:val="en-AU"/>
        </w:rPr>
        <w:t xml:space="preserve"> we explore whether there is any trend in the effects of the reform—we ask whether the effects are growing or shrinking over time.</w:t>
      </w:r>
      <w:r w:rsidRPr="000D61D1">
        <w:rPr>
          <w:color w:val="000000" w:themeColor="text1"/>
          <w:lang w:val="en-AU"/>
        </w:rPr>
        <w:t xml:space="preserve"> </w:t>
      </w:r>
    </w:p>
    <w:p w14:paraId="67F48DD6" w14:textId="680D3F1E" w:rsidR="00D4573D" w:rsidRPr="000D61D1" w:rsidRDefault="00D4573D" w:rsidP="007C11BD">
      <w:pPr>
        <w:pStyle w:val="TableCaption"/>
        <w:rPr>
          <w:lang w:val="en-AU"/>
        </w:rPr>
      </w:pPr>
      <w:bookmarkStart w:id="28" w:name="_Ref33091477"/>
      <w:bookmarkStart w:id="29" w:name="_Toc43911498"/>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11</w:t>
      </w:r>
      <w:r w:rsidRPr="000D61D1">
        <w:rPr>
          <w:lang w:val="en-AU"/>
        </w:rPr>
        <w:fldChar w:fldCharType="end"/>
      </w:r>
      <w:bookmarkEnd w:id="28"/>
      <w:r w:rsidRPr="000D61D1">
        <w:rPr>
          <w:lang w:val="en-AU"/>
        </w:rPr>
        <w:t xml:space="preserve"> - Effect of the tax reform on the housing market - estimations in logs</w:t>
      </w:r>
      <w:bookmarkEnd w:id="29"/>
    </w:p>
    <w:tbl>
      <w:tblPr>
        <w:tblW w:w="0" w:type="auto"/>
        <w:jc w:val="center"/>
        <w:tblCellMar>
          <w:left w:w="144" w:type="dxa"/>
          <w:right w:w="144" w:type="dxa"/>
        </w:tblCellMar>
        <w:tblLook w:val="0000" w:firstRow="0" w:lastRow="0" w:firstColumn="0" w:lastColumn="0" w:noHBand="0" w:noVBand="0"/>
      </w:tblPr>
      <w:tblGrid>
        <w:gridCol w:w="2162"/>
        <w:gridCol w:w="1144"/>
        <w:gridCol w:w="1144"/>
        <w:gridCol w:w="1144"/>
        <w:gridCol w:w="1144"/>
        <w:gridCol w:w="1144"/>
        <w:gridCol w:w="1144"/>
      </w:tblGrid>
      <w:tr w:rsidR="0016647F" w:rsidRPr="000D61D1" w14:paraId="13A18DCB" w14:textId="77777777" w:rsidTr="00D4573D">
        <w:trPr>
          <w:jc w:val="center"/>
        </w:trPr>
        <w:tc>
          <w:tcPr>
            <w:tcW w:w="2162" w:type="dxa"/>
            <w:tcBorders>
              <w:top w:val="single" w:sz="6" w:space="0" w:color="auto"/>
              <w:left w:val="nil"/>
              <w:right w:val="nil"/>
            </w:tcBorders>
          </w:tcPr>
          <w:p w14:paraId="03DEB990" w14:textId="77777777" w:rsidR="0016647F" w:rsidRPr="000D61D1" w:rsidRDefault="0016647F" w:rsidP="0016647F">
            <w:pPr>
              <w:widowControl w:val="0"/>
              <w:autoSpaceDE w:val="0"/>
              <w:autoSpaceDN w:val="0"/>
              <w:adjustRightInd w:val="0"/>
              <w:spacing w:before="79"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 xml:space="preserve">Sales </w:t>
            </w:r>
          </w:p>
        </w:tc>
        <w:tc>
          <w:tcPr>
            <w:tcW w:w="1144" w:type="dxa"/>
            <w:tcBorders>
              <w:top w:val="single" w:sz="6" w:space="0" w:color="auto"/>
              <w:left w:val="nil"/>
              <w:right w:val="nil"/>
            </w:tcBorders>
          </w:tcPr>
          <w:p w14:paraId="12816E41"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(1)</w:t>
            </w:r>
          </w:p>
        </w:tc>
        <w:tc>
          <w:tcPr>
            <w:tcW w:w="1144" w:type="dxa"/>
            <w:tcBorders>
              <w:top w:val="single" w:sz="6" w:space="0" w:color="auto"/>
              <w:left w:val="nil"/>
              <w:right w:val="nil"/>
            </w:tcBorders>
          </w:tcPr>
          <w:p w14:paraId="0A6F7C26"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(2)</w:t>
            </w:r>
          </w:p>
        </w:tc>
        <w:tc>
          <w:tcPr>
            <w:tcW w:w="1144" w:type="dxa"/>
            <w:tcBorders>
              <w:top w:val="single" w:sz="6" w:space="0" w:color="auto"/>
              <w:left w:val="nil"/>
              <w:right w:val="single" w:sz="4" w:space="0" w:color="auto"/>
            </w:tcBorders>
          </w:tcPr>
          <w:p w14:paraId="71FA6AAF"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(3)</w:t>
            </w:r>
          </w:p>
        </w:tc>
        <w:tc>
          <w:tcPr>
            <w:tcW w:w="1144" w:type="dxa"/>
            <w:tcBorders>
              <w:top w:val="single" w:sz="6" w:space="0" w:color="auto"/>
              <w:left w:val="single" w:sz="4" w:space="0" w:color="auto"/>
              <w:right w:val="nil"/>
            </w:tcBorders>
          </w:tcPr>
          <w:p w14:paraId="2EDBB436"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(4)</w:t>
            </w:r>
          </w:p>
        </w:tc>
        <w:tc>
          <w:tcPr>
            <w:tcW w:w="1144" w:type="dxa"/>
            <w:tcBorders>
              <w:top w:val="single" w:sz="6" w:space="0" w:color="auto"/>
              <w:left w:val="nil"/>
              <w:right w:val="nil"/>
            </w:tcBorders>
          </w:tcPr>
          <w:p w14:paraId="3D9D402D"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(5)</w:t>
            </w:r>
          </w:p>
        </w:tc>
        <w:tc>
          <w:tcPr>
            <w:tcW w:w="1144" w:type="dxa"/>
            <w:tcBorders>
              <w:top w:val="single" w:sz="6" w:space="0" w:color="auto"/>
              <w:left w:val="nil"/>
              <w:right w:val="nil"/>
            </w:tcBorders>
          </w:tcPr>
          <w:p w14:paraId="54B3DFE7"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(6)</w:t>
            </w:r>
          </w:p>
        </w:tc>
      </w:tr>
      <w:tr w:rsidR="0016647F" w:rsidRPr="000D61D1" w14:paraId="1C6344CF" w14:textId="77777777" w:rsidTr="00D4573D">
        <w:trPr>
          <w:jc w:val="center"/>
        </w:trPr>
        <w:tc>
          <w:tcPr>
            <w:tcW w:w="2162" w:type="dxa"/>
            <w:tcBorders>
              <w:left w:val="nil"/>
              <w:bottom w:val="single" w:sz="4" w:space="0" w:color="auto"/>
              <w:right w:val="nil"/>
            </w:tcBorders>
          </w:tcPr>
          <w:p w14:paraId="37C9554D" w14:textId="77777777" w:rsidR="0016647F" w:rsidRPr="000D61D1" w:rsidRDefault="0016647F" w:rsidP="0016647F">
            <w:pPr>
              <w:widowControl w:val="0"/>
              <w:autoSpaceDE w:val="0"/>
              <w:autoSpaceDN w:val="0"/>
              <w:adjustRightInd w:val="0"/>
              <w:spacing w:before="79" w:after="0"/>
              <w:rPr>
                <w:rFonts w:cs="Times New Roman"/>
                <w:sz w:val="22"/>
                <w:szCs w:val="22"/>
                <w:lang w:val="en-AU"/>
              </w:rPr>
            </w:pPr>
            <w:r w:rsidRPr="000D61D1">
              <w:rPr>
                <w:rFonts w:cs="Times New Roman"/>
                <w:sz w:val="22"/>
                <w:szCs w:val="22"/>
                <w:lang w:val="en-AU"/>
              </w:rPr>
              <w:t>Value)</w:t>
            </w:r>
          </w:p>
        </w:tc>
        <w:tc>
          <w:tcPr>
            <w:tcW w:w="3432" w:type="dxa"/>
            <w:gridSpan w:val="3"/>
            <w:tcBorders>
              <w:left w:val="nil"/>
              <w:bottom w:val="single" w:sz="4" w:space="0" w:color="auto"/>
              <w:right w:val="single" w:sz="4" w:space="0" w:color="auto"/>
            </w:tcBorders>
          </w:tcPr>
          <w:p w14:paraId="41DA396C"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 xml:space="preserve">Houses </w:t>
            </w:r>
          </w:p>
        </w:tc>
        <w:tc>
          <w:tcPr>
            <w:tcW w:w="3432" w:type="dxa"/>
            <w:gridSpan w:val="3"/>
            <w:tcBorders>
              <w:left w:val="single" w:sz="4" w:space="0" w:color="auto"/>
              <w:bottom w:val="single" w:sz="4" w:space="0" w:color="auto"/>
              <w:right w:val="nil"/>
            </w:tcBorders>
          </w:tcPr>
          <w:p w14:paraId="6BD9C4E4"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Units</w:t>
            </w:r>
          </w:p>
        </w:tc>
      </w:tr>
      <w:tr w:rsidR="0016647F" w:rsidRPr="000D61D1" w14:paraId="1E8DC837" w14:textId="77777777" w:rsidTr="00D4573D">
        <w:trPr>
          <w:jc w:val="center"/>
        </w:trPr>
        <w:tc>
          <w:tcPr>
            <w:tcW w:w="2162" w:type="dxa"/>
            <w:tcBorders>
              <w:top w:val="single" w:sz="4" w:space="0" w:color="auto"/>
              <w:left w:val="nil"/>
              <w:bottom w:val="nil"/>
              <w:right w:val="nil"/>
            </w:tcBorders>
          </w:tcPr>
          <w:p w14:paraId="275374EB" w14:textId="77777777" w:rsidR="0016647F" w:rsidRPr="000D61D1" w:rsidRDefault="0016647F" w:rsidP="0016647F">
            <w:pPr>
              <w:widowControl w:val="0"/>
              <w:autoSpaceDE w:val="0"/>
              <w:autoSpaceDN w:val="0"/>
              <w:adjustRightInd w:val="0"/>
              <w:spacing w:after="79"/>
              <w:rPr>
                <w:rFonts w:cs="Times New Roman"/>
                <w:sz w:val="22"/>
                <w:szCs w:val="22"/>
                <w:lang w:val="en-AU"/>
              </w:rPr>
            </w:pPr>
          </w:p>
        </w:tc>
        <w:tc>
          <w:tcPr>
            <w:tcW w:w="1144" w:type="dxa"/>
            <w:tcBorders>
              <w:top w:val="single" w:sz="4" w:space="0" w:color="auto"/>
              <w:left w:val="nil"/>
              <w:bottom w:val="nil"/>
              <w:right w:val="nil"/>
            </w:tcBorders>
          </w:tcPr>
          <w:p w14:paraId="47B92C4B"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Full Sample</w:t>
            </w:r>
          </w:p>
        </w:tc>
        <w:tc>
          <w:tcPr>
            <w:tcW w:w="1144" w:type="dxa"/>
            <w:tcBorders>
              <w:top w:val="single" w:sz="4" w:space="0" w:color="auto"/>
              <w:left w:val="nil"/>
              <w:bottom w:val="nil"/>
              <w:right w:val="nil"/>
            </w:tcBorders>
          </w:tcPr>
          <w:p w14:paraId="25E519AE"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Full Sample</w:t>
            </w:r>
          </w:p>
        </w:tc>
        <w:tc>
          <w:tcPr>
            <w:tcW w:w="1144" w:type="dxa"/>
            <w:tcBorders>
              <w:top w:val="single" w:sz="4" w:space="0" w:color="auto"/>
              <w:left w:val="nil"/>
              <w:bottom w:val="nil"/>
              <w:right w:val="single" w:sz="4" w:space="0" w:color="auto"/>
            </w:tcBorders>
          </w:tcPr>
          <w:p w14:paraId="6116F948"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Capital Cities</w:t>
            </w:r>
          </w:p>
        </w:tc>
        <w:tc>
          <w:tcPr>
            <w:tcW w:w="1144" w:type="dxa"/>
            <w:tcBorders>
              <w:top w:val="single" w:sz="4" w:space="0" w:color="auto"/>
              <w:left w:val="single" w:sz="4" w:space="0" w:color="auto"/>
              <w:bottom w:val="nil"/>
              <w:right w:val="nil"/>
            </w:tcBorders>
          </w:tcPr>
          <w:p w14:paraId="49662D86"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Full Sample</w:t>
            </w:r>
          </w:p>
        </w:tc>
        <w:tc>
          <w:tcPr>
            <w:tcW w:w="1144" w:type="dxa"/>
            <w:tcBorders>
              <w:top w:val="single" w:sz="4" w:space="0" w:color="auto"/>
              <w:left w:val="nil"/>
              <w:bottom w:val="nil"/>
              <w:right w:val="nil"/>
            </w:tcBorders>
          </w:tcPr>
          <w:p w14:paraId="6FED5CDF"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Full Sample</w:t>
            </w:r>
          </w:p>
        </w:tc>
        <w:tc>
          <w:tcPr>
            <w:tcW w:w="1144" w:type="dxa"/>
            <w:tcBorders>
              <w:top w:val="single" w:sz="4" w:space="0" w:color="auto"/>
              <w:left w:val="nil"/>
              <w:bottom w:val="nil"/>
              <w:right w:val="nil"/>
            </w:tcBorders>
          </w:tcPr>
          <w:p w14:paraId="0010C622"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Capital Cities</w:t>
            </w:r>
          </w:p>
        </w:tc>
      </w:tr>
      <w:tr w:rsidR="0016647F" w:rsidRPr="000D61D1" w14:paraId="30E71192" w14:textId="77777777" w:rsidTr="00D4573D">
        <w:trPr>
          <w:jc w:val="center"/>
        </w:trPr>
        <w:tc>
          <w:tcPr>
            <w:tcW w:w="2162" w:type="dxa"/>
            <w:tcBorders>
              <w:top w:val="single" w:sz="6" w:space="0" w:color="auto"/>
              <w:left w:val="nil"/>
              <w:bottom w:val="nil"/>
              <w:right w:val="nil"/>
            </w:tcBorders>
          </w:tcPr>
          <w:p w14:paraId="4046B2DC"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Reform Dummy</w:t>
            </w:r>
          </w:p>
        </w:tc>
        <w:tc>
          <w:tcPr>
            <w:tcW w:w="1144" w:type="dxa"/>
            <w:tcBorders>
              <w:top w:val="single" w:sz="6" w:space="0" w:color="auto"/>
              <w:left w:val="nil"/>
              <w:bottom w:val="nil"/>
              <w:right w:val="nil"/>
            </w:tcBorders>
          </w:tcPr>
          <w:p w14:paraId="734870F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-0.103</w:t>
            </w:r>
          </w:p>
        </w:tc>
        <w:tc>
          <w:tcPr>
            <w:tcW w:w="1144" w:type="dxa"/>
            <w:tcBorders>
              <w:top w:val="single" w:sz="6" w:space="0" w:color="auto"/>
              <w:left w:val="nil"/>
              <w:bottom w:val="nil"/>
              <w:right w:val="nil"/>
            </w:tcBorders>
          </w:tcPr>
          <w:p w14:paraId="3D22CC2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0.031</w:t>
            </w:r>
          </w:p>
        </w:tc>
        <w:tc>
          <w:tcPr>
            <w:tcW w:w="1144" w:type="dxa"/>
            <w:tcBorders>
              <w:top w:val="single" w:sz="6" w:space="0" w:color="auto"/>
              <w:left w:val="nil"/>
              <w:bottom w:val="nil"/>
              <w:right w:val="single" w:sz="4" w:space="0" w:color="auto"/>
            </w:tcBorders>
          </w:tcPr>
          <w:p w14:paraId="7AFE1FD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-0.055</w:t>
            </w:r>
          </w:p>
        </w:tc>
        <w:tc>
          <w:tcPr>
            <w:tcW w:w="1144" w:type="dxa"/>
            <w:tcBorders>
              <w:top w:val="single" w:sz="6" w:space="0" w:color="auto"/>
              <w:left w:val="single" w:sz="4" w:space="0" w:color="auto"/>
              <w:bottom w:val="nil"/>
              <w:right w:val="nil"/>
            </w:tcBorders>
          </w:tcPr>
          <w:p w14:paraId="0219A0F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-0.396</w:t>
            </w:r>
          </w:p>
        </w:tc>
        <w:tc>
          <w:tcPr>
            <w:tcW w:w="1144" w:type="dxa"/>
            <w:tcBorders>
              <w:top w:val="single" w:sz="6" w:space="0" w:color="auto"/>
              <w:left w:val="nil"/>
              <w:bottom w:val="nil"/>
              <w:right w:val="nil"/>
            </w:tcBorders>
          </w:tcPr>
          <w:p w14:paraId="2C407CB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-0.222</w:t>
            </w:r>
          </w:p>
        </w:tc>
        <w:tc>
          <w:tcPr>
            <w:tcW w:w="1144" w:type="dxa"/>
            <w:tcBorders>
              <w:top w:val="single" w:sz="6" w:space="0" w:color="auto"/>
              <w:left w:val="nil"/>
              <w:bottom w:val="nil"/>
              <w:right w:val="nil"/>
            </w:tcBorders>
          </w:tcPr>
          <w:p w14:paraId="40FC7A2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-0.274</w:t>
            </w:r>
          </w:p>
        </w:tc>
      </w:tr>
      <w:tr w:rsidR="0016647F" w:rsidRPr="000D61D1" w14:paraId="5F2BBC5C" w14:textId="77777777" w:rsidTr="00D4573D">
        <w:trPr>
          <w:jc w:val="center"/>
        </w:trPr>
        <w:tc>
          <w:tcPr>
            <w:tcW w:w="2162" w:type="dxa"/>
            <w:tcBorders>
              <w:top w:val="nil"/>
              <w:left w:val="nil"/>
              <w:bottom w:val="nil"/>
              <w:right w:val="nil"/>
            </w:tcBorders>
          </w:tcPr>
          <w:p w14:paraId="2B99DAFE" w14:textId="3CCAF743"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1144" w:type="dxa"/>
            <w:tcBorders>
              <w:top w:val="nil"/>
              <w:left w:val="nil"/>
              <w:bottom w:val="nil"/>
              <w:right w:val="nil"/>
            </w:tcBorders>
          </w:tcPr>
          <w:p w14:paraId="48730AA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0.021]*</w:t>
            </w:r>
            <w:proofErr w:type="gramEnd"/>
            <w:r w:rsidRPr="000D61D1">
              <w:rPr>
                <w:rFonts w:cs="Times New Roman"/>
                <w:sz w:val="22"/>
                <w:szCs w:val="22"/>
                <w:lang w:val="en-AU"/>
              </w:rPr>
              <w:t>*</w:t>
            </w:r>
          </w:p>
        </w:tc>
        <w:tc>
          <w:tcPr>
            <w:tcW w:w="1144" w:type="dxa"/>
            <w:tcBorders>
              <w:top w:val="nil"/>
              <w:left w:val="nil"/>
              <w:bottom w:val="nil"/>
              <w:right w:val="nil"/>
            </w:tcBorders>
          </w:tcPr>
          <w:p w14:paraId="006C945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[0.022]</w:t>
            </w:r>
          </w:p>
        </w:tc>
        <w:tc>
          <w:tcPr>
            <w:tcW w:w="1144" w:type="dxa"/>
            <w:tcBorders>
              <w:top w:val="nil"/>
              <w:left w:val="nil"/>
              <w:bottom w:val="nil"/>
              <w:right w:val="single" w:sz="4" w:space="0" w:color="auto"/>
            </w:tcBorders>
          </w:tcPr>
          <w:p w14:paraId="6083A81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0.022]*</w:t>
            </w:r>
            <w:proofErr w:type="gramEnd"/>
          </w:p>
        </w:tc>
        <w:tc>
          <w:tcPr>
            <w:tcW w:w="1144" w:type="dxa"/>
            <w:tcBorders>
              <w:top w:val="nil"/>
              <w:left w:val="single" w:sz="4" w:space="0" w:color="auto"/>
              <w:bottom w:val="nil"/>
              <w:right w:val="nil"/>
            </w:tcBorders>
          </w:tcPr>
          <w:p w14:paraId="35D570E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0.028]*</w:t>
            </w:r>
            <w:proofErr w:type="gramEnd"/>
            <w:r w:rsidRPr="000D61D1">
              <w:rPr>
                <w:rFonts w:cs="Times New Roman"/>
                <w:sz w:val="22"/>
                <w:szCs w:val="22"/>
                <w:lang w:val="en-AU"/>
              </w:rPr>
              <w:t>*</w:t>
            </w:r>
          </w:p>
        </w:tc>
        <w:tc>
          <w:tcPr>
            <w:tcW w:w="1144" w:type="dxa"/>
            <w:tcBorders>
              <w:top w:val="nil"/>
              <w:left w:val="nil"/>
              <w:bottom w:val="nil"/>
              <w:right w:val="nil"/>
            </w:tcBorders>
          </w:tcPr>
          <w:p w14:paraId="5859F3DC"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0.031]*</w:t>
            </w:r>
            <w:proofErr w:type="gramEnd"/>
            <w:r w:rsidRPr="000D61D1">
              <w:rPr>
                <w:rFonts w:cs="Times New Roman"/>
                <w:sz w:val="22"/>
                <w:szCs w:val="22"/>
                <w:lang w:val="en-AU"/>
              </w:rPr>
              <w:t>*</w:t>
            </w:r>
          </w:p>
        </w:tc>
        <w:tc>
          <w:tcPr>
            <w:tcW w:w="1144" w:type="dxa"/>
            <w:tcBorders>
              <w:top w:val="nil"/>
              <w:left w:val="nil"/>
              <w:bottom w:val="nil"/>
              <w:right w:val="nil"/>
            </w:tcBorders>
          </w:tcPr>
          <w:p w14:paraId="0DED2ED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0.031]*</w:t>
            </w:r>
            <w:proofErr w:type="gramEnd"/>
            <w:r w:rsidRPr="000D61D1">
              <w:rPr>
                <w:rFonts w:cs="Times New Roman"/>
                <w:sz w:val="22"/>
                <w:szCs w:val="22"/>
                <w:lang w:val="en-AU"/>
              </w:rPr>
              <w:t>*</w:t>
            </w:r>
          </w:p>
        </w:tc>
      </w:tr>
      <w:tr w:rsidR="0016647F" w:rsidRPr="000D61D1" w14:paraId="2180D424" w14:textId="77777777" w:rsidTr="00D4573D">
        <w:trPr>
          <w:jc w:val="center"/>
        </w:trPr>
        <w:tc>
          <w:tcPr>
            <w:tcW w:w="2162" w:type="dxa"/>
            <w:tcBorders>
              <w:top w:val="nil"/>
              <w:left w:val="nil"/>
              <w:bottom w:val="nil"/>
              <w:right w:val="nil"/>
            </w:tcBorders>
          </w:tcPr>
          <w:p w14:paraId="2BE5FABA" w14:textId="77777777" w:rsidR="0016647F" w:rsidRPr="000D61D1" w:rsidRDefault="0016647F" w:rsidP="0016647F">
            <w:pPr>
              <w:widowControl w:val="0"/>
              <w:autoSpaceDE w:val="0"/>
              <w:autoSpaceDN w:val="0"/>
              <w:adjustRightInd w:val="0"/>
              <w:spacing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Income)</w:t>
            </w:r>
          </w:p>
        </w:tc>
        <w:tc>
          <w:tcPr>
            <w:tcW w:w="1144" w:type="dxa"/>
            <w:tcBorders>
              <w:top w:val="nil"/>
              <w:left w:val="nil"/>
              <w:bottom w:val="nil"/>
              <w:right w:val="nil"/>
            </w:tcBorders>
          </w:tcPr>
          <w:p w14:paraId="30D07B3A" w14:textId="35E97618"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4" w:type="dxa"/>
            <w:tcBorders>
              <w:top w:val="nil"/>
              <w:left w:val="nil"/>
              <w:bottom w:val="nil"/>
              <w:right w:val="nil"/>
            </w:tcBorders>
          </w:tcPr>
          <w:p w14:paraId="491428C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3.102</w:t>
            </w:r>
          </w:p>
        </w:tc>
        <w:tc>
          <w:tcPr>
            <w:tcW w:w="1144" w:type="dxa"/>
            <w:tcBorders>
              <w:top w:val="nil"/>
              <w:left w:val="nil"/>
              <w:bottom w:val="nil"/>
              <w:right w:val="single" w:sz="4" w:space="0" w:color="auto"/>
            </w:tcBorders>
          </w:tcPr>
          <w:p w14:paraId="256C2EE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3.053</w:t>
            </w:r>
          </w:p>
        </w:tc>
        <w:tc>
          <w:tcPr>
            <w:tcW w:w="1144" w:type="dxa"/>
            <w:tcBorders>
              <w:top w:val="nil"/>
              <w:left w:val="single" w:sz="4" w:space="0" w:color="auto"/>
              <w:bottom w:val="nil"/>
              <w:right w:val="nil"/>
            </w:tcBorders>
          </w:tcPr>
          <w:p w14:paraId="425150DB" w14:textId="02A7A15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4" w:type="dxa"/>
            <w:tcBorders>
              <w:top w:val="nil"/>
              <w:left w:val="nil"/>
              <w:bottom w:val="nil"/>
              <w:right w:val="nil"/>
            </w:tcBorders>
          </w:tcPr>
          <w:p w14:paraId="4497A6B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3.414</w:t>
            </w:r>
          </w:p>
        </w:tc>
        <w:tc>
          <w:tcPr>
            <w:tcW w:w="1144" w:type="dxa"/>
            <w:tcBorders>
              <w:top w:val="nil"/>
              <w:left w:val="nil"/>
              <w:bottom w:val="nil"/>
              <w:right w:val="nil"/>
            </w:tcBorders>
          </w:tcPr>
          <w:p w14:paraId="08E3AD6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3.351</w:t>
            </w:r>
          </w:p>
        </w:tc>
      </w:tr>
      <w:tr w:rsidR="0016647F" w:rsidRPr="000D61D1" w14:paraId="2F66006A" w14:textId="77777777" w:rsidTr="00D4573D">
        <w:trPr>
          <w:jc w:val="center"/>
        </w:trPr>
        <w:tc>
          <w:tcPr>
            <w:tcW w:w="2162" w:type="dxa"/>
            <w:tcBorders>
              <w:top w:val="nil"/>
              <w:left w:val="nil"/>
              <w:bottom w:val="nil"/>
              <w:right w:val="nil"/>
            </w:tcBorders>
          </w:tcPr>
          <w:p w14:paraId="66571CA0" w14:textId="4B3E36D5"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1144" w:type="dxa"/>
            <w:tcBorders>
              <w:top w:val="nil"/>
              <w:left w:val="nil"/>
              <w:bottom w:val="nil"/>
              <w:right w:val="nil"/>
            </w:tcBorders>
          </w:tcPr>
          <w:p w14:paraId="36F22521" w14:textId="15366444"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4" w:type="dxa"/>
            <w:tcBorders>
              <w:top w:val="nil"/>
              <w:left w:val="nil"/>
              <w:bottom w:val="nil"/>
              <w:right w:val="nil"/>
            </w:tcBorders>
          </w:tcPr>
          <w:p w14:paraId="0287384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0.080]*</w:t>
            </w:r>
            <w:proofErr w:type="gramEnd"/>
            <w:r w:rsidRPr="000D61D1">
              <w:rPr>
                <w:rFonts w:cs="Times New Roman"/>
                <w:sz w:val="22"/>
                <w:szCs w:val="22"/>
                <w:lang w:val="en-AU"/>
              </w:rPr>
              <w:t>*</w:t>
            </w:r>
          </w:p>
        </w:tc>
        <w:tc>
          <w:tcPr>
            <w:tcW w:w="1144" w:type="dxa"/>
            <w:tcBorders>
              <w:top w:val="nil"/>
              <w:left w:val="nil"/>
              <w:bottom w:val="nil"/>
              <w:right w:val="single" w:sz="4" w:space="0" w:color="auto"/>
            </w:tcBorders>
          </w:tcPr>
          <w:p w14:paraId="18860A9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0.108]*</w:t>
            </w:r>
            <w:proofErr w:type="gramEnd"/>
            <w:r w:rsidRPr="000D61D1">
              <w:rPr>
                <w:rFonts w:cs="Times New Roman"/>
                <w:sz w:val="22"/>
                <w:szCs w:val="22"/>
                <w:lang w:val="en-AU"/>
              </w:rPr>
              <w:t>*</w:t>
            </w:r>
          </w:p>
        </w:tc>
        <w:tc>
          <w:tcPr>
            <w:tcW w:w="1144" w:type="dxa"/>
            <w:tcBorders>
              <w:top w:val="nil"/>
              <w:left w:val="single" w:sz="4" w:space="0" w:color="auto"/>
              <w:bottom w:val="nil"/>
              <w:right w:val="nil"/>
            </w:tcBorders>
          </w:tcPr>
          <w:p w14:paraId="695097F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4" w:type="dxa"/>
            <w:tcBorders>
              <w:top w:val="nil"/>
              <w:left w:val="nil"/>
              <w:bottom w:val="nil"/>
              <w:right w:val="nil"/>
            </w:tcBorders>
          </w:tcPr>
          <w:p w14:paraId="53E4066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0.160]*</w:t>
            </w:r>
            <w:proofErr w:type="gramEnd"/>
            <w:r w:rsidRPr="000D61D1">
              <w:rPr>
                <w:rFonts w:cs="Times New Roman"/>
                <w:sz w:val="22"/>
                <w:szCs w:val="22"/>
                <w:lang w:val="en-AU"/>
              </w:rPr>
              <w:t>*</w:t>
            </w:r>
          </w:p>
        </w:tc>
        <w:tc>
          <w:tcPr>
            <w:tcW w:w="1144" w:type="dxa"/>
            <w:tcBorders>
              <w:top w:val="nil"/>
              <w:left w:val="nil"/>
              <w:bottom w:val="nil"/>
              <w:right w:val="nil"/>
            </w:tcBorders>
          </w:tcPr>
          <w:p w14:paraId="6DD56A9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0.185]*</w:t>
            </w:r>
            <w:proofErr w:type="gramEnd"/>
            <w:r w:rsidRPr="000D61D1">
              <w:rPr>
                <w:rFonts w:cs="Times New Roman"/>
                <w:sz w:val="22"/>
                <w:szCs w:val="22"/>
                <w:lang w:val="en-AU"/>
              </w:rPr>
              <w:t>*</w:t>
            </w:r>
          </w:p>
        </w:tc>
      </w:tr>
      <w:tr w:rsidR="0016647F" w:rsidRPr="000D61D1" w14:paraId="3480650B" w14:textId="77777777" w:rsidTr="00D4573D">
        <w:trPr>
          <w:jc w:val="center"/>
        </w:trPr>
        <w:tc>
          <w:tcPr>
            <w:tcW w:w="2162" w:type="dxa"/>
            <w:tcBorders>
              <w:top w:val="nil"/>
              <w:left w:val="nil"/>
              <w:bottom w:val="nil"/>
              <w:right w:val="nil"/>
            </w:tcBorders>
          </w:tcPr>
          <w:p w14:paraId="772A9DC6" w14:textId="77777777" w:rsidR="0016647F" w:rsidRPr="000D61D1" w:rsidRDefault="0016647F" w:rsidP="0016647F">
            <w:pPr>
              <w:widowControl w:val="0"/>
              <w:autoSpaceDE w:val="0"/>
              <w:autoSpaceDN w:val="0"/>
              <w:adjustRightInd w:val="0"/>
              <w:spacing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Population)</w:t>
            </w:r>
          </w:p>
        </w:tc>
        <w:tc>
          <w:tcPr>
            <w:tcW w:w="1144" w:type="dxa"/>
            <w:tcBorders>
              <w:top w:val="nil"/>
              <w:left w:val="nil"/>
              <w:bottom w:val="nil"/>
              <w:right w:val="nil"/>
            </w:tcBorders>
          </w:tcPr>
          <w:p w14:paraId="38F3A8C5" w14:textId="58644A43"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4" w:type="dxa"/>
            <w:tcBorders>
              <w:top w:val="nil"/>
              <w:left w:val="nil"/>
              <w:bottom w:val="nil"/>
              <w:right w:val="nil"/>
            </w:tcBorders>
          </w:tcPr>
          <w:p w14:paraId="769E608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3.129</w:t>
            </w:r>
          </w:p>
        </w:tc>
        <w:tc>
          <w:tcPr>
            <w:tcW w:w="1144" w:type="dxa"/>
            <w:tcBorders>
              <w:top w:val="nil"/>
              <w:left w:val="nil"/>
              <w:bottom w:val="nil"/>
              <w:right w:val="single" w:sz="4" w:space="0" w:color="auto"/>
            </w:tcBorders>
          </w:tcPr>
          <w:p w14:paraId="34E95E5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3.961</w:t>
            </w:r>
          </w:p>
        </w:tc>
        <w:tc>
          <w:tcPr>
            <w:tcW w:w="1144" w:type="dxa"/>
            <w:tcBorders>
              <w:top w:val="nil"/>
              <w:left w:val="single" w:sz="4" w:space="0" w:color="auto"/>
              <w:bottom w:val="nil"/>
              <w:right w:val="nil"/>
            </w:tcBorders>
          </w:tcPr>
          <w:p w14:paraId="77D577BC" w14:textId="1A81DA7D"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4" w:type="dxa"/>
            <w:tcBorders>
              <w:top w:val="nil"/>
              <w:left w:val="nil"/>
              <w:bottom w:val="nil"/>
              <w:right w:val="nil"/>
            </w:tcBorders>
          </w:tcPr>
          <w:p w14:paraId="535F6DB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2.479</w:t>
            </w:r>
          </w:p>
        </w:tc>
        <w:tc>
          <w:tcPr>
            <w:tcW w:w="1144" w:type="dxa"/>
            <w:tcBorders>
              <w:top w:val="nil"/>
              <w:left w:val="nil"/>
              <w:bottom w:val="nil"/>
              <w:right w:val="nil"/>
            </w:tcBorders>
          </w:tcPr>
          <w:p w14:paraId="0F01009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3.216</w:t>
            </w:r>
          </w:p>
        </w:tc>
      </w:tr>
      <w:tr w:rsidR="0016647F" w:rsidRPr="000D61D1" w14:paraId="194DDA5F" w14:textId="77777777" w:rsidTr="00D4573D">
        <w:trPr>
          <w:jc w:val="center"/>
        </w:trPr>
        <w:tc>
          <w:tcPr>
            <w:tcW w:w="2162" w:type="dxa"/>
            <w:tcBorders>
              <w:top w:val="nil"/>
              <w:left w:val="nil"/>
              <w:bottom w:val="nil"/>
              <w:right w:val="nil"/>
            </w:tcBorders>
          </w:tcPr>
          <w:p w14:paraId="3CB115B6" w14:textId="2CCA5B47"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1144" w:type="dxa"/>
            <w:tcBorders>
              <w:top w:val="nil"/>
              <w:left w:val="nil"/>
              <w:bottom w:val="nil"/>
              <w:right w:val="nil"/>
            </w:tcBorders>
          </w:tcPr>
          <w:p w14:paraId="709AC23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4" w:type="dxa"/>
            <w:tcBorders>
              <w:top w:val="nil"/>
              <w:left w:val="nil"/>
              <w:bottom w:val="nil"/>
              <w:right w:val="nil"/>
            </w:tcBorders>
          </w:tcPr>
          <w:p w14:paraId="7C1A267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0.128]*</w:t>
            </w:r>
            <w:proofErr w:type="gramEnd"/>
            <w:r w:rsidRPr="000D61D1">
              <w:rPr>
                <w:rFonts w:cs="Times New Roman"/>
                <w:sz w:val="22"/>
                <w:szCs w:val="22"/>
                <w:lang w:val="en-AU"/>
              </w:rPr>
              <w:t>*</w:t>
            </w:r>
          </w:p>
        </w:tc>
        <w:tc>
          <w:tcPr>
            <w:tcW w:w="1144" w:type="dxa"/>
            <w:tcBorders>
              <w:top w:val="nil"/>
              <w:left w:val="nil"/>
              <w:bottom w:val="nil"/>
              <w:right w:val="single" w:sz="4" w:space="0" w:color="auto"/>
            </w:tcBorders>
          </w:tcPr>
          <w:p w14:paraId="1242F67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0.184]*</w:t>
            </w:r>
            <w:proofErr w:type="gramEnd"/>
            <w:r w:rsidRPr="000D61D1">
              <w:rPr>
                <w:rFonts w:cs="Times New Roman"/>
                <w:sz w:val="22"/>
                <w:szCs w:val="22"/>
                <w:lang w:val="en-AU"/>
              </w:rPr>
              <w:t>*</w:t>
            </w:r>
          </w:p>
        </w:tc>
        <w:tc>
          <w:tcPr>
            <w:tcW w:w="1144" w:type="dxa"/>
            <w:tcBorders>
              <w:top w:val="nil"/>
              <w:left w:val="single" w:sz="4" w:space="0" w:color="auto"/>
              <w:bottom w:val="nil"/>
              <w:right w:val="nil"/>
            </w:tcBorders>
          </w:tcPr>
          <w:p w14:paraId="2DF59BC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4" w:type="dxa"/>
            <w:tcBorders>
              <w:top w:val="nil"/>
              <w:left w:val="nil"/>
              <w:bottom w:val="nil"/>
              <w:right w:val="nil"/>
            </w:tcBorders>
          </w:tcPr>
          <w:p w14:paraId="426600C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0.222]*</w:t>
            </w:r>
            <w:proofErr w:type="gramEnd"/>
            <w:r w:rsidRPr="000D61D1">
              <w:rPr>
                <w:rFonts w:cs="Times New Roman"/>
                <w:sz w:val="22"/>
                <w:szCs w:val="22"/>
                <w:lang w:val="en-AU"/>
              </w:rPr>
              <w:t>*</w:t>
            </w:r>
          </w:p>
        </w:tc>
        <w:tc>
          <w:tcPr>
            <w:tcW w:w="1144" w:type="dxa"/>
            <w:tcBorders>
              <w:top w:val="nil"/>
              <w:left w:val="nil"/>
              <w:bottom w:val="nil"/>
              <w:right w:val="nil"/>
            </w:tcBorders>
          </w:tcPr>
          <w:p w14:paraId="5E37AF5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0.276]*</w:t>
            </w:r>
            <w:proofErr w:type="gramEnd"/>
            <w:r w:rsidRPr="000D61D1">
              <w:rPr>
                <w:rFonts w:cs="Times New Roman"/>
                <w:sz w:val="22"/>
                <w:szCs w:val="22"/>
                <w:lang w:val="en-AU"/>
              </w:rPr>
              <w:t>*</w:t>
            </w:r>
          </w:p>
        </w:tc>
      </w:tr>
      <w:tr w:rsidR="0016647F" w:rsidRPr="000D61D1" w14:paraId="52B47C9C" w14:textId="77777777" w:rsidTr="00D4573D">
        <w:trPr>
          <w:jc w:val="center"/>
        </w:trPr>
        <w:tc>
          <w:tcPr>
            <w:tcW w:w="2162" w:type="dxa"/>
            <w:tcBorders>
              <w:top w:val="nil"/>
              <w:left w:val="nil"/>
              <w:bottom w:val="nil"/>
              <w:right w:val="nil"/>
            </w:tcBorders>
          </w:tcPr>
          <w:p w14:paraId="5ABF3278"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Time &amp; Suburb FE</w:t>
            </w:r>
          </w:p>
        </w:tc>
        <w:tc>
          <w:tcPr>
            <w:tcW w:w="1144" w:type="dxa"/>
            <w:tcBorders>
              <w:top w:val="nil"/>
              <w:left w:val="nil"/>
              <w:bottom w:val="nil"/>
              <w:right w:val="nil"/>
            </w:tcBorders>
          </w:tcPr>
          <w:p w14:paraId="74001C21"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sz w:val="22"/>
                <w:szCs w:val="22"/>
                <w:lang w:val="en-AU"/>
              </w:rPr>
              <w:t>YES</w:t>
            </w:r>
          </w:p>
        </w:tc>
        <w:tc>
          <w:tcPr>
            <w:tcW w:w="1144" w:type="dxa"/>
            <w:tcBorders>
              <w:top w:val="nil"/>
              <w:left w:val="nil"/>
              <w:bottom w:val="nil"/>
              <w:right w:val="nil"/>
            </w:tcBorders>
          </w:tcPr>
          <w:p w14:paraId="43440577"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sz w:val="22"/>
                <w:szCs w:val="22"/>
                <w:lang w:val="en-AU"/>
              </w:rPr>
              <w:t>YES</w:t>
            </w:r>
          </w:p>
        </w:tc>
        <w:tc>
          <w:tcPr>
            <w:tcW w:w="1144" w:type="dxa"/>
            <w:tcBorders>
              <w:top w:val="nil"/>
              <w:left w:val="nil"/>
              <w:bottom w:val="nil"/>
              <w:right w:val="single" w:sz="4" w:space="0" w:color="auto"/>
            </w:tcBorders>
          </w:tcPr>
          <w:p w14:paraId="23927A3A"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sz w:val="22"/>
                <w:szCs w:val="22"/>
                <w:lang w:val="en-AU"/>
              </w:rPr>
              <w:t>YES</w:t>
            </w:r>
          </w:p>
        </w:tc>
        <w:tc>
          <w:tcPr>
            <w:tcW w:w="1144" w:type="dxa"/>
            <w:tcBorders>
              <w:top w:val="nil"/>
              <w:left w:val="single" w:sz="4" w:space="0" w:color="auto"/>
              <w:bottom w:val="nil"/>
              <w:right w:val="nil"/>
            </w:tcBorders>
          </w:tcPr>
          <w:p w14:paraId="4567CE4C"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rFonts w:cs="Times New Roman"/>
                <w:sz w:val="22"/>
                <w:szCs w:val="22"/>
                <w:lang w:val="en-AU"/>
              </w:rPr>
              <w:t>YES</w:t>
            </w:r>
          </w:p>
        </w:tc>
        <w:tc>
          <w:tcPr>
            <w:tcW w:w="1144" w:type="dxa"/>
            <w:tcBorders>
              <w:top w:val="nil"/>
              <w:left w:val="nil"/>
              <w:bottom w:val="nil"/>
              <w:right w:val="nil"/>
            </w:tcBorders>
          </w:tcPr>
          <w:p w14:paraId="3A622189"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rFonts w:cs="Times New Roman"/>
                <w:sz w:val="22"/>
                <w:szCs w:val="22"/>
                <w:lang w:val="en-AU"/>
              </w:rPr>
              <w:t>YES</w:t>
            </w:r>
          </w:p>
        </w:tc>
        <w:tc>
          <w:tcPr>
            <w:tcW w:w="1144" w:type="dxa"/>
            <w:tcBorders>
              <w:top w:val="nil"/>
              <w:left w:val="nil"/>
              <w:bottom w:val="nil"/>
              <w:right w:val="nil"/>
            </w:tcBorders>
          </w:tcPr>
          <w:p w14:paraId="61AD5C22"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rFonts w:cs="Times New Roman"/>
                <w:sz w:val="22"/>
                <w:szCs w:val="22"/>
                <w:lang w:val="en-AU"/>
              </w:rPr>
              <w:t>YES</w:t>
            </w:r>
          </w:p>
        </w:tc>
      </w:tr>
      <w:tr w:rsidR="0016647F" w:rsidRPr="000D61D1" w14:paraId="3AB70E24" w14:textId="77777777" w:rsidTr="00D4573D">
        <w:trPr>
          <w:jc w:val="center"/>
        </w:trPr>
        <w:tc>
          <w:tcPr>
            <w:tcW w:w="2162" w:type="dxa"/>
            <w:tcBorders>
              <w:top w:val="nil"/>
              <w:left w:val="nil"/>
              <w:bottom w:val="nil"/>
              <w:right w:val="nil"/>
            </w:tcBorders>
          </w:tcPr>
          <w:p w14:paraId="711D5AF7"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Observations</w:t>
            </w:r>
          </w:p>
        </w:tc>
        <w:tc>
          <w:tcPr>
            <w:tcW w:w="1144" w:type="dxa"/>
            <w:tcBorders>
              <w:top w:val="nil"/>
              <w:left w:val="nil"/>
              <w:bottom w:val="nil"/>
              <w:right w:val="nil"/>
            </w:tcBorders>
          </w:tcPr>
          <w:p w14:paraId="0E379DF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543,443</w:t>
            </w:r>
          </w:p>
        </w:tc>
        <w:tc>
          <w:tcPr>
            <w:tcW w:w="1144" w:type="dxa"/>
            <w:tcBorders>
              <w:top w:val="nil"/>
              <w:left w:val="nil"/>
              <w:bottom w:val="nil"/>
              <w:right w:val="nil"/>
            </w:tcBorders>
          </w:tcPr>
          <w:p w14:paraId="06B38CF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515,524</w:t>
            </w:r>
          </w:p>
        </w:tc>
        <w:tc>
          <w:tcPr>
            <w:tcW w:w="1144" w:type="dxa"/>
            <w:tcBorders>
              <w:top w:val="nil"/>
              <w:left w:val="nil"/>
              <w:bottom w:val="nil"/>
              <w:right w:val="single" w:sz="4" w:space="0" w:color="auto"/>
            </w:tcBorders>
          </w:tcPr>
          <w:p w14:paraId="31335B6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234,695</w:t>
            </w:r>
          </w:p>
        </w:tc>
        <w:tc>
          <w:tcPr>
            <w:tcW w:w="1144" w:type="dxa"/>
            <w:tcBorders>
              <w:top w:val="nil"/>
              <w:left w:val="single" w:sz="4" w:space="0" w:color="auto"/>
              <w:bottom w:val="nil"/>
              <w:right w:val="nil"/>
            </w:tcBorders>
          </w:tcPr>
          <w:p w14:paraId="1A45AA4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219,559</w:t>
            </w:r>
          </w:p>
        </w:tc>
        <w:tc>
          <w:tcPr>
            <w:tcW w:w="1144" w:type="dxa"/>
            <w:tcBorders>
              <w:top w:val="nil"/>
              <w:left w:val="nil"/>
              <w:bottom w:val="nil"/>
              <w:right w:val="nil"/>
            </w:tcBorders>
          </w:tcPr>
          <w:p w14:paraId="7DA219F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208,943</w:t>
            </w:r>
          </w:p>
        </w:tc>
        <w:tc>
          <w:tcPr>
            <w:tcW w:w="1144" w:type="dxa"/>
            <w:tcBorders>
              <w:top w:val="nil"/>
              <w:left w:val="nil"/>
              <w:bottom w:val="nil"/>
              <w:right w:val="nil"/>
            </w:tcBorders>
          </w:tcPr>
          <w:p w14:paraId="4ECA1C9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137,577</w:t>
            </w:r>
          </w:p>
        </w:tc>
      </w:tr>
      <w:tr w:rsidR="0016647F" w:rsidRPr="000D61D1" w14:paraId="128B7E32" w14:textId="77777777" w:rsidTr="00D4573D">
        <w:trPr>
          <w:jc w:val="center"/>
        </w:trPr>
        <w:tc>
          <w:tcPr>
            <w:tcW w:w="2162" w:type="dxa"/>
            <w:tcBorders>
              <w:top w:val="nil"/>
              <w:left w:val="nil"/>
              <w:bottom w:val="nil"/>
              <w:right w:val="nil"/>
            </w:tcBorders>
          </w:tcPr>
          <w:p w14:paraId="1BA653A5"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Number of Suburbs</w:t>
            </w:r>
          </w:p>
        </w:tc>
        <w:tc>
          <w:tcPr>
            <w:tcW w:w="1144" w:type="dxa"/>
            <w:tcBorders>
              <w:top w:val="nil"/>
              <w:left w:val="nil"/>
              <w:bottom w:val="nil"/>
              <w:right w:val="nil"/>
            </w:tcBorders>
          </w:tcPr>
          <w:p w14:paraId="56E3AF3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10,116</w:t>
            </w:r>
          </w:p>
        </w:tc>
        <w:tc>
          <w:tcPr>
            <w:tcW w:w="1144" w:type="dxa"/>
            <w:tcBorders>
              <w:top w:val="nil"/>
              <w:left w:val="nil"/>
              <w:bottom w:val="nil"/>
              <w:right w:val="nil"/>
            </w:tcBorders>
          </w:tcPr>
          <w:p w14:paraId="77C6B03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10,045</w:t>
            </w:r>
          </w:p>
        </w:tc>
        <w:tc>
          <w:tcPr>
            <w:tcW w:w="1144" w:type="dxa"/>
            <w:tcBorders>
              <w:top w:val="nil"/>
              <w:left w:val="nil"/>
              <w:bottom w:val="nil"/>
              <w:right w:val="single" w:sz="4" w:space="0" w:color="auto"/>
            </w:tcBorders>
          </w:tcPr>
          <w:p w14:paraId="1C6428B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2,806</w:t>
            </w:r>
          </w:p>
        </w:tc>
        <w:tc>
          <w:tcPr>
            <w:tcW w:w="1144" w:type="dxa"/>
            <w:tcBorders>
              <w:top w:val="nil"/>
              <w:left w:val="single" w:sz="4" w:space="0" w:color="auto"/>
              <w:bottom w:val="nil"/>
              <w:right w:val="nil"/>
            </w:tcBorders>
          </w:tcPr>
          <w:p w14:paraId="497BE25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3,799</w:t>
            </w:r>
          </w:p>
        </w:tc>
        <w:tc>
          <w:tcPr>
            <w:tcW w:w="1144" w:type="dxa"/>
            <w:tcBorders>
              <w:top w:val="nil"/>
              <w:left w:val="nil"/>
              <w:bottom w:val="nil"/>
              <w:right w:val="nil"/>
            </w:tcBorders>
          </w:tcPr>
          <w:p w14:paraId="30A7950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3,781</w:t>
            </w:r>
          </w:p>
        </w:tc>
        <w:tc>
          <w:tcPr>
            <w:tcW w:w="1144" w:type="dxa"/>
            <w:tcBorders>
              <w:top w:val="nil"/>
              <w:left w:val="nil"/>
              <w:bottom w:val="nil"/>
              <w:right w:val="nil"/>
            </w:tcBorders>
          </w:tcPr>
          <w:p w14:paraId="280CEA7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2,112</w:t>
            </w:r>
          </w:p>
        </w:tc>
      </w:tr>
      <w:tr w:rsidR="0016647F" w:rsidRPr="000D61D1" w14:paraId="0CC4BF0C" w14:textId="77777777" w:rsidTr="00D4573D">
        <w:trPr>
          <w:jc w:val="center"/>
        </w:trPr>
        <w:tc>
          <w:tcPr>
            <w:tcW w:w="2162" w:type="dxa"/>
            <w:tcBorders>
              <w:top w:val="nil"/>
              <w:left w:val="nil"/>
              <w:bottom w:val="nil"/>
              <w:right w:val="nil"/>
            </w:tcBorders>
          </w:tcPr>
          <w:p w14:paraId="0C750907"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Adj. R-squared</w:t>
            </w:r>
          </w:p>
        </w:tc>
        <w:tc>
          <w:tcPr>
            <w:tcW w:w="1144" w:type="dxa"/>
            <w:tcBorders>
              <w:top w:val="nil"/>
              <w:left w:val="nil"/>
              <w:bottom w:val="nil"/>
              <w:right w:val="nil"/>
            </w:tcBorders>
          </w:tcPr>
          <w:p w14:paraId="00E8024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0.78</w:t>
            </w:r>
          </w:p>
        </w:tc>
        <w:tc>
          <w:tcPr>
            <w:tcW w:w="1144" w:type="dxa"/>
            <w:tcBorders>
              <w:top w:val="nil"/>
              <w:left w:val="nil"/>
              <w:bottom w:val="nil"/>
              <w:right w:val="nil"/>
            </w:tcBorders>
          </w:tcPr>
          <w:p w14:paraId="5FAB074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0.79</w:t>
            </w:r>
          </w:p>
        </w:tc>
        <w:tc>
          <w:tcPr>
            <w:tcW w:w="1144" w:type="dxa"/>
            <w:tcBorders>
              <w:top w:val="nil"/>
              <w:left w:val="nil"/>
              <w:bottom w:val="nil"/>
              <w:right w:val="single" w:sz="4" w:space="0" w:color="auto"/>
            </w:tcBorders>
          </w:tcPr>
          <w:p w14:paraId="3F42E0D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0.74</w:t>
            </w:r>
          </w:p>
        </w:tc>
        <w:tc>
          <w:tcPr>
            <w:tcW w:w="1144" w:type="dxa"/>
            <w:tcBorders>
              <w:top w:val="nil"/>
              <w:left w:val="single" w:sz="4" w:space="0" w:color="auto"/>
              <w:bottom w:val="nil"/>
              <w:right w:val="nil"/>
            </w:tcBorders>
          </w:tcPr>
          <w:p w14:paraId="03B8B0A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0.76</w:t>
            </w:r>
          </w:p>
        </w:tc>
        <w:tc>
          <w:tcPr>
            <w:tcW w:w="1144" w:type="dxa"/>
            <w:tcBorders>
              <w:top w:val="nil"/>
              <w:left w:val="nil"/>
              <w:bottom w:val="nil"/>
              <w:right w:val="nil"/>
            </w:tcBorders>
          </w:tcPr>
          <w:p w14:paraId="5F5E165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0.77</w:t>
            </w:r>
          </w:p>
        </w:tc>
        <w:tc>
          <w:tcPr>
            <w:tcW w:w="1144" w:type="dxa"/>
            <w:tcBorders>
              <w:top w:val="nil"/>
              <w:left w:val="nil"/>
              <w:bottom w:val="nil"/>
              <w:right w:val="nil"/>
            </w:tcBorders>
          </w:tcPr>
          <w:p w14:paraId="378BE45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0.77</w:t>
            </w:r>
          </w:p>
        </w:tc>
      </w:tr>
      <w:tr w:rsidR="0016647F" w:rsidRPr="000D61D1" w14:paraId="418F82CA" w14:textId="77777777" w:rsidTr="00D4573D">
        <w:trPr>
          <w:jc w:val="center"/>
        </w:trPr>
        <w:tc>
          <w:tcPr>
            <w:tcW w:w="2162" w:type="dxa"/>
            <w:tcBorders>
              <w:top w:val="nil"/>
              <w:left w:val="nil"/>
              <w:bottom w:val="single" w:sz="6" w:space="0" w:color="auto"/>
              <w:right w:val="nil"/>
            </w:tcBorders>
          </w:tcPr>
          <w:p w14:paraId="72E1DB1D"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Max in Cor. Matrix</w:t>
            </w:r>
          </w:p>
        </w:tc>
        <w:tc>
          <w:tcPr>
            <w:tcW w:w="1144" w:type="dxa"/>
            <w:tcBorders>
              <w:top w:val="nil"/>
              <w:left w:val="nil"/>
              <w:bottom w:val="single" w:sz="6" w:space="0" w:color="auto"/>
              <w:right w:val="nil"/>
            </w:tcBorders>
          </w:tcPr>
          <w:p w14:paraId="5D9FEABC"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
        </w:tc>
        <w:tc>
          <w:tcPr>
            <w:tcW w:w="1144" w:type="dxa"/>
            <w:tcBorders>
              <w:top w:val="nil"/>
              <w:left w:val="nil"/>
              <w:bottom w:val="single" w:sz="6" w:space="0" w:color="auto"/>
              <w:right w:val="nil"/>
            </w:tcBorders>
          </w:tcPr>
          <w:p w14:paraId="5AFD0A3C"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0.25</w:t>
            </w:r>
          </w:p>
        </w:tc>
        <w:tc>
          <w:tcPr>
            <w:tcW w:w="1144" w:type="dxa"/>
            <w:tcBorders>
              <w:top w:val="nil"/>
              <w:left w:val="nil"/>
              <w:bottom w:val="single" w:sz="6" w:space="0" w:color="auto"/>
              <w:right w:val="single" w:sz="4" w:space="0" w:color="auto"/>
            </w:tcBorders>
          </w:tcPr>
          <w:p w14:paraId="387E74C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0.26</w:t>
            </w:r>
          </w:p>
        </w:tc>
        <w:tc>
          <w:tcPr>
            <w:tcW w:w="1144" w:type="dxa"/>
            <w:tcBorders>
              <w:top w:val="nil"/>
              <w:left w:val="single" w:sz="4" w:space="0" w:color="auto"/>
              <w:bottom w:val="single" w:sz="6" w:space="0" w:color="auto"/>
              <w:right w:val="nil"/>
            </w:tcBorders>
          </w:tcPr>
          <w:p w14:paraId="66525C4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
        </w:tc>
        <w:tc>
          <w:tcPr>
            <w:tcW w:w="1144" w:type="dxa"/>
            <w:tcBorders>
              <w:top w:val="nil"/>
              <w:left w:val="nil"/>
              <w:bottom w:val="single" w:sz="6" w:space="0" w:color="auto"/>
              <w:right w:val="nil"/>
            </w:tcBorders>
          </w:tcPr>
          <w:p w14:paraId="00AB81F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0.34</w:t>
            </w:r>
          </w:p>
        </w:tc>
        <w:tc>
          <w:tcPr>
            <w:tcW w:w="1144" w:type="dxa"/>
            <w:tcBorders>
              <w:top w:val="nil"/>
              <w:left w:val="nil"/>
              <w:bottom w:val="single" w:sz="6" w:space="0" w:color="auto"/>
              <w:right w:val="nil"/>
            </w:tcBorders>
          </w:tcPr>
          <w:p w14:paraId="4EA5969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0.35</w:t>
            </w:r>
          </w:p>
        </w:tc>
      </w:tr>
    </w:tbl>
    <w:p w14:paraId="39995374" w14:textId="77777777" w:rsidR="0016647F" w:rsidRPr="000D61D1" w:rsidRDefault="0016647F" w:rsidP="0016647F">
      <w:pPr>
        <w:widowControl w:val="0"/>
        <w:autoSpaceDE w:val="0"/>
        <w:autoSpaceDN w:val="0"/>
        <w:adjustRightInd w:val="0"/>
        <w:spacing w:before="79" w:after="79"/>
        <w:jc w:val="center"/>
        <w:rPr>
          <w:rFonts w:cs="Times New Roman"/>
          <w:color w:val="000000" w:themeColor="text1"/>
          <w:sz w:val="22"/>
          <w:szCs w:val="22"/>
          <w:lang w:val="en-AU"/>
        </w:rPr>
      </w:pPr>
      <w:r w:rsidRPr="000D61D1">
        <w:rPr>
          <w:rFonts w:cs="Times New Roman"/>
          <w:color w:val="000000" w:themeColor="text1"/>
          <w:sz w:val="22"/>
          <w:szCs w:val="22"/>
          <w:lang w:val="en-AU"/>
        </w:rPr>
        <w:t xml:space="preserve">* </w:t>
      </w:r>
      <w:r w:rsidRPr="000D61D1">
        <w:rPr>
          <w:rFonts w:cs="Times New Roman"/>
          <w:i/>
          <w:iCs/>
          <w:color w:val="000000" w:themeColor="text1"/>
          <w:sz w:val="22"/>
          <w:szCs w:val="22"/>
          <w:lang w:val="en-AU"/>
        </w:rPr>
        <w:t>p</w:t>
      </w:r>
      <w:r w:rsidRPr="000D61D1">
        <w:rPr>
          <w:rFonts w:cs="Times New Roman"/>
          <w:color w:val="000000" w:themeColor="text1"/>
          <w:sz w:val="22"/>
          <w:szCs w:val="22"/>
          <w:lang w:val="en-AU"/>
        </w:rPr>
        <w:t xml:space="preserve">&lt;0.05; ** </w:t>
      </w:r>
      <w:r w:rsidRPr="000D61D1">
        <w:rPr>
          <w:rFonts w:cs="Times New Roman"/>
          <w:i/>
          <w:iCs/>
          <w:color w:val="000000" w:themeColor="text1"/>
          <w:sz w:val="22"/>
          <w:szCs w:val="22"/>
          <w:lang w:val="en-AU"/>
        </w:rPr>
        <w:t>p</w:t>
      </w:r>
      <w:r w:rsidRPr="000D61D1">
        <w:rPr>
          <w:rFonts w:cs="Times New Roman"/>
          <w:color w:val="000000" w:themeColor="text1"/>
          <w:sz w:val="22"/>
          <w:szCs w:val="22"/>
          <w:lang w:val="en-AU"/>
        </w:rPr>
        <w:t>&lt;0.01</w:t>
      </w:r>
    </w:p>
    <w:p w14:paraId="6F0BC668" w14:textId="09D22C21" w:rsidR="002705B0" w:rsidRPr="000D61D1" w:rsidRDefault="00D4573D" w:rsidP="0016647F">
      <w:pPr>
        <w:rPr>
          <w:lang w:val="en-AU"/>
        </w:rPr>
      </w:pPr>
      <w:r w:rsidRPr="000D61D1">
        <w:rPr>
          <w:color w:val="000000" w:themeColor="text1"/>
          <w:lang w:val="en-AU"/>
        </w:rPr>
        <w:fldChar w:fldCharType="begin"/>
      </w:r>
      <w:r w:rsidRPr="000D61D1">
        <w:rPr>
          <w:color w:val="000000" w:themeColor="text1"/>
          <w:lang w:val="en-AU"/>
        </w:rPr>
        <w:instrText xml:space="preserve"> REF _Ref33091477 \h </w:instrText>
      </w:r>
      <w:r w:rsidR="008027EA" w:rsidRPr="000D61D1">
        <w:rPr>
          <w:color w:val="000000" w:themeColor="text1"/>
          <w:lang w:val="en-AU"/>
        </w:rPr>
        <w:instrText xml:space="preserve"> \* MERGEFORMAT </w:instrText>
      </w:r>
      <w:r w:rsidRPr="000D61D1">
        <w:rPr>
          <w:color w:val="000000" w:themeColor="text1"/>
          <w:lang w:val="en-AU"/>
        </w:rPr>
      </w:r>
      <w:r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11</w:t>
      </w:r>
      <w:r w:rsidRPr="000D61D1">
        <w:rPr>
          <w:color w:val="000000" w:themeColor="text1"/>
          <w:lang w:val="en-AU"/>
        </w:rPr>
        <w:fldChar w:fldCharType="end"/>
      </w:r>
      <w:r w:rsidRPr="000D61D1">
        <w:rPr>
          <w:lang w:val="en-AU"/>
        </w:rPr>
        <w:t xml:space="preserve"> </w:t>
      </w:r>
      <w:r w:rsidR="0016647F" w:rsidRPr="000D61D1">
        <w:rPr>
          <w:lang w:val="en-AU"/>
        </w:rPr>
        <w:t xml:space="preserve">shows the effect on the ACT property market. The first 3 columns show the results for houses; the last 3 columns the results for units. In column 1 we see the results of a </w:t>
      </w:r>
      <w:r w:rsidR="0016647F" w:rsidRPr="000D61D1">
        <w:rPr>
          <w:lang w:val="en-AU"/>
        </w:rPr>
        <w:lastRenderedPageBreak/>
        <w:t xml:space="preserve">regression of the sales value on time and suburb fixed effect and the reform dummy. We find a coefficient on the reform of -0.1 which is equivalent to a 10% decrease. </w:t>
      </w:r>
    </w:p>
    <w:p w14:paraId="4973D60C" w14:textId="0F00744B" w:rsidR="0016647F" w:rsidRPr="000D61D1" w:rsidRDefault="0016647F" w:rsidP="0016647F">
      <w:pPr>
        <w:rPr>
          <w:lang w:val="en-AU"/>
        </w:rPr>
      </w:pPr>
      <w:r w:rsidRPr="000D61D1">
        <w:rPr>
          <w:lang w:val="en-AU"/>
        </w:rPr>
        <w:t>Once we add the controls for population and income in column 2 the effect becomes small and insignificant. Adding in extra controls for income and population lowers the reform dummy coefficient but leads only to moderate correlation between the covariates and the reform variable</w:t>
      </w:r>
    </w:p>
    <w:p w14:paraId="7BE76219" w14:textId="2A76C380" w:rsidR="0016647F" w:rsidRPr="000D61D1" w:rsidRDefault="0016647F" w:rsidP="0016647F">
      <w:pPr>
        <w:rPr>
          <w:lang w:val="en-AU"/>
        </w:rPr>
      </w:pPr>
      <w:r w:rsidRPr="000D61D1">
        <w:rPr>
          <w:lang w:val="en-AU"/>
        </w:rPr>
        <w:t>In column 3 we reduced the sample to the states and territor</w:t>
      </w:r>
      <w:r w:rsidR="002705B0" w:rsidRPr="000D61D1">
        <w:rPr>
          <w:lang w:val="en-AU"/>
        </w:rPr>
        <w:t>ies</w:t>
      </w:r>
      <w:r w:rsidRPr="000D61D1">
        <w:rPr>
          <w:lang w:val="en-AU"/>
        </w:rPr>
        <w:t xml:space="preserve"> capital cities</w:t>
      </w:r>
      <w:r w:rsidR="002705B0" w:rsidRPr="000D61D1">
        <w:rPr>
          <w:lang w:val="en-AU"/>
        </w:rPr>
        <w:t xml:space="preserve">, effectively </w:t>
      </w:r>
      <w:proofErr w:type="gramStart"/>
      <w:r w:rsidR="002705B0" w:rsidRPr="000D61D1">
        <w:rPr>
          <w:lang w:val="en-AU"/>
        </w:rPr>
        <w:t xml:space="preserve">using </w:t>
      </w:r>
      <w:r w:rsidRPr="000D61D1">
        <w:rPr>
          <w:lang w:val="en-AU"/>
        </w:rPr>
        <w:t xml:space="preserve"> an</w:t>
      </w:r>
      <w:proofErr w:type="gramEnd"/>
      <w:r w:rsidRPr="000D61D1">
        <w:rPr>
          <w:lang w:val="en-AU"/>
        </w:rPr>
        <w:t xml:space="preserve"> alternative control group</w:t>
      </w:r>
      <w:r w:rsidR="002705B0" w:rsidRPr="000D61D1">
        <w:rPr>
          <w:lang w:val="en-AU"/>
        </w:rPr>
        <w:t xml:space="preserve"> as a robustness check</w:t>
      </w:r>
      <w:r w:rsidRPr="000D61D1">
        <w:rPr>
          <w:lang w:val="en-AU"/>
        </w:rPr>
        <w:t>. The coefficient suggests a reform effect of -5%.</w:t>
      </w:r>
    </w:p>
    <w:p w14:paraId="76AB4DD1" w14:textId="09E134E1" w:rsidR="0016647F" w:rsidRPr="000D61D1" w:rsidRDefault="0016647F" w:rsidP="0016647F">
      <w:pPr>
        <w:rPr>
          <w:lang w:val="en-AU"/>
        </w:rPr>
      </w:pPr>
      <w:r w:rsidRPr="000D61D1">
        <w:rPr>
          <w:lang w:val="en-AU"/>
        </w:rPr>
        <w:t xml:space="preserve">The results for units in the second half of </w:t>
      </w:r>
      <w:r w:rsidR="009B0FD7" w:rsidRPr="000D61D1">
        <w:rPr>
          <w:color w:val="000000" w:themeColor="text1"/>
          <w:lang w:val="en-AU"/>
        </w:rPr>
        <w:fldChar w:fldCharType="begin"/>
      </w:r>
      <w:r w:rsidR="009B0FD7" w:rsidRPr="000D61D1">
        <w:rPr>
          <w:color w:val="000000" w:themeColor="text1"/>
          <w:lang w:val="en-AU"/>
        </w:rPr>
        <w:instrText xml:space="preserve"> REF _Ref33091477 \h  \* MERGEFORMAT </w:instrText>
      </w:r>
      <w:r w:rsidR="009B0FD7" w:rsidRPr="000D61D1">
        <w:rPr>
          <w:color w:val="000000" w:themeColor="text1"/>
          <w:lang w:val="en-AU"/>
        </w:rPr>
      </w:r>
      <w:r w:rsidR="009B0FD7"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11</w:t>
      </w:r>
      <w:r w:rsidR="009B0FD7" w:rsidRPr="000D61D1">
        <w:rPr>
          <w:color w:val="000000" w:themeColor="text1"/>
          <w:lang w:val="en-AU"/>
        </w:rPr>
        <w:fldChar w:fldCharType="end"/>
      </w:r>
      <w:r w:rsidR="009B0FD7" w:rsidRPr="000D61D1">
        <w:rPr>
          <w:color w:val="000000" w:themeColor="text1"/>
          <w:lang w:val="en-AU"/>
        </w:rPr>
        <w:t xml:space="preserve"> </w:t>
      </w:r>
      <w:r w:rsidRPr="000D61D1">
        <w:rPr>
          <w:lang w:val="en-AU"/>
        </w:rPr>
        <w:t xml:space="preserve">show a larger effect. Similar to the housing market, when we include controls in column 5 and </w:t>
      </w:r>
      <w:proofErr w:type="gramStart"/>
      <w:r w:rsidRPr="000D61D1">
        <w:rPr>
          <w:lang w:val="en-AU"/>
        </w:rPr>
        <w:t>6</w:t>
      </w:r>
      <w:proofErr w:type="gramEnd"/>
      <w:r w:rsidRPr="000D61D1">
        <w:rPr>
          <w:lang w:val="en-AU"/>
        </w:rPr>
        <w:t xml:space="preserve"> we see a reduction in the size of the effect. Columns 5 and 6 suggest a reduction of the unit sales value </w:t>
      </w:r>
      <w:r w:rsidR="00E34CCE" w:rsidRPr="000D61D1">
        <w:rPr>
          <w:lang w:val="en-AU"/>
        </w:rPr>
        <w:t xml:space="preserve">due to the reform </w:t>
      </w:r>
      <w:r w:rsidRPr="000D61D1">
        <w:rPr>
          <w:lang w:val="en-AU"/>
        </w:rPr>
        <w:t>of 20% to 24%</w:t>
      </w:r>
      <w:r w:rsidRPr="000D61D1">
        <w:rPr>
          <w:i/>
          <w:vertAlign w:val="superscript"/>
          <w:lang w:val="en-AU" w:bidi="bn-BD"/>
        </w:rPr>
        <w:footnoteReference w:id="11"/>
      </w:r>
      <w:r w:rsidRPr="000D61D1">
        <w:rPr>
          <w:lang w:val="en-AU"/>
        </w:rPr>
        <w:t xml:space="preserve">. </w:t>
      </w:r>
    </w:p>
    <w:p w14:paraId="53F7637B" w14:textId="5FE97980" w:rsidR="00D476CF" w:rsidRPr="000D61D1" w:rsidRDefault="00D476CF" w:rsidP="00D476CF">
      <w:pPr>
        <w:spacing w:before="180" w:after="180"/>
        <w:rPr>
          <w:color w:val="000000" w:themeColor="text1"/>
          <w:lang w:val="en-AU"/>
        </w:rPr>
      </w:pPr>
      <w:r w:rsidRPr="000D61D1">
        <w:rPr>
          <w:color w:val="000000" w:themeColor="text1"/>
          <w:lang w:val="en-AU"/>
        </w:rPr>
        <w:fldChar w:fldCharType="begin"/>
      </w:r>
      <w:r w:rsidRPr="000D61D1">
        <w:rPr>
          <w:color w:val="000000" w:themeColor="text1"/>
          <w:lang w:val="en-AU"/>
        </w:rPr>
        <w:instrText xml:space="preserve"> REF _Ref33091759 \h  \* MERGEFORMAT </w:instrText>
      </w:r>
      <w:r w:rsidRPr="000D61D1">
        <w:rPr>
          <w:color w:val="000000" w:themeColor="text1"/>
          <w:lang w:val="en-AU"/>
        </w:rPr>
      </w:r>
      <w:r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12</w:t>
      </w:r>
      <w:r w:rsidRPr="000D61D1">
        <w:rPr>
          <w:color w:val="000000" w:themeColor="text1"/>
          <w:lang w:val="en-AU"/>
        </w:rPr>
        <w:fldChar w:fldCharType="end"/>
      </w:r>
      <w:r w:rsidRPr="000D61D1">
        <w:rPr>
          <w:color w:val="000000" w:themeColor="text1"/>
          <w:lang w:val="en-AU"/>
        </w:rPr>
        <w:t xml:space="preserve"> and </w:t>
      </w:r>
      <w:r w:rsidRPr="000D61D1">
        <w:rPr>
          <w:color w:val="000000" w:themeColor="text1"/>
          <w:lang w:val="en-AU"/>
        </w:rPr>
        <w:fldChar w:fldCharType="begin"/>
      </w:r>
      <w:r w:rsidRPr="000D61D1">
        <w:rPr>
          <w:color w:val="000000" w:themeColor="text1"/>
          <w:lang w:val="en-AU"/>
        </w:rPr>
        <w:instrText xml:space="preserve"> REF _Ref33091947 \h  \* MERGEFORMAT </w:instrText>
      </w:r>
      <w:r w:rsidRPr="000D61D1">
        <w:rPr>
          <w:color w:val="000000" w:themeColor="text1"/>
          <w:lang w:val="en-AU"/>
        </w:rPr>
      </w:r>
      <w:r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13</w:t>
      </w:r>
      <w:r w:rsidRPr="000D61D1">
        <w:rPr>
          <w:color w:val="000000" w:themeColor="text1"/>
          <w:lang w:val="en-AU"/>
        </w:rPr>
        <w:fldChar w:fldCharType="end"/>
      </w:r>
      <w:r w:rsidRPr="000D61D1">
        <w:rPr>
          <w:color w:val="000000" w:themeColor="text1"/>
          <w:lang w:val="en-AU"/>
        </w:rPr>
        <w:t xml:space="preserve"> </w:t>
      </w:r>
      <w:r w:rsidRPr="000D61D1">
        <w:rPr>
          <w:lang w:val="en-AU"/>
        </w:rPr>
        <w:t xml:space="preserve">each contain two different approaches to see how the effect of the reform on the volume of sales changes over time. The first 3 columns are equivalent </w:t>
      </w:r>
      <w:r w:rsidRPr="000D61D1">
        <w:rPr>
          <w:color w:val="000000" w:themeColor="text1"/>
          <w:lang w:val="en-AU"/>
        </w:rPr>
        <w:t xml:space="preserve">to </w:t>
      </w:r>
      <w:r w:rsidRPr="000D61D1">
        <w:rPr>
          <w:color w:val="000000" w:themeColor="text1"/>
          <w:lang w:val="en-AU"/>
        </w:rPr>
        <w:fldChar w:fldCharType="begin"/>
      </w:r>
      <w:r w:rsidRPr="000D61D1">
        <w:rPr>
          <w:color w:val="000000" w:themeColor="text1"/>
          <w:lang w:val="en-AU"/>
        </w:rPr>
        <w:instrText xml:space="preserve"> REF _Ref33091477 \h  \* MERGEFORMAT </w:instrText>
      </w:r>
      <w:r w:rsidRPr="000D61D1">
        <w:rPr>
          <w:color w:val="000000" w:themeColor="text1"/>
          <w:lang w:val="en-AU"/>
        </w:rPr>
      </w:r>
      <w:r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11</w:t>
      </w:r>
      <w:r w:rsidRPr="000D61D1">
        <w:rPr>
          <w:color w:val="000000" w:themeColor="text1"/>
          <w:lang w:val="en-AU"/>
        </w:rPr>
        <w:fldChar w:fldCharType="end"/>
      </w:r>
      <w:r w:rsidRPr="000D61D1">
        <w:rPr>
          <w:color w:val="000000" w:themeColor="text1"/>
          <w:lang w:val="en-AU"/>
        </w:rPr>
        <w:t xml:space="preserve"> but with a time trend added to measure if there is a reform trend. In the second half of the tables we look at shorter reform periods to see how the effect treks over time.</w:t>
      </w:r>
    </w:p>
    <w:p w14:paraId="3DF6F0F2" w14:textId="77777777" w:rsidR="00D87647" w:rsidRPr="000D61D1" w:rsidRDefault="00D87647" w:rsidP="0016647F">
      <w:pPr>
        <w:rPr>
          <w:lang w:val="en-AU"/>
        </w:rPr>
      </w:pPr>
    </w:p>
    <w:p w14:paraId="487DA9DC" w14:textId="14D23653" w:rsidR="00680F56" w:rsidRPr="000D61D1" w:rsidRDefault="00680F56" w:rsidP="007C11BD">
      <w:pPr>
        <w:pStyle w:val="TableCaption"/>
        <w:rPr>
          <w:lang w:val="en-AU"/>
        </w:rPr>
      </w:pPr>
      <w:bookmarkStart w:id="30" w:name="_Ref33091759"/>
      <w:bookmarkStart w:id="31" w:name="_Toc43911499"/>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12</w:t>
      </w:r>
      <w:r w:rsidRPr="000D61D1">
        <w:rPr>
          <w:lang w:val="en-AU"/>
        </w:rPr>
        <w:fldChar w:fldCharType="end"/>
      </w:r>
      <w:bookmarkEnd w:id="30"/>
      <w:r w:rsidRPr="000D61D1">
        <w:rPr>
          <w:lang w:val="en-AU"/>
        </w:rPr>
        <w:t xml:space="preserve"> - Trend in the effect of the tax reform on the housing market - estimations in logs</w:t>
      </w:r>
      <w:bookmarkEnd w:id="31"/>
    </w:p>
    <w:tbl>
      <w:tblPr>
        <w:tblW w:w="0" w:type="auto"/>
        <w:jc w:val="center"/>
        <w:tblCellMar>
          <w:left w:w="144" w:type="dxa"/>
          <w:right w:w="144" w:type="dxa"/>
        </w:tblCellMar>
        <w:tblLook w:val="0000" w:firstRow="0" w:lastRow="0" w:firstColumn="0" w:lastColumn="0" w:noHBand="0" w:noVBand="0"/>
      </w:tblPr>
      <w:tblGrid>
        <w:gridCol w:w="2052"/>
        <w:gridCol w:w="1144"/>
        <w:gridCol w:w="1198"/>
        <w:gridCol w:w="1144"/>
        <w:gridCol w:w="1144"/>
        <w:gridCol w:w="1192"/>
        <w:gridCol w:w="1152"/>
      </w:tblGrid>
      <w:tr w:rsidR="0016647F" w:rsidRPr="000D61D1" w14:paraId="7EBC6077" w14:textId="77777777" w:rsidTr="00680F56">
        <w:trPr>
          <w:jc w:val="center"/>
        </w:trPr>
        <w:tc>
          <w:tcPr>
            <w:tcW w:w="2052" w:type="dxa"/>
            <w:tcBorders>
              <w:top w:val="single" w:sz="6" w:space="0" w:color="auto"/>
              <w:left w:val="nil"/>
              <w:bottom w:val="nil"/>
              <w:right w:val="nil"/>
            </w:tcBorders>
          </w:tcPr>
          <w:p w14:paraId="25B002BD" w14:textId="77777777" w:rsidR="0016647F" w:rsidRPr="000D61D1" w:rsidRDefault="0016647F" w:rsidP="0016647F">
            <w:pPr>
              <w:widowControl w:val="0"/>
              <w:autoSpaceDE w:val="0"/>
              <w:autoSpaceDN w:val="0"/>
              <w:adjustRightInd w:val="0"/>
              <w:spacing w:before="79"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Sales Volume)</w:t>
            </w:r>
          </w:p>
        </w:tc>
        <w:tc>
          <w:tcPr>
            <w:tcW w:w="1144" w:type="dxa"/>
            <w:tcBorders>
              <w:top w:val="single" w:sz="6" w:space="0" w:color="auto"/>
              <w:left w:val="nil"/>
              <w:bottom w:val="nil"/>
              <w:right w:val="nil"/>
            </w:tcBorders>
          </w:tcPr>
          <w:p w14:paraId="6C65C6A7"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(1)</w:t>
            </w:r>
          </w:p>
        </w:tc>
        <w:tc>
          <w:tcPr>
            <w:tcW w:w="1198" w:type="dxa"/>
            <w:tcBorders>
              <w:top w:val="single" w:sz="6" w:space="0" w:color="auto"/>
              <w:left w:val="nil"/>
              <w:bottom w:val="nil"/>
              <w:right w:val="nil"/>
            </w:tcBorders>
          </w:tcPr>
          <w:p w14:paraId="1782E523"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(2)</w:t>
            </w:r>
          </w:p>
        </w:tc>
        <w:tc>
          <w:tcPr>
            <w:tcW w:w="1144" w:type="dxa"/>
            <w:tcBorders>
              <w:top w:val="single" w:sz="6" w:space="0" w:color="auto"/>
              <w:left w:val="nil"/>
              <w:bottom w:val="nil"/>
              <w:right w:val="nil"/>
            </w:tcBorders>
          </w:tcPr>
          <w:p w14:paraId="139D3BEC"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(3)</w:t>
            </w:r>
          </w:p>
        </w:tc>
        <w:tc>
          <w:tcPr>
            <w:tcW w:w="1144" w:type="dxa"/>
            <w:tcBorders>
              <w:top w:val="single" w:sz="6" w:space="0" w:color="auto"/>
              <w:left w:val="nil"/>
              <w:bottom w:val="nil"/>
              <w:right w:val="nil"/>
            </w:tcBorders>
          </w:tcPr>
          <w:p w14:paraId="121075CC"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(4)</w:t>
            </w:r>
          </w:p>
        </w:tc>
        <w:tc>
          <w:tcPr>
            <w:tcW w:w="1192" w:type="dxa"/>
            <w:tcBorders>
              <w:top w:val="single" w:sz="6" w:space="0" w:color="auto"/>
              <w:left w:val="nil"/>
              <w:bottom w:val="nil"/>
              <w:right w:val="nil"/>
            </w:tcBorders>
          </w:tcPr>
          <w:p w14:paraId="1C83DB45"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(5)</w:t>
            </w:r>
          </w:p>
        </w:tc>
        <w:tc>
          <w:tcPr>
            <w:tcW w:w="1152" w:type="dxa"/>
            <w:tcBorders>
              <w:top w:val="single" w:sz="6" w:space="0" w:color="auto"/>
              <w:left w:val="nil"/>
              <w:bottom w:val="nil"/>
              <w:right w:val="nil"/>
            </w:tcBorders>
          </w:tcPr>
          <w:p w14:paraId="097F9679"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(6)</w:t>
            </w:r>
          </w:p>
        </w:tc>
      </w:tr>
      <w:tr w:rsidR="0016647F" w:rsidRPr="000D61D1" w14:paraId="0A9C160F" w14:textId="77777777" w:rsidTr="00680F56">
        <w:trPr>
          <w:jc w:val="center"/>
        </w:trPr>
        <w:tc>
          <w:tcPr>
            <w:tcW w:w="2052" w:type="dxa"/>
            <w:tcBorders>
              <w:top w:val="nil"/>
              <w:left w:val="nil"/>
              <w:bottom w:val="nil"/>
              <w:right w:val="nil"/>
            </w:tcBorders>
          </w:tcPr>
          <w:p w14:paraId="1BCDC47F" w14:textId="77777777" w:rsidR="0016647F" w:rsidRPr="000D61D1" w:rsidRDefault="0016647F" w:rsidP="0016647F">
            <w:pPr>
              <w:widowControl w:val="0"/>
              <w:autoSpaceDE w:val="0"/>
              <w:autoSpaceDN w:val="0"/>
              <w:adjustRightInd w:val="0"/>
              <w:spacing w:after="79"/>
              <w:rPr>
                <w:rFonts w:cs="Times New Roman"/>
                <w:sz w:val="22"/>
                <w:szCs w:val="22"/>
                <w:lang w:val="en-AU"/>
              </w:rPr>
            </w:pPr>
          </w:p>
        </w:tc>
        <w:tc>
          <w:tcPr>
            <w:tcW w:w="1144" w:type="dxa"/>
            <w:tcBorders>
              <w:top w:val="nil"/>
              <w:left w:val="nil"/>
              <w:bottom w:val="nil"/>
              <w:right w:val="nil"/>
            </w:tcBorders>
          </w:tcPr>
          <w:p w14:paraId="3FF7FB00"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Reform Trend</w:t>
            </w:r>
          </w:p>
        </w:tc>
        <w:tc>
          <w:tcPr>
            <w:tcW w:w="1198" w:type="dxa"/>
            <w:tcBorders>
              <w:top w:val="nil"/>
              <w:left w:val="nil"/>
              <w:bottom w:val="nil"/>
              <w:right w:val="nil"/>
            </w:tcBorders>
          </w:tcPr>
          <w:p w14:paraId="2765180D"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Trend &amp; Controls</w:t>
            </w:r>
          </w:p>
        </w:tc>
        <w:tc>
          <w:tcPr>
            <w:tcW w:w="1144" w:type="dxa"/>
            <w:tcBorders>
              <w:top w:val="nil"/>
              <w:left w:val="nil"/>
              <w:bottom w:val="nil"/>
              <w:right w:val="nil"/>
            </w:tcBorders>
          </w:tcPr>
          <w:p w14:paraId="6C587786"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Trend &amp; Capital Cities</w:t>
            </w:r>
          </w:p>
        </w:tc>
        <w:tc>
          <w:tcPr>
            <w:tcW w:w="1144" w:type="dxa"/>
            <w:tcBorders>
              <w:top w:val="nil"/>
              <w:left w:val="nil"/>
              <w:bottom w:val="nil"/>
              <w:right w:val="nil"/>
            </w:tcBorders>
          </w:tcPr>
          <w:p w14:paraId="18EE307D"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Sample till 2015</w:t>
            </w:r>
          </w:p>
        </w:tc>
        <w:tc>
          <w:tcPr>
            <w:tcW w:w="1192" w:type="dxa"/>
            <w:tcBorders>
              <w:top w:val="nil"/>
              <w:left w:val="nil"/>
              <w:bottom w:val="nil"/>
              <w:right w:val="nil"/>
            </w:tcBorders>
          </w:tcPr>
          <w:p w14:paraId="04C6F8F7"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Sample till 2017</w:t>
            </w:r>
          </w:p>
        </w:tc>
        <w:tc>
          <w:tcPr>
            <w:tcW w:w="1152" w:type="dxa"/>
            <w:tcBorders>
              <w:top w:val="nil"/>
              <w:left w:val="nil"/>
              <w:bottom w:val="nil"/>
              <w:right w:val="nil"/>
            </w:tcBorders>
          </w:tcPr>
          <w:p w14:paraId="6049CF21"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Full Sample</w:t>
            </w:r>
          </w:p>
        </w:tc>
      </w:tr>
      <w:tr w:rsidR="0016647F" w:rsidRPr="000D61D1" w14:paraId="7D5E0CF2" w14:textId="77777777" w:rsidTr="00680F56">
        <w:trPr>
          <w:jc w:val="center"/>
        </w:trPr>
        <w:tc>
          <w:tcPr>
            <w:tcW w:w="2052" w:type="dxa"/>
            <w:tcBorders>
              <w:top w:val="single" w:sz="6" w:space="0" w:color="auto"/>
              <w:left w:val="nil"/>
              <w:bottom w:val="nil"/>
              <w:right w:val="nil"/>
            </w:tcBorders>
          </w:tcPr>
          <w:p w14:paraId="2106F499"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Reform Dummy</w:t>
            </w:r>
          </w:p>
        </w:tc>
        <w:tc>
          <w:tcPr>
            <w:tcW w:w="1144" w:type="dxa"/>
            <w:tcBorders>
              <w:top w:val="single" w:sz="6" w:space="0" w:color="auto"/>
              <w:left w:val="nil"/>
              <w:bottom w:val="nil"/>
              <w:right w:val="nil"/>
            </w:tcBorders>
          </w:tcPr>
          <w:p w14:paraId="22E25F6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-0.125</w:t>
            </w:r>
          </w:p>
        </w:tc>
        <w:tc>
          <w:tcPr>
            <w:tcW w:w="1198" w:type="dxa"/>
            <w:tcBorders>
              <w:top w:val="single" w:sz="6" w:space="0" w:color="auto"/>
              <w:left w:val="nil"/>
              <w:bottom w:val="nil"/>
              <w:right w:val="nil"/>
            </w:tcBorders>
          </w:tcPr>
          <w:p w14:paraId="6173F49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-0.013</w:t>
            </w:r>
          </w:p>
        </w:tc>
        <w:tc>
          <w:tcPr>
            <w:tcW w:w="1144" w:type="dxa"/>
            <w:tcBorders>
              <w:top w:val="single" w:sz="6" w:space="0" w:color="auto"/>
              <w:left w:val="nil"/>
              <w:bottom w:val="nil"/>
              <w:right w:val="nil"/>
            </w:tcBorders>
          </w:tcPr>
          <w:p w14:paraId="387B722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-0.078</w:t>
            </w:r>
          </w:p>
        </w:tc>
        <w:tc>
          <w:tcPr>
            <w:tcW w:w="1144" w:type="dxa"/>
            <w:tcBorders>
              <w:top w:val="single" w:sz="6" w:space="0" w:color="auto"/>
              <w:left w:val="nil"/>
              <w:bottom w:val="nil"/>
              <w:right w:val="nil"/>
            </w:tcBorders>
          </w:tcPr>
          <w:p w14:paraId="72D7944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0.013</w:t>
            </w:r>
          </w:p>
        </w:tc>
        <w:tc>
          <w:tcPr>
            <w:tcW w:w="1192" w:type="dxa"/>
            <w:tcBorders>
              <w:top w:val="single" w:sz="6" w:space="0" w:color="auto"/>
              <w:left w:val="nil"/>
              <w:bottom w:val="nil"/>
              <w:right w:val="nil"/>
            </w:tcBorders>
          </w:tcPr>
          <w:p w14:paraId="535FDAD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0.019</w:t>
            </w:r>
          </w:p>
        </w:tc>
        <w:tc>
          <w:tcPr>
            <w:tcW w:w="1152" w:type="dxa"/>
            <w:tcBorders>
              <w:top w:val="single" w:sz="6" w:space="0" w:color="auto"/>
              <w:left w:val="nil"/>
              <w:bottom w:val="nil"/>
              <w:right w:val="nil"/>
            </w:tcBorders>
          </w:tcPr>
          <w:p w14:paraId="1F5AE70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0.031</w:t>
            </w:r>
          </w:p>
        </w:tc>
      </w:tr>
      <w:tr w:rsidR="0016647F" w:rsidRPr="000D61D1" w14:paraId="3EA6D4B0" w14:textId="77777777" w:rsidTr="00680F56">
        <w:trPr>
          <w:jc w:val="center"/>
        </w:trPr>
        <w:tc>
          <w:tcPr>
            <w:tcW w:w="2052" w:type="dxa"/>
            <w:tcBorders>
              <w:top w:val="nil"/>
              <w:left w:val="nil"/>
              <w:bottom w:val="nil"/>
              <w:right w:val="nil"/>
            </w:tcBorders>
          </w:tcPr>
          <w:p w14:paraId="1C23A776" w14:textId="6A1C7AB9"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1144" w:type="dxa"/>
            <w:tcBorders>
              <w:top w:val="nil"/>
              <w:left w:val="nil"/>
              <w:bottom w:val="nil"/>
              <w:right w:val="nil"/>
            </w:tcBorders>
          </w:tcPr>
          <w:p w14:paraId="1EDC23F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0.025]*</w:t>
            </w:r>
            <w:proofErr w:type="gramEnd"/>
            <w:r w:rsidRPr="000D61D1">
              <w:rPr>
                <w:rFonts w:cs="Times New Roman"/>
                <w:sz w:val="22"/>
                <w:szCs w:val="22"/>
                <w:lang w:val="en-AU"/>
              </w:rPr>
              <w:t>*</w:t>
            </w:r>
          </w:p>
        </w:tc>
        <w:tc>
          <w:tcPr>
            <w:tcW w:w="1198" w:type="dxa"/>
            <w:tcBorders>
              <w:top w:val="nil"/>
              <w:left w:val="nil"/>
              <w:bottom w:val="nil"/>
              <w:right w:val="nil"/>
            </w:tcBorders>
          </w:tcPr>
          <w:p w14:paraId="7E5CD39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[0.025]</w:t>
            </w:r>
          </w:p>
        </w:tc>
        <w:tc>
          <w:tcPr>
            <w:tcW w:w="1144" w:type="dxa"/>
            <w:tcBorders>
              <w:top w:val="nil"/>
              <w:left w:val="nil"/>
              <w:bottom w:val="nil"/>
              <w:right w:val="nil"/>
            </w:tcBorders>
          </w:tcPr>
          <w:p w14:paraId="4A2DE9F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0.026]*</w:t>
            </w:r>
            <w:proofErr w:type="gramEnd"/>
            <w:r w:rsidRPr="000D61D1">
              <w:rPr>
                <w:rFonts w:cs="Times New Roman"/>
                <w:sz w:val="22"/>
                <w:szCs w:val="22"/>
                <w:lang w:val="en-AU"/>
              </w:rPr>
              <w:t>*</w:t>
            </w:r>
          </w:p>
        </w:tc>
        <w:tc>
          <w:tcPr>
            <w:tcW w:w="1144" w:type="dxa"/>
            <w:tcBorders>
              <w:top w:val="nil"/>
              <w:left w:val="nil"/>
              <w:bottom w:val="nil"/>
              <w:right w:val="nil"/>
            </w:tcBorders>
          </w:tcPr>
          <w:p w14:paraId="5E74DBA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[0.020]</w:t>
            </w:r>
          </w:p>
        </w:tc>
        <w:tc>
          <w:tcPr>
            <w:tcW w:w="1192" w:type="dxa"/>
            <w:tcBorders>
              <w:top w:val="nil"/>
              <w:left w:val="nil"/>
              <w:bottom w:val="nil"/>
              <w:right w:val="nil"/>
            </w:tcBorders>
          </w:tcPr>
          <w:p w14:paraId="441A8CD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[0.021]</w:t>
            </w:r>
          </w:p>
        </w:tc>
        <w:tc>
          <w:tcPr>
            <w:tcW w:w="1152" w:type="dxa"/>
            <w:tcBorders>
              <w:top w:val="nil"/>
              <w:left w:val="nil"/>
              <w:bottom w:val="nil"/>
              <w:right w:val="nil"/>
            </w:tcBorders>
          </w:tcPr>
          <w:p w14:paraId="499A471C"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[0.022]</w:t>
            </w:r>
          </w:p>
        </w:tc>
      </w:tr>
      <w:tr w:rsidR="0016647F" w:rsidRPr="000D61D1" w14:paraId="442DB194" w14:textId="77777777" w:rsidTr="00680F56">
        <w:trPr>
          <w:jc w:val="center"/>
        </w:trPr>
        <w:tc>
          <w:tcPr>
            <w:tcW w:w="2052" w:type="dxa"/>
            <w:tcBorders>
              <w:top w:val="nil"/>
              <w:left w:val="nil"/>
              <w:bottom w:val="nil"/>
              <w:right w:val="nil"/>
            </w:tcBorders>
          </w:tcPr>
          <w:p w14:paraId="213A43C6"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Reform Trend</w:t>
            </w:r>
          </w:p>
        </w:tc>
        <w:tc>
          <w:tcPr>
            <w:tcW w:w="1144" w:type="dxa"/>
            <w:tcBorders>
              <w:top w:val="nil"/>
              <w:left w:val="nil"/>
              <w:bottom w:val="nil"/>
              <w:right w:val="nil"/>
            </w:tcBorders>
          </w:tcPr>
          <w:p w14:paraId="5346C29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0.005</w:t>
            </w:r>
          </w:p>
        </w:tc>
        <w:tc>
          <w:tcPr>
            <w:tcW w:w="1198" w:type="dxa"/>
            <w:tcBorders>
              <w:top w:val="nil"/>
              <w:left w:val="nil"/>
              <w:bottom w:val="nil"/>
              <w:right w:val="nil"/>
            </w:tcBorders>
          </w:tcPr>
          <w:p w14:paraId="5CA5105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0.010</w:t>
            </w:r>
          </w:p>
        </w:tc>
        <w:tc>
          <w:tcPr>
            <w:tcW w:w="1144" w:type="dxa"/>
            <w:tcBorders>
              <w:top w:val="nil"/>
              <w:left w:val="nil"/>
              <w:bottom w:val="nil"/>
              <w:right w:val="nil"/>
            </w:tcBorders>
          </w:tcPr>
          <w:p w14:paraId="4371F8B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0.005</w:t>
            </w:r>
          </w:p>
        </w:tc>
        <w:tc>
          <w:tcPr>
            <w:tcW w:w="1144" w:type="dxa"/>
            <w:tcBorders>
              <w:top w:val="nil"/>
              <w:left w:val="nil"/>
              <w:bottom w:val="nil"/>
              <w:right w:val="nil"/>
            </w:tcBorders>
          </w:tcPr>
          <w:p w14:paraId="065F1CB0" w14:textId="73E5355C"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92" w:type="dxa"/>
            <w:tcBorders>
              <w:top w:val="nil"/>
              <w:left w:val="nil"/>
              <w:bottom w:val="nil"/>
              <w:right w:val="nil"/>
            </w:tcBorders>
          </w:tcPr>
          <w:p w14:paraId="09DC32C1" w14:textId="3B3CF174"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52" w:type="dxa"/>
            <w:tcBorders>
              <w:top w:val="nil"/>
              <w:left w:val="nil"/>
              <w:bottom w:val="nil"/>
              <w:right w:val="nil"/>
            </w:tcBorders>
          </w:tcPr>
          <w:p w14:paraId="5F93CD09" w14:textId="2C07B041" w:rsidR="0016647F" w:rsidRPr="000D61D1" w:rsidRDefault="0016647F" w:rsidP="0016647F">
            <w:pPr>
              <w:widowControl w:val="0"/>
              <w:autoSpaceDE w:val="0"/>
              <w:autoSpaceDN w:val="0"/>
              <w:adjustRightInd w:val="0"/>
              <w:spacing w:after="0"/>
              <w:jc w:val="center"/>
              <w:rPr>
                <w:rFonts w:cs="Times New Roman"/>
                <w:sz w:val="22"/>
                <w:szCs w:val="22"/>
                <w:lang w:val="en-AU"/>
              </w:rPr>
            </w:pPr>
          </w:p>
        </w:tc>
      </w:tr>
      <w:tr w:rsidR="0016647F" w:rsidRPr="000D61D1" w14:paraId="0E2250DA" w14:textId="77777777" w:rsidTr="00680F56">
        <w:trPr>
          <w:jc w:val="center"/>
        </w:trPr>
        <w:tc>
          <w:tcPr>
            <w:tcW w:w="2052" w:type="dxa"/>
            <w:tcBorders>
              <w:top w:val="nil"/>
              <w:left w:val="nil"/>
              <w:bottom w:val="nil"/>
              <w:right w:val="nil"/>
            </w:tcBorders>
          </w:tcPr>
          <w:p w14:paraId="28025668" w14:textId="619CF36E"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1144" w:type="dxa"/>
            <w:tcBorders>
              <w:top w:val="nil"/>
              <w:left w:val="nil"/>
              <w:bottom w:val="nil"/>
              <w:right w:val="nil"/>
            </w:tcBorders>
          </w:tcPr>
          <w:p w14:paraId="7CB98CE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[0.006]</w:t>
            </w:r>
          </w:p>
        </w:tc>
        <w:tc>
          <w:tcPr>
            <w:tcW w:w="1198" w:type="dxa"/>
            <w:tcBorders>
              <w:top w:val="nil"/>
              <w:left w:val="nil"/>
              <w:bottom w:val="nil"/>
              <w:right w:val="nil"/>
            </w:tcBorders>
          </w:tcPr>
          <w:p w14:paraId="755E56F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0.006]*</w:t>
            </w:r>
            <w:proofErr w:type="gramEnd"/>
          </w:p>
        </w:tc>
        <w:tc>
          <w:tcPr>
            <w:tcW w:w="1144" w:type="dxa"/>
            <w:tcBorders>
              <w:top w:val="nil"/>
              <w:left w:val="nil"/>
              <w:bottom w:val="nil"/>
              <w:right w:val="nil"/>
            </w:tcBorders>
          </w:tcPr>
          <w:p w14:paraId="3F3A7F9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[0.006]</w:t>
            </w:r>
          </w:p>
        </w:tc>
        <w:tc>
          <w:tcPr>
            <w:tcW w:w="1144" w:type="dxa"/>
            <w:tcBorders>
              <w:top w:val="nil"/>
              <w:left w:val="nil"/>
              <w:bottom w:val="nil"/>
              <w:right w:val="nil"/>
            </w:tcBorders>
          </w:tcPr>
          <w:p w14:paraId="423CCF0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92" w:type="dxa"/>
            <w:tcBorders>
              <w:top w:val="nil"/>
              <w:left w:val="nil"/>
              <w:bottom w:val="nil"/>
              <w:right w:val="nil"/>
            </w:tcBorders>
          </w:tcPr>
          <w:p w14:paraId="31DFAC0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52" w:type="dxa"/>
            <w:tcBorders>
              <w:top w:val="nil"/>
              <w:left w:val="nil"/>
              <w:bottom w:val="nil"/>
              <w:right w:val="nil"/>
            </w:tcBorders>
          </w:tcPr>
          <w:p w14:paraId="6CD6F92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r>
      <w:tr w:rsidR="0016647F" w:rsidRPr="000D61D1" w14:paraId="78137CE5" w14:textId="77777777" w:rsidTr="00680F56">
        <w:trPr>
          <w:jc w:val="center"/>
        </w:trPr>
        <w:tc>
          <w:tcPr>
            <w:tcW w:w="2052" w:type="dxa"/>
            <w:tcBorders>
              <w:top w:val="nil"/>
              <w:left w:val="nil"/>
              <w:bottom w:val="nil"/>
              <w:right w:val="nil"/>
            </w:tcBorders>
          </w:tcPr>
          <w:p w14:paraId="5584677A" w14:textId="77777777" w:rsidR="0016647F" w:rsidRPr="000D61D1" w:rsidRDefault="0016647F" w:rsidP="0016647F">
            <w:pPr>
              <w:widowControl w:val="0"/>
              <w:autoSpaceDE w:val="0"/>
              <w:autoSpaceDN w:val="0"/>
              <w:adjustRightInd w:val="0"/>
              <w:spacing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Income)</w:t>
            </w:r>
          </w:p>
        </w:tc>
        <w:tc>
          <w:tcPr>
            <w:tcW w:w="1144" w:type="dxa"/>
            <w:tcBorders>
              <w:top w:val="nil"/>
              <w:left w:val="nil"/>
              <w:bottom w:val="nil"/>
              <w:right w:val="nil"/>
            </w:tcBorders>
          </w:tcPr>
          <w:p w14:paraId="53829A92" w14:textId="3E018189"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98" w:type="dxa"/>
            <w:tcBorders>
              <w:top w:val="nil"/>
              <w:left w:val="nil"/>
              <w:bottom w:val="nil"/>
              <w:right w:val="nil"/>
            </w:tcBorders>
          </w:tcPr>
          <w:p w14:paraId="5470B86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3.108</w:t>
            </w:r>
          </w:p>
        </w:tc>
        <w:tc>
          <w:tcPr>
            <w:tcW w:w="1144" w:type="dxa"/>
            <w:tcBorders>
              <w:top w:val="nil"/>
              <w:left w:val="nil"/>
              <w:bottom w:val="nil"/>
              <w:right w:val="nil"/>
            </w:tcBorders>
          </w:tcPr>
          <w:p w14:paraId="035FB17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3.059</w:t>
            </w:r>
          </w:p>
        </w:tc>
        <w:tc>
          <w:tcPr>
            <w:tcW w:w="1144" w:type="dxa"/>
            <w:tcBorders>
              <w:top w:val="nil"/>
              <w:left w:val="nil"/>
              <w:bottom w:val="nil"/>
              <w:right w:val="nil"/>
            </w:tcBorders>
          </w:tcPr>
          <w:p w14:paraId="092919B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2.606</w:t>
            </w:r>
          </w:p>
        </w:tc>
        <w:tc>
          <w:tcPr>
            <w:tcW w:w="1192" w:type="dxa"/>
            <w:tcBorders>
              <w:top w:val="nil"/>
              <w:left w:val="nil"/>
              <w:bottom w:val="nil"/>
              <w:right w:val="nil"/>
            </w:tcBorders>
          </w:tcPr>
          <w:p w14:paraId="08CBA33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2.928</w:t>
            </w:r>
          </w:p>
        </w:tc>
        <w:tc>
          <w:tcPr>
            <w:tcW w:w="1152" w:type="dxa"/>
            <w:tcBorders>
              <w:top w:val="nil"/>
              <w:left w:val="nil"/>
              <w:bottom w:val="nil"/>
              <w:right w:val="nil"/>
            </w:tcBorders>
          </w:tcPr>
          <w:p w14:paraId="0741883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3.102</w:t>
            </w:r>
          </w:p>
        </w:tc>
      </w:tr>
      <w:tr w:rsidR="0016647F" w:rsidRPr="000D61D1" w14:paraId="0917158A" w14:textId="77777777" w:rsidTr="00680F56">
        <w:trPr>
          <w:jc w:val="center"/>
        </w:trPr>
        <w:tc>
          <w:tcPr>
            <w:tcW w:w="2052" w:type="dxa"/>
            <w:tcBorders>
              <w:top w:val="nil"/>
              <w:left w:val="nil"/>
              <w:bottom w:val="nil"/>
              <w:right w:val="nil"/>
            </w:tcBorders>
          </w:tcPr>
          <w:p w14:paraId="1EAB5202" w14:textId="5D33B633"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1144" w:type="dxa"/>
            <w:tcBorders>
              <w:top w:val="nil"/>
              <w:left w:val="nil"/>
              <w:bottom w:val="nil"/>
              <w:right w:val="nil"/>
            </w:tcBorders>
          </w:tcPr>
          <w:p w14:paraId="2D75D119" w14:textId="340BBBC2"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98" w:type="dxa"/>
            <w:tcBorders>
              <w:top w:val="nil"/>
              <w:left w:val="nil"/>
              <w:bottom w:val="nil"/>
              <w:right w:val="nil"/>
            </w:tcBorders>
          </w:tcPr>
          <w:p w14:paraId="1BE372A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0.080]*</w:t>
            </w:r>
            <w:proofErr w:type="gramEnd"/>
            <w:r w:rsidRPr="000D61D1">
              <w:rPr>
                <w:rFonts w:cs="Times New Roman"/>
                <w:sz w:val="22"/>
                <w:szCs w:val="22"/>
                <w:lang w:val="en-AU"/>
              </w:rPr>
              <w:t>*</w:t>
            </w:r>
          </w:p>
        </w:tc>
        <w:tc>
          <w:tcPr>
            <w:tcW w:w="1144" w:type="dxa"/>
            <w:tcBorders>
              <w:top w:val="nil"/>
              <w:left w:val="nil"/>
              <w:bottom w:val="nil"/>
              <w:right w:val="nil"/>
            </w:tcBorders>
          </w:tcPr>
          <w:p w14:paraId="7FB2C1A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0.108]*</w:t>
            </w:r>
            <w:proofErr w:type="gramEnd"/>
            <w:r w:rsidRPr="000D61D1">
              <w:rPr>
                <w:rFonts w:cs="Times New Roman"/>
                <w:sz w:val="22"/>
                <w:szCs w:val="22"/>
                <w:lang w:val="en-AU"/>
              </w:rPr>
              <w:t>*</w:t>
            </w:r>
          </w:p>
        </w:tc>
        <w:tc>
          <w:tcPr>
            <w:tcW w:w="1144" w:type="dxa"/>
            <w:tcBorders>
              <w:top w:val="nil"/>
              <w:left w:val="nil"/>
              <w:bottom w:val="nil"/>
              <w:right w:val="nil"/>
            </w:tcBorders>
          </w:tcPr>
          <w:p w14:paraId="07BBA14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0.081]*</w:t>
            </w:r>
            <w:proofErr w:type="gramEnd"/>
            <w:r w:rsidRPr="000D61D1">
              <w:rPr>
                <w:rFonts w:cs="Times New Roman"/>
                <w:sz w:val="22"/>
                <w:szCs w:val="22"/>
                <w:lang w:val="en-AU"/>
              </w:rPr>
              <w:t>*</w:t>
            </w:r>
          </w:p>
        </w:tc>
        <w:tc>
          <w:tcPr>
            <w:tcW w:w="1192" w:type="dxa"/>
            <w:tcBorders>
              <w:top w:val="nil"/>
              <w:left w:val="nil"/>
              <w:bottom w:val="nil"/>
              <w:right w:val="nil"/>
            </w:tcBorders>
          </w:tcPr>
          <w:p w14:paraId="4426B51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0.080]*</w:t>
            </w:r>
            <w:proofErr w:type="gramEnd"/>
            <w:r w:rsidRPr="000D61D1">
              <w:rPr>
                <w:rFonts w:cs="Times New Roman"/>
                <w:sz w:val="22"/>
                <w:szCs w:val="22"/>
                <w:lang w:val="en-AU"/>
              </w:rPr>
              <w:t>*</w:t>
            </w:r>
          </w:p>
        </w:tc>
        <w:tc>
          <w:tcPr>
            <w:tcW w:w="1152" w:type="dxa"/>
            <w:tcBorders>
              <w:top w:val="nil"/>
              <w:left w:val="nil"/>
              <w:bottom w:val="nil"/>
              <w:right w:val="nil"/>
            </w:tcBorders>
          </w:tcPr>
          <w:p w14:paraId="1BFE628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0.080]*</w:t>
            </w:r>
            <w:proofErr w:type="gramEnd"/>
            <w:r w:rsidRPr="000D61D1">
              <w:rPr>
                <w:rFonts w:cs="Times New Roman"/>
                <w:sz w:val="22"/>
                <w:szCs w:val="22"/>
                <w:lang w:val="en-AU"/>
              </w:rPr>
              <w:t>*</w:t>
            </w:r>
          </w:p>
        </w:tc>
      </w:tr>
      <w:tr w:rsidR="0016647F" w:rsidRPr="000D61D1" w14:paraId="54953795" w14:textId="77777777" w:rsidTr="00680F56">
        <w:trPr>
          <w:jc w:val="center"/>
        </w:trPr>
        <w:tc>
          <w:tcPr>
            <w:tcW w:w="2052" w:type="dxa"/>
            <w:tcBorders>
              <w:top w:val="nil"/>
              <w:left w:val="nil"/>
              <w:bottom w:val="nil"/>
              <w:right w:val="nil"/>
            </w:tcBorders>
          </w:tcPr>
          <w:p w14:paraId="55A1F499" w14:textId="77777777" w:rsidR="0016647F" w:rsidRPr="000D61D1" w:rsidRDefault="0016647F" w:rsidP="0016647F">
            <w:pPr>
              <w:widowControl w:val="0"/>
              <w:autoSpaceDE w:val="0"/>
              <w:autoSpaceDN w:val="0"/>
              <w:adjustRightInd w:val="0"/>
              <w:spacing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Population)</w:t>
            </w:r>
          </w:p>
        </w:tc>
        <w:tc>
          <w:tcPr>
            <w:tcW w:w="1144" w:type="dxa"/>
            <w:tcBorders>
              <w:top w:val="nil"/>
              <w:left w:val="nil"/>
              <w:bottom w:val="nil"/>
              <w:right w:val="nil"/>
            </w:tcBorders>
          </w:tcPr>
          <w:p w14:paraId="41316487" w14:textId="5AD3290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98" w:type="dxa"/>
            <w:tcBorders>
              <w:top w:val="nil"/>
              <w:left w:val="nil"/>
              <w:bottom w:val="nil"/>
              <w:right w:val="nil"/>
            </w:tcBorders>
          </w:tcPr>
          <w:p w14:paraId="1EEA6BC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3.115</w:t>
            </w:r>
          </w:p>
        </w:tc>
        <w:tc>
          <w:tcPr>
            <w:tcW w:w="1144" w:type="dxa"/>
            <w:tcBorders>
              <w:top w:val="nil"/>
              <w:left w:val="nil"/>
              <w:bottom w:val="nil"/>
              <w:right w:val="nil"/>
            </w:tcBorders>
          </w:tcPr>
          <w:p w14:paraId="223692B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3.945</w:t>
            </w:r>
          </w:p>
        </w:tc>
        <w:tc>
          <w:tcPr>
            <w:tcW w:w="1144" w:type="dxa"/>
            <w:tcBorders>
              <w:top w:val="nil"/>
              <w:left w:val="nil"/>
              <w:bottom w:val="nil"/>
              <w:right w:val="nil"/>
            </w:tcBorders>
          </w:tcPr>
          <w:p w14:paraId="22A7E20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1.022</w:t>
            </w:r>
          </w:p>
        </w:tc>
        <w:tc>
          <w:tcPr>
            <w:tcW w:w="1192" w:type="dxa"/>
            <w:tcBorders>
              <w:top w:val="nil"/>
              <w:left w:val="nil"/>
              <w:bottom w:val="nil"/>
              <w:right w:val="nil"/>
            </w:tcBorders>
          </w:tcPr>
          <w:p w14:paraId="1D980FE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2.878</w:t>
            </w:r>
          </w:p>
        </w:tc>
        <w:tc>
          <w:tcPr>
            <w:tcW w:w="1152" w:type="dxa"/>
            <w:tcBorders>
              <w:top w:val="nil"/>
              <w:left w:val="nil"/>
              <w:bottom w:val="nil"/>
              <w:right w:val="nil"/>
            </w:tcBorders>
          </w:tcPr>
          <w:p w14:paraId="6DA7AC9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3.129</w:t>
            </w:r>
          </w:p>
        </w:tc>
      </w:tr>
      <w:tr w:rsidR="0016647F" w:rsidRPr="000D61D1" w14:paraId="45598E1A" w14:textId="77777777" w:rsidTr="00680F56">
        <w:trPr>
          <w:jc w:val="center"/>
        </w:trPr>
        <w:tc>
          <w:tcPr>
            <w:tcW w:w="2052" w:type="dxa"/>
            <w:tcBorders>
              <w:top w:val="nil"/>
              <w:left w:val="nil"/>
              <w:bottom w:val="nil"/>
              <w:right w:val="nil"/>
            </w:tcBorders>
          </w:tcPr>
          <w:p w14:paraId="7B822C69" w14:textId="23E1AA4E"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1144" w:type="dxa"/>
            <w:tcBorders>
              <w:top w:val="nil"/>
              <w:left w:val="nil"/>
              <w:bottom w:val="nil"/>
              <w:right w:val="nil"/>
            </w:tcBorders>
          </w:tcPr>
          <w:p w14:paraId="4BEEBDD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98" w:type="dxa"/>
            <w:tcBorders>
              <w:top w:val="nil"/>
              <w:left w:val="nil"/>
              <w:bottom w:val="nil"/>
              <w:right w:val="nil"/>
            </w:tcBorders>
          </w:tcPr>
          <w:p w14:paraId="20F4D69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0.129]*</w:t>
            </w:r>
            <w:proofErr w:type="gramEnd"/>
            <w:r w:rsidRPr="000D61D1">
              <w:rPr>
                <w:rFonts w:cs="Times New Roman"/>
                <w:sz w:val="22"/>
                <w:szCs w:val="22"/>
                <w:lang w:val="en-AU"/>
              </w:rPr>
              <w:t>*</w:t>
            </w:r>
          </w:p>
        </w:tc>
        <w:tc>
          <w:tcPr>
            <w:tcW w:w="1144" w:type="dxa"/>
            <w:tcBorders>
              <w:top w:val="nil"/>
              <w:left w:val="nil"/>
              <w:bottom w:val="nil"/>
              <w:right w:val="nil"/>
            </w:tcBorders>
          </w:tcPr>
          <w:p w14:paraId="6BD831C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0.185]*</w:t>
            </w:r>
            <w:proofErr w:type="gramEnd"/>
            <w:r w:rsidRPr="000D61D1">
              <w:rPr>
                <w:rFonts w:cs="Times New Roman"/>
                <w:sz w:val="22"/>
                <w:szCs w:val="22"/>
                <w:lang w:val="en-AU"/>
              </w:rPr>
              <w:t>*</w:t>
            </w:r>
          </w:p>
        </w:tc>
        <w:tc>
          <w:tcPr>
            <w:tcW w:w="1144" w:type="dxa"/>
            <w:tcBorders>
              <w:top w:val="nil"/>
              <w:left w:val="nil"/>
              <w:bottom w:val="nil"/>
              <w:right w:val="nil"/>
            </w:tcBorders>
          </w:tcPr>
          <w:p w14:paraId="5FFA3C2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0.174]*</w:t>
            </w:r>
            <w:proofErr w:type="gramEnd"/>
            <w:r w:rsidRPr="000D61D1">
              <w:rPr>
                <w:rFonts w:cs="Times New Roman"/>
                <w:sz w:val="22"/>
                <w:szCs w:val="22"/>
                <w:lang w:val="en-AU"/>
              </w:rPr>
              <w:t>*</w:t>
            </w:r>
          </w:p>
        </w:tc>
        <w:tc>
          <w:tcPr>
            <w:tcW w:w="1192" w:type="dxa"/>
            <w:tcBorders>
              <w:top w:val="nil"/>
              <w:left w:val="nil"/>
              <w:bottom w:val="nil"/>
              <w:right w:val="nil"/>
            </w:tcBorders>
          </w:tcPr>
          <w:p w14:paraId="1DE2085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0.140]*</w:t>
            </w:r>
            <w:proofErr w:type="gramEnd"/>
            <w:r w:rsidRPr="000D61D1">
              <w:rPr>
                <w:rFonts w:cs="Times New Roman"/>
                <w:sz w:val="22"/>
                <w:szCs w:val="22"/>
                <w:lang w:val="en-AU"/>
              </w:rPr>
              <w:t>*</w:t>
            </w:r>
          </w:p>
        </w:tc>
        <w:tc>
          <w:tcPr>
            <w:tcW w:w="1152" w:type="dxa"/>
            <w:tcBorders>
              <w:top w:val="nil"/>
              <w:left w:val="nil"/>
              <w:bottom w:val="nil"/>
              <w:right w:val="nil"/>
            </w:tcBorders>
          </w:tcPr>
          <w:p w14:paraId="0367EF7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0.128]*</w:t>
            </w:r>
            <w:proofErr w:type="gramEnd"/>
            <w:r w:rsidRPr="000D61D1">
              <w:rPr>
                <w:rFonts w:cs="Times New Roman"/>
                <w:sz w:val="22"/>
                <w:szCs w:val="22"/>
                <w:lang w:val="en-AU"/>
              </w:rPr>
              <w:t>*</w:t>
            </w:r>
          </w:p>
        </w:tc>
      </w:tr>
      <w:tr w:rsidR="0016647F" w:rsidRPr="000D61D1" w14:paraId="5A824D5C" w14:textId="77777777" w:rsidTr="00680F56">
        <w:trPr>
          <w:jc w:val="center"/>
        </w:trPr>
        <w:tc>
          <w:tcPr>
            <w:tcW w:w="2052" w:type="dxa"/>
            <w:tcBorders>
              <w:top w:val="nil"/>
              <w:left w:val="nil"/>
              <w:bottom w:val="nil"/>
              <w:right w:val="nil"/>
            </w:tcBorders>
          </w:tcPr>
          <w:p w14:paraId="17AD634C"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Time &amp; Suburb FE</w:t>
            </w:r>
          </w:p>
        </w:tc>
        <w:tc>
          <w:tcPr>
            <w:tcW w:w="1144" w:type="dxa"/>
            <w:tcBorders>
              <w:top w:val="nil"/>
              <w:left w:val="nil"/>
              <w:bottom w:val="nil"/>
              <w:right w:val="nil"/>
            </w:tcBorders>
          </w:tcPr>
          <w:p w14:paraId="71C72B01"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sz w:val="22"/>
                <w:szCs w:val="22"/>
                <w:lang w:val="en-AU"/>
              </w:rPr>
              <w:t>YES</w:t>
            </w:r>
          </w:p>
        </w:tc>
        <w:tc>
          <w:tcPr>
            <w:tcW w:w="1198" w:type="dxa"/>
            <w:tcBorders>
              <w:top w:val="nil"/>
              <w:left w:val="nil"/>
              <w:bottom w:val="nil"/>
              <w:right w:val="nil"/>
            </w:tcBorders>
          </w:tcPr>
          <w:p w14:paraId="00C9C1C0"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sz w:val="22"/>
                <w:szCs w:val="22"/>
                <w:lang w:val="en-AU"/>
              </w:rPr>
              <w:t>YES</w:t>
            </w:r>
          </w:p>
        </w:tc>
        <w:tc>
          <w:tcPr>
            <w:tcW w:w="1144" w:type="dxa"/>
            <w:tcBorders>
              <w:top w:val="nil"/>
              <w:left w:val="nil"/>
              <w:bottom w:val="nil"/>
              <w:right w:val="nil"/>
            </w:tcBorders>
          </w:tcPr>
          <w:p w14:paraId="571A83F1"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sz w:val="22"/>
                <w:szCs w:val="22"/>
                <w:lang w:val="en-AU"/>
              </w:rPr>
              <w:t>YES</w:t>
            </w:r>
          </w:p>
        </w:tc>
        <w:tc>
          <w:tcPr>
            <w:tcW w:w="1144" w:type="dxa"/>
            <w:tcBorders>
              <w:top w:val="nil"/>
              <w:left w:val="nil"/>
              <w:bottom w:val="nil"/>
              <w:right w:val="nil"/>
            </w:tcBorders>
          </w:tcPr>
          <w:p w14:paraId="2F44A04D"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sz w:val="22"/>
                <w:szCs w:val="22"/>
                <w:lang w:val="en-AU"/>
              </w:rPr>
              <w:t>YES</w:t>
            </w:r>
          </w:p>
        </w:tc>
        <w:tc>
          <w:tcPr>
            <w:tcW w:w="1192" w:type="dxa"/>
            <w:tcBorders>
              <w:top w:val="nil"/>
              <w:left w:val="nil"/>
              <w:bottom w:val="nil"/>
              <w:right w:val="nil"/>
            </w:tcBorders>
          </w:tcPr>
          <w:p w14:paraId="76C6708D"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sz w:val="22"/>
                <w:szCs w:val="22"/>
                <w:lang w:val="en-AU"/>
              </w:rPr>
              <w:t>YES</w:t>
            </w:r>
          </w:p>
        </w:tc>
        <w:tc>
          <w:tcPr>
            <w:tcW w:w="1152" w:type="dxa"/>
            <w:tcBorders>
              <w:top w:val="nil"/>
              <w:left w:val="nil"/>
              <w:bottom w:val="nil"/>
              <w:right w:val="nil"/>
            </w:tcBorders>
          </w:tcPr>
          <w:p w14:paraId="35D8D57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YES</w:t>
            </w:r>
          </w:p>
        </w:tc>
      </w:tr>
      <w:tr w:rsidR="0016647F" w:rsidRPr="000D61D1" w14:paraId="347E61DF" w14:textId="77777777" w:rsidTr="00680F56">
        <w:trPr>
          <w:jc w:val="center"/>
        </w:trPr>
        <w:tc>
          <w:tcPr>
            <w:tcW w:w="2052" w:type="dxa"/>
            <w:tcBorders>
              <w:top w:val="nil"/>
              <w:left w:val="nil"/>
              <w:bottom w:val="nil"/>
              <w:right w:val="nil"/>
            </w:tcBorders>
          </w:tcPr>
          <w:p w14:paraId="53DEAA6C"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Observations</w:t>
            </w:r>
          </w:p>
        </w:tc>
        <w:tc>
          <w:tcPr>
            <w:tcW w:w="1144" w:type="dxa"/>
            <w:tcBorders>
              <w:top w:val="nil"/>
              <w:left w:val="nil"/>
              <w:bottom w:val="nil"/>
              <w:right w:val="nil"/>
            </w:tcBorders>
          </w:tcPr>
          <w:p w14:paraId="203CCF9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543,443</w:t>
            </w:r>
          </w:p>
        </w:tc>
        <w:tc>
          <w:tcPr>
            <w:tcW w:w="1198" w:type="dxa"/>
            <w:tcBorders>
              <w:top w:val="nil"/>
              <w:left w:val="nil"/>
              <w:bottom w:val="nil"/>
              <w:right w:val="nil"/>
            </w:tcBorders>
          </w:tcPr>
          <w:p w14:paraId="57F3E1D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515,524</w:t>
            </w:r>
          </w:p>
        </w:tc>
        <w:tc>
          <w:tcPr>
            <w:tcW w:w="1144" w:type="dxa"/>
            <w:tcBorders>
              <w:top w:val="nil"/>
              <w:left w:val="nil"/>
              <w:bottom w:val="nil"/>
              <w:right w:val="nil"/>
            </w:tcBorders>
          </w:tcPr>
          <w:p w14:paraId="422AD73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234,695</w:t>
            </w:r>
          </w:p>
        </w:tc>
        <w:tc>
          <w:tcPr>
            <w:tcW w:w="1144" w:type="dxa"/>
            <w:tcBorders>
              <w:top w:val="nil"/>
              <w:left w:val="nil"/>
              <w:bottom w:val="nil"/>
              <w:right w:val="nil"/>
            </w:tcBorders>
          </w:tcPr>
          <w:p w14:paraId="008FD72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339,387</w:t>
            </w:r>
          </w:p>
        </w:tc>
        <w:tc>
          <w:tcPr>
            <w:tcW w:w="1192" w:type="dxa"/>
            <w:tcBorders>
              <w:top w:val="nil"/>
              <w:left w:val="nil"/>
              <w:bottom w:val="nil"/>
              <w:right w:val="nil"/>
            </w:tcBorders>
          </w:tcPr>
          <w:p w14:paraId="293D385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457,063</w:t>
            </w:r>
          </w:p>
        </w:tc>
        <w:tc>
          <w:tcPr>
            <w:tcW w:w="1152" w:type="dxa"/>
            <w:tcBorders>
              <w:top w:val="nil"/>
              <w:left w:val="nil"/>
              <w:bottom w:val="nil"/>
              <w:right w:val="nil"/>
            </w:tcBorders>
          </w:tcPr>
          <w:p w14:paraId="2CA797FC"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515,524</w:t>
            </w:r>
          </w:p>
        </w:tc>
      </w:tr>
      <w:tr w:rsidR="0016647F" w:rsidRPr="000D61D1" w14:paraId="5220A8CC" w14:textId="77777777" w:rsidTr="00680F56">
        <w:trPr>
          <w:jc w:val="center"/>
        </w:trPr>
        <w:tc>
          <w:tcPr>
            <w:tcW w:w="2052" w:type="dxa"/>
            <w:tcBorders>
              <w:top w:val="nil"/>
              <w:left w:val="nil"/>
              <w:bottom w:val="nil"/>
              <w:right w:val="nil"/>
            </w:tcBorders>
          </w:tcPr>
          <w:p w14:paraId="6F7D767F"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Number of Suburbs</w:t>
            </w:r>
          </w:p>
        </w:tc>
        <w:tc>
          <w:tcPr>
            <w:tcW w:w="1144" w:type="dxa"/>
            <w:tcBorders>
              <w:top w:val="nil"/>
              <w:left w:val="nil"/>
              <w:bottom w:val="nil"/>
              <w:right w:val="nil"/>
            </w:tcBorders>
          </w:tcPr>
          <w:p w14:paraId="3B37DD7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10,116</w:t>
            </w:r>
          </w:p>
        </w:tc>
        <w:tc>
          <w:tcPr>
            <w:tcW w:w="1198" w:type="dxa"/>
            <w:tcBorders>
              <w:top w:val="nil"/>
              <w:left w:val="nil"/>
              <w:bottom w:val="nil"/>
              <w:right w:val="nil"/>
            </w:tcBorders>
          </w:tcPr>
          <w:p w14:paraId="6937C8B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10,045</w:t>
            </w:r>
          </w:p>
        </w:tc>
        <w:tc>
          <w:tcPr>
            <w:tcW w:w="1144" w:type="dxa"/>
            <w:tcBorders>
              <w:top w:val="nil"/>
              <w:left w:val="nil"/>
              <w:bottom w:val="nil"/>
              <w:right w:val="nil"/>
            </w:tcBorders>
          </w:tcPr>
          <w:p w14:paraId="1C1BEDF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2,806</w:t>
            </w:r>
          </w:p>
        </w:tc>
        <w:tc>
          <w:tcPr>
            <w:tcW w:w="1144" w:type="dxa"/>
            <w:tcBorders>
              <w:top w:val="nil"/>
              <w:left w:val="nil"/>
              <w:bottom w:val="nil"/>
              <w:right w:val="nil"/>
            </w:tcBorders>
          </w:tcPr>
          <w:p w14:paraId="7684321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9,343</w:t>
            </w:r>
          </w:p>
        </w:tc>
        <w:tc>
          <w:tcPr>
            <w:tcW w:w="1192" w:type="dxa"/>
            <w:tcBorders>
              <w:top w:val="nil"/>
              <w:left w:val="nil"/>
              <w:bottom w:val="nil"/>
              <w:right w:val="nil"/>
            </w:tcBorders>
          </w:tcPr>
          <w:p w14:paraId="488323C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9,848</w:t>
            </w:r>
          </w:p>
        </w:tc>
        <w:tc>
          <w:tcPr>
            <w:tcW w:w="1152" w:type="dxa"/>
            <w:tcBorders>
              <w:top w:val="nil"/>
              <w:left w:val="nil"/>
              <w:bottom w:val="nil"/>
              <w:right w:val="nil"/>
            </w:tcBorders>
          </w:tcPr>
          <w:p w14:paraId="6A01623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10,045</w:t>
            </w:r>
          </w:p>
        </w:tc>
      </w:tr>
      <w:tr w:rsidR="0016647F" w:rsidRPr="000D61D1" w14:paraId="160A3878" w14:textId="77777777" w:rsidTr="00680F56">
        <w:trPr>
          <w:jc w:val="center"/>
        </w:trPr>
        <w:tc>
          <w:tcPr>
            <w:tcW w:w="2052" w:type="dxa"/>
            <w:tcBorders>
              <w:top w:val="nil"/>
              <w:left w:val="nil"/>
              <w:bottom w:val="nil"/>
              <w:right w:val="nil"/>
            </w:tcBorders>
          </w:tcPr>
          <w:p w14:paraId="49F88063"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Adj. R-squared</w:t>
            </w:r>
          </w:p>
        </w:tc>
        <w:tc>
          <w:tcPr>
            <w:tcW w:w="1144" w:type="dxa"/>
            <w:tcBorders>
              <w:top w:val="nil"/>
              <w:left w:val="nil"/>
              <w:bottom w:val="nil"/>
              <w:right w:val="nil"/>
            </w:tcBorders>
          </w:tcPr>
          <w:p w14:paraId="5D622D7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0.78</w:t>
            </w:r>
          </w:p>
        </w:tc>
        <w:tc>
          <w:tcPr>
            <w:tcW w:w="1198" w:type="dxa"/>
            <w:tcBorders>
              <w:top w:val="nil"/>
              <w:left w:val="nil"/>
              <w:bottom w:val="nil"/>
              <w:right w:val="nil"/>
            </w:tcBorders>
          </w:tcPr>
          <w:p w14:paraId="1A77A78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0.79</w:t>
            </w:r>
          </w:p>
        </w:tc>
        <w:tc>
          <w:tcPr>
            <w:tcW w:w="1144" w:type="dxa"/>
            <w:tcBorders>
              <w:top w:val="nil"/>
              <w:left w:val="nil"/>
              <w:bottom w:val="nil"/>
              <w:right w:val="nil"/>
            </w:tcBorders>
          </w:tcPr>
          <w:p w14:paraId="7B62590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0.74</w:t>
            </w:r>
          </w:p>
        </w:tc>
        <w:tc>
          <w:tcPr>
            <w:tcW w:w="1144" w:type="dxa"/>
            <w:tcBorders>
              <w:top w:val="nil"/>
              <w:left w:val="nil"/>
              <w:bottom w:val="nil"/>
              <w:right w:val="nil"/>
            </w:tcBorders>
          </w:tcPr>
          <w:p w14:paraId="06FD645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0.79</w:t>
            </w:r>
          </w:p>
        </w:tc>
        <w:tc>
          <w:tcPr>
            <w:tcW w:w="1192" w:type="dxa"/>
            <w:tcBorders>
              <w:top w:val="nil"/>
              <w:left w:val="nil"/>
              <w:bottom w:val="nil"/>
              <w:right w:val="nil"/>
            </w:tcBorders>
          </w:tcPr>
          <w:p w14:paraId="41FF238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0.79</w:t>
            </w:r>
          </w:p>
        </w:tc>
        <w:tc>
          <w:tcPr>
            <w:tcW w:w="1152" w:type="dxa"/>
            <w:tcBorders>
              <w:top w:val="nil"/>
              <w:left w:val="nil"/>
              <w:bottom w:val="nil"/>
              <w:right w:val="nil"/>
            </w:tcBorders>
          </w:tcPr>
          <w:p w14:paraId="7402447C"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0.79</w:t>
            </w:r>
          </w:p>
        </w:tc>
      </w:tr>
      <w:tr w:rsidR="0016647F" w:rsidRPr="000D61D1" w14:paraId="29576FE3" w14:textId="77777777" w:rsidTr="00680F56">
        <w:trPr>
          <w:jc w:val="center"/>
        </w:trPr>
        <w:tc>
          <w:tcPr>
            <w:tcW w:w="2052" w:type="dxa"/>
            <w:tcBorders>
              <w:top w:val="nil"/>
              <w:left w:val="nil"/>
              <w:bottom w:val="single" w:sz="6" w:space="0" w:color="auto"/>
              <w:right w:val="nil"/>
            </w:tcBorders>
          </w:tcPr>
          <w:p w14:paraId="21250AF8"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Max in Cor. Matrix</w:t>
            </w:r>
          </w:p>
        </w:tc>
        <w:tc>
          <w:tcPr>
            <w:tcW w:w="1144" w:type="dxa"/>
            <w:tcBorders>
              <w:top w:val="nil"/>
              <w:left w:val="nil"/>
              <w:bottom w:val="single" w:sz="6" w:space="0" w:color="auto"/>
              <w:right w:val="nil"/>
            </w:tcBorders>
          </w:tcPr>
          <w:p w14:paraId="2522887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0.64</w:t>
            </w:r>
          </w:p>
        </w:tc>
        <w:tc>
          <w:tcPr>
            <w:tcW w:w="1198" w:type="dxa"/>
            <w:tcBorders>
              <w:top w:val="nil"/>
              <w:left w:val="nil"/>
              <w:bottom w:val="single" w:sz="6" w:space="0" w:color="auto"/>
              <w:right w:val="nil"/>
            </w:tcBorders>
          </w:tcPr>
          <w:p w14:paraId="38DAE65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0.63</w:t>
            </w:r>
          </w:p>
        </w:tc>
        <w:tc>
          <w:tcPr>
            <w:tcW w:w="1144" w:type="dxa"/>
            <w:tcBorders>
              <w:top w:val="nil"/>
              <w:left w:val="nil"/>
              <w:bottom w:val="single" w:sz="6" w:space="0" w:color="auto"/>
              <w:right w:val="nil"/>
            </w:tcBorders>
          </w:tcPr>
          <w:p w14:paraId="40C2B97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0.63</w:t>
            </w:r>
          </w:p>
        </w:tc>
        <w:tc>
          <w:tcPr>
            <w:tcW w:w="1144" w:type="dxa"/>
            <w:tcBorders>
              <w:top w:val="nil"/>
              <w:left w:val="nil"/>
              <w:bottom w:val="single" w:sz="6" w:space="0" w:color="auto"/>
              <w:right w:val="nil"/>
            </w:tcBorders>
          </w:tcPr>
          <w:p w14:paraId="0953119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0.41</w:t>
            </w:r>
          </w:p>
        </w:tc>
        <w:tc>
          <w:tcPr>
            <w:tcW w:w="1192" w:type="dxa"/>
            <w:tcBorders>
              <w:top w:val="nil"/>
              <w:left w:val="nil"/>
              <w:bottom w:val="single" w:sz="6" w:space="0" w:color="auto"/>
              <w:right w:val="nil"/>
            </w:tcBorders>
          </w:tcPr>
          <w:p w14:paraId="52D64FC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0.26</w:t>
            </w:r>
          </w:p>
        </w:tc>
        <w:tc>
          <w:tcPr>
            <w:tcW w:w="1152" w:type="dxa"/>
            <w:tcBorders>
              <w:top w:val="nil"/>
              <w:left w:val="nil"/>
              <w:bottom w:val="single" w:sz="6" w:space="0" w:color="auto"/>
              <w:right w:val="nil"/>
            </w:tcBorders>
          </w:tcPr>
          <w:p w14:paraId="02C0610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0.25</w:t>
            </w:r>
          </w:p>
        </w:tc>
      </w:tr>
    </w:tbl>
    <w:p w14:paraId="1A6C143D" w14:textId="77777777" w:rsidR="0016647F" w:rsidRPr="000D61D1" w:rsidRDefault="0016647F" w:rsidP="0016647F">
      <w:pPr>
        <w:widowControl w:val="0"/>
        <w:autoSpaceDE w:val="0"/>
        <w:autoSpaceDN w:val="0"/>
        <w:adjustRightInd w:val="0"/>
        <w:spacing w:before="79" w:after="79"/>
        <w:jc w:val="center"/>
        <w:rPr>
          <w:rFonts w:cs="Times New Roman"/>
          <w:sz w:val="22"/>
          <w:szCs w:val="22"/>
          <w:lang w:val="en-AU"/>
        </w:rPr>
      </w:pPr>
      <w:r w:rsidRPr="000D61D1">
        <w:rPr>
          <w:rFonts w:cs="Times New Roman"/>
          <w:sz w:val="22"/>
          <w:szCs w:val="22"/>
          <w:lang w:val="en-AU"/>
        </w:rPr>
        <w:t xml:space="preserve">* </w:t>
      </w:r>
      <w:r w:rsidRPr="000D61D1">
        <w:rPr>
          <w:rFonts w:cs="Times New Roman"/>
          <w:i/>
          <w:iCs/>
          <w:sz w:val="22"/>
          <w:szCs w:val="22"/>
          <w:lang w:val="en-AU"/>
        </w:rPr>
        <w:t>p</w:t>
      </w:r>
      <w:r w:rsidRPr="000D61D1">
        <w:rPr>
          <w:rFonts w:cs="Times New Roman"/>
          <w:sz w:val="22"/>
          <w:szCs w:val="22"/>
          <w:lang w:val="en-AU"/>
        </w:rPr>
        <w:t xml:space="preserve">&lt;0.05; ** </w:t>
      </w:r>
      <w:r w:rsidRPr="000D61D1">
        <w:rPr>
          <w:rFonts w:cs="Times New Roman"/>
          <w:i/>
          <w:iCs/>
          <w:sz w:val="22"/>
          <w:szCs w:val="22"/>
          <w:lang w:val="en-AU"/>
        </w:rPr>
        <w:t>p</w:t>
      </w:r>
      <w:r w:rsidRPr="000D61D1">
        <w:rPr>
          <w:rFonts w:cs="Times New Roman"/>
          <w:sz w:val="22"/>
          <w:szCs w:val="22"/>
          <w:lang w:val="en-AU"/>
        </w:rPr>
        <w:t>&lt;0.01</w:t>
      </w:r>
    </w:p>
    <w:p w14:paraId="13D695DB" w14:textId="77777777" w:rsidR="00D87647" w:rsidRPr="000D61D1" w:rsidRDefault="00D87647" w:rsidP="0016647F">
      <w:pPr>
        <w:spacing w:before="180" w:after="180"/>
        <w:rPr>
          <w:color w:val="000000" w:themeColor="text1"/>
          <w:lang w:val="en-AU"/>
        </w:rPr>
      </w:pPr>
    </w:p>
    <w:p w14:paraId="2519D3D6" w14:textId="53AE4AE5" w:rsidR="0016647F" w:rsidRPr="000D61D1" w:rsidRDefault="0016647F" w:rsidP="0016647F">
      <w:pPr>
        <w:spacing w:before="180" w:after="180"/>
        <w:rPr>
          <w:color w:val="000000" w:themeColor="text1"/>
          <w:lang w:val="en-AU" w:bidi="bn-BD"/>
        </w:rPr>
      </w:pPr>
      <w:r w:rsidRPr="000D61D1">
        <w:rPr>
          <w:color w:val="000000" w:themeColor="text1"/>
          <w:lang w:val="en-AU"/>
        </w:rPr>
        <w:lastRenderedPageBreak/>
        <w:t xml:space="preserve">When introducing a reform time trend </w:t>
      </w:r>
      <w:r w:rsidR="005C5998" w:rsidRPr="000D61D1">
        <w:rPr>
          <w:color w:val="000000" w:themeColor="text1"/>
          <w:lang w:val="en-AU"/>
        </w:rPr>
        <w:t xml:space="preserve">in </w:t>
      </w:r>
      <w:r w:rsidR="005C5998" w:rsidRPr="000D61D1">
        <w:rPr>
          <w:color w:val="000000" w:themeColor="text1"/>
          <w:lang w:val="en-AU"/>
        </w:rPr>
        <w:fldChar w:fldCharType="begin"/>
      </w:r>
      <w:r w:rsidR="005C5998" w:rsidRPr="000D61D1">
        <w:rPr>
          <w:color w:val="000000" w:themeColor="text1"/>
          <w:lang w:val="en-AU"/>
        </w:rPr>
        <w:instrText xml:space="preserve"> REF _Ref33091759 \h  \* MERGEFORMAT </w:instrText>
      </w:r>
      <w:r w:rsidR="005C5998" w:rsidRPr="000D61D1">
        <w:rPr>
          <w:color w:val="000000" w:themeColor="text1"/>
          <w:lang w:val="en-AU"/>
        </w:rPr>
      </w:r>
      <w:r w:rsidR="005C5998"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12</w:t>
      </w:r>
      <w:r w:rsidR="005C5998" w:rsidRPr="000D61D1">
        <w:rPr>
          <w:color w:val="000000" w:themeColor="text1"/>
          <w:lang w:val="en-AU"/>
        </w:rPr>
        <w:fldChar w:fldCharType="end"/>
      </w:r>
      <w:r w:rsidR="005C5998" w:rsidRPr="000D61D1">
        <w:rPr>
          <w:color w:val="000000" w:themeColor="text1"/>
          <w:lang w:val="en-AU"/>
        </w:rPr>
        <w:t xml:space="preserve"> </w:t>
      </w:r>
      <w:r w:rsidRPr="000D61D1">
        <w:rPr>
          <w:color w:val="000000" w:themeColor="text1"/>
          <w:lang w:val="en-AU"/>
        </w:rPr>
        <w:t xml:space="preserve">to the </w:t>
      </w:r>
      <w:r w:rsidR="00BA18F4" w:rsidRPr="000D61D1">
        <w:rPr>
          <w:color w:val="000000" w:themeColor="text1"/>
          <w:lang w:val="en-AU"/>
        </w:rPr>
        <w:t>basic</w:t>
      </w:r>
      <w:r w:rsidRPr="000D61D1">
        <w:rPr>
          <w:color w:val="000000" w:themeColor="text1"/>
          <w:lang w:val="en-AU"/>
        </w:rPr>
        <w:t xml:space="preserve"> </w:t>
      </w:r>
      <w:r w:rsidR="005C5998" w:rsidRPr="000D61D1">
        <w:rPr>
          <w:color w:val="000000" w:themeColor="text1"/>
          <w:lang w:val="en-AU"/>
        </w:rPr>
        <w:t>specifications</w:t>
      </w:r>
      <w:r w:rsidRPr="000D61D1">
        <w:rPr>
          <w:color w:val="000000" w:themeColor="text1"/>
          <w:lang w:val="en-AU"/>
        </w:rPr>
        <w:t xml:space="preserve"> from </w:t>
      </w:r>
      <w:r w:rsidR="00E26B78" w:rsidRPr="000D61D1">
        <w:rPr>
          <w:color w:val="000000" w:themeColor="text1"/>
          <w:lang w:val="en-AU"/>
        </w:rPr>
        <w:fldChar w:fldCharType="begin"/>
      </w:r>
      <w:r w:rsidR="00E26B78" w:rsidRPr="000D61D1">
        <w:rPr>
          <w:color w:val="000000" w:themeColor="text1"/>
          <w:lang w:val="en-AU"/>
        </w:rPr>
        <w:instrText xml:space="preserve"> REF _Ref33091477 \h  \* MERGEFORMAT </w:instrText>
      </w:r>
      <w:r w:rsidR="00E26B78" w:rsidRPr="000D61D1">
        <w:rPr>
          <w:color w:val="000000" w:themeColor="text1"/>
          <w:lang w:val="en-AU"/>
        </w:rPr>
      </w:r>
      <w:r w:rsidR="00E26B78"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11</w:t>
      </w:r>
      <w:r w:rsidR="00E26B78" w:rsidRPr="000D61D1">
        <w:rPr>
          <w:color w:val="000000" w:themeColor="text1"/>
          <w:lang w:val="en-AU"/>
        </w:rPr>
        <w:fldChar w:fldCharType="end"/>
      </w:r>
      <w:r w:rsidR="00E26B78" w:rsidRPr="000D61D1">
        <w:rPr>
          <w:color w:val="000000" w:themeColor="text1"/>
          <w:lang w:val="en-AU"/>
        </w:rPr>
        <w:t xml:space="preserve"> </w:t>
      </w:r>
      <w:r w:rsidRPr="000D61D1">
        <w:rPr>
          <w:color w:val="000000" w:themeColor="text1"/>
          <w:lang w:val="en-AU"/>
        </w:rPr>
        <w:t xml:space="preserve">we observe strong </w:t>
      </w:r>
      <w:r w:rsidRPr="000D61D1">
        <w:rPr>
          <w:color w:val="000000" w:themeColor="text1"/>
          <w:lang w:val="en-AU" w:bidi="bn-BD"/>
        </w:rPr>
        <w:t>multicollinearity</w:t>
      </w:r>
      <w:r w:rsidR="005C5998" w:rsidRPr="000D61D1">
        <w:rPr>
          <w:color w:val="000000" w:themeColor="text1"/>
          <w:lang w:val="en-AU" w:bidi="bn-BD"/>
        </w:rPr>
        <w:t xml:space="preserve"> with the maximum of the correlation matrix going up to 0.64. </w:t>
      </w:r>
      <w:r w:rsidRPr="000D61D1">
        <w:rPr>
          <w:color w:val="000000" w:themeColor="text1"/>
          <w:lang w:val="en-AU" w:bidi="bn-BD"/>
        </w:rPr>
        <w:t xml:space="preserve"> </w:t>
      </w:r>
      <w:r w:rsidR="005C5998" w:rsidRPr="000D61D1">
        <w:rPr>
          <w:color w:val="000000" w:themeColor="text1"/>
          <w:lang w:val="en-AU" w:bidi="bn-BD"/>
        </w:rPr>
        <w:t xml:space="preserve">This </w:t>
      </w:r>
      <w:r w:rsidRPr="000D61D1">
        <w:rPr>
          <w:color w:val="000000" w:themeColor="text1"/>
          <w:lang w:val="en-AU" w:bidi="bn-BD"/>
        </w:rPr>
        <w:t>is expected as the dummy and time trend are very similar</w:t>
      </w:r>
      <w:r w:rsidR="001F02DE" w:rsidRPr="000D61D1">
        <w:rPr>
          <w:color w:val="000000" w:themeColor="text1"/>
          <w:lang w:val="en-AU" w:bidi="bn-BD"/>
        </w:rPr>
        <w:t>, both</w:t>
      </w:r>
      <w:r w:rsidR="005C5998" w:rsidRPr="000D61D1">
        <w:rPr>
          <w:color w:val="000000" w:themeColor="text1"/>
          <w:lang w:val="en-AU" w:bidi="bn-BD"/>
        </w:rPr>
        <w:t xml:space="preserve"> covering the reform period</w:t>
      </w:r>
      <w:r w:rsidRPr="000D61D1">
        <w:rPr>
          <w:color w:val="000000" w:themeColor="text1"/>
          <w:lang w:val="en-AU" w:bidi="bn-BD"/>
        </w:rPr>
        <w:t xml:space="preserve">. This </w:t>
      </w:r>
      <w:proofErr w:type="spellStart"/>
      <w:r w:rsidR="005C5998" w:rsidRPr="000D61D1">
        <w:rPr>
          <w:color w:val="000000" w:themeColor="text1"/>
          <w:lang w:val="en-AU" w:bidi="bn-BD"/>
        </w:rPr>
        <w:t>col</w:t>
      </w:r>
      <w:r w:rsidR="001F02DE" w:rsidRPr="000D61D1">
        <w:rPr>
          <w:color w:val="000000" w:themeColor="text1"/>
          <w:lang w:val="en-AU" w:bidi="bn-BD"/>
        </w:rPr>
        <w:t>l</w:t>
      </w:r>
      <w:r w:rsidR="005C5998" w:rsidRPr="000D61D1">
        <w:rPr>
          <w:color w:val="000000" w:themeColor="text1"/>
          <w:lang w:val="en-AU" w:bidi="bn-BD"/>
        </w:rPr>
        <w:t>inearaity</w:t>
      </w:r>
      <w:proofErr w:type="spellEnd"/>
      <w:r w:rsidR="005C5998" w:rsidRPr="000D61D1">
        <w:rPr>
          <w:color w:val="000000" w:themeColor="text1"/>
          <w:lang w:val="en-AU" w:bidi="bn-BD"/>
        </w:rPr>
        <w:t xml:space="preserve"> </w:t>
      </w:r>
      <w:r w:rsidRPr="000D61D1">
        <w:rPr>
          <w:color w:val="000000" w:themeColor="text1"/>
          <w:lang w:val="en-AU" w:bidi="bn-BD"/>
        </w:rPr>
        <w:t xml:space="preserve">is less of a concern </w:t>
      </w:r>
      <w:r w:rsidR="00E26B78" w:rsidRPr="000D61D1">
        <w:rPr>
          <w:color w:val="000000" w:themeColor="text1"/>
          <w:lang w:val="en-AU" w:bidi="bn-BD"/>
        </w:rPr>
        <w:t>since</w:t>
      </w:r>
      <w:r w:rsidRPr="000D61D1">
        <w:rPr>
          <w:color w:val="000000" w:themeColor="text1"/>
          <w:lang w:val="en-AU" w:bidi="bn-BD"/>
        </w:rPr>
        <w:t xml:space="preserve"> we are </w:t>
      </w:r>
      <w:r w:rsidR="005C5998" w:rsidRPr="000D61D1">
        <w:rPr>
          <w:color w:val="000000" w:themeColor="text1"/>
          <w:lang w:val="en-AU" w:bidi="bn-BD"/>
        </w:rPr>
        <w:t>not</w:t>
      </w:r>
      <w:r w:rsidR="00E26B78" w:rsidRPr="000D61D1">
        <w:rPr>
          <w:color w:val="000000" w:themeColor="text1"/>
          <w:lang w:val="en-AU" w:bidi="bn-BD"/>
        </w:rPr>
        <w:t xml:space="preserve"> interested</w:t>
      </w:r>
      <w:r w:rsidRPr="000D61D1">
        <w:rPr>
          <w:color w:val="000000" w:themeColor="text1"/>
          <w:lang w:val="en-AU" w:bidi="bn-BD"/>
        </w:rPr>
        <w:t xml:space="preserve"> in the </w:t>
      </w:r>
      <w:r w:rsidR="005C5998" w:rsidRPr="000D61D1">
        <w:rPr>
          <w:color w:val="000000" w:themeColor="text1"/>
          <w:lang w:val="en-AU" w:bidi="bn-BD"/>
        </w:rPr>
        <w:t xml:space="preserve">magnitude of the </w:t>
      </w:r>
      <w:r w:rsidRPr="000D61D1">
        <w:rPr>
          <w:color w:val="000000" w:themeColor="text1"/>
          <w:lang w:val="en-AU" w:bidi="bn-BD"/>
        </w:rPr>
        <w:t>reform dummy coefficient</w:t>
      </w:r>
      <w:r w:rsidR="001F02DE" w:rsidRPr="000D61D1">
        <w:rPr>
          <w:color w:val="000000" w:themeColor="text1"/>
          <w:lang w:val="en-AU" w:bidi="bn-BD"/>
        </w:rPr>
        <w:t xml:space="preserve"> </w:t>
      </w:r>
      <w:r w:rsidR="005C5998" w:rsidRPr="000D61D1">
        <w:rPr>
          <w:color w:val="000000" w:themeColor="text1"/>
          <w:lang w:val="en-AU" w:bidi="bn-BD"/>
        </w:rPr>
        <w:t>as much as</w:t>
      </w:r>
      <w:r w:rsidRPr="000D61D1">
        <w:rPr>
          <w:color w:val="000000" w:themeColor="text1"/>
          <w:lang w:val="en-AU" w:bidi="bn-BD"/>
        </w:rPr>
        <w:t xml:space="preserve"> in the direction of the trend. </w:t>
      </w:r>
      <w:r w:rsidR="005C5998" w:rsidRPr="000D61D1">
        <w:rPr>
          <w:color w:val="000000" w:themeColor="text1"/>
          <w:lang w:val="en-AU" w:bidi="bn-BD"/>
        </w:rPr>
        <w:t>But i</w:t>
      </w:r>
      <w:r w:rsidR="00BF258B" w:rsidRPr="000D61D1">
        <w:rPr>
          <w:color w:val="000000" w:themeColor="text1"/>
          <w:lang w:val="en-AU" w:bidi="bn-BD"/>
        </w:rPr>
        <w:t xml:space="preserve">t does mean that the trend coefficient and the reform impact coefficient </w:t>
      </w:r>
      <w:r w:rsidR="005060E0" w:rsidRPr="000D61D1">
        <w:rPr>
          <w:color w:val="000000" w:themeColor="text1"/>
          <w:lang w:val="en-AU" w:bidi="bn-BD"/>
        </w:rPr>
        <w:t>cannot</w:t>
      </w:r>
      <w:r w:rsidR="00BF258B" w:rsidRPr="000D61D1">
        <w:rPr>
          <w:color w:val="000000" w:themeColor="text1"/>
          <w:lang w:val="en-AU" w:bidi="bn-BD"/>
        </w:rPr>
        <w:t xml:space="preserve"> be interpreted individually. </w:t>
      </w:r>
      <w:r w:rsidRPr="000D61D1">
        <w:rPr>
          <w:color w:val="000000" w:themeColor="text1"/>
          <w:lang w:val="en-AU" w:bidi="bn-BD"/>
        </w:rPr>
        <w:t xml:space="preserve"> The results in </w:t>
      </w:r>
      <w:r w:rsidR="00E26B78" w:rsidRPr="000D61D1">
        <w:rPr>
          <w:color w:val="000000" w:themeColor="text1"/>
          <w:lang w:val="en-AU" w:bidi="bn-BD"/>
        </w:rPr>
        <w:fldChar w:fldCharType="begin"/>
      </w:r>
      <w:r w:rsidR="00E26B78" w:rsidRPr="000D61D1">
        <w:rPr>
          <w:color w:val="000000" w:themeColor="text1"/>
          <w:lang w:val="en-AU" w:bidi="bn-BD"/>
        </w:rPr>
        <w:instrText xml:space="preserve"> REF _Ref33091759 \h  \* MERGEFORMAT </w:instrText>
      </w:r>
      <w:r w:rsidR="00E26B78" w:rsidRPr="000D61D1">
        <w:rPr>
          <w:color w:val="000000" w:themeColor="text1"/>
          <w:lang w:val="en-AU" w:bidi="bn-BD"/>
        </w:rPr>
      </w:r>
      <w:r w:rsidR="00E26B78" w:rsidRPr="000D61D1">
        <w:rPr>
          <w:color w:val="000000" w:themeColor="text1"/>
          <w:lang w:val="en-AU" w:bidi="bn-BD"/>
        </w:rPr>
        <w:fldChar w:fldCharType="separate"/>
      </w:r>
      <w:r w:rsidR="00A763B6" w:rsidRPr="00A763B6">
        <w:rPr>
          <w:color w:val="000000" w:themeColor="text1"/>
          <w:lang w:val="en-AU"/>
        </w:rPr>
        <w:t xml:space="preserve">Table </w:t>
      </w:r>
      <w:r w:rsidR="00A763B6" w:rsidRPr="00A763B6">
        <w:rPr>
          <w:noProof/>
          <w:color w:val="000000" w:themeColor="text1"/>
          <w:lang w:val="en-AU"/>
        </w:rPr>
        <w:t>12</w:t>
      </w:r>
      <w:r w:rsidR="00E26B78" w:rsidRPr="000D61D1">
        <w:rPr>
          <w:color w:val="000000" w:themeColor="text1"/>
          <w:lang w:val="en-AU" w:bidi="bn-BD"/>
        </w:rPr>
        <w:fldChar w:fldCharType="end"/>
      </w:r>
      <w:r w:rsidR="00E26B78" w:rsidRPr="000D61D1">
        <w:rPr>
          <w:color w:val="000000" w:themeColor="text1"/>
          <w:lang w:val="en-AU" w:bidi="bn-BD"/>
        </w:rPr>
        <w:t xml:space="preserve"> </w:t>
      </w:r>
      <w:r w:rsidRPr="000D61D1">
        <w:rPr>
          <w:color w:val="000000" w:themeColor="text1"/>
          <w:lang w:val="en-AU" w:bidi="bn-BD"/>
        </w:rPr>
        <w:t xml:space="preserve">suggest a positive, and in </w:t>
      </w:r>
      <w:r w:rsidR="00B00DBC">
        <w:rPr>
          <w:color w:val="000000" w:themeColor="text1"/>
          <w:lang w:val="en-AU" w:bidi="bn-BD"/>
        </w:rPr>
        <w:t>column (2)</w:t>
      </w:r>
      <w:r w:rsidR="001F02DE" w:rsidRPr="000D61D1">
        <w:rPr>
          <w:color w:val="000000" w:themeColor="text1"/>
          <w:lang w:val="en-AU" w:bidi="bn-BD"/>
        </w:rPr>
        <w:t>, a</w:t>
      </w:r>
      <w:r w:rsidRPr="000D61D1">
        <w:rPr>
          <w:color w:val="000000" w:themeColor="text1"/>
          <w:lang w:val="en-AU" w:bidi="bn-BD"/>
        </w:rPr>
        <w:t xml:space="preserve"> significant effect. </w:t>
      </w:r>
    </w:p>
    <w:p w14:paraId="6AE08FE2" w14:textId="557AE1DD" w:rsidR="0016647F" w:rsidRDefault="0016647F" w:rsidP="0016647F">
      <w:pPr>
        <w:spacing w:before="180" w:after="180"/>
        <w:rPr>
          <w:lang w:val="en-AU" w:bidi="bn-BD"/>
        </w:rPr>
      </w:pPr>
      <w:r w:rsidRPr="000D61D1">
        <w:rPr>
          <w:color w:val="000000" w:themeColor="text1"/>
          <w:lang w:val="en-AU" w:bidi="bn-BD"/>
        </w:rPr>
        <w:t xml:space="preserve">Supporting these findings, the second half of </w:t>
      </w:r>
      <w:r w:rsidR="00E26B78" w:rsidRPr="000D61D1">
        <w:rPr>
          <w:color w:val="000000" w:themeColor="text1"/>
          <w:lang w:val="en-AU" w:bidi="bn-BD"/>
        </w:rPr>
        <w:fldChar w:fldCharType="begin"/>
      </w:r>
      <w:r w:rsidR="00E26B78" w:rsidRPr="000D61D1">
        <w:rPr>
          <w:color w:val="000000" w:themeColor="text1"/>
          <w:lang w:val="en-AU" w:bidi="bn-BD"/>
        </w:rPr>
        <w:instrText xml:space="preserve"> REF _Ref33091759 \h  \* MERGEFORMAT </w:instrText>
      </w:r>
      <w:r w:rsidR="00E26B78" w:rsidRPr="000D61D1">
        <w:rPr>
          <w:color w:val="000000" w:themeColor="text1"/>
          <w:lang w:val="en-AU" w:bidi="bn-BD"/>
        </w:rPr>
      </w:r>
      <w:r w:rsidR="00E26B78" w:rsidRPr="000D61D1">
        <w:rPr>
          <w:color w:val="000000" w:themeColor="text1"/>
          <w:lang w:val="en-AU" w:bidi="bn-BD"/>
        </w:rPr>
        <w:fldChar w:fldCharType="separate"/>
      </w:r>
      <w:r w:rsidR="00A763B6" w:rsidRPr="00A763B6">
        <w:rPr>
          <w:color w:val="000000" w:themeColor="text1"/>
          <w:lang w:val="en-AU"/>
        </w:rPr>
        <w:t xml:space="preserve">Table </w:t>
      </w:r>
      <w:r w:rsidR="00A763B6" w:rsidRPr="00A763B6">
        <w:rPr>
          <w:noProof/>
          <w:color w:val="000000" w:themeColor="text1"/>
          <w:lang w:val="en-AU"/>
        </w:rPr>
        <w:t>12</w:t>
      </w:r>
      <w:r w:rsidR="00E26B78" w:rsidRPr="000D61D1">
        <w:rPr>
          <w:color w:val="000000" w:themeColor="text1"/>
          <w:lang w:val="en-AU" w:bidi="bn-BD"/>
        </w:rPr>
        <w:fldChar w:fldCharType="end"/>
      </w:r>
      <w:r w:rsidR="00E26B78" w:rsidRPr="000D61D1">
        <w:rPr>
          <w:color w:val="000000" w:themeColor="text1"/>
          <w:lang w:val="en-AU" w:bidi="bn-BD"/>
        </w:rPr>
        <w:t xml:space="preserve"> </w:t>
      </w:r>
      <w:r w:rsidRPr="000D61D1">
        <w:rPr>
          <w:color w:val="000000" w:themeColor="text1"/>
          <w:lang w:val="en-AU" w:bidi="bn-BD"/>
        </w:rPr>
        <w:t xml:space="preserve">shows </w:t>
      </w:r>
      <w:r w:rsidRPr="000D61D1">
        <w:rPr>
          <w:lang w:val="en-AU" w:bidi="bn-BD"/>
        </w:rPr>
        <w:t xml:space="preserve">an increasing reform dummy coefficient over time. </w:t>
      </w:r>
    </w:p>
    <w:p w14:paraId="662E39E7" w14:textId="77777777" w:rsidR="00B00DBC" w:rsidRPr="000D61D1" w:rsidRDefault="00B00DBC" w:rsidP="0016647F">
      <w:pPr>
        <w:spacing w:before="180" w:after="180"/>
        <w:rPr>
          <w:lang w:val="en-AU" w:bidi="bn-BD"/>
        </w:rPr>
      </w:pPr>
    </w:p>
    <w:p w14:paraId="1900B6A5" w14:textId="733174FD" w:rsidR="008027EA" w:rsidRPr="000D61D1" w:rsidRDefault="008027EA" w:rsidP="007C11BD">
      <w:pPr>
        <w:pStyle w:val="TableCaption"/>
        <w:rPr>
          <w:rFonts w:ascii="Times New Roman" w:hAnsi="Times New Roman" w:cs="Times New Roman"/>
          <w:sz w:val="29"/>
          <w:szCs w:val="29"/>
          <w:lang w:val="en-AU"/>
        </w:rPr>
      </w:pPr>
      <w:bookmarkStart w:id="32" w:name="_Ref33091947"/>
      <w:bookmarkStart w:id="33" w:name="_Toc43911500"/>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13</w:t>
      </w:r>
      <w:r w:rsidRPr="000D61D1">
        <w:rPr>
          <w:lang w:val="en-AU"/>
        </w:rPr>
        <w:fldChar w:fldCharType="end"/>
      </w:r>
      <w:bookmarkEnd w:id="32"/>
      <w:r w:rsidRPr="000D61D1">
        <w:rPr>
          <w:lang w:val="en-AU"/>
        </w:rPr>
        <w:t>. Trend in the effect of the tax reform on the unit market - estimations in logs</w:t>
      </w:r>
      <w:bookmarkEnd w:id="33"/>
    </w:p>
    <w:tbl>
      <w:tblPr>
        <w:tblW w:w="0" w:type="auto"/>
        <w:jc w:val="center"/>
        <w:tblCellMar>
          <w:left w:w="144" w:type="dxa"/>
          <w:right w:w="144" w:type="dxa"/>
        </w:tblCellMar>
        <w:tblLook w:val="0000" w:firstRow="0" w:lastRow="0" w:firstColumn="0" w:lastColumn="0" w:noHBand="0" w:noVBand="0"/>
      </w:tblPr>
      <w:tblGrid>
        <w:gridCol w:w="2162"/>
        <w:gridCol w:w="1144"/>
        <w:gridCol w:w="1144"/>
        <w:gridCol w:w="1144"/>
        <w:gridCol w:w="1144"/>
        <w:gridCol w:w="1144"/>
        <w:gridCol w:w="1144"/>
      </w:tblGrid>
      <w:tr w:rsidR="0016647F" w:rsidRPr="000D61D1" w14:paraId="0AE4247E" w14:textId="77777777" w:rsidTr="0016647F">
        <w:trPr>
          <w:jc w:val="center"/>
        </w:trPr>
        <w:tc>
          <w:tcPr>
            <w:tcW w:w="2487" w:type="dxa"/>
            <w:tcBorders>
              <w:top w:val="single" w:sz="6" w:space="0" w:color="auto"/>
              <w:left w:val="nil"/>
              <w:bottom w:val="nil"/>
              <w:right w:val="nil"/>
            </w:tcBorders>
          </w:tcPr>
          <w:p w14:paraId="09664CB9" w14:textId="77777777" w:rsidR="0016647F" w:rsidRPr="000D61D1" w:rsidRDefault="0016647F" w:rsidP="0016647F">
            <w:pPr>
              <w:widowControl w:val="0"/>
              <w:autoSpaceDE w:val="0"/>
              <w:autoSpaceDN w:val="0"/>
              <w:adjustRightInd w:val="0"/>
              <w:spacing w:before="79"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Sales Volume)</w:t>
            </w:r>
          </w:p>
        </w:tc>
        <w:tc>
          <w:tcPr>
            <w:tcW w:w="547" w:type="dxa"/>
            <w:tcBorders>
              <w:top w:val="single" w:sz="6" w:space="0" w:color="auto"/>
              <w:left w:val="nil"/>
              <w:bottom w:val="nil"/>
              <w:right w:val="nil"/>
            </w:tcBorders>
          </w:tcPr>
          <w:p w14:paraId="349A11FA"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(1)</w:t>
            </w:r>
          </w:p>
        </w:tc>
        <w:tc>
          <w:tcPr>
            <w:tcW w:w="1137" w:type="dxa"/>
            <w:tcBorders>
              <w:top w:val="single" w:sz="6" w:space="0" w:color="auto"/>
              <w:left w:val="nil"/>
              <w:bottom w:val="nil"/>
              <w:right w:val="nil"/>
            </w:tcBorders>
          </w:tcPr>
          <w:p w14:paraId="15B06336"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(2)</w:t>
            </w:r>
          </w:p>
        </w:tc>
        <w:tc>
          <w:tcPr>
            <w:tcW w:w="1109" w:type="dxa"/>
            <w:tcBorders>
              <w:top w:val="single" w:sz="6" w:space="0" w:color="auto"/>
              <w:left w:val="nil"/>
              <w:bottom w:val="nil"/>
              <w:right w:val="nil"/>
            </w:tcBorders>
          </w:tcPr>
          <w:p w14:paraId="2ADADBB8"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(3)</w:t>
            </w:r>
          </w:p>
        </w:tc>
        <w:tc>
          <w:tcPr>
            <w:tcW w:w="1095" w:type="dxa"/>
            <w:tcBorders>
              <w:top w:val="single" w:sz="6" w:space="0" w:color="auto"/>
              <w:left w:val="nil"/>
              <w:bottom w:val="nil"/>
              <w:right w:val="nil"/>
            </w:tcBorders>
          </w:tcPr>
          <w:p w14:paraId="292BF82A"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(4)</w:t>
            </w:r>
          </w:p>
        </w:tc>
        <w:tc>
          <w:tcPr>
            <w:tcW w:w="1095" w:type="dxa"/>
            <w:tcBorders>
              <w:top w:val="single" w:sz="6" w:space="0" w:color="auto"/>
              <w:left w:val="nil"/>
              <w:bottom w:val="nil"/>
              <w:right w:val="nil"/>
            </w:tcBorders>
          </w:tcPr>
          <w:p w14:paraId="16DC2054"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(5)</w:t>
            </w:r>
          </w:p>
        </w:tc>
        <w:tc>
          <w:tcPr>
            <w:tcW w:w="1083" w:type="dxa"/>
            <w:tcBorders>
              <w:top w:val="single" w:sz="6" w:space="0" w:color="auto"/>
              <w:left w:val="nil"/>
              <w:bottom w:val="nil"/>
              <w:right w:val="nil"/>
            </w:tcBorders>
          </w:tcPr>
          <w:p w14:paraId="15D0EB6B"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(6)</w:t>
            </w:r>
          </w:p>
        </w:tc>
      </w:tr>
      <w:tr w:rsidR="0016647F" w:rsidRPr="000D61D1" w14:paraId="72D0AD01" w14:textId="77777777" w:rsidTr="0016647F">
        <w:trPr>
          <w:jc w:val="center"/>
        </w:trPr>
        <w:tc>
          <w:tcPr>
            <w:tcW w:w="2487" w:type="dxa"/>
            <w:tcBorders>
              <w:top w:val="nil"/>
              <w:left w:val="nil"/>
              <w:bottom w:val="nil"/>
              <w:right w:val="nil"/>
            </w:tcBorders>
          </w:tcPr>
          <w:p w14:paraId="6D58A739" w14:textId="77777777" w:rsidR="0016647F" w:rsidRPr="000D61D1" w:rsidRDefault="0016647F" w:rsidP="0016647F">
            <w:pPr>
              <w:widowControl w:val="0"/>
              <w:autoSpaceDE w:val="0"/>
              <w:autoSpaceDN w:val="0"/>
              <w:adjustRightInd w:val="0"/>
              <w:spacing w:after="79"/>
              <w:rPr>
                <w:rFonts w:cs="Times New Roman"/>
                <w:sz w:val="22"/>
                <w:szCs w:val="22"/>
                <w:lang w:val="en-AU"/>
              </w:rPr>
            </w:pPr>
          </w:p>
        </w:tc>
        <w:tc>
          <w:tcPr>
            <w:tcW w:w="547" w:type="dxa"/>
            <w:tcBorders>
              <w:top w:val="nil"/>
              <w:left w:val="nil"/>
              <w:bottom w:val="nil"/>
              <w:right w:val="nil"/>
            </w:tcBorders>
          </w:tcPr>
          <w:p w14:paraId="7D143169"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Reform Trend</w:t>
            </w:r>
          </w:p>
        </w:tc>
        <w:tc>
          <w:tcPr>
            <w:tcW w:w="1137" w:type="dxa"/>
            <w:tcBorders>
              <w:top w:val="nil"/>
              <w:left w:val="nil"/>
              <w:bottom w:val="nil"/>
              <w:right w:val="nil"/>
            </w:tcBorders>
          </w:tcPr>
          <w:p w14:paraId="0AB88528"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Trend &amp; Controls</w:t>
            </w:r>
          </w:p>
        </w:tc>
        <w:tc>
          <w:tcPr>
            <w:tcW w:w="1109" w:type="dxa"/>
            <w:tcBorders>
              <w:top w:val="nil"/>
              <w:left w:val="nil"/>
              <w:bottom w:val="nil"/>
              <w:right w:val="nil"/>
            </w:tcBorders>
          </w:tcPr>
          <w:p w14:paraId="63D8F452"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Trend &amp; Capital Cities</w:t>
            </w:r>
          </w:p>
        </w:tc>
        <w:tc>
          <w:tcPr>
            <w:tcW w:w="1095" w:type="dxa"/>
            <w:tcBorders>
              <w:top w:val="nil"/>
              <w:left w:val="nil"/>
              <w:bottom w:val="nil"/>
              <w:right w:val="nil"/>
            </w:tcBorders>
          </w:tcPr>
          <w:p w14:paraId="1521CEC0"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Sample till 2015</w:t>
            </w:r>
          </w:p>
        </w:tc>
        <w:tc>
          <w:tcPr>
            <w:tcW w:w="1095" w:type="dxa"/>
            <w:tcBorders>
              <w:top w:val="nil"/>
              <w:left w:val="nil"/>
              <w:bottom w:val="nil"/>
              <w:right w:val="nil"/>
            </w:tcBorders>
          </w:tcPr>
          <w:p w14:paraId="4D0550E0"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Sample till 2017</w:t>
            </w:r>
          </w:p>
        </w:tc>
        <w:tc>
          <w:tcPr>
            <w:tcW w:w="1083" w:type="dxa"/>
            <w:tcBorders>
              <w:top w:val="nil"/>
              <w:left w:val="nil"/>
              <w:bottom w:val="nil"/>
              <w:right w:val="nil"/>
            </w:tcBorders>
          </w:tcPr>
          <w:p w14:paraId="5FFC72E5"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Full Sample</w:t>
            </w:r>
          </w:p>
        </w:tc>
      </w:tr>
      <w:tr w:rsidR="0016647F" w:rsidRPr="000D61D1" w14:paraId="5307FE12" w14:textId="77777777" w:rsidTr="0016647F">
        <w:trPr>
          <w:jc w:val="center"/>
        </w:trPr>
        <w:tc>
          <w:tcPr>
            <w:tcW w:w="2487" w:type="dxa"/>
            <w:tcBorders>
              <w:top w:val="single" w:sz="6" w:space="0" w:color="auto"/>
              <w:left w:val="nil"/>
              <w:bottom w:val="nil"/>
              <w:right w:val="nil"/>
            </w:tcBorders>
          </w:tcPr>
          <w:p w14:paraId="4A89FC32"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Reform Dummy</w:t>
            </w:r>
          </w:p>
        </w:tc>
        <w:tc>
          <w:tcPr>
            <w:tcW w:w="547" w:type="dxa"/>
            <w:tcBorders>
              <w:top w:val="single" w:sz="6" w:space="0" w:color="auto"/>
              <w:left w:val="nil"/>
              <w:bottom w:val="nil"/>
              <w:right w:val="nil"/>
            </w:tcBorders>
          </w:tcPr>
          <w:p w14:paraId="2A9CD55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-0.333</w:t>
            </w:r>
          </w:p>
        </w:tc>
        <w:tc>
          <w:tcPr>
            <w:tcW w:w="1137" w:type="dxa"/>
            <w:tcBorders>
              <w:top w:val="single" w:sz="6" w:space="0" w:color="auto"/>
              <w:left w:val="nil"/>
              <w:bottom w:val="nil"/>
              <w:right w:val="nil"/>
            </w:tcBorders>
          </w:tcPr>
          <w:p w14:paraId="5DB0656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-0.174</w:t>
            </w:r>
          </w:p>
        </w:tc>
        <w:tc>
          <w:tcPr>
            <w:tcW w:w="1109" w:type="dxa"/>
            <w:tcBorders>
              <w:top w:val="single" w:sz="6" w:space="0" w:color="auto"/>
              <w:left w:val="nil"/>
              <w:bottom w:val="nil"/>
              <w:right w:val="nil"/>
            </w:tcBorders>
          </w:tcPr>
          <w:p w14:paraId="532E3C1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-0.245</w:t>
            </w:r>
          </w:p>
        </w:tc>
        <w:tc>
          <w:tcPr>
            <w:tcW w:w="1095" w:type="dxa"/>
            <w:tcBorders>
              <w:top w:val="single" w:sz="6" w:space="0" w:color="auto"/>
              <w:left w:val="nil"/>
              <w:bottom w:val="nil"/>
              <w:right w:val="nil"/>
            </w:tcBorders>
          </w:tcPr>
          <w:p w14:paraId="2FC40FE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-0.269</w:t>
            </w:r>
          </w:p>
        </w:tc>
        <w:tc>
          <w:tcPr>
            <w:tcW w:w="1095" w:type="dxa"/>
            <w:tcBorders>
              <w:top w:val="single" w:sz="6" w:space="0" w:color="auto"/>
              <w:left w:val="nil"/>
              <w:bottom w:val="nil"/>
              <w:right w:val="nil"/>
            </w:tcBorders>
          </w:tcPr>
          <w:p w14:paraId="0FA1F63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-0.270</w:t>
            </w:r>
          </w:p>
        </w:tc>
        <w:tc>
          <w:tcPr>
            <w:tcW w:w="1083" w:type="dxa"/>
            <w:tcBorders>
              <w:top w:val="single" w:sz="6" w:space="0" w:color="auto"/>
              <w:left w:val="nil"/>
              <w:bottom w:val="nil"/>
              <w:right w:val="nil"/>
            </w:tcBorders>
          </w:tcPr>
          <w:p w14:paraId="536E8C4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-0.222</w:t>
            </w:r>
          </w:p>
        </w:tc>
      </w:tr>
      <w:tr w:rsidR="0016647F" w:rsidRPr="000D61D1" w14:paraId="76332944" w14:textId="77777777" w:rsidTr="0016647F">
        <w:trPr>
          <w:jc w:val="center"/>
        </w:trPr>
        <w:tc>
          <w:tcPr>
            <w:tcW w:w="2487" w:type="dxa"/>
            <w:tcBorders>
              <w:top w:val="nil"/>
              <w:left w:val="nil"/>
              <w:bottom w:val="nil"/>
              <w:right w:val="nil"/>
            </w:tcBorders>
          </w:tcPr>
          <w:p w14:paraId="74AACB8F" w14:textId="234F3BC5"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547" w:type="dxa"/>
            <w:tcBorders>
              <w:top w:val="nil"/>
              <w:left w:val="nil"/>
              <w:bottom w:val="nil"/>
              <w:right w:val="nil"/>
            </w:tcBorders>
          </w:tcPr>
          <w:p w14:paraId="575010A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0.049]*</w:t>
            </w:r>
            <w:proofErr w:type="gramEnd"/>
            <w:r w:rsidRPr="000D61D1">
              <w:rPr>
                <w:rFonts w:cs="Times New Roman"/>
                <w:sz w:val="22"/>
                <w:szCs w:val="22"/>
                <w:lang w:val="en-AU"/>
              </w:rPr>
              <w:t>*</w:t>
            </w:r>
          </w:p>
        </w:tc>
        <w:tc>
          <w:tcPr>
            <w:tcW w:w="1137" w:type="dxa"/>
            <w:tcBorders>
              <w:top w:val="nil"/>
              <w:left w:val="nil"/>
              <w:bottom w:val="nil"/>
              <w:right w:val="nil"/>
            </w:tcBorders>
          </w:tcPr>
          <w:p w14:paraId="359CB40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0.050]*</w:t>
            </w:r>
            <w:proofErr w:type="gramEnd"/>
            <w:r w:rsidRPr="000D61D1">
              <w:rPr>
                <w:rFonts w:cs="Times New Roman"/>
                <w:sz w:val="22"/>
                <w:szCs w:val="22"/>
                <w:lang w:val="en-AU"/>
              </w:rPr>
              <w:t>*</w:t>
            </w:r>
          </w:p>
        </w:tc>
        <w:tc>
          <w:tcPr>
            <w:tcW w:w="1109" w:type="dxa"/>
            <w:tcBorders>
              <w:top w:val="nil"/>
              <w:left w:val="nil"/>
              <w:bottom w:val="nil"/>
              <w:right w:val="nil"/>
            </w:tcBorders>
          </w:tcPr>
          <w:p w14:paraId="57B47CE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0.050]*</w:t>
            </w:r>
            <w:proofErr w:type="gramEnd"/>
            <w:r w:rsidRPr="000D61D1">
              <w:rPr>
                <w:rFonts w:cs="Times New Roman"/>
                <w:sz w:val="22"/>
                <w:szCs w:val="22"/>
                <w:lang w:val="en-AU"/>
              </w:rPr>
              <w:t>*</w:t>
            </w:r>
          </w:p>
        </w:tc>
        <w:tc>
          <w:tcPr>
            <w:tcW w:w="1095" w:type="dxa"/>
            <w:tcBorders>
              <w:top w:val="nil"/>
              <w:left w:val="nil"/>
              <w:bottom w:val="nil"/>
              <w:right w:val="nil"/>
            </w:tcBorders>
          </w:tcPr>
          <w:p w14:paraId="4228F23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0.036]*</w:t>
            </w:r>
            <w:proofErr w:type="gramEnd"/>
            <w:r w:rsidRPr="000D61D1">
              <w:rPr>
                <w:rFonts w:cs="Times New Roman"/>
                <w:sz w:val="22"/>
                <w:szCs w:val="22"/>
                <w:lang w:val="en-AU"/>
              </w:rPr>
              <w:t>*</w:t>
            </w:r>
          </w:p>
        </w:tc>
        <w:tc>
          <w:tcPr>
            <w:tcW w:w="1095" w:type="dxa"/>
            <w:tcBorders>
              <w:top w:val="nil"/>
              <w:left w:val="nil"/>
              <w:bottom w:val="nil"/>
              <w:right w:val="nil"/>
            </w:tcBorders>
          </w:tcPr>
          <w:p w14:paraId="37E07C8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0.031]*</w:t>
            </w:r>
            <w:proofErr w:type="gramEnd"/>
            <w:r w:rsidRPr="000D61D1">
              <w:rPr>
                <w:rFonts w:cs="Times New Roman"/>
                <w:sz w:val="22"/>
                <w:szCs w:val="22"/>
                <w:lang w:val="en-AU"/>
              </w:rPr>
              <w:t>*</w:t>
            </w:r>
          </w:p>
        </w:tc>
        <w:tc>
          <w:tcPr>
            <w:tcW w:w="1083" w:type="dxa"/>
            <w:tcBorders>
              <w:top w:val="nil"/>
              <w:left w:val="nil"/>
              <w:bottom w:val="nil"/>
              <w:right w:val="nil"/>
            </w:tcBorders>
          </w:tcPr>
          <w:p w14:paraId="3A15ED0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0.031]*</w:t>
            </w:r>
            <w:proofErr w:type="gramEnd"/>
            <w:r w:rsidRPr="000D61D1">
              <w:rPr>
                <w:rFonts w:cs="Times New Roman"/>
                <w:sz w:val="22"/>
                <w:szCs w:val="22"/>
                <w:lang w:val="en-AU"/>
              </w:rPr>
              <w:t>*</w:t>
            </w:r>
          </w:p>
        </w:tc>
      </w:tr>
      <w:tr w:rsidR="0016647F" w:rsidRPr="000D61D1" w14:paraId="20989A33" w14:textId="77777777" w:rsidTr="0016647F">
        <w:trPr>
          <w:jc w:val="center"/>
        </w:trPr>
        <w:tc>
          <w:tcPr>
            <w:tcW w:w="2487" w:type="dxa"/>
            <w:tcBorders>
              <w:top w:val="nil"/>
              <w:left w:val="nil"/>
              <w:bottom w:val="nil"/>
              <w:right w:val="nil"/>
            </w:tcBorders>
          </w:tcPr>
          <w:p w14:paraId="23C2FBFB"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Reform Trend</w:t>
            </w:r>
          </w:p>
        </w:tc>
        <w:tc>
          <w:tcPr>
            <w:tcW w:w="547" w:type="dxa"/>
            <w:tcBorders>
              <w:top w:val="nil"/>
              <w:left w:val="nil"/>
              <w:bottom w:val="nil"/>
              <w:right w:val="nil"/>
            </w:tcBorders>
          </w:tcPr>
          <w:p w14:paraId="0A49A3C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-0.014</w:t>
            </w:r>
          </w:p>
        </w:tc>
        <w:tc>
          <w:tcPr>
            <w:tcW w:w="1137" w:type="dxa"/>
            <w:tcBorders>
              <w:top w:val="nil"/>
              <w:left w:val="nil"/>
              <w:bottom w:val="nil"/>
              <w:right w:val="nil"/>
            </w:tcBorders>
          </w:tcPr>
          <w:p w14:paraId="461CC9B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-0.012</w:t>
            </w:r>
          </w:p>
        </w:tc>
        <w:tc>
          <w:tcPr>
            <w:tcW w:w="1109" w:type="dxa"/>
            <w:tcBorders>
              <w:top w:val="nil"/>
              <w:left w:val="nil"/>
              <w:bottom w:val="nil"/>
              <w:right w:val="nil"/>
            </w:tcBorders>
          </w:tcPr>
          <w:p w14:paraId="5973ECD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-0.007</w:t>
            </w:r>
          </w:p>
        </w:tc>
        <w:tc>
          <w:tcPr>
            <w:tcW w:w="1095" w:type="dxa"/>
            <w:tcBorders>
              <w:top w:val="nil"/>
              <w:left w:val="nil"/>
              <w:bottom w:val="nil"/>
              <w:right w:val="nil"/>
            </w:tcBorders>
          </w:tcPr>
          <w:p w14:paraId="4F52C3A2" w14:textId="71D9DD96"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095" w:type="dxa"/>
            <w:tcBorders>
              <w:top w:val="nil"/>
              <w:left w:val="nil"/>
              <w:bottom w:val="nil"/>
              <w:right w:val="nil"/>
            </w:tcBorders>
          </w:tcPr>
          <w:p w14:paraId="35280687" w14:textId="4E16C0D9"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083" w:type="dxa"/>
            <w:tcBorders>
              <w:top w:val="nil"/>
              <w:left w:val="nil"/>
              <w:bottom w:val="nil"/>
              <w:right w:val="nil"/>
            </w:tcBorders>
          </w:tcPr>
          <w:p w14:paraId="5B8F395D" w14:textId="59F11A53" w:rsidR="0016647F" w:rsidRPr="000D61D1" w:rsidRDefault="0016647F" w:rsidP="0016647F">
            <w:pPr>
              <w:widowControl w:val="0"/>
              <w:autoSpaceDE w:val="0"/>
              <w:autoSpaceDN w:val="0"/>
              <w:adjustRightInd w:val="0"/>
              <w:spacing w:after="0"/>
              <w:jc w:val="center"/>
              <w:rPr>
                <w:rFonts w:cs="Times New Roman"/>
                <w:sz w:val="22"/>
                <w:szCs w:val="22"/>
                <w:lang w:val="en-AU"/>
              </w:rPr>
            </w:pPr>
          </w:p>
        </w:tc>
      </w:tr>
      <w:tr w:rsidR="0016647F" w:rsidRPr="000D61D1" w14:paraId="03F3BCA7" w14:textId="77777777" w:rsidTr="0016647F">
        <w:trPr>
          <w:jc w:val="center"/>
        </w:trPr>
        <w:tc>
          <w:tcPr>
            <w:tcW w:w="2487" w:type="dxa"/>
            <w:tcBorders>
              <w:top w:val="nil"/>
              <w:left w:val="nil"/>
              <w:bottom w:val="nil"/>
              <w:right w:val="nil"/>
            </w:tcBorders>
          </w:tcPr>
          <w:p w14:paraId="19606235" w14:textId="31B4A858"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547" w:type="dxa"/>
            <w:tcBorders>
              <w:top w:val="nil"/>
              <w:left w:val="nil"/>
              <w:bottom w:val="nil"/>
              <w:right w:val="nil"/>
            </w:tcBorders>
          </w:tcPr>
          <w:p w14:paraId="21A4504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[0.008]</w:t>
            </w:r>
          </w:p>
        </w:tc>
        <w:tc>
          <w:tcPr>
            <w:tcW w:w="1137" w:type="dxa"/>
            <w:tcBorders>
              <w:top w:val="nil"/>
              <w:left w:val="nil"/>
              <w:bottom w:val="nil"/>
              <w:right w:val="nil"/>
            </w:tcBorders>
          </w:tcPr>
          <w:p w14:paraId="37A7FF5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[0.009]</w:t>
            </w:r>
          </w:p>
        </w:tc>
        <w:tc>
          <w:tcPr>
            <w:tcW w:w="1109" w:type="dxa"/>
            <w:tcBorders>
              <w:top w:val="nil"/>
              <w:left w:val="nil"/>
              <w:bottom w:val="nil"/>
              <w:right w:val="nil"/>
            </w:tcBorders>
          </w:tcPr>
          <w:p w14:paraId="42FBA71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[0.009]</w:t>
            </w:r>
          </w:p>
        </w:tc>
        <w:tc>
          <w:tcPr>
            <w:tcW w:w="1095" w:type="dxa"/>
            <w:tcBorders>
              <w:top w:val="nil"/>
              <w:left w:val="nil"/>
              <w:bottom w:val="nil"/>
              <w:right w:val="nil"/>
            </w:tcBorders>
          </w:tcPr>
          <w:p w14:paraId="4B46DCB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095" w:type="dxa"/>
            <w:tcBorders>
              <w:top w:val="nil"/>
              <w:left w:val="nil"/>
              <w:bottom w:val="nil"/>
              <w:right w:val="nil"/>
            </w:tcBorders>
          </w:tcPr>
          <w:p w14:paraId="788D9EB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083" w:type="dxa"/>
            <w:tcBorders>
              <w:top w:val="nil"/>
              <w:left w:val="nil"/>
              <w:bottom w:val="nil"/>
              <w:right w:val="nil"/>
            </w:tcBorders>
          </w:tcPr>
          <w:p w14:paraId="6C0E843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r>
      <w:tr w:rsidR="0016647F" w:rsidRPr="000D61D1" w14:paraId="6956835E" w14:textId="77777777" w:rsidTr="0016647F">
        <w:trPr>
          <w:jc w:val="center"/>
        </w:trPr>
        <w:tc>
          <w:tcPr>
            <w:tcW w:w="2487" w:type="dxa"/>
            <w:tcBorders>
              <w:top w:val="nil"/>
              <w:left w:val="nil"/>
              <w:bottom w:val="nil"/>
              <w:right w:val="nil"/>
            </w:tcBorders>
          </w:tcPr>
          <w:p w14:paraId="389917D4" w14:textId="77777777" w:rsidR="0016647F" w:rsidRPr="000D61D1" w:rsidRDefault="0016647F" w:rsidP="0016647F">
            <w:pPr>
              <w:widowControl w:val="0"/>
              <w:autoSpaceDE w:val="0"/>
              <w:autoSpaceDN w:val="0"/>
              <w:adjustRightInd w:val="0"/>
              <w:spacing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Income)</w:t>
            </w:r>
          </w:p>
        </w:tc>
        <w:tc>
          <w:tcPr>
            <w:tcW w:w="547" w:type="dxa"/>
            <w:tcBorders>
              <w:top w:val="nil"/>
              <w:left w:val="nil"/>
              <w:bottom w:val="nil"/>
              <w:right w:val="nil"/>
            </w:tcBorders>
          </w:tcPr>
          <w:p w14:paraId="6433EC97" w14:textId="118BC5A9"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37" w:type="dxa"/>
            <w:tcBorders>
              <w:top w:val="nil"/>
              <w:left w:val="nil"/>
              <w:bottom w:val="nil"/>
              <w:right w:val="nil"/>
            </w:tcBorders>
          </w:tcPr>
          <w:p w14:paraId="37084F1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3.399</w:t>
            </w:r>
          </w:p>
        </w:tc>
        <w:tc>
          <w:tcPr>
            <w:tcW w:w="1109" w:type="dxa"/>
            <w:tcBorders>
              <w:top w:val="nil"/>
              <w:left w:val="nil"/>
              <w:bottom w:val="nil"/>
              <w:right w:val="nil"/>
            </w:tcBorders>
          </w:tcPr>
          <w:p w14:paraId="54D0322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3.337</w:t>
            </w:r>
          </w:p>
        </w:tc>
        <w:tc>
          <w:tcPr>
            <w:tcW w:w="1095" w:type="dxa"/>
            <w:tcBorders>
              <w:top w:val="nil"/>
              <w:left w:val="nil"/>
              <w:bottom w:val="nil"/>
              <w:right w:val="nil"/>
            </w:tcBorders>
          </w:tcPr>
          <w:p w14:paraId="5221C0F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2.369</w:t>
            </w:r>
          </w:p>
        </w:tc>
        <w:tc>
          <w:tcPr>
            <w:tcW w:w="1095" w:type="dxa"/>
            <w:tcBorders>
              <w:top w:val="nil"/>
              <w:left w:val="nil"/>
              <w:bottom w:val="nil"/>
              <w:right w:val="nil"/>
            </w:tcBorders>
          </w:tcPr>
          <w:p w14:paraId="73F57F2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3.181</w:t>
            </w:r>
          </w:p>
        </w:tc>
        <w:tc>
          <w:tcPr>
            <w:tcW w:w="1083" w:type="dxa"/>
            <w:tcBorders>
              <w:top w:val="nil"/>
              <w:left w:val="nil"/>
              <w:bottom w:val="nil"/>
              <w:right w:val="nil"/>
            </w:tcBorders>
          </w:tcPr>
          <w:p w14:paraId="2C1CD65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3.414</w:t>
            </w:r>
          </w:p>
        </w:tc>
      </w:tr>
      <w:tr w:rsidR="0016647F" w:rsidRPr="000D61D1" w14:paraId="33864503" w14:textId="77777777" w:rsidTr="0016647F">
        <w:trPr>
          <w:jc w:val="center"/>
        </w:trPr>
        <w:tc>
          <w:tcPr>
            <w:tcW w:w="2487" w:type="dxa"/>
            <w:tcBorders>
              <w:top w:val="nil"/>
              <w:left w:val="nil"/>
              <w:bottom w:val="nil"/>
              <w:right w:val="nil"/>
            </w:tcBorders>
          </w:tcPr>
          <w:p w14:paraId="36FA91DA" w14:textId="7AAAFF26"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547" w:type="dxa"/>
            <w:tcBorders>
              <w:top w:val="nil"/>
              <w:left w:val="nil"/>
              <w:bottom w:val="nil"/>
              <w:right w:val="nil"/>
            </w:tcBorders>
          </w:tcPr>
          <w:p w14:paraId="45BA36D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37" w:type="dxa"/>
            <w:tcBorders>
              <w:top w:val="nil"/>
              <w:left w:val="nil"/>
              <w:bottom w:val="nil"/>
              <w:right w:val="nil"/>
            </w:tcBorders>
          </w:tcPr>
          <w:p w14:paraId="13D64CA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0.161]*</w:t>
            </w:r>
            <w:proofErr w:type="gramEnd"/>
            <w:r w:rsidRPr="000D61D1">
              <w:rPr>
                <w:rFonts w:cs="Times New Roman"/>
                <w:sz w:val="22"/>
                <w:szCs w:val="22"/>
                <w:lang w:val="en-AU"/>
              </w:rPr>
              <w:t>*</w:t>
            </w:r>
          </w:p>
        </w:tc>
        <w:tc>
          <w:tcPr>
            <w:tcW w:w="1109" w:type="dxa"/>
            <w:tcBorders>
              <w:top w:val="nil"/>
              <w:left w:val="nil"/>
              <w:bottom w:val="nil"/>
              <w:right w:val="nil"/>
            </w:tcBorders>
          </w:tcPr>
          <w:p w14:paraId="1F47F3F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0.187]*</w:t>
            </w:r>
            <w:proofErr w:type="gramEnd"/>
            <w:r w:rsidRPr="000D61D1">
              <w:rPr>
                <w:rFonts w:cs="Times New Roman"/>
                <w:sz w:val="22"/>
                <w:szCs w:val="22"/>
                <w:lang w:val="en-AU"/>
              </w:rPr>
              <w:t>*</w:t>
            </w:r>
          </w:p>
        </w:tc>
        <w:tc>
          <w:tcPr>
            <w:tcW w:w="1095" w:type="dxa"/>
            <w:tcBorders>
              <w:top w:val="nil"/>
              <w:left w:val="nil"/>
              <w:bottom w:val="nil"/>
              <w:right w:val="nil"/>
            </w:tcBorders>
          </w:tcPr>
          <w:p w14:paraId="26664AC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0.171]*</w:t>
            </w:r>
            <w:proofErr w:type="gramEnd"/>
            <w:r w:rsidRPr="000D61D1">
              <w:rPr>
                <w:rFonts w:cs="Times New Roman"/>
                <w:sz w:val="22"/>
                <w:szCs w:val="22"/>
                <w:lang w:val="en-AU"/>
              </w:rPr>
              <w:t>*</w:t>
            </w:r>
          </w:p>
        </w:tc>
        <w:tc>
          <w:tcPr>
            <w:tcW w:w="1095" w:type="dxa"/>
            <w:tcBorders>
              <w:top w:val="nil"/>
              <w:left w:val="nil"/>
              <w:bottom w:val="nil"/>
              <w:right w:val="nil"/>
            </w:tcBorders>
          </w:tcPr>
          <w:p w14:paraId="3D4E9EA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0.161]*</w:t>
            </w:r>
            <w:proofErr w:type="gramEnd"/>
            <w:r w:rsidRPr="000D61D1">
              <w:rPr>
                <w:rFonts w:cs="Times New Roman"/>
                <w:sz w:val="22"/>
                <w:szCs w:val="22"/>
                <w:lang w:val="en-AU"/>
              </w:rPr>
              <w:t>*</w:t>
            </w:r>
          </w:p>
        </w:tc>
        <w:tc>
          <w:tcPr>
            <w:tcW w:w="1083" w:type="dxa"/>
            <w:tcBorders>
              <w:top w:val="nil"/>
              <w:left w:val="nil"/>
              <w:bottom w:val="nil"/>
              <w:right w:val="nil"/>
            </w:tcBorders>
          </w:tcPr>
          <w:p w14:paraId="0C299D5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0.160]*</w:t>
            </w:r>
            <w:proofErr w:type="gramEnd"/>
            <w:r w:rsidRPr="000D61D1">
              <w:rPr>
                <w:rFonts w:cs="Times New Roman"/>
                <w:sz w:val="22"/>
                <w:szCs w:val="22"/>
                <w:lang w:val="en-AU"/>
              </w:rPr>
              <w:t>*</w:t>
            </w:r>
          </w:p>
        </w:tc>
      </w:tr>
      <w:tr w:rsidR="0016647F" w:rsidRPr="000D61D1" w14:paraId="63E1AC18" w14:textId="77777777" w:rsidTr="0016647F">
        <w:trPr>
          <w:jc w:val="center"/>
        </w:trPr>
        <w:tc>
          <w:tcPr>
            <w:tcW w:w="2487" w:type="dxa"/>
            <w:tcBorders>
              <w:top w:val="nil"/>
              <w:left w:val="nil"/>
              <w:bottom w:val="nil"/>
              <w:right w:val="nil"/>
            </w:tcBorders>
          </w:tcPr>
          <w:p w14:paraId="41124A39" w14:textId="77777777" w:rsidR="0016647F" w:rsidRPr="000D61D1" w:rsidRDefault="0016647F" w:rsidP="0016647F">
            <w:pPr>
              <w:widowControl w:val="0"/>
              <w:autoSpaceDE w:val="0"/>
              <w:autoSpaceDN w:val="0"/>
              <w:adjustRightInd w:val="0"/>
              <w:spacing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Population)</w:t>
            </w:r>
          </w:p>
        </w:tc>
        <w:tc>
          <w:tcPr>
            <w:tcW w:w="547" w:type="dxa"/>
            <w:tcBorders>
              <w:top w:val="nil"/>
              <w:left w:val="nil"/>
              <w:bottom w:val="nil"/>
              <w:right w:val="nil"/>
            </w:tcBorders>
          </w:tcPr>
          <w:p w14:paraId="75B64724" w14:textId="3A2AA043"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37" w:type="dxa"/>
            <w:tcBorders>
              <w:top w:val="nil"/>
              <w:left w:val="nil"/>
              <w:bottom w:val="nil"/>
              <w:right w:val="nil"/>
            </w:tcBorders>
          </w:tcPr>
          <w:p w14:paraId="6CD4397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2.504</w:t>
            </w:r>
          </w:p>
        </w:tc>
        <w:tc>
          <w:tcPr>
            <w:tcW w:w="1109" w:type="dxa"/>
            <w:tcBorders>
              <w:top w:val="nil"/>
              <w:left w:val="nil"/>
              <w:bottom w:val="nil"/>
              <w:right w:val="nil"/>
            </w:tcBorders>
          </w:tcPr>
          <w:p w14:paraId="24AE9C1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3.238</w:t>
            </w:r>
          </w:p>
        </w:tc>
        <w:tc>
          <w:tcPr>
            <w:tcW w:w="1095" w:type="dxa"/>
            <w:tcBorders>
              <w:top w:val="nil"/>
              <w:left w:val="nil"/>
              <w:bottom w:val="nil"/>
              <w:right w:val="nil"/>
            </w:tcBorders>
          </w:tcPr>
          <w:p w14:paraId="59A63DC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2.252</w:t>
            </w:r>
          </w:p>
        </w:tc>
        <w:tc>
          <w:tcPr>
            <w:tcW w:w="1095" w:type="dxa"/>
            <w:tcBorders>
              <w:top w:val="nil"/>
              <w:left w:val="nil"/>
              <w:bottom w:val="nil"/>
              <w:right w:val="nil"/>
            </w:tcBorders>
          </w:tcPr>
          <w:p w14:paraId="599CA99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3.673</w:t>
            </w:r>
          </w:p>
        </w:tc>
        <w:tc>
          <w:tcPr>
            <w:tcW w:w="1083" w:type="dxa"/>
            <w:tcBorders>
              <w:top w:val="nil"/>
              <w:left w:val="nil"/>
              <w:bottom w:val="nil"/>
              <w:right w:val="nil"/>
            </w:tcBorders>
          </w:tcPr>
          <w:p w14:paraId="6A23362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2.479</w:t>
            </w:r>
          </w:p>
        </w:tc>
      </w:tr>
      <w:tr w:rsidR="0016647F" w:rsidRPr="000D61D1" w14:paraId="5EECFB36" w14:textId="77777777" w:rsidTr="0016647F">
        <w:trPr>
          <w:jc w:val="center"/>
        </w:trPr>
        <w:tc>
          <w:tcPr>
            <w:tcW w:w="2487" w:type="dxa"/>
            <w:tcBorders>
              <w:top w:val="nil"/>
              <w:left w:val="nil"/>
              <w:bottom w:val="nil"/>
              <w:right w:val="nil"/>
            </w:tcBorders>
          </w:tcPr>
          <w:p w14:paraId="6393EF74" w14:textId="0D0B4414"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547" w:type="dxa"/>
            <w:tcBorders>
              <w:top w:val="nil"/>
              <w:left w:val="nil"/>
              <w:bottom w:val="nil"/>
              <w:right w:val="nil"/>
            </w:tcBorders>
          </w:tcPr>
          <w:p w14:paraId="3D56341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37" w:type="dxa"/>
            <w:tcBorders>
              <w:top w:val="nil"/>
              <w:left w:val="nil"/>
              <w:bottom w:val="nil"/>
              <w:right w:val="nil"/>
            </w:tcBorders>
          </w:tcPr>
          <w:p w14:paraId="2F1864D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0.223]*</w:t>
            </w:r>
            <w:proofErr w:type="gramEnd"/>
            <w:r w:rsidRPr="000D61D1">
              <w:rPr>
                <w:rFonts w:cs="Times New Roman"/>
                <w:sz w:val="22"/>
                <w:szCs w:val="22"/>
                <w:lang w:val="en-AU"/>
              </w:rPr>
              <w:t>*</w:t>
            </w:r>
          </w:p>
        </w:tc>
        <w:tc>
          <w:tcPr>
            <w:tcW w:w="1109" w:type="dxa"/>
            <w:tcBorders>
              <w:top w:val="nil"/>
              <w:left w:val="nil"/>
              <w:bottom w:val="nil"/>
              <w:right w:val="nil"/>
            </w:tcBorders>
          </w:tcPr>
          <w:p w14:paraId="55E15ED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0.278]*</w:t>
            </w:r>
            <w:proofErr w:type="gramEnd"/>
            <w:r w:rsidRPr="000D61D1">
              <w:rPr>
                <w:rFonts w:cs="Times New Roman"/>
                <w:sz w:val="22"/>
                <w:szCs w:val="22"/>
                <w:lang w:val="en-AU"/>
              </w:rPr>
              <w:t>*</w:t>
            </w:r>
          </w:p>
        </w:tc>
        <w:tc>
          <w:tcPr>
            <w:tcW w:w="1095" w:type="dxa"/>
            <w:tcBorders>
              <w:top w:val="nil"/>
              <w:left w:val="nil"/>
              <w:bottom w:val="nil"/>
              <w:right w:val="nil"/>
            </w:tcBorders>
          </w:tcPr>
          <w:p w14:paraId="41FFB2D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0.343]*</w:t>
            </w:r>
            <w:proofErr w:type="gramEnd"/>
            <w:r w:rsidRPr="000D61D1">
              <w:rPr>
                <w:rFonts w:cs="Times New Roman"/>
                <w:sz w:val="22"/>
                <w:szCs w:val="22"/>
                <w:lang w:val="en-AU"/>
              </w:rPr>
              <w:t>*</w:t>
            </w:r>
          </w:p>
        </w:tc>
        <w:tc>
          <w:tcPr>
            <w:tcW w:w="1095" w:type="dxa"/>
            <w:tcBorders>
              <w:top w:val="nil"/>
              <w:left w:val="nil"/>
              <w:bottom w:val="nil"/>
              <w:right w:val="nil"/>
            </w:tcBorders>
          </w:tcPr>
          <w:p w14:paraId="097DF64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0.258]*</w:t>
            </w:r>
            <w:proofErr w:type="gramEnd"/>
            <w:r w:rsidRPr="000D61D1">
              <w:rPr>
                <w:rFonts w:cs="Times New Roman"/>
                <w:sz w:val="22"/>
                <w:szCs w:val="22"/>
                <w:lang w:val="en-AU"/>
              </w:rPr>
              <w:t>*</w:t>
            </w:r>
          </w:p>
        </w:tc>
        <w:tc>
          <w:tcPr>
            <w:tcW w:w="1083" w:type="dxa"/>
            <w:tcBorders>
              <w:top w:val="nil"/>
              <w:left w:val="nil"/>
              <w:bottom w:val="nil"/>
              <w:right w:val="nil"/>
            </w:tcBorders>
          </w:tcPr>
          <w:p w14:paraId="405D861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0.222]*</w:t>
            </w:r>
            <w:proofErr w:type="gramEnd"/>
            <w:r w:rsidRPr="000D61D1">
              <w:rPr>
                <w:rFonts w:cs="Times New Roman"/>
                <w:sz w:val="22"/>
                <w:szCs w:val="22"/>
                <w:lang w:val="en-AU"/>
              </w:rPr>
              <w:t>*</w:t>
            </w:r>
          </w:p>
        </w:tc>
      </w:tr>
      <w:tr w:rsidR="0016647F" w:rsidRPr="000D61D1" w14:paraId="1B4E9BDC" w14:textId="77777777" w:rsidTr="0016647F">
        <w:trPr>
          <w:jc w:val="center"/>
        </w:trPr>
        <w:tc>
          <w:tcPr>
            <w:tcW w:w="2487" w:type="dxa"/>
            <w:tcBorders>
              <w:top w:val="nil"/>
              <w:left w:val="nil"/>
              <w:bottom w:val="nil"/>
              <w:right w:val="nil"/>
            </w:tcBorders>
          </w:tcPr>
          <w:p w14:paraId="446E39EF"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Time &amp; Suburb FE</w:t>
            </w:r>
          </w:p>
        </w:tc>
        <w:tc>
          <w:tcPr>
            <w:tcW w:w="547" w:type="dxa"/>
            <w:tcBorders>
              <w:top w:val="nil"/>
              <w:left w:val="nil"/>
              <w:bottom w:val="nil"/>
              <w:right w:val="nil"/>
            </w:tcBorders>
          </w:tcPr>
          <w:p w14:paraId="53B14E34"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sz w:val="22"/>
                <w:szCs w:val="22"/>
                <w:lang w:val="en-AU"/>
              </w:rPr>
              <w:t>YES</w:t>
            </w:r>
          </w:p>
        </w:tc>
        <w:tc>
          <w:tcPr>
            <w:tcW w:w="1137" w:type="dxa"/>
            <w:tcBorders>
              <w:top w:val="nil"/>
              <w:left w:val="nil"/>
              <w:bottom w:val="nil"/>
              <w:right w:val="nil"/>
            </w:tcBorders>
          </w:tcPr>
          <w:p w14:paraId="54120C90"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sz w:val="22"/>
                <w:szCs w:val="22"/>
                <w:lang w:val="en-AU"/>
              </w:rPr>
              <w:t>YES</w:t>
            </w:r>
          </w:p>
        </w:tc>
        <w:tc>
          <w:tcPr>
            <w:tcW w:w="1109" w:type="dxa"/>
            <w:tcBorders>
              <w:top w:val="nil"/>
              <w:left w:val="nil"/>
              <w:bottom w:val="nil"/>
              <w:right w:val="nil"/>
            </w:tcBorders>
          </w:tcPr>
          <w:p w14:paraId="5378CAD3"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sz w:val="22"/>
                <w:szCs w:val="22"/>
                <w:lang w:val="en-AU"/>
              </w:rPr>
              <w:t>YES</w:t>
            </w:r>
          </w:p>
        </w:tc>
        <w:tc>
          <w:tcPr>
            <w:tcW w:w="1095" w:type="dxa"/>
            <w:tcBorders>
              <w:top w:val="nil"/>
              <w:left w:val="nil"/>
              <w:bottom w:val="nil"/>
              <w:right w:val="nil"/>
            </w:tcBorders>
          </w:tcPr>
          <w:p w14:paraId="5C09EAAD" w14:textId="77777777" w:rsidR="0016647F" w:rsidRPr="000D61D1" w:rsidRDefault="0016647F" w:rsidP="0016647F">
            <w:pPr>
              <w:widowControl w:val="0"/>
              <w:autoSpaceDE w:val="0"/>
              <w:autoSpaceDN w:val="0"/>
              <w:adjustRightInd w:val="0"/>
              <w:spacing w:after="0"/>
              <w:jc w:val="center"/>
              <w:rPr>
                <w:sz w:val="22"/>
                <w:szCs w:val="22"/>
                <w:lang w:val="en-AU"/>
              </w:rPr>
            </w:pPr>
            <w:r w:rsidRPr="000D61D1">
              <w:rPr>
                <w:sz w:val="22"/>
                <w:szCs w:val="22"/>
                <w:lang w:val="en-AU"/>
              </w:rPr>
              <w:t>YES</w:t>
            </w:r>
          </w:p>
        </w:tc>
        <w:tc>
          <w:tcPr>
            <w:tcW w:w="1095" w:type="dxa"/>
            <w:tcBorders>
              <w:top w:val="nil"/>
              <w:left w:val="nil"/>
              <w:bottom w:val="nil"/>
              <w:right w:val="nil"/>
            </w:tcBorders>
          </w:tcPr>
          <w:p w14:paraId="037CC98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YES</w:t>
            </w:r>
          </w:p>
        </w:tc>
        <w:tc>
          <w:tcPr>
            <w:tcW w:w="1083" w:type="dxa"/>
            <w:tcBorders>
              <w:top w:val="nil"/>
              <w:left w:val="nil"/>
              <w:bottom w:val="nil"/>
              <w:right w:val="nil"/>
            </w:tcBorders>
          </w:tcPr>
          <w:p w14:paraId="654B782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
        </w:tc>
      </w:tr>
      <w:tr w:rsidR="0016647F" w:rsidRPr="000D61D1" w14:paraId="65057E17" w14:textId="77777777" w:rsidTr="0016647F">
        <w:trPr>
          <w:jc w:val="center"/>
        </w:trPr>
        <w:tc>
          <w:tcPr>
            <w:tcW w:w="2487" w:type="dxa"/>
            <w:tcBorders>
              <w:top w:val="nil"/>
              <w:left w:val="nil"/>
              <w:bottom w:val="nil"/>
              <w:right w:val="nil"/>
            </w:tcBorders>
          </w:tcPr>
          <w:p w14:paraId="31BE1945"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Observations</w:t>
            </w:r>
          </w:p>
        </w:tc>
        <w:tc>
          <w:tcPr>
            <w:tcW w:w="547" w:type="dxa"/>
            <w:tcBorders>
              <w:top w:val="nil"/>
              <w:left w:val="nil"/>
              <w:bottom w:val="nil"/>
              <w:right w:val="nil"/>
            </w:tcBorders>
          </w:tcPr>
          <w:p w14:paraId="64DC377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219,559</w:t>
            </w:r>
          </w:p>
        </w:tc>
        <w:tc>
          <w:tcPr>
            <w:tcW w:w="1137" w:type="dxa"/>
            <w:tcBorders>
              <w:top w:val="nil"/>
              <w:left w:val="nil"/>
              <w:bottom w:val="nil"/>
              <w:right w:val="nil"/>
            </w:tcBorders>
          </w:tcPr>
          <w:p w14:paraId="6F47DFE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208,943</w:t>
            </w:r>
          </w:p>
        </w:tc>
        <w:tc>
          <w:tcPr>
            <w:tcW w:w="1109" w:type="dxa"/>
            <w:tcBorders>
              <w:top w:val="nil"/>
              <w:left w:val="nil"/>
              <w:bottom w:val="nil"/>
              <w:right w:val="nil"/>
            </w:tcBorders>
          </w:tcPr>
          <w:p w14:paraId="3365E32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137,577</w:t>
            </w:r>
          </w:p>
        </w:tc>
        <w:tc>
          <w:tcPr>
            <w:tcW w:w="1095" w:type="dxa"/>
            <w:tcBorders>
              <w:top w:val="nil"/>
              <w:left w:val="nil"/>
              <w:bottom w:val="nil"/>
              <w:right w:val="nil"/>
            </w:tcBorders>
          </w:tcPr>
          <w:p w14:paraId="66C761F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139,698</w:t>
            </w:r>
          </w:p>
        </w:tc>
        <w:tc>
          <w:tcPr>
            <w:tcW w:w="1095" w:type="dxa"/>
            <w:tcBorders>
              <w:top w:val="nil"/>
              <w:left w:val="nil"/>
              <w:bottom w:val="nil"/>
              <w:right w:val="nil"/>
            </w:tcBorders>
          </w:tcPr>
          <w:p w14:paraId="0A075AE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186,907</w:t>
            </w:r>
          </w:p>
        </w:tc>
        <w:tc>
          <w:tcPr>
            <w:tcW w:w="1083" w:type="dxa"/>
            <w:tcBorders>
              <w:top w:val="nil"/>
              <w:left w:val="nil"/>
              <w:bottom w:val="nil"/>
              <w:right w:val="nil"/>
            </w:tcBorders>
          </w:tcPr>
          <w:p w14:paraId="57369BD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208,943</w:t>
            </w:r>
          </w:p>
        </w:tc>
      </w:tr>
      <w:tr w:rsidR="0016647F" w:rsidRPr="000D61D1" w14:paraId="07841BFB" w14:textId="77777777" w:rsidTr="0016647F">
        <w:trPr>
          <w:jc w:val="center"/>
        </w:trPr>
        <w:tc>
          <w:tcPr>
            <w:tcW w:w="2487" w:type="dxa"/>
            <w:tcBorders>
              <w:top w:val="nil"/>
              <w:left w:val="nil"/>
              <w:bottom w:val="nil"/>
              <w:right w:val="nil"/>
            </w:tcBorders>
          </w:tcPr>
          <w:p w14:paraId="1EC32348"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Number of Suburbs</w:t>
            </w:r>
          </w:p>
        </w:tc>
        <w:tc>
          <w:tcPr>
            <w:tcW w:w="547" w:type="dxa"/>
            <w:tcBorders>
              <w:top w:val="nil"/>
              <w:left w:val="nil"/>
              <w:bottom w:val="nil"/>
              <w:right w:val="nil"/>
            </w:tcBorders>
          </w:tcPr>
          <w:p w14:paraId="3F2D3C5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3,799</w:t>
            </w:r>
          </w:p>
        </w:tc>
        <w:tc>
          <w:tcPr>
            <w:tcW w:w="1137" w:type="dxa"/>
            <w:tcBorders>
              <w:top w:val="nil"/>
              <w:left w:val="nil"/>
              <w:bottom w:val="nil"/>
              <w:right w:val="nil"/>
            </w:tcBorders>
          </w:tcPr>
          <w:p w14:paraId="45710F3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3,781</w:t>
            </w:r>
          </w:p>
        </w:tc>
        <w:tc>
          <w:tcPr>
            <w:tcW w:w="1109" w:type="dxa"/>
            <w:tcBorders>
              <w:top w:val="nil"/>
              <w:left w:val="nil"/>
              <w:bottom w:val="nil"/>
              <w:right w:val="nil"/>
            </w:tcBorders>
          </w:tcPr>
          <w:p w14:paraId="1D6114C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2,112</w:t>
            </w:r>
          </w:p>
        </w:tc>
        <w:tc>
          <w:tcPr>
            <w:tcW w:w="1095" w:type="dxa"/>
            <w:tcBorders>
              <w:top w:val="nil"/>
              <w:left w:val="nil"/>
              <w:bottom w:val="nil"/>
              <w:right w:val="nil"/>
            </w:tcBorders>
          </w:tcPr>
          <w:p w14:paraId="306817A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3,601</w:t>
            </w:r>
          </w:p>
        </w:tc>
        <w:tc>
          <w:tcPr>
            <w:tcW w:w="1095" w:type="dxa"/>
            <w:tcBorders>
              <w:top w:val="nil"/>
              <w:left w:val="nil"/>
              <w:bottom w:val="nil"/>
              <w:right w:val="nil"/>
            </w:tcBorders>
          </w:tcPr>
          <w:p w14:paraId="24601BF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3,740</w:t>
            </w:r>
          </w:p>
        </w:tc>
        <w:tc>
          <w:tcPr>
            <w:tcW w:w="1083" w:type="dxa"/>
            <w:tcBorders>
              <w:top w:val="nil"/>
              <w:left w:val="nil"/>
              <w:bottom w:val="nil"/>
              <w:right w:val="nil"/>
            </w:tcBorders>
          </w:tcPr>
          <w:p w14:paraId="161D925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3,781</w:t>
            </w:r>
          </w:p>
        </w:tc>
      </w:tr>
      <w:tr w:rsidR="0016647F" w:rsidRPr="000D61D1" w14:paraId="00955BAC" w14:textId="77777777" w:rsidTr="0016647F">
        <w:trPr>
          <w:jc w:val="center"/>
        </w:trPr>
        <w:tc>
          <w:tcPr>
            <w:tcW w:w="2487" w:type="dxa"/>
            <w:tcBorders>
              <w:top w:val="nil"/>
              <w:left w:val="nil"/>
              <w:bottom w:val="nil"/>
              <w:right w:val="nil"/>
            </w:tcBorders>
          </w:tcPr>
          <w:p w14:paraId="72320FC6"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Adj. R-squared</w:t>
            </w:r>
          </w:p>
        </w:tc>
        <w:tc>
          <w:tcPr>
            <w:tcW w:w="547" w:type="dxa"/>
            <w:tcBorders>
              <w:top w:val="nil"/>
              <w:left w:val="nil"/>
              <w:bottom w:val="nil"/>
              <w:right w:val="nil"/>
            </w:tcBorders>
          </w:tcPr>
          <w:p w14:paraId="0594037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0.76</w:t>
            </w:r>
          </w:p>
        </w:tc>
        <w:tc>
          <w:tcPr>
            <w:tcW w:w="1137" w:type="dxa"/>
            <w:tcBorders>
              <w:top w:val="nil"/>
              <w:left w:val="nil"/>
              <w:bottom w:val="nil"/>
              <w:right w:val="nil"/>
            </w:tcBorders>
          </w:tcPr>
          <w:p w14:paraId="1A567CE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0.77</w:t>
            </w:r>
          </w:p>
        </w:tc>
        <w:tc>
          <w:tcPr>
            <w:tcW w:w="1109" w:type="dxa"/>
            <w:tcBorders>
              <w:top w:val="nil"/>
              <w:left w:val="nil"/>
              <w:bottom w:val="nil"/>
              <w:right w:val="nil"/>
            </w:tcBorders>
          </w:tcPr>
          <w:p w14:paraId="030236A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0.77</w:t>
            </w:r>
          </w:p>
        </w:tc>
        <w:tc>
          <w:tcPr>
            <w:tcW w:w="1095" w:type="dxa"/>
            <w:tcBorders>
              <w:top w:val="nil"/>
              <w:left w:val="nil"/>
              <w:bottom w:val="nil"/>
              <w:right w:val="nil"/>
            </w:tcBorders>
          </w:tcPr>
          <w:p w14:paraId="06F7A03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0.77</w:t>
            </w:r>
          </w:p>
        </w:tc>
        <w:tc>
          <w:tcPr>
            <w:tcW w:w="1095" w:type="dxa"/>
            <w:tcBorders>
              <w:top w:val="nil"/>
              <w:left w:val="nil"/>
              <w:bottom w:val="nil"/>
              <w:right w:val="nil"/>
            </w:tcBorders>
          </w:tcPr>
          <w:p w14:paraId="64CA98B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0.77</w:t>
            </w:r>
          </w:p>
        </w:tc>
        <w:tc>
          <w:tcPr>
            <w:tcW w:w="1083" w:type="dxa"/>
            <w:tcBorders>
              <w:top w:val="nil"/>
              <w:left w:val="nil"/>
              <w:bottom w:val="nil"/>
              <w:right w:val="nil"/>
            </w:tcBorders>
          </w:tcPr>
          <w:p w14:paraId="4B5114BC"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0.77</w:t>
            </w:r>
          </w:p>
        </w:tc>
      </w:tr>
      <w:tr w:rsidR="0016647F" w:rsidRPr="000D61D1" w14:paraId="607B7BB3" w14:textId="77777777" w:rsidTr="0016647F">
        <w:trPr>
          <w:jc w:val="center"/>
        </w:trPr>
        <w:tc>
          <w:tcPr>
            <w:tcW w:w="2487" w:type="dxa"/>
            <w:tcBorders>
              <w:top w:val="nil"/>
              <w:left w:val="nil"/>
              <w:bottom w:val="single" w:sz="6" w:space="0" w:color="auto"/>
              <w:right w:val="nil"/>
            </w:tcBorders>
          </w:tcPr>
          <w:p w14:paraId="7CEA941F"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Max in Cor. Matrix</w:t>
            </w:r>
          </w:p>
        </w:tc>
        <w:tc>
          <w:tcPr>
            <w:tcW w:w="547" w:type="dxa"/>
            <w:tcBorders>
              <w:top w:val="nil"/>
              <w:left w:val="nil"/>
              <w:bottom w:val="single" w:sz="6" w:space="0" w:color="auto"/>
              <w:right w:val="nil"/>
            </w:tcBorders>
          </w:tcPr>
          <w:p w14:paraId="4E4163C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0.81</w:t>
            </w:r>
          </w:p>
        </w:tc>
        <w:tc>
          <w:tcPr>
            <w:tcW w:w="1137" w:type="dxa"/>
            <w:tcBorders>
              <w:top w:val="nil"/>
              <w:left w:val="nil"/>
              <w:bottom w:val="single" w:sz="6" w:space="0" w:color="auto"/>
              <w:right w:val="nil"/>
            </w:tcBorders>
          </w:tcPr>
          <w:p w14:paraId="3D9D615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0.78</w:t>
            </w:r>
          </w:p>
        </w:tc>
        <w:tc>
          <w:tcPr>
            <w:tcW w:w="1109" w:type="dxa"/>
            <w:tcBorders>
              <w:top w:val="nil"/>
              <w:left w:val="nil"/>
              <w:bottom w:val="single" w:sz="6" w:space="0" w:color="auto"/>
              <w:right w:val="nil"/>
            </w:tcBorders>
          </w:tcPr>
          <w:p w14:paraId="59AC529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0.77</w:t>
            </w:r>
          </w:p>
        </w:tc>
        <w:tc>
          <w:tcPr>
            <w:tcW w:w="1095" w:type="dxa"/>
            <w:tcBorders>
              <w:top w:val="nil"/>
              <w:left w:val="nil"/>
              <w:bottom w:val="single" w:sz="6" w:space="0" w:color="auto"/>
              <w:right w:val="nil"/>
            </w:tcBorders>
          </w:tcPr>
          <w:p w14:paraId="42E8909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0.41</w:t>
            </w:r>
          </w:p>
        </w:tc>
        <w:tc>
          <w:tcPr>
            <w:tcW w:w="1095" w:type="dxa"/>
            <w:tcBorders>
              <w:top w:val="nil"/>
              <w:left w:val="nil"/>
              <w:bottom w:val="single" w:sz="6" w:space="0" w:color="auto"/>
              <w:right w:val="nil"/>
            </w:tcBorders>
          </w:tcPr>
          <w:p w14:paraId="6EFEE93C"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0.33</w:t>
            </w:r>
          </w:p>
        </w:tc>
        <w:tc>
          <w:tcPr>
            <w:tcW w:w="1083" w:type="dxa"/>
            <w:tcBorders>
              <w:top w:val="nil"/>
              <w:left w:val="nil"/>
              <w:bottom w:val="single" w:sz="6" w:space="0" w:color="auto"/>
              <w:right w:val="nil"/>
            </w:tcBorders>
          </w:tcPr>
          <w:p w14:paraId="4446857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0.34</w:t>
            </w:r>
          </w:p>
        </w:tc>
      </w:tr>
    </w:tbl>
    <w:p w14:paraId="00EB6FE8" w14:textId="41ACA813" w:rsidR="003C0366" w:rsidRPr="000D61D1" w:rsidRDefault="0016647F" w:rsidP="00D87647">
      <w:pPr>
        <w:widowControl w:val="0"/>
        <w:autoSpaceDE w:val="0"/>
        <w:autoSpaceDN w:val="0"/>
        <w:adjustRightInd w:val="0"/>
        <w:spacing w:before="79" w:after="79"/>
        <w:jc w:val="center"/>
        <w:rPr>
          <w:rFonts w:cs="Times New Roman"/>
          <w:sz w:val="22"/>
          <w:szCs w:val="22"/>
          <w:lang w:val="en-AU"/>
        </w:rPr>
      </w:pPr>
      <w:r w:rsidRPr="000D61D1">
        <w:rPr>
          <w:rFonts w:cs="Times New Roman"/>
          <w:sz w:val="22"/>
          <w:szCs w:val="22"/>
          <w:lang w:val="en-AU"/>
        </w:rPr>
        <w:t xml:space="preserve">* </w:t>
      </w:r>
      <w:r w:rsidRPr="000D61D1">
        <w:rPr>
          <w:rFonts w:cs="Times New Roman"/>
          <w:i/>
          <w:iCs/>
          <w:sz w:val="22"/>
          <w:szCs w:val="22"/>
          <w:lang w:val="en-AU"/>
        </w:rPr>
        <w:t>p</w:t>
      </w:r>
      <w:r w:rsidRPr="000D61D1">
        <w:rPr>
          <w:rFonts w:cs="Times New Roman"/>
          <w:sz w:val="22"/>
          <w:szCs w:val="22"/>
          <w:lang w:val="en-AU"/>
        </w:rPr>
        <w:t xml:space="preserve">&lt;0.05; ** </w:t>
      </w:r>
      <w:r w:rsidRPr="000D61D1">
        <w:rPr>
          <w:rFonts w:cs="Times New Roman"/>
          <w:i/>
          <w:iCs/>
          <w:sz w:val="22"/>
          <w:szCs w:val="22"/>
          <w:lang w:val="en-AU"/>
        </w:rPr>
        <w:t>p</w:t>
      </w:r>
      <w:r w:rsidRPr="000D61D1">
        <w:rPr>
          <w:rFonts w:cs="Times New Roman"/>
          <w:sz w:val="22"/>
          <w:szCs w:val="22"/>
          <w:lang w:val="en-AU"/>
        </w:rPr>
        <w:t>&lt;0.01</w:t>
      </w:r>
    </w:p>
    <w:p w14:paraId="17B8BCB1" w14:textId="77777777" w:rsidR="00D87647" w:rsidRPr="000D61D1" w:rsidRDefault="00D87647" w:rsidP="00D87647">
      <w:pPr>
        <w:widowControl w:val="0"/>
        <w:autoSpaceDE w:val="0"/>
        <w:autoSpaceDN w:val="0"/>
        <w:adjustRightInd w:val="0"/>
        <w:spacing w:before="79" w:after="79"/>
        <w:jc w:val="center"/>
        <w:rPr>
          <w:rFonts w:cs="Times New Roman"/>
          <w:sz w:val="22"/>
          <w:szCs w:val="22"/>
          <w:lang w:val="en-AU"/>
        </w:rPr>
      </w:pPr>
    </w:p>
    <w:p w14:paraId="0EB9649B" w14:textId="14CAD4AB" w:rsidR="0016647F" w:rsidRDefault="00E26B78" w:rsidP="0016647F">
      <w:pPr>
        <w:rPr>
          <w:lang w:val="en-AU"/>
        </w:rPr>
      </w:pPr>
      <w:r w:rsidRPr="000D61D1">
        <w:rPr>
          <w:color w:val="000000" w:themeColor="text1"/>
          <w:sz w:val="22"/>
          <w:szCs w:val="22"/>
          <w:lang w:val="en-AU"/>
        </w:rPr>
        <w:fldChar w:fldCharType="begin"/>
      </w:r>
      <w:r w:rsidRPr="000D61D1">
        <w:rPr>
          <w:color w:val="000000" w:themeColor="text1"/>
          <w:sz w:val="22"/>
          <w:szCs w:val="22"/>
          <w:lang w:val="en-AU"/>
        </w:rPr>
        <w:instrText xml:space="preserve"> REF _Ref33091947 \h  \* MERGEFORMAT </w:instrText>
      </w:r>
      <w:r w:rsidRPr="000D61D1">
        <w:rPr>
          <w:color w:val="000000" w:themeColor="text1"/>
          <w:sz w:val="22"/>
          <w:szCs w:val="22"/>
          <w:lang w:val="en-AU"/>
        </w:rPr>
      </w:r>
      <w:r w:rsidRPr="000D61D1">
        <w:rPr>
          <w:color w:val="000000" w:themeColor="text1"/>
          <w:sz w:val="22"/>
          <w:szCs w:val="22"/>
          <w:lang w:val="en-AU"/>
        </w:rPr>
        <w:fldChar w:fldCharType="separate"/>
      </w:r>
      <w:r w:rsidR="00A763B6" w:rsidRPr="00A763B6">
        <w:rPr>
          <w:color w:val="000000" w:themeColor="text1"/>
          <w:sz w:val="22"/>
          <w:szCs w:val="22"/>
          <w:lang w:val="en-AU"/>
        </w:rPr>
        <w:t xml:space="preserve">Table </w:t>
      </w:r>
      <w:r w:rsidR="00A763B6" w:rsidRPr="00A763B6">
        <w:rPr>
          <w:noProof/>
          <w:color w:val="000000" w:themeColor="text1"/>
          <w:sz w:val="22"/>
          <w:szCs w:val="22"/>
          <w:lang w:val="en-AU"/>
        </w:rPr>
        <w:t>13</w:t>
      </w:r>
      <w:r w:rsidRPr="000D61D1">
        <w:rPr>
          <w:color w:val="000000" w:themeColor="text1"/>
          <w:sz w:val="22"/>
          <w:szCs w:val="22"/>
          <w:lang w:val="en-AU"/>
        </w:rPr>
        <w:fldChar w:fldCharType="end"/>
      </w:r>
      <w:r w:rsidRPr="000D61D1">
        <w:rPr>
          <w:color w:val="000000" w:themeColor="text1"/>
          <w:sz w:val="22"/>
          <w:szCs w:val="22"/>
          <w:lang w:val="en-AU"/>
        </w:rPr>
        <w:t xml:space="preserve"> </w:t>
      </w:r>
      <w:r w:rsidR="0016647F" w:rsidRPr="000D61D1">
        <w:rPr>
          <w:lang w:val="en-AU"/>
        </w:rPr>
        <w:t>shows no significance on the reform trend. The second half of the table shows a suggestive decreas</w:t>
      </w:r>
      <w:r w:rsidR="00A73C8D">
        <w:rPr>
          <w:lang w:val="en-AU"/>
        </w:rPr>
        <w:t>e</w:t>
      </w:r>
      <w:r w:rsidR="002D582E" w:rsidRPr="000D61D1">
        <w:rPr>
          <w:lang w:val="en-AU"/>
        </w:rPr>
        <w:t xml:space="preserve"> in the</w:t>
      </w:r>
      <w:r w:rsidR="0016647F" w:rsidRPr="000D61D1">
        <w:rPr>
          <w:lang w:val="en-AU"/>
        </w:rPr>
        <w:t xml:space="preserve"> negative reform coefficient over time.  </w:t>
      </w:r>
    </w:p>
    <w:p w14:paraId="651A6547" w14:textId="5A11A3B8" w:rsidR="00F37FE0" w:rsidRPr="000D61D1" w:rsidRDefault="00F37FE0" w:rsidP="0016647F">
      <w:pPr>
        <w:rPr>
          <w:lang w:val="en-AU"/>
        </w:rPr>
      </w:pPr>
      <w:r>
        <w:rPr>
          <w:lang w:val="en-AU"/>
        </w:rPr>
        <w:t xml:space="preserve">Tables 12 and 13 use all of Australia as the control group.  If instead we use capital cities as the control </w:t>
      </w:r>
      <w:proofErr w:type="gramStart"/>
      <w:r>
        <w:rPr>
          <w:lang w:val="en-AU"/>
        </w:rPr>
        <w:t>group</w:t>
      </w:r>
      <w:proofErr w:type="gramEnd"/>
      <w:r>
        <w:rPr>
          <w:lang w:val="en-AU"/>
        </w:rPr>
        <w:t xml:space="preserve"> we find results similar to columns (3) and (6) with a statistically insignificant trend </w:t>
      </w:r>
      <w:proofErr w:type="spellStart"/>
      <w:r>
        <w:rPr>
          <w:lang w:val="en-AU"/>
        </w:rPr>
        <w:t>varible</w:t>
      </w:r>
      <w:proofErr w:type="spellEnd"/>
      <w:r>
        <w:rPr>
          <w:lang w:val="en-AU"/>
        </w:rPr>
        <w:t>. There is no clear trend over time when we estimate over shorter time periods.</w:t>
      </w:r>
    </w:p>
    <w:p w14:paraId="79553A97" w14:textId="77777777" w:rsidR="0016647F" w:rsidRPr="000D61D1" w:rsidRDefault="0016647F" w:rsidP="001922CF">
      <w:pPr>
        <w:pStyle w:val="Heading3"/>
        <w:rPr>
          <w:lang w:val="en-AU"/>
        </w:rPr>
      </w:pPr>
      <w:bookmarkStart w:id="34" w:name="_Toc43911483"/>
      <w:r w:rsidRPr="000D61D1">
        <w:rPr>
          <w:lang w:val="en-AU"/>
        </w:rPr>
        <w:t>Results for the effect on property prices</w:t>
      </w:r>
      <w:bookmarkEnd w:id="34"/>
    </w:p>
    <w:p w14:paraId="55B59A1B" w14:textId="13B405DC" w:rsidR="0016647F" w:rsidRPr="000D61D1" w:rsidRDefault="0016647F" w:rsidP="0016647F">
      <w:pPr>
        <w:rPr>
          <w:color w:val="000000" w:themeColor="text1"/>
          <w:lang w:val="en-AU"/>
        </w:rPr>
      </w:pPr>
      <w:r w:rsidRPr="000D61D1">
        <w:rPr>
          <w:lang w:val="en-AU"/>
        </w:rPr>
        <w:t xml:space="preserve">This section provides the results for the reform effects on property prices. </w:t>
      </w:r>
      <w:r w:rsidR="00867C38" w:rsidRPr="000D61D1">
        <w:rPr>
          <w:color w:val="000000" w:themeColor="text1"/>
          <w:lang w:val="en-AU"/>
        </w:rPr>
        <w:fldChar w:fldCharType="begin"/>
      </w:r>
      <w:r w:rsidR="00867C38" w:rsidRPr="000D61D1">
        <w:rPr>
          <w:color w:val="000000" w:themeColor="text1"/>
          <w:lang w:val="en-AU"/>
        </w:rPr>
        <w:instrText xml:space="preserve"> REF _Ref33092848 \h </w:instrText>
      </w:r>
      <w:r w:rsidR="00767301" w:rsidRPr="000D61D1">
        <w:rPr>
          <w:color w:val="000000" w:themeColor="text1"/>
          <w:lang w:val="en-AU"/>
        </w:rPr>
        <w:instrText xml:space="preserve"> \* MERGEFORMAT </w:instrText>
      </w:r>
      <w:r w:rsidR="00867C38" w:rsidRPr="000D61D1">
        <w:rPr>
          <w:color w:val="000000" w:themeColor="text1"/>
          <w:lang w:val="en-AU"/>
        </w:rPr>
      </w:r>
      <w:r w:rsidR="00867C38"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14</w:t>
      </w:r>
      <w:r w:rsidR="00867C38" w:rsidRPr="000D61D1">
        <w:rPr>
          <w:color w:val="000000" w:themeColor="text1"/>
          <w:lang w:val="en-AU"/>
        </w:rPr>
        <w:fldChar w:fldCharType="end"/>
      </w:r>
      <w:r w:rsidR="00867C38" w:rsidRPr="000D61D1">
        <w:rPr>
          <w:color w:val="000000" w:themeColor="text1"/>
          <w:lang w:val="en-AU"/>
        </w:rPr>
        <w:t xml:space="preserve"> </w:t>
      </w:r>
      <w:r w:rsidRPr="000D61D1">
        <w:rPr>
          <w:color w:val="000000" w:themeColor="text1"/>
          <w:lang w:val="en-AU"/>
        </w:rPr>
        <w:t xml:space="preserve">shows the results for both houses and unit prices. </w:t>
      </w:r>
    </w:p>
    <w:p w14:paraId="32E5E356" w14:textId="7E7C97F0" w:rsidR="0016647F" w:rsidRPr="000D61D1" w:rsidRDefault="0016647F" w:rsidP="0016647F">
      <w:pPr>
        <w:rPr>
          <w:lang w:val="en-AU"/>
        </w:rPr>
      </w:pPr>
      <w:r w:rsidRPr="000D61D1">
        <w:rPr>
          <w:color w:val="000000" w:themeColor="text1"/>
          <w:lang w:val="en-AU"/>
        </w:rPr>
        <w:t>There is no significant effect of the reform on house prices in column 1 of</w:t>
      </w:r>
      <w:r w:rsidR="00867C38" w:rsidRPr="000D61D1">
        <w:rPr>
          <w:color w:val="000000" w:themeColor="text1"/>
          <w:lang w:val="en-AU"/>
        </w:rPr>
        <w:t xml:space="preserve"> </w:t>
      </w:r>
      <w:r w:rsidR="00867C38" w:rsidRPr="000D61D1">
        <w:rPr>
          <w:color w:val="000000" w:themeColor="text1"/>
          <w:lang w:val="en-AU"/>
        </w:rPr>
        <w:fldChar w:fldCharType="begin"/>
      </w:r>
      <w:r w:rsidR="00867C38" w:rsidRPr="000D61D1">
        <w:rPr>
          <w:color w:val="000000" w:themeColor="text1"/>
          <w:lang w:val="en-AU"/>
        </w:rPr>
        <w:instrText xml:space="preserve"> REF _Ref33092848 \h </w:instrText>
      </w:r>
      <w:r w:rsidR="00767301" w:rsidRPr="000D61D1">
        <w:rPr>
          <w:color w:val="000000" w:themeColor="text1"/>
          <w:lang w:val="en-AU"/>
        </w:rPr>
        <w:instrText xml:space="preserve"> \* MERGEFORMAT </w:instrText>
      </w:r>
      <w:r w:rsidR="00867C38" w:rsidRPr="000D61D1">
        <w:rPr>
          <w:color w:val="000000" w:themeColor="text1"/>
          <w:lang w:val="en-AU"/>
        </w:rPr>
      </w:r>
      <w:r w:rsidR="00867C38"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14</w:t>
      </w:r>
      <w:r w:rsidR="00867C38" w:rsidRPr="000D61D1">
        <w:rPr>
          <w:color w:val="000000" w:themeColor="text1"/>
          <w:lang w:val="en-AU"/>
        </w:rPr>
        <w:fldChar w:fldCharType="end"/>
      </w:r>
      <w:r w:rsidRPr="000D61D1">
        <w:rPr>
          <w:color w:val="000000" w:themeColor="text1"/>
          <w:lang w:val="en-AU"/>
        </w:rPr>
        <w:t xml:space="preserve">. </w:t>
      </w:r>
      <w:r w:rsidRPr="000D61D1">
        <w:rPr>
          <w:lang w:val="en-AU"/>
        </w:rPr>
        <w:t xml:space="preserve">When we add the population and income </w:t>
      </w:r>
      <w:proofErr w:type="gramStart"/>
      <w:r w:rsidRPr="000D61D1">
        <w:rPr>
          <w:lang w:val="en-AU"/>
        </w:rPr>
        <w:t>controls</w:t>
      </w:r>
      <w:proofErr w:type="gramEnd"/>
      <w:r w:rsidRPr="000D61D1">
        <w:rPr>
          <w:lang w:val="en-AU"/>
        </w:rPr>
        <w:t xml:space="preserve"> we find a 9% house price increase as a result of the reform. Moving to capital cities as our control group in column 3 the effect goes down to 2% and becomes </w:t>
      </w:r>
      <w:r w:rsidR="00BF258B" w:rsidRPr="000D61D1">
        <w:rPr>
          <w:lang w:val="en-AU"/>
        </w:rPr>
        <w:t xml:space="preserve">just statistically </w:t>
      </w:r>
      <w:r w:rsidRPr="000D61D1">
        <w:rPr>
          <w:lang w:val="en-AU"/>
        </w:rPr>
        <w:t>insignificant.</w:t>
      </w:r>
      <w:r w:rsidR="002D582E" w:rsidRPr="000D61D1">
        <w:rPr>
          <w:lang w:val="en-AU"/>
        </w:rPr>
        <w:t xml:space="preserve"> </w:t>
      </w:r>
      <w:r w:rsidR="002D582E" w:rsidRPr="000D61D1">
        <w:rPr>
          <w:lang w:val="en-AU" w:bidi="bn-BD"/>
        </w:rPr>
        <w:t xml:space="preserve">Multicollinearity </w:t>
      </w:r>
      <w:r w:rsidR="002D582E" w:rsidRPr="000D61D1">
        <w:rPr>
          <w:lang w:val="en-AU"/>
        </w:rPr>
        <w:t>is not a problem.</w:t>
      </w:r>
      <w:r w:rsidRPr="000D61D1">
        <w:rPr>
          <w:lang w:val="en-AU"/>
        </w:rPr>
        <w:t xml:space="preserve">  </w:t>
      </w:r>
    </w:p>
    <w:p w14:paraId="6EDA808C" w14:textId="77777777" w:rsidR="00D87647" w:rsidRPr="000D61D1" w:rsidRDefault="00D87647" w:rsidP="0016647F">
      <w:pPr>
        <w:rPr>
          <w:lang w:val="en-AU"/>
        </w:rPr>
      </w:pPr>
    </w:p>
    <w:p w14:paraId="0987EFCE" w14:textId="3157AD6C" w:rsidR="00CC0463" w:rsidRPr="000D61D1" w:rsidRDefault="00CC0463" w:rsidP="007C11BD">
      <w:pPr>
        <w:pStyle w:val="TableCaption"/>
        <w:rPr>
          <w:rFonts w:ascii="Times New Roman" w:hAnsi="Times New Roman" w:cs="Times New Roman"/>
          <w:sz w:val="29"/>
          <w:szCs w:val="29"/>
          <w:lang w:val="en-AU"/>
        </w:rPr>
      </w:pPr>
      <w:bookmarkStart w:id="35" w:name="_Ref33092848"/>
      <w:bookmarkStart w:id="36" w:name="_Toc43911501"/>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14</w:t>
      </w:r>
      <w:r w:rsidRPr="000D61D1">
        <w:rPr>
          <w:lang w:val="en-AU"/>
        </w:rPr>
        <w:fldChar w:fldCharType="end"/>
      </w:r>
      <w:bookmarkEnd w:id="35"/>
      <w:r w:rsidRPr="000D61D1">
        <w:rPr>
          <w:lang w:val="en-AU"/>
        </w:rPr>
        <w:t xml:space="preserve"> - Effect of the tax reform on property prices - estimations in logs</w:t>
      </w:r>
      <w:bookmarkEnd w:id="36"/>
    </w:p>
    <w:tbl>
      <w:tblPr>
        <w:tblW w:w="0" w:type="auto"/>
        <w:jc w:val="center"/>
        <w:tblCellMar>
          <w:left w:w="144" w:type="dxa"/>
          <w:right w:w="144" w:type="dxa"/>
        </w:tblCellMar>
        <w:tblLook w:val="0000" w:firstRow="0" w:lastRow="0" w:firstColumn="0" w:lastColumn="0" w:noHBand="0" w:noVBand="0"/>
      </w:tblPr>
      <w:tblGrid>
        <w:gridCol w:w="2116"/>
        <w:gridCol w:w="1012"/>
        <w:gridCol w:w="1144"/>
        <w:gridCol w:w="1174"/>
        <w:gridCol w:w="1144"/>
        <w:gridCol w:w="1292"/>
        <w:gridCol w:w="1144"/>
      </w:tblGrid>
      <w:tr w:rsidR="0016647F" w:rsidRPr="000D61D1" w14:paraId="5796A243" w14:textId="77777777" w:rsidTr="0016647F">
        <w:trPr>
          <w:jc w:val="center"/>
        </w:trPr>
        <w:tc>
          <w:tcPr>
            <w:tcW w:w="2268" w:type="dxa"/>
            <w:tcBorders>
              <w:top w:val="single" w:sz="6" w:space="0" w:color="auto"/>
              <w:left w:val="nil"/>
              <w:right w:val="nil"/>
            </w:tcBorders>
          </w:tcPr>
          <w:p w14:paraId="5242F327" w14:textId="77777777" w:rsidR="0016647F" w:rsidRPr="000D61D1" w:rsidRDefault="0016647F" w:rsidP="0016647F">
            <w:pPr>
              <w:widowControl w:val="0"/>
              <w:autoSpaceDE w:val="0"/>
              <w:autoSpaceDN w:val="0"/>
              <w:adjustRightInd w:val="0"/>
              <w:spacing w:before="79"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House Price)</w:t>
            </w:r>
          </w:p>
        </w:tc>
        <w:tc>
          <w:tcPr>
            <w:tcW w:w="904" w:type="dxa"/>
            <w:tcBorders>
              <w:top w:val="single" w:sz="6" w:space="0" w:color="auto"/>
              <w:left w:val="nil"/>
              <w:right w:val="nil"/>
            </w:tcBorders>
          </w:tcPr>
          <w:p w14:paraId="6D770179"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(1)</w:t>
            </w:r>
          </w:p>
        </w:tc>
        <w:tc>
          <w:tcPr>
            <w:tcW w:w="1140" w:type="dxa"/>
            <w:tcBorders>
              <w:top w:val="single" w:sz="6" w:space="0" w:color="auto"/>
              <w:left w:val="nil"/>
              <w:right w:val="nil"/>
            </w:tcBorders>
          </w:tcPr>
          <w:p w14:paraId="098064CA"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(2)</w:t>
            </w:r>
          </w:p>
        </w:tc>
        <w:tc>
          <w:tcPr>
            <w:tcW w:w="1185" w:type="dxa"/>
            <w:tcBorders>
              <w:top w:val="single" w:sz="6" w:space="0" w:color="auto"/>
              <w:left w:val="nil"/>
              <w:right w:val="single" w:sz="4" w:space="0" w:color="auto"/>
            </w:tcBorders>
          </w:tcPr>
          <w:p w14:paraId="1DA7472B"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(3)</w:t>
            </w:r>
          </w:p>
        </w:tc>
        <w:tc>
          <w:tcPr>
            <w:tcW w:w="1110" w:type="dxa"/>
            <w:tcBorders>
              <w:top w:val="single" w:sz="6" w:space="0" w:color="auto"/>
              <w:left w:val="single" w:sz="4" w:space="0" w:color="auto"/>
              <w:right w:val="nil"/>
            </w:tcBorders>
          </w:tcPr>
          <w:p w14:paraId="3561EF6C"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sz w:val="22"/>
                <w:szCs w:val="22"/>
                <w:lang w:val="en-AU"/>
              </w:rPr>
              <w:t>(4)</w:t>
            </w:r>
          </w:p>
        </w:tc>
        <w:tc>
          <w:tcPr>
            <w:tcW w:w="1347" w:type="dxa"/>
            <w:tcBorders>
              <w:top w:val="single" w:sz="6" w:space="0" w:color="auto"/>
              <w:left w:val="nil"/>
              <w:right w:val="nil"/>
            </w:tcBorders>
          </w:tcPr>
          <w:p w14:paraId="092AE1EC"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sz w:val="22"/>
                <w:szCs w:val="22"/>
                <w:lang w:val="en-AU"/>
              </w:rPr>
              <w:t>(5)</w:t>
            </w:r>
          </w:p>
        </w:tc>
        <w:tc>
          <w:tcPr>
            <w:tcW w:w="1072" w:type="dxa"/>
            <w:tcBorders>
              <w:top w:val="single" w:sz="6" w:space="0" w:color="auto"/>
              <w:left w:val="nil"/>
              <w:right w:val="nil"/>
            </w:tcBorders>
          </w:tcPr>
          <w:p w14:paraId="4D29CC7C"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sz w:val="22"/>
                <w:szCs w:val="22"/>
                <w:lang w:val="en-AU"/>
              </w:rPr>
              <w:t>(6)</w:t>
            </w:r>
          </w:p>
        </w:tc>
      </w:tr>
      <w:tr w:rsidR="0016647F" w:rsidRPr="000D61D1" w14:paraId="5E038226" w14:textId="77777777" w:rsidTr="0016647F">
        <w:trPr>
          <w:jc w:val="center"/>
        </w:trPr>
        <w:tc>
          <w:tcPr>
            <w:tcW w:w="2268" w:type="dxa"/>
            <w:tcBorders>
              <w:left w:val="nil"/>
              <w:bottom w:val="single" w:sz="4" w:space="0" w:color="auto"/>
              <w:right w:val="nil"/>
            </w:tcBorders>
          </w:tcPr>
          <w:p w14:paraId="48DBCFC9" w14:textId="77777777" w:rsidR="0016647F" w:rsidRPr="000D61D1" w:rsidRDefault="0016647F" w:rsidP="0016647F">
            <w:pPr>
              <w:widowControl w:val="0"/>
              <w:autoSpaceDE w:val="0"/>
              <w:autoSpaceDN w:val="0"/>
              <w:adjustRightInd w:val="0"/>
              <w:spacing w:before="79" w:after="0"/>
              <w:rPr>
                <w:rFonts w:cs="Times New Roman"/>
                <w:sz w:val="22"/>
                <w:szCs w:val="22"/>
                <w:lang w:val="en-AU"/>
              </w:rPr>
            </w:pPr>
          </w:p>
        </w:tc>
        <w:tc>
          <w:tcPr>
            <w:tcW w:w="3229" w:type="dxa"/>
            <w:gridSpan w:val="3"/>
            <w:tcBorders>
              <w:left w:val="nil"/>
              <w:bottom w:val="single" w:sz="4" w:space="0" w:color="auto"/>
              <w:right w:val="single" w:sz="4" w:space="0" w:color="auto"/>
            </w:tcBorders>
          </w:tcPr>
          <w:p w14:paraId="33BF3DFE"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 xml:space="preserve">Houses </w:t>
            </w:r>
          </w:p>
        </w:tc>
        <w:tc>
          <w:tcPr>
            <w:tcW w:w="3529" w:type="dxa"/>
            <w:gridSpan w:val="3"/>
            <w:tcBorders>
              <w:left w:val="single" w:sz="4" w:space="0" w:color="auto"/>
              <w:bottom w:val="single" w:sz="4" w:space="0" w:color="auto"/>
              <w:right w:val="nil"/>
            </w:tcBorders>
          </w:tcPr>
          <w:p w14:paraId="4ABA094C" w14:textId="77777777" w:rsidR="0016647F" w:rsidRPr="000D61D1" w:rsidRDefault="0016647F" w:rsidP="0016647F">
            <w:pPr>
              <w:widowControl w:val="0"/>
              <w:autoSpaceDE w:val="0"/>
              <w:autoSpaceDN w:val="0"/>
              <w:adjustRightInd w:val="0"/>
              <w:spacing w:before="79" w:after="0"/>
              <w:jc w:val="center"/>
              <w:rPr>
                <w:sz w:val="22"/>
                <w:szCs w:val="22"/>
                <w:lang w:val="en-AU"/>
              </w:rPr>
            </w:pPr>
            <w:r w:rsidRPr="000D61D1">
              <w:rPr>
                <w:rFonts w:cs="Times New Roman"/>
                <w:sz w:val="22"/>
                <w:szCs w:val="22"/>
                <w:lang w:val="en-AU"/>
              </w:rPr>
              <w:t>Units</w:t>
            </w:r>
          </w:p>
        </w:tc>
      </w:tr>
      <w:tr w:rsidR="0016647F" w:rsidRPr="000D61D1" w14:paraId="6BE36804" w14:textId="77777777" w:rsidTr="0016647F">
        <w:trPr>
          <w:jc w:val="center"/>
        </w:trPr>
        <w:tc>
          <w:tcPr>
            <w:tcW w:w="2268" w:type="dxa"/>
            <w:tcBorders>
              <w:top w:val="single" w:sz="4" w:space="0" w:color="auto"/>
              <w:left w:val="nil"/>
              <w:bottom w:val="nil"/>
              <w:right w:val="nil"/>
            </w:tcBorders>
          </w:tcPr>
          <w:p w14:paraId="47A4C7F7" w14:textId="77777777" w:rsidR="0016647F" w:rsidRPr="000D61D1" w:rsidRDefault="0016647F" w:rsidP="0016647F">
            <w:pPr>
              <w:widowControl w:val="0"/>
              <w:autoSpaceDE w:val="0"/>
              <w:autoSpaceDN w:val="0"/>
              <w:adjustRightInd w:val="0"/>
              <w:spacing w:after="79"/>
              <w:rPr>
                <w:rFonts w:cs="Times New Roman"/>
                <w:sz w:val="22"/>
                <w:szCs w:val="22"/>
                <w:lang w:val="en-AU"/>
              </w:rPr>
            </w:pPr>
          </w:p>
        </w:tc>
        <w:tc>
          <w:tcPr>
            <w:tcW w:w="904" w:type="dxa"/>
            <w:tcBorders>
              <w:top w:val="single" w:sz="4" w:space="0" w:color="auto"/>
              <w:left w:val="nil"/>
              <w:bottom w:val="nil"/>
              <w:right w:val="nil"/>
            </w:tcBorders>
          </w:tcPr>
          <w:p w14:paraId="1798389B"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Full Sample</w:t>
            </w:r>
          </w:p>
        </w:tc>
        <w:tc>
          <w:tcPr>
            <w:tcW w:w="1140" w:type="dxa"/>
            <w:tcBorders>
              <w:top w:val="single" w:sz="4" w:space="0" w:color="auto"/>
              <w:left w:val="nil"/>
              <w:bottom w:val="nil"/>
              <w:right w:val="nil"/>
            </w:tcBorders>
          </w:tcPr>
          <w:p w14:paraId="45C05F09"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Full Sample</w:t>
            </w:r>
          </w:p>
        </w:tc>
        <w:tc>
          <w:tcPr>
            <w:tcW w:w="1185" w:type="dxa"/>
            <w:tcBorders>
              <w:top w:val="single" w:sz="4" w:space="0" w:color="auto"/>
              <w:left w:val="nil"/>
              <w:bottom w:val="nil"/>
              <w:right w:val="single" w:sz="4" w:space="0" w:color="auto"/>
            </w:tcBorders>
          </w:tcPr>
          <w:p w14:paraId="000AB61D"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Capital Cities</w:t>
            </w:r>
          </w:p>
        </w:tc>
        <w:tc>
          <w:tcPr>
            <w:tcW w:w="1110" w:type="dxa"/>
            <w:tcBorders>
              <w:top w:val="single" w:sz="4" w:space="0" w:color="auto"/>
              <w:left w:val="single" w:sz="4" w:space="0" w:color="auto"/>
              <w:bottom w:val="nil"/>
              <w:right w:val="nil"/>
            </w:tcBorders>
          </w:tcPr>
          <w:p w14:paraId="35F921D8"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sz w:val="22"/>
                <w:szCs w:val="22"/>
                <w:lang w:val="en-AU"/>
              </w:rPr>
              <w:t>Full Sample</w:t>
            </w:r>
          </w:p>
        </w:tc>
        <w:tc>
          <w:tcPr>
            <w:tcW w:w="1347" w:type="dxa"/>
            <w:tcBorders>
              <w:top w:val="single" w:sz="4" w:space="0" w:color="auto"/>
              <w:left w:val="nil"/>
              <w:bottom w:val="nil"/>
              <w:right w:val="nil"/>
            </w:tcBorders>
          </w:tcPr>
          <w:p w14:paraId="319434DC"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sz w:val="22"/>
                <w:szCs w:val="22"/>
                <w:lang w:val="en-AU"/>
              </w:rPr>
              <w:t>Full Sample</w:t>
            </w:r>
          </w:p>
        </w:tc>
        <w:tc>
          <w:tcPr>
            <w:tcW w:w="1072" w:type="dxa"/>
            <w:tcBorders>
              <w:top w:val="single" w:sz="4" w:space="0" w:color="auto"/>
              <w:left w:val="nil"/>
              <w:bottom w:val="nil"/>
              <w:right w:val="nil"/>
            </w:tcBorders>
          </w:tcPr>
          <w:p w14:paraId="1DBCB7C9"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sz w:val="22"/>
                <w:szCs w:val="22"/>
                <w:lang w:val="en-AU"/>
              </w:rPr>
              <w:t>Capital Cities</w:t>
            </w:r>
          </w:p>
        </w:tc>
      </w:tr>
      <w:tr w:rsidR="0016647F" w:rsidRPr="000D61D1" w14:paraId="13FE6DBB" w14:textId="77777777" w:rsidTr="0016647F">
        <w:trPr>
          <w:jc w:val="center"/>
        </w:trPr>
        <w:tc>
          <w:tcPr>
            <w:tcW w:w="2268" w:type="dxa"/>
            <w:tcBorders>
              <w:top w:val="single" w:sz="6" w:space="0" w:color="auto"/>
              <w:left w:val="nil"/>
              <w:bottom w:val="nil"/>
              <w:right w:val="nil"/>
            </w:tcBorders>
          </w:tcPr>
          <w:p w14:paraId="0E1A6508"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Reform Dummy</w:t>
            </w:r>
          </w:p>
        </w:tc>
        <w:tc>
          <w:tcPr>
            <w:tcW w:w="904" w:type="dxa"/>
            <w:tcBorders>
              <w:top w:val="single" w:sz="6" w:space="0" w:color="auto"/>
              <w:left w:val="nil"/>
              <w:bottom w:val="nil"/>
              <w:right w:val="nil"/>
            </w:tcBorders>
          </w:tcPr>
          <w:p w14:paraId="25A295E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-0.008</w:t>
            </w:r>
          </w:p>
        </w:tc>
        <w:tc>
          <w:tcPr>
            <w:tcW w:w="1140" w:type="dxa"/>
            <w:tcBorders>
              <w:top w:val="single" w:sz="6" w:space="0" w:color="auto"/>
              <w:left w:val="nil"/>
              <w:bottom w:val="nil"/>
              <w:right w:val="nil"/>
            </w:tcBorders>
          </w:tcPr>
          <w:p w14:paraId="695CDEDC"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0.094</w:t>
            </w:r>
          </w:p>
        </w:tc>
        <w:tc>
          <w:tcPr>
            <w:tcW w:w="1185" w:type="dxa"/>
            <w:tcBorders>
              <w:top w:val="single" w:sz="6" w:space="0" w:color="auto"/>
              <w:left w:val="nil"/>
              <w:bottom w:val="nil"/>
              <w:right w:val="single" w:sz="4" w:space="0" w:color="auto"/>
            </w:tcBorders>
          </w:tcPr>
          <w:p w14:paraId="2ADE7D0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0.021</w:t>
            </w:r>
          </w:p>
        </w:tc>
        <w:tc>
          <w:tcPr>
            <w:tcW w:w="1110" w:type="dxa"/>
            <w:tcBorders>
              <w:top w:val="single" w:sz="6" w:space="0" w:color="auto"/>
              <w:left w:val="single" w:sz="4" w:space="0" w:color="auto"/>
              <w:bottom w:val="nil"/>
              <w:right w:val="nil"/>
            </w:tcBorders>
          </w:tcPr>
          <w:p w14:paraId="346E7C7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-0.110</w:t>
            </w:r>
          </w:p>
        </w:tc>
        <w:tc>
          <w:tcPr>
            <w:tcW w:w="1347" w:type="dxa"/>
            <w:tcBorders>
              <w:top w:val="single" w:sz="6" w:space="0" w:color="auto"/>
              <w:left w:val="nil"/>
              <w:bottom w:val="nil"/>
              <w:right w:val="nil"/>
            </w:tcBorders>
          </w:tcPr>
          <w:p w14:paraId="0DA9805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0.044</w:t>
            </w:r>
          </w:p>
        </w:tc>
        <w:tc>
          <w:tcPr>
            <w:tcW w:w="1072" w:type="dxa"/>
            <w:tcBorders>
              <w:top w:val="single" w:sz="6" w:space="0" w:color="auto"/>
              <w:left w:val="nil"/>
              <w:bottom w:val="nil"/>
              <w:right w:val="nil"/>
            </w:tcBorders>
          </w:tcPr>
          <w:p w14:paraId="3AACD89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0.002</w:t>
            </w:r>
          </w:p>
        </w:tc>
      </w:tr>
      <w:tr w:rsidR="0016647F" w:rsidRPr="000D61D1" w14:paraId="7AB4FEB3" w14:textId="77777777" w:rsidTr="0016647F">
        <w:trPr>
          <w:jc w:val="center"/>
        </w:trPr>
        <w:tc>
          <w:tcPr>
            <w:tcW w:w="2268" w:type="dxa"/>
            <w:tcBorders>
              <w:top w:val="nil"/>
              <w:left w:val="nil"/>
              <w:bottom w:val="nil"/>
              <w:right w:val="nil"/>
            </w:tcBorders>
          </w:tcPr>
          <w:p w14:paraId="22C453FC" w14:textId="3D834444"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904" w:type="dxa"/>
            <w:tcBorders>
              <w:top w:val="nil"/>
              <w:left w:val="nil"/>
              <w:bottom w:val="nil"/>
              <w:right w:val="nil"/>
            </w:tcBorders>
          </w:tcPr>
          <w:p w14:paraId="60D6B51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[0.013]</w:t>
            </w:r>
          </w:p>
        </w:tc>
        <w:tc>
          <w:tcPr>
            <w:tcW w:w="1140" w:type="dxa"/>
            <w:tcBorders>
              <w:top w:val="nil"/>
              <w:left w:val="nil"/>
              <w:bottom w:val="nil"/>
              <w:right w:val="nil"/>
            </w:tcBorders>
          </w:tcPr>
          <w:p w14:paraId="27EE760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0.013]*</w:t>
            </w:r>
            <w:proofErr w:type="gramEnd"/>
            <w:r w:rsidRPr="000D61D1">
              <w:rPr>
                <w:rFonts w:cs="Times New Roman"/>
                <w:sz w:val="22"/>
                <w:szCs w:val="22"/>
                <w:lang w:val="en-AU"/>
              </w:rPr>
              <w:t>*</w:t>
            </w:r>
          </w:p>
        </w:tc>
        <w:tc>
          <w:tcPr>
            <w:tcW w:w="1185" w:type="dxa"/>
            <w:tcBorders>
              <w:top w:val="nil"/>
              <w:left w:val="nil"/>
              <w:bottom w:val="nil"/>
              <w:right w:val="single" w:sz="4" w:space="0" w:color="auto"/>
            </w:tcBorders>
          </w:tcPr>
          <w:p w14:paraId="023273E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[0.013]</w:t>
            </w:r>
          </w:p>
        </w:tc>
        <w:tc>
          <w:tcPr>
            <w:tcW w:w="1110" w:type="dxa"/>
            <w:tcBorders>
              <w:top w:val="nil"/>
              <w:left w:val="single" w:sz="4" w:space="0" w:color="auto"/>
              <w:bottom w:val="nil"/>
              <w:right w:val="nil"/>
            </w:tcBorders>
          </w:tcPr>
          <w:p w14:paraId="6495802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w:t>
            </w:r>
            <w:proofErr w:type="gramStart"/>
            <w:r w:rsidRPr="000D61D1">
              <w:rPr>
                <w:sz w:val="22"/>
                <w:szCs w:val="22"/>
                <w:lang w:val="en-AU"/>
              </w:rPr>
              <w:t>0.008]*</w:t>
            </w:r>
            <w:proofErr w:type="gramEnd"/>
            <w:r w:rsidRPr="000D61D1">
              <w:rPr>
                <w:sz w:val="22"/>
                <w:szCs w:val="22"/>
                <w:lang w:val="en-AU"/>
              </w:rPr>
              <w:t>*</w:t>
            </w:r>
          </w:p>
        </w:tc>
        <w:tc>
          <w:tcPr>
            <w:tcW w:w="1347" w:type="dxa"/>
            <w:tcBorders>
              <w:top w:val="nil"/>
              <w:left w:val="nil"/>
              <w:bottom w:val="nil"/>
              <w:right w:val="nil"/>
            </w:tcBorders>
          </w:tcPr>
          <w:p w14:paraId="5662D94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w:t>
            </w:r>
            <w:proofErr w:type="gramStart"/>
            <w:r w:rsidRPr="000D61D1">
              <w:rPr>
                <w:sz w:val="22"/>
                <w:szCs w:val="22"/>
                <w:lang w:val="en-AU"/>
              </w:rPr>
              <w:t>0.010]*</w:t>
            </w:r>
            <w:proofErr w:type="gramEnd"/>
            <w:r w:rsidRPr="000D61D1">
              <w:rPr>
                <w:sz w:val="22"/>
                <w:szCs w:val="22"/>
                <w:lang w:val="en-AU"/>
              </w:rPr>
              <w:t>*</w:t>
            </w:r>
          </w:p>
        </w:tc>
        <w:tc>
          <w:tcPr>
            <w:tcW w:w="1072" w:type="dxa"/>
            <w:tcBorders>
              <w:top w:val="nil"/>
              <w:left w:val="nil"/>
              <w:bottom w:val="nil"/>
              <w:right w:val="nil"/>
            </w:tcBorders>
          </w:tcPr>
          <w:p w14:paraId="29353EB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[0.009]</w:t>
            </w:r>
          </w:p>
        </w:tc>
      </w:tr>
      <w:tr w:rsidR="0016647F" w:rsidRPr="000D61D1" w14:paraId="62ECAF78" w14:textId="77777777" w:rsidTr="0016647F">
        <w:trPr>
          <w:jc w:val="center"/>
        </w:trPr>
        <w:tc>
          <w:tcPr>
            <w:tcW w:w="2268" w:type="dxa"/>
            <w:tcBorders>
              <w:top w:val="nil"/>
              <w:left w:val="nil"/>
              <w:bottom w:val="nil"/>
              <w:right w:val="nil"/>
            </w:tcBorders>
          </w:tcPr>
          <w:p w14:paraId="0C9C06A7" w14:textId="77777777" w:rsidR="0016647F" w:rsidRPr="000D61D1" w:rsidRDefault="0016647F" w:rsidP="0016647F">
            <w:pPr>
              <w:widowControl w:val="0"/>
              <w:autoSpaceDE w:val="0"/>
              <w:autoSpaceDN w:val="0"/>
              <w:adjustRightInd w:val="0"/>
              <w:spacing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Population)</w:t>
            </w:r>
          </w:p>
        </w:tc>
        <w:tc>
          <w:tcPr>
            <w:tcW w:w="904" w:type="dxa"/>
            <w:tcBorders>
              <w:top w:val="nil"/>
              <w:left w:val="nil"/>
              <w:bottom w:val="nil"/>
              <w:right w:val="nil"/>
            </w:tcBorders>
          </w:tcPr>
          <w:p w14:paraId="58B7DE41" w14:textId="10530934"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0" w:type="dxa"/>
            <w:tcBorders>
              <w:top w:val="nil"/>
              <w:left w:val="nil"/>
              <w:bottom w:val="nil"/>
              <w:right w:val="nil"/>
            </w:tcBorders>
          </w:tcPr>
          <w:p w14:paraId="20D6363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1.910</w:t>
            </w:r>
          </w:p>
        </w:tc>
        <w:tc>
          <w:tcPr>
            <w:tcW w:w="1185" w:type="dxa"/>
            <w:tcBorders>
              <w:top w:val="nil"/>
              <w:left w:val="nil"/>
              <w:bottom w:val="nil"/>
              <w:right w:val="single" w:sz="4" w:space="0" w:color="auto"/>
            </w:tcBorders>
          </w:tcPr>
          <w:p w14:paraId="54E9895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2.568</w:t>
            </w:r>
          </w:p>
        </w:tc>
        <w:tc>
          <w:tcPr>
            <w:tcW w:w="1110" w:type="dxa"/>
            <w:tcBorders>
              <w:top w:val="nil"/>
              <w:left w:val="single" w:sz="4" w:space="0" w:color="auto"/>
              <w:bottom w:val="nil"/>
              <w:right w:val="nil"/>
            </w:tcBorders>
          </w:tcPr>
          <w:p w14:paraId="1E47518F" w14:textId="5C94C1B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347" w:type="dxa"/>
            <w:tcBorders>
              <w:top w:val="nil"/>
              <w:left w:val="nil"/>
              <w:bottom w:val="nil"/>
              <w:right w:val="nil"/>
            </w:tcBorders>
          </w:tcPr>
          <w:p w14:paraId="3110AB3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0.965</w:t>
            </w:r>
          </w:p>
        </w:tc>
        <w:tc>
          <w:tcPr>
            <w:tcW w:w="1072" w:type="dxa"/>
            <w:tcBorders>
              <w:top w:val="nil"/>
              <w:left w:val="nil"/>
              <w:bottom w:val="nil"/>
              <w:right w:val="nil"/>
            </w:tcBorders>
          </w:tcPr>
          <w:p w14:paraId="67848B9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1.041</w:t>
            </w:r>
          </w:p>
        </w:tc>
      </w:tr>
      <w:tr w:rsidR="0016647F" w:rsidRPr="000D61D1" w14:paraId="7C5CAEE6" w14:textId="77777777" w:rsidTr="0016647F">
        <w:trPr>
          <w:jc w:val="center"/>
        </w:trPr>
        <w:tc>
          <w:tcPr>
            <w:tcW w:w="2268" w:type="dxa"/>
            <w:tcBorders>
              <w:top w:val="nil"/>
              <w:left w:val="nil"/>
              <w:bottom w:val="nil"/>
              <w:right w:val="nil"/>
            </w:tcBorders>
          </w:tcPr>
          <w:p w14:paraId="2D147998" w14:textId="6FDEB6BF"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904" w:type="dxa"/>
            <w:tcBorders>
              <w:top w:val="nil"/>
              <w:left w:val="nil"/>
              <w:bottom w:val="nil"/>
              <w:right w:val="nil"/>
            </w:tcBorders>
          </w:tcPr>
          <w:p w14:paraId="05897E62" w14:textId="18DCCF6D"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0" w:type="dxa"/>
            <w:tcBorders>
              <w:top w:val="nil"/>
              <w:left w:val="nil"/>
              <w:bottom w:val="nil"/>
              <w:right w:val="nil"/>
            </w:tcBorders>
          </w:tcPr>
          <w:p w14:paraId="06C237F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0.067]*</w:t>
            </w:r>
            <w:proofErr w:type="gramEnd"/>
            <w:r w:rsidRPr="000D61D1">
              <w:rPr>
                <w:rFonts w:cs="Times New Roman"/>
                <w:sz w:val="22"/>
                <w:szCs w:val="22"/>
                <w:lang w:val="en-AU"/>
              </w:rPr>
              <w:t>*</w:t>
            </w:r>
          </w:p>
        </w:tc>
        <w:tc>
          <w:tcPr>
            <w:tcW w:w="1185" w:type="dxa"/>
            <w:tcBorders>
              <w:top w:val="nil"/>
              <w:left w:val="nil"/>
              <w:bottom w:val="nil"/>
              <w:right w:val="single" w:sz="4" w:space="0" w:color="auto"/>
            </w:tcBorders>
          </w:tcPr>
          <w:p w14:paraId="63EABC3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0.086]*</w:t>
            </w:r>
            <w:proofErr w:type="gramEnd"/>
            <w:r w:rsidRPr="000D61D1">
              <w:rPr>
                <w:rFonts w:cs="Times New Roman"/>
                <w:sz w:val="22"/>
                <w:szCs w:val="22"/>
                <w:lang w:val="en-AU"/>
              </w:rPr>
              <w:t>*</w:t>
            </w:r>
          </w:p>
        </w:tc>
        <w:tc>
          <w:tcPr>
            <w:tcW w:w="1110" w:type="dxa"/>
            <w:tcBorders>
              <w:top w:val="nil"/>
              <w:left w:val="single" w:sz="4" w:space="0" w:color="auto"/>
              <w:bottom w:val="nil"/>
              <w:right w:val="nil"/>
            </w:tcBorders>
          </w:tcPr>
          <w:p w14:paraId="3F42E1D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347" w:type="dxa"/>
            <w:tcBorders>
              <w:top w:val="nil"/>
              <w:left w:val="nil"/>
              <w:bottom w:val="nil"/>
              <w:right w:val="nil"/>
            </w:tcBorders>
          </w:tcPr>
          <w:p w14:paraId="03DE015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w:t>
            </w:r>
            <w:proofErr w:type="gramStart"/>
            <w:r w:rsidRPr="000D61D1">
              <w:rPr>
                <w:sz w:val="22"/>
                <w:szCs w:val="22"/>
                <w:lang w:val="en-AU"/>
              </w:rPr>
              <w:t>0.112]*</w:t>
            </w:r>
            <w:proofErr w:type="gramEnd"/>
            <w:r w:rsidRPr="000D61D1">
              <w:rPr>
                <w:sz w:val="22"/>
                <w:szCs w:val="22"/>
                <w:lang w:val="en-AU"/>
              </w:rPr>
              <w:t>*</w:t>
            </w:r>
          </w:p>
        </w:tc>
        <w:tc>
          <w:tcPr>
            <w:tcW w:w="1072" w:type="dxa"/>
            <w:tcBorders>
              <w:top w:val="nil"/>
              <w:left w:val="nil"/>
              <w:bottom w:val="nil"/>
              <w:right w:val="nil"/>
            </w:tcBorders>
          </w:tcPr>
          <w:p w14:paraId="76E64E7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w:t>
            </w:r>
            <w:proofErr w:type="gramStart"/>
            <w:r w:rsidRPr="000D61D1">
              <w:rPr>
                <w:sz w:val="22"/>
                <w:szCs w:val="22"/>
                <w:lang w:val="en-AU"/>
              </w:rPr>
              <w:t>0.143]*</w:t>
            </w:r>
            <w:proofErr w:type="gramEnd"/>
            <w:r w:rsidRPr="000D61D1">
              <w:rPr>
                <w:sz w:val="22"/>
                <w:szCs w:val="22"/>
                <w:lang w:val="en-AU"/>
              </w:rPr>
              <w:t>*</w:t>
            </w:r>
          </w:p>
        </w:tc>
      </w:tr>
      <w:tr w:rsidR="0016647F" w:rsidRPr="000D61D1" w14:paraId="66E84651" w14:textId="77777777" w:rsidTr="0016647F">
        <w:trPr>
          <w:jc w:val="center"/>
        </w:trPr>
        <w:tc>
          <w:tcPr>
            <w:tcW w:w="2268" w:type="dxa"/>
            <w:tcBorders>
              <w:top w:val="nil"/>
              <w:left w:val="nil"/>
              <w:bottom w:val="nil"/>
              <w:right w:val="nil"/>
            </w:tcBorders>
          </w:tcPr>
          <w:p w14:paraId="0AAEAA04" w14:textId="77777777" w:rsidR="0016647F" w:rsidRPr="000D61D1" w:rsidRDefault="0016647F" w:rsidP="0016647F">
            <w:pPr>
              <w:widowControl w:val="0"/>
              <w:autoSpaceDE w:val="0"/>
              <w:autoSpaceDN w:val="0"/>
              <w:adjustRightInd w:val="0"/>
              <w:spacing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Income)</w:t>
            </w:r>
          </w:p>
        </w:tc>
        <w:tc>
          <w:tcPr>
            <w:tcW w:w="904" w:type="dxa"/>
            <w:tcBorders>
              <w:top w:val="nil"/>
              <w:left w:val="nil"/>
              <w:bottom w:val="nil"/>
              <w:right w:val="nil"/>
            </w:tcBorders>
          </w:tcPr>
          <w:p w14:paraId="69BD03B0" w14:textId="51D881AA"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0" w:type="dxa"/>
            <w:tcBorders>
              <w:top w:val="nil"/>
              <w:left w:val="nil"/>
              <w:bottom w:val="nil"/>
              <w:right w:val="nil"/>
            </w:tcBorders>
          </w:tcPr>
          <w:p w14:paraId="1343658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2.267</w:t>
            </w:r>
          </w:p>
        </w:tc>
        <w:tc>
          <w:tcPr>
            <w:tcW w:w="1185" w:type="dxa"/>
            <w:tcBorders>
              <w:top w:val="nil"/>
              <w:left w:val="nil"/>
              <w:bottom w:val="nil"/>
              <w:right w:val="single" w:sz="4" w:space="0" w:color="auto"/>
            </w:tcBorders>
          </w:tcPr>
          <w:p w14:paraId="1B9AF02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2.324</w:t>
            </w:r>
          </w:p>
        </w:tc>
        <w:tc>
          <w:tcPr>
            <w:tcW w:w="1110" w:type="dxa"/>
            <w:tcBorders>
              <w:top w:val="nil"/>
              <w:left w:val="single" w:sz="4" w:space="0" w:color="auto"/>
              <w:bottom w:val="nil"/>
              <w:right w:val="nil"/>
            </w:tcBorders>
          </w:tcPr>
          <w:p w14:paraId="21FB77D6" w14:textId="79F33E15"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347" w:type="dxa"/>
            <w:tcBorders>
              <w:top w:val="nil"/>
              <w:left w:val="nil"/>
              <w:bottom w:val="nil"/>
              <w:right w:val="nil"/>
            </w:tcBorders>
          </w:tcPr>
          <w:p w14:paraId="47310FA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2.608</w:t>
            </w:r>
          </w:p>
        </w:tc>
        <w:tc>
          <w:tcPr>
            <w:tcW w:w="1072" w:type="dxa"/>
            <w:tcBorders>
              <w:top w:val="nil"/>
              <w:left w:val="nil"/>
              <w:bottom w:val="nil"/>
              <w:right w:val="nil"/>
            </w:tcBorders>
          </w:tcPr>
          <w:p w14:paraId="40325B6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2.508</w:t>
            </w:r>
          </w:p>
        </w:tc>
      </w:tr>
      <w:tr w:rsidR="0016647F" w:rsidRPr="000D61D1" w14:paraId="0FE96BFB" w14:textId="77777777" w:rsidTr="0016647F">
        <w:trPr>
          <w:jc w:val="center"/>
        </w:trPr>
        <w:tc>
          <w:tcPr>
            <w:tcW w:w="2268" w:type="dxa"/>
            <w:tcBorders>
              <w:top w:val="nil"/>
              <w:left w:val="nil"/>
              <w:bottom w:val="nil"/>
              <w:right w:val="nil"/>
            </w:tcBorders>
          </w:tcPr>
          <w:p w14:paraId="77DE8676" w14:textId="7B35AA10" w:rsidR="0016647F" w:rsidRPr="000D61D1" w:rsidRDefault="002C0F74"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904" w:type="dxa"/>
            <w:tcBorders>
              <w:top w:val="nil"/>
              <w:left w:val="nil"/>
              <w:bottom w:val="nil"/>
              <w:right w:val="nil"/>
            </w:tcBorders>
          </w:tcPr>
          <w:p w14:paraId="2ED9526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0" w:type="dxa"/>
            <w:tcBorders>
              <w:top w:val="nil"/>
              <w:left w:val="nil"/>
              <w:bottom w:val="nil"/>
              <w:right w:val="nil"/>
            </w:tcBorders>
          </w:tcPr>
          <w:p w14:paraId="623C1FA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0.050]*</w:t>
            </w:r>
            <w:proofErr w:type="gramEnd"/>
            <w:r w:rsidRPr="000D61D1">
              <w:rPr>
                <w:rFonts w:cs="Times New Roman"/>
                <w:sz w:val="22"/>
                <w:szCs w:val="22"/>
                <w:lang w:val="en-AU"/>
              </w:rPr>
              <w:t>*</w:t>
            </w:r>
          </w:p>
        </w:tc>
        <w:tc>
          <w:tcPr>
            <w:tcW w:w="1185" w:type="dxa"/>
            <w:tcBorders>
              <w:top w:val="nil"/>
              <w:left w:val="nil"/>
              <w:bottom w:val="nil"/>
              <w:right w:val="single" w:sz="4" w:space="0" w:color="auto"/>
            </w:tcBorders>
          </w:tcPr>
          <w:p w14:paraId="37970D6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0.047]*</w:t>
            </w:r>
            <w:proofErr w:type="gramEnd"/>
            <w:r w:rsidRPr="000D61D1">
              <w:rPr>
                <w:rFonts w:cs="Times New Roman"/>
                <w:sz w:val="22"/>
                <w:szCs w:val="22"/>
                <w:lang w:val="en-AU"/>
              </w:rPr>
              <w:t>*</w:t>
            </w:r>
          </w:p>
        </w:tc>
        <w:tc>
          <w:tcPr>
            <w:tcW w:w="1110" w:type="dxa"/>
            <w:tcBorders>
              <w:top w:val="nil"/>
              <w:left w:val="single" w:sz="4" w:space="0" w:color="auto"/>
              <w:bottom w:val="nil"/>
              <w:right w:val="nil"/>
            </w:tcBorders>
          </w:tcPr>
          <w:p w14:paraId="38EA0A0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347" w:type="dxa"/>
            <w:tcBorders>
              <w:top w:val="nil"/>
              <w:left w:val="nil"/>
              <w:bottom w:val="nil"/>
              <w:right w:val="nil"/>
            </w:tcBorders>
          </w:tcPr>
          <w:p w14:paraId="0590623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w:t>
            </w:r>
            <w:proofErr w:type="gramStart"/>
            <w:r w:rsidRPr="000D61D1">
              <w:rPr>
                <w:sz w:val="22"/>
                <w:szCs w:val="22"/>
                <w:lang w:val="en-AU"/>
              </w:rPr>
              <w:t>0.092]*</w:t>
            </w:r>
            <w:proofErr w:type="gramEnd"/>
            <w:r w:rsidRPr="000D61D1">
              <w:rPr>
                <w:sz w:val="22"/>
                <w:szCs w:val="22"/>
                <w:lang w:val="en-AU"/>
              </w:rPr>
              <w:t>*</w:t>
            </w:r>
          </w:p>
        </w:tc>
        <w:tc>
          <w:tcPr>
            <w:tcW w:w="1072" w:type="dxa"/>
            <w:tcBorders>
              <w:top w:val="nil"/>
              <w:left w:val="nil"/>
              <w:bottom w:val="nil"/>
              <w:right w:val="nil"/>
            </w:tcBorders>
          </w:tcPr>
          <w:p w14:paraId="0F14115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w:t>
            </w:r>
            <w:proofErr w:type="gramStart"/>
            <w:r w:rsidRPr="000D61D1">
              <w:rPr>
                <w:sz w:val="22"/>
                <w:szCs w:val="22"/>
                <w:lang w:val="en-AU"/>
              </w:rPr>
              <w:t>0.076]*</w:t>
            </w:r>
            <w:proofErr w:type="gramEnd"/>
            <w:r w:rsidRPr="000D61D1">
              <w:rPr>
                <w:sz w:val="22"/>
                <w:szCs w:val="22"/>
                <w:lang w:val="en-AU"/>
              </w:rPr>
              <w:t>*</w:t>
            </w:r>
          </w:p>
        </w:tc>
      </w:tr>
      <w:tr w:rsidR="0016647F" w:rsidRPr="000D61D1" w14:paraId="7D815FEC" w14:textId="77777777" w:rsidTr="0016647F">
        <w:trPr>
          <w:jc w:val="center"/>
        </w:trPr>
        <w:tc>
          <w:tcPr>
            <w:tcW w:w="2268" w:type="dxa"/>
            <w:tcBorders>
              <w:top w:val="nil"/>
              <w:left w:val="nil"/>
              <w:bottom w:val="nil"/>
              <w:right w:val="nil"/>
            </w:tcBorders>
          </w:tcPr>
          <w:p w14:paraId="08E032F6"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Time &amp; Suburb FE</w:t>
            </w:r>
          </w:p>
        </w:tc>
        <w:tc>
          <w:tcPr>
            <w:tcW w:w="904" w:type="dxa"/>
            <w:tcBorders>
              <w:top w:val="nil"/>
              <w:left w:val="nil"/>
              <w:bottom w:val="nil"/>
              <w:right w:val="nil"/>
            </w:tcBorders>
          </w:tcPr>
          <w:p w14:paraId="1C0FB26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YES</w:t>
            </w:r>
          </w:p>
        </w:tc>
        <w:tc>
          <w:tcPr>
            <w:tcW w:w="1140" w:type="dxa"/>
            <w:tcBorders>
              <w:top w:val="nil"/>
              <w:left w:val="nil"/>
              <w:bottom w:val="nil"/>
              <w:right w:val="nil"/>
            </w:tcBorders>
          </w:tcPr>
          <w:p w14:paraId="213AF0C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YES</w:t>
            </w:r>
          </w:p>
        </w:tc>
        <w:tc>
          <w:tcPr>
            <w:tcW w:w="1185" w:type="dxa"/>
            <w:tcBorders>
              <w:top w:val="nil"/>
              <w:left w:val="nil"/>
              <w:bottom w:val="nil"/>
              <w:right w:val="single" w:sz="4" w:space="0" w:color="auto"/>
            </w:tcBorders>
          </w:tcPr>
          <w:p w14:paraId="6D32FAD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YES</w:t>
            </w:r>
          </w:p>
        </w:tc>
        <w:tc>
          <w:tcPr>
            <w:tcW w:w="1110" w:type="dxa"/>
            <w:tcBorders>
              <w:top w:val="nil"/>
              <w:left w:val="single" w:sz="4" w:space="0" w:color="auto"/>
              <w:bottom w:val="nil"/>
              <w:right w:val="nil"/>
            </w:tcBorders>
          </w:tcPr>
          <w:p w14:paraId="57CD3AE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YES</w:t>
            </w:r>
          </w:p>
        </w:tc>
        <w:tc>
          <w:tcPr>
            <w:tcW w:w="1347" w:type="dxa"/>
            <w:tcBorders>
              <w:top w:val="nil"/>
              <w:left w:val="nil"/>
              <w:bottom w:val="nil"/>
              <w:right w:val="nil"/>
            </w:tcBorders>
          </w:tcPr>
          <w:p w14:paraId="7759B06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YES</w:t>
            </w:r>
          </w:p>
        </w:tc>
        <w:tc>
          <w:tcPr>
            <w:tcW w:w="1072" w:type="dxa"/>
            <w:tcBorders>
              <w:top w:val="nil"/>
              <w:left w:val="nil"/>
              <w:bottom w:val="nil"/>
              <w:right w:val="nil"/>
            </w:tcBorders>
          </w:tcPr>
          <w:p w14:paraId="46D1E66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YES</w:t>
            </w:r>
          </w:p>
        </w:tc>
      </w:tr>
      <w:tr w:rsidR="0016647F" w:rsidRPr="000D61D1" w14:paraId="74FEF4AE" w14:textId="77777777" w:rsidTr="0016647F">
        <w:trPr>
          <w:jc w:val="center"/>
        </w:trPr>
        <w:tc>
          <w:tcPr>
            <w:tcW w:w="2268" w:type="dxa"/>
            <w:tcBorders>
              <w:top w:val="nil"/>
              <w:left w:val="nil"/>
              <w:bottom w:val="nil"/>
              <w:right w:val="nil"/>
            </w:tcBorders>
          </w:tcPr>
          <w:p w14:paraId="6749E4C2"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Observations</w:t>
            </w:r>
          </w:p>
        </w:tc>
        <w:tc>
          <w:tcPr>
            <w:tcW w:w="904" w:type="dxa"/>
            <w:tcBorders>
              <w:top w:val="nil"/>
              <w:left w:val="nil"/>
              <w:bottom w:val="nil"/>
              <w:right w:val="nil"/>
            </w:tcBorders>
          </w:tcPr>
          <w:p w14:paraId="18D9C26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543,443</w:t>
            </w:r>
          </w:p>
        </w:tc>
        <w:tc>
          <w:tcPr>
            <w:tcW w:w="1140" w:type="dxa"/>
            <w:tcBorders>
              <w:top w:val="nil"/>
              <w:left w:val="nil"/>
              <w:bottom w:val="nil"/>
              <w:right w:val="nil"/>
            </w:tcBorders>
          </w:tcPr>
          <w:p w14:paraId="7504317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515,524</w:t>
            </w:r>
          </w:p>
        </w:tc>
        <w:tc>
          <w:tcPr>
            <w:tcW w:w="1185" w:type="dxa"/>
            <w:tcBorders>
              <w:top w:val="nil"/>
              <w:left w:val="nil"/>
              <w:bottom w:val="nil"/>
              <w:right w:val="single" w:sz="4" w:space="0" w:color="auto"/>
            </w:tcBorders>
          </w:tcPr>
          <w:p w14:paraId="3CEAEE6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234,695</w:t>
            </w:r>
          </w:p>
        </w:tc>
        <w:tc>
          <w:tcPr>
            <w:tcW w:w="1110" w:type="dxa"/>
            <w:tcBorders>
              <w:top w:val="nil"/>
              <w:left w:val="single" w:sz="4" w:space="0" w:color="auto"/>
              <w:bottom w:val="nil"/>
              <w:right w:val="nil"/>
            </w:tcBorders>
          </w:tcPr>
          <w:p w14:paraId="1BC90AF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219,559</w:t>
            </w:r>
          </w:p>
        </w:tc>
        <w:tc>
          <w:tcPr>
            <w:tcW w:w="1347" w:type="dxa"/>
            <w:tcBorders>
              <w:top w:val="nil"/>
              <w:left w:val="nil"/>
              <w:bottom w:val="nil"/>
              <w:right w:val="nil"/>
            </w:tcBorders>
          </w:tcPr>
          <w:p w14:paraId="0AB5560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208,943</w:t>
            </w:r>
          </w:p>
        </w:tc>
        <w:tc>
          <w:tcPr>
            <w:tcW w:w="1072" w:type="dxa"/>
            <w:tcBorders>
              <w:top w:val="nil"/>
              <w:left w:val="nil"/>
              <w:bottom w:val="nil"/>
              <w:right w:val="nil"/>
            </w:tcBorders>
          </w:tcPr>
          <w:p w14:paraId="69B2374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137,577</w:t>
            </w:r>
          </w:p>
        </w:tc>
      </w:tr>
      <w:tr w:rsidR="0016647F" w:rsidRPr="000D61D1" w14:paraId="4B429364" w14:textId="77777777" w:rsidTr="0016647F">
        <w:trPr>
          <w:jc w:val="center"/>
        </w:trPr>
        <w:tc>
          <w:tcPr>
            <w:tcW w:w="2268" w:type="dxa"/>
            <w:tcBorders>
              <w:top w:val="nil"/>
              <w:left w:val="nil"/>
              <w:bottom w:val="nil"/>
              <w:right w:val="nil"/>
            </w:tcBorders>
          </w:tcPr>
          <w:p w14:paraId="73FDB443"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Number of Suburbs</w:t>
            </w:r>
          </w:p>
        </w:tc>
        <w:tc>
          <w:tcPr>
            <w:tcW w:w="904" w:type="dxa"/>
            <w:tcBorders>
              <w:top w:val="nil"/>
              <w:left w:val="nil"/>
              <w:bottom w:val="nil"/>
              <w:right w:val="nil"/>
            </w:tcBorders>
          </w:tcPr>
          <w:p w14:paraId="66F974A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10,116</w:t>
            </w:r>
          </w:p>
        </w:tc>
        <w:tc>
          <w:tcPr>
            <w:tcW w:w="1140" w:type="dxa"/>
            <w:tcBorders>
              <w:top w:val="nil"/>
              <w:left w:val="nil"/>
              <w:bottom w:val="nil"/>
              <w:right w:val="nil"/>
            </w:tcBorders>
          </w:tcPr>
          <w:p w14:paraId="0AFE51A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10,045</w:t>
            </w:r>
          </w:p>
        </w:tc>
        <w:tc>
          <w:tcPr>
            <w:tcW w:w="1185" w:type="dxa"/>
            <w:tcBorders>
              <w:top w:val="nil"/>
              <w:left w:val="nil"/>
              <w:bottom w:val="nil"/>
              <w:right w:val="single" w:sz="4" w:space="0" w:color="auto"/>
            </w:tcBorders>
          </w:tcPr>
          <w:p w14:paraId="598EC1E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2,806</w:t>
            </w:r>
          </w:p>
        </w:tc>
        <w:tc>
          <w:tcPr>
            <w:tcW w:w="1110" w:type="dxa"/>
            <w:tcBorders>
              <w:top w:val="nil"/>
              <w:left w:val="single" w:sz="4" w:space="0" w:color="auto"/>
              <w:bottom w:val="nil"/>
              <w:right w:val="nil"/>
            </w:tcBorders>
          </w:tcPr>
          <w:p w14:paraId="54B216D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3,799</w:t>
            </w:r>
          </w:p>
        </w:tc>
        <w:tc>
          <w:tcPr>
            <w:tcW w:w="1347" w:type="dxa"/>
            <w:tcBorders>
              <w:top w:val="nil"/>
              <w:left w:val="nil"/>
              <w:bottom w:val="nil"/>
              <w:right w:val="nil"/>
            </w:tcBorders>
          </w:tcPr>
          <w:p w14:paraId="4F22C7A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3,781</w:t>
            </w:r>
          </w:p>
        </w:tc>
        <w:tc>
          <w:tcPr>
            <w:tcW w:w="1072" w:type="dxa"/>
            <w:tcBorders>
              <w:top w:val="nil"/>
              <w:left w:val="nil"/>
              <w:bottom w:val="nil"/>
              <w:right w:val="nil"/>
            </w:tcBorders>
          </w:tcPr>
          <w:p w14:paraId="0451A56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2,112</w:t>
            </w:r>
          </w:p>
        </w:tc>
      </w:tr>
      <w:tr w:rsidR="0016647F" w:rsidRPr="000D61D1" w14:paraId="3FD0164A" w14:textId="77777777" w:rsidTr="0016647F">
        <w:trPr>
          <w:jc w:val="center"/>
        </w:trPr>
        <w:tc>
          <w:tcPr>
            <w:tcW w:w="2268" w:type="dxa"/>
            <w:tcBorders>
              <w:top w:val="nil"/>
              <w:left w:val="nil"/>
              <w:bottom w:val="nil"/>
              <w:right w:val="nil"/>
            </w:tcBorders>
          </w:tcPr>
          <w:p w14:paraId="541D47A8"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Adj. R-squared</w:t>
            </w:r>
          </w:p>
        </w:tc>
        <w:tc>
          <w:tcPr>
            <w:tcW w:w="904" w:type="dxa"/>
            <w:tcBorders>
              <w:top w:val="nil"/>
              <w:left w:val="nil"/>
              <w:bottom w:val="nil"/>
              <w:right w:val="nil"/>
            </w:tcBorders>
          </w:tcPr>
          <w:p w14:paraId="0252DA3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0.75</w:t>
            </w:r>
          </w:p>
        </w:tc>
        <w:tc>
          <w:tcPr>
            <w:tcW w:w="1140" w:type="dxa"/>
            <w:tcBorders>
              <w:top w:val="nil"/>
              <w:left w:val="nil"/>
              <w:bottom w:val="nil"/>
              <w:right w:val="nil"/>
            </w:tcBorders>
          </w:tcPr>
          <w:p w14:paraId="3F893B5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0.76</w:t>
            </w:r>
          </w:p>
        </w:tc>
        <w:tc>
          <w:tcPr>
            <w:tcW w:w="1185" w:type="dxa"/>
            <w:tcBorders>
              <w:top w:val="nil"/>
              <w:left w:val="nil"/>
              <w:bottom w:val="nil"/>
              <w:right w:val="single" w:sz="4" w:space="0" w:color="auto"/>
            </w:tcBorders>
          </w:tcPr>
          <w:p w14:paraId="0EB5E1D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0.81</w:t>
            </w:r>
          </w:p>
        </w:tc>
        <w:tc>
          <w:tcPr>
            <w:tcW w:w="1110" w:type="dxa"/>
            <w:tcBorders>
              <w:top w:val="nil"/>
              <w:left w:val="single" w:sz="4" w:space="0" w:color="auto"/>
              <w:bottom w:val="nil"/>
              <w:right w:val="nil"/>
            </w:tcBorders>
          </w:tcPr>
          <w:p w14:paraId="72A56A7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0.67</w:t>
            </w:r>
          </w:p>
        </w:tc>
        <w:tc>
          <w:tcPr>
            <w:tcW w:w="1347" w:type="dxa"/>
            <w:tcBorders>
              <w:top w:val="nil"/>
              <w:left w:val="nil"/>
              <w:bottom w:val="nil"/>
              <w:right w:val="nil"/>
            </w:tcBorders>
          </w:tcPr>
          <w:p w14:paraId="4EF2390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0.68</w:t>
            </w:r>
          </w:p>
        </w:tc>
        <w:tc>
          <w:tcPr>
            <w:tcW w:w="1072" w:type="dxa"/>
            <w:tcBorders>
              <w:top w:val="nil"/>
              <w:left w:val="nil"/>
              <w:bottom w:val="nil"/>
              <w:right w:val="nil"/>
            </w:tcBorders>
          </w:tcPr>
          <w:p w14:paraId="3D82039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0.69</w:t>
            </w:r>
          </w:p>
        </w:tc>
      </w:tr>
      <w:tr w:rsidR="0016647F" w:rsidRPr="000D61D1" w14:paraId="025C285A" w14:textId="77777777" w:rsidTr="0016647F">
        <w:trPr>
          <w:jc w:val="center"/>
        </w:trPr>
        <w:tc>
          <w:tcPr>
            <w:tcW w:w="2268" w:type="dxa"/>
            <w:tcBorders>
              <w:top w:val="nil"/>
              <w:left w:val="nil"/>
              <w:bottom w:val="single" w:sz="6" w:space="0" w:color="auto"/>
              <w:right w:val="nil"/>
            </w:tcBorders>
          </w:tcPr>
          <w:p w14:paraId="2CF3E056"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Max in Cor. Matrix</w:t>
            </w:r>
          </w:p>
        </w:tc>
        <w:tc>
          <w:tcPr>
            <w:tcW w:w="904" w:type="dxa"/>
            <w:tcBorders>
              <w:top w:val="nil"/>
              <w:left w:val="nil"/>
              <w:bottom w:val="single" w:sz="6" w:space="0" w:color="auto"/>
              <w:right w:val="nil"/>
            </w:tcBorders>
          </w:tcPr>
          <w:p w14:paraId="22F219B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
        </w:tc>
        <w:tc>
          <w:tcPr>
            <w:tcW w:w="1140" w:type="dxa"/>
            <w:tcBorders>
              <w:top w:val="nil"/>
              <w:left w:val="nil"/>
              <w:bottom w:val="single" w:sz="6" w:space="0" w:color="auto"/>
              <w:right w:val="nil"/>
            </w:tcBorders>
          </w:tcPr>
          <w:p w14:paraId="3CD1261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0.21</w:t>
            </w:r>
          </w:p>
        </w:tc>
        <w:tc>
          <w:tcPr>
            <w:tcW w:w="1185" w:type="dxa"/>
            <w:tcBorders>
              <w:top w:val="nil"/>
              <w:left w:val="nil"/>
              <w:bottom w:val="single" w:sz="6" w:space="0" w:color="auto"/>
              <w:right w:val="single" w:sz="4" w:space="0" w:color="auto"/>
            </w:tcBorders>
          </w:tcPr>
          <w:p w14:paraId="3EB0464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0.11</w:t>
            </w:r>
          </w:p>
        </w:tc>
        <w:tc>
          <w:tcPr>
            <w:tcW w:w="1110" w:type="dxa"/>
            <w:tcBorders>
              <w:top w:val="nil"/>
              <w:left w:val="single" w:sz="4" w:space="0" w:color="auto"/>
              <w:bottom w:val="single" w:sz="6" w:space="0" w:color="auto"/>
              <w:right w:val="nil"/>
            </w:tcBorders>
          </w:tcPr>
          <w:p w14:paraId="0B851BE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w:t>
            </w:r>
          </w:p>
        </w:tc>
        <w:tc>
          <w:tcPr>
            <w:tcW w:w="1347" w:type="dxa"/>
            <w:tcBorders>
              <w:top w:val="nil"/>
              <w:left w:val="nil"/>
              <w:bottom w:val="single" w:sz="6" w:space="0" w:color="auto"/>
              <w:right w:val="nil"/>
            </w:tcBorders>
          </w:tcPr>
          <w:p w14:paraId="0C8BA43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0.19</w:t>
            </w:r>
          </w:p>
        </w:tc>
        <w:tc>
          <w:tcPr>
            <w:tcW w:w="1072" w:type="dxa"/>
            <w:tcBorders>
              <w:top w:val="nil"/>
              <w:left w:val="nil"/>
              <w:bottom w:val="single" w:sz="6" w:space="0" w:color="auto"/>
              <w:right w:val="nil"/>
            </w:tcBorders>
          </w:tcPr>
          <w:p w14:paraId="64288AA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sz w:val="22"/>
                <w:szCs w:val="22"/>
                <w:lang w:val="en-AU"/>
              </w:rPr>
              <w:t>0.44</w:t>
            </w:r>
          </w:p>
        </w:tc>
      </w:tr>
    </w:tbl>
    <w:p w14:paraId="2484A597" w14:textId="77777777" w:rsidR="0016647F" w:rsidRPr="000D61D1" w:rsidRDefault="0016647F" w:rsidP="0016647F">
      <w:pPr>
        <w:widowControl w:val="0"/>
        <w:autoSpaceDE w:val="0"/>
        <w:autoSpaceDN w:val="0"/>
        <w:adjustRightInd w:val="0"/>
        <w:spacing w:before="79" w:after="79"/>
        <w:jc w:val="center"/>
        <w:rPr>
          <w:rFonts w:cs="Times New Roman"/>
          <w:sz w:val="22"/>
          <w:szCs w:val="22"/>
          <w:lang w:val="en-AU"/>
        </w:rPr>
      </w:pPr>
      <w:r w:rsidRPr="000D61D1">
        <w:rPr>
          <w:rFonts w:cs="Times New Roman"/>
          <w:sz w:val="22"/>
          <w:szCs w:val="22"/>
          <w:lang w:val="en-AU"/>
        </w:rPr>
        <w:t xml:space="preserve">* </w:t>
      </w:r>
      <w:r w:rsidRPr="000D61D1">
        <w:rPr>
          <w:rFonts w:cs="Times New Roman"/>
          <w:i/>
          <w:iCs/>
          <w:sz w:val="22"/>
          <w:szCs w:val="22"/>
          <w:lang w:val="en-AU"/>
        </w:rPr>
        <w:t>p</w:t>
      </w:r>
      <w:r w:rsidRPr="000D61D1">
        <w:rPr>
          <w:rFonts w:cs="Times New Roman"/>
          <w:sz w:val="22"/>
          <w:szCs w:val="22"/>
          <w:lang w:val="en-AU"/>
        </w:rPr>
        <w:t xml:space="preserve">&lt;0.05; ** </w:t>
      </w:r>
      <w:r w:rsidRPr="000D61D1">
        <w:rPr>
          <w:rFonts w:cs="Times New Roman"/>
          <w:i/>
          <w:iCs/>
          <w:sz w:val="22"/>
          <w:szCs w:val="22"/>
          <w:lang w:val="en-AU"/>
        </w:rPr>
        <w:t>p</w:t>
      </w:r>
      <w:r w:rsidRPr="000D61D1">
        <w:rPr>
          <w:rFonts w:cs="Times New Roman"/>
          <w:sz w:val="22"/>
          <w:szCs w:val="22"/>
          <w:lang w:val="en-AU"/>
        </w:rPr>
        <w:t>&lt;0.01</w:t>
      </w:r>
    </w:p>
    <w:p w14:paraId="6E9F2589" w14:textId="60FF828B" w:rsidR="0016647F" w:rsidRPr="000D61D1" w:rsidRDefault="0016647F" w:rsidP="0016647F">
      <w:pPr>
        <w:rPr>
          <w:lang w:val="en-AU"/>
        </w:rPr>
      </w:pPr>
      <w:r w:rsidRPr="000D61D1">
        <w:rPr>
          <w:lang w:val="en-AU"/>
        </w:rPr>
        <w:t xml:space="preserve">When looking at unit prices in the second half of </w:t>
      </w:r>
      <w:r w:rsidR="00767301" w:rsidRPr="000D61D1">
        <w:rPr>
          <w:color w:val="000000" w:themeColor="text1"/>
          <w:lang w:val="en-AU"/>
        </w:rPr>
        <w:fldChar w:fldCharType="begin"/>
      </w:r>
      <w:r w:rsidR="00767301" w:rsidRPr="000D61D1">
        <w:rPr>
          <w:color w:val="000000" w:themeColor="text1"/>
          <w:lang w:val="en-AU"/>
        </w:rPr>
        <w:instrText xml:space="preserve"> REF _Ref33092848 \h  \* MERGEFORMAT </w:instrText>
      </w:r>
      <w:r w:rsidR="00767301" w:rsidRPr="000D61D1">
        <w:rPr>
          <w:color w:val="000000" w:themeColor="text1"/>
          <w:lang w:val="en-AU"/>
        </w:rPr>
      </w:r>
      <w:r w:rsidR="00767301"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14</w:t>
      </w:r>
      <w:r w:rsidR="00767301" w:rsidRPr="000D61D1">
        <w:rPr>
          <w:color w:val="000000" w:themeColor="text1"/>
          <w:lang w:val="en-AU"/>
        </w:rPr>
        <w:fldChar w:fldCharType="end"/>
      </w:r>
      <w:r w:rsidR="00767301" w:rsidRPr="000D61D1">
        <w:rPr>
          <w:color w:val="000000" w:themeColor="text1"/>
          <w:lang w:val="en-AU"/>
        </w:rPr>
        <w:t xml:space="preserve">, </w:t>
      </w:r>
      <w:r w:rsidRPr="000D61D1">
        <w:rPr>
          <w:lang w:val="en-AU"/>
        </w:rPr>
        <w:t xml:space="preserve">we observe in the most basic regression of column 1 a negative effect, this turns into a positive effect of 4% once we add controls to the specification. The effect </w:t>
      </w:r>
      <w:r w:rsidR="00767301" w:rsidRPr="000D61D1">
        <w:rPr>
          <w:lang w:val="en-AU"/>
        </w:rPr>
        <w:t>is eliminated</w:t>
      </w:r>
      <w:r w:rsidRPr="000D61D1">
        <w:rPr>
          <w:lang w:val="en-AU"/>
        </w:rPr>
        <w:t xml:space="preserve"> in column 6 when we restrict the sample to</w:t>
      </w:r>
      <w:r w:rsidR="00767301" w:rsidRPr="000D61D1">
        <w:rPr>
          <w:lang w:val="en-AU"/>
        </w:rPr>
        <w:t xml:space="preserve"> </w:t>
      </w:r>
      <w:r w:rsidRPr="000D61D1">
        <w:rPr>
          <w:lang w:val="en-AU"/>
        </w:rPr>
        <w:t>capital cities</w:t>
      </w:r>
      <w:r w:rsidR="00767301" w:rsidRPr="000D61D1">
        <w:rPr>
          <w:lang w:val="en-AU"/>
        </w:rPr>
        <w:t>;</w:t>
      </w:r>
      <w:r w:rsidRPr="000D61D1">
        <w:rPr>
          <w:lang w:val="en-AU"/>
        </w:rPr>
        <w:t xml:space="preserve"> we </w:t>
      </w:r>
      <w:proofErr w:type="gramStart"/>
      <w:r w:rsidRPr="000D61D1">
        <w:rPr>
          <w:lang w:val="en-AU"/>
        </w:rPr>
        <w:t>do</w:t>
      </w:r>
      <w:proofErr w:type="gramEnd"/>
      <w:r w:rsidRPr="000D61D1">
        <w:rPr>
          <w:lang w:val="en-AU"/>
        </w:rPr>
        <w:t xml:space="preserve"> </w:t>
      </w:r>
      <w:r w:rsidR="00767301" w:rsidRPr="000D61D1">
        <w:rPr>
          <w:lang w:val="en-AU"/>
        </w:rPr>
        <w:t xml:space="preserve">however, </w:t>
      </w:r>
      <w:r w:rsidRPr="000D61D1">
        <w:rPr>
          <w:lang w:val="en-AU"/>
        </w:rPr>
        <w:t xml:space="preserve">observe an increase in our collinearity measure. </w:t>
      </w:r>
    </w:p>
    <w:p w14:paraId="64E8B79E" w14:textId="77777777" w:rsidR="0016647F" w:rsidRPr="000D61D1" w:rsidRDefault="0016647F" w:rsidP="001922CF">
      <w:pPr>
        <w:pStyle w:val="Heading3"/>
        <w:rPr>
          <w:lang w:val="en-AU"/>
        </w:rPr>
      </w:pPr>
      <w:bookmarkStart w:id="37" w:name="_Toc43911484"/>
      <w:r w:rsidRPr="000D61D1">
        <w:rPr>
          <w:lang w:val="en-AU"/>
        </w:rPr>
        <w:t>Results for the effect on the numbers of properties sold</w:t>
      </w:r>
      <w:bookmarkEnd w:id="37"/>
      <w:r w:rsidRPr="000D61D1">
        <w:rPr>
          <w:lang w:val="en-AU"/>
        </w:rPr>
        <w:t xml:space="preserve"> </w:t>
      </w:r>
    </w:p>
    <w:p w14:paraId="282B2B10" w14:textId="3EF92BDD" w:rsidR="00767301" w:rsidRPr="000D61D1" w:rsidRDefault="0016647F" w:rsidP="00D80E7C">
      <w:pPr>
        <w:rPr>
          <w:color w:val="000000" w:themeColor="text1"/>
          <w:lang w:val="en-AU"/>
        </w:rPr>
      </w:pPr>
      <w:r w:rsidRPr="000D61D1">
        <w:rPr>
          <w:lang w:val="en-AU"/>
        </w:rPr>
        <w:t>This section presents the results for the sales volume for houses and units in</w:t>
      </w:r>
      <w:r w:rsidR="00767301" w:rsidRPr="000D61D1">
        <w:rPr>
          <w:lang w:val="en-AU"/>
        </w:rPr>
        <w:t xml:space="preserve"> </w:t>
      </w:r>
      <w:r w:rsidR="00767301" w:rsidRPr="000D61D1">
        <w:rPr>
          <w:color w:val="000000" w:themeColor="text1"/>
          <w:lang w:val="en-AU"/>
        </w:rPr>
        <w:fldChar w:fldCharType="begin"/>
      </w:r>
      <w:r w:rsidR="00767301" w:rsidRPr="000D61D1">
        <w:rPr>
          <w:color w:val="000000" w:themeColor="text1"/>
          <w:lang w:val="en-AU"/>
        </w:rPr>
        <w:instrText xml:space="preserve"> REF _Ref33093177 \h  \* MERGEFORMAT </w:instrText>
      </w:r>
      <w:r w:rsidR="00767301" w:rsidRPr="000D61D1">
        <w:rPr>
          <w:color w:val="000000" w:themeColor="text1"/>
          <w:lang w:val="en-AU"/>
        </w:rPr>
      </w:r>
      <w:r w:rsidR="00767301"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15</w:t>
      </w:r>
      <w:r w:rsidR="00767301" w:rsidRPr="000D61D1">
        <w:rPr>
          <w:color w:val="000000" w:themeColor="text1"/>
          <w:lang w:val="en-AU"/>
        </w:rPr>
        <w:fldChar w:fldCharType="end"/>
      </w:r>
      <w:r w:rsidRPr="000D61D1">
        <w:rPr>
          <w:color w:val="000000" w:themeColor="text1"/>
          <w:lang w:val="en-AU"/>
        </w:rPr>
        <w:t xml:space="preserve">. </w:t>
      </w:r>
    </w:p>
    <w:p w14:paraId="0A4643F2" w14:textId="539E9007" w:rsidR="00767301" w:rsidRPr="000D61D1" w:rsidRDefault="00767301" w:rsidP="007C11BD">
      <w:pPr>
        <w:pStyle w:val="TableCaption"/>
        <w:rPr>
          <w:lang w:val="en-AU"/>
        </w:rPr>
      </w:pPr>
      <w:bookmarkStart w:id="38" w:name="_Ref33093177"/>
      <w:bookmarkStart w:id="39" w:name="_Toc43911502"/>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15</w:t>
      </w:r>
      <w:r w:rsidRPr="000D61D1">
        <w:rPr>
          <w:lang w:val="en-AU"/>
        </w:rPr>
        <w:fldChar w:fldCharType="end"/>
      </w:r>
      <w:bookmarkEnd w:id="38"/>
      <w:r w:rsidRPr="000D61D1">
        <w:rPr>
          <w:lang w:val="en-AU"/>
        </w:rPr>
        <w:t xml:space="preserve"> - Effect of the tax reform on the number of property sales - estimations in </w:t>
      </w:r>
      <w:r w:rsidR="00615E55" w:rsidRPr="000D61D1">
        <w:rPr>
          <w:lang w:val="en-AU"/>
        </w:rPr>
        <w:t>logs</w:t>
      </w:r>
      <w:bookmarkEnd w:id="39"/>
    </w:p>
    <w:tbl>
      <w:tblPr>
        <w:tblW w:w="0" w:type="auto"/>
        <w:jc w:val="center"/>
        <w:tblCellMar>
          <w:left w:w="144" w:type="dxa"/>
          <w:right w:w="144" w:type="dxa"/>
        </w:tblCellMar>
        <w:tblLook w:val="0000" w:firstRow="0" w:lastRow="0" w:firstColumn="0" w:lastColumn="0" w:noHBand="0" w:noVBand="0"/>
      </w:tblPr>
      <w:tblGrid>
        <w:gridCol w:w="2009"/>
        <w:gridCol w:w="1144"/>
        <w:gridCol w:w="1144"/>
        <w:gridCol w:w="1175"/>
        <w:gridCol w:w="1144"/>
        <w:gridCol w:w="1266"/>
        <w:gridCol w:w="1144"/>
      </w:tblGrid>
      <w:tr w:rsidR="0016647F" w:rsidRPr="000D61D1" w14:paraId="6D396DB0" w14:textId="77777777" w:rsidTr="00767301">
        <w:trPr>
          <w:jc w:val="center"/>
        </w:trPr>
        <w:tc>
          <w:tcPr>
            <w:tcW w:w="2009" w:type="dxa"/>
            <w:tcBorders>
              <w:top w:val="single" w:sz="6" w:space="0" w:color="auto"/>
              <w:left w:val="nil"/>
              <w:right w:val="nil"/>
            </w:tcBorders>
          </w:tcPr>
          <w:p w14:paraId="0E67E492" w14:textId="77777777" w:rsidR="0016647F" w:rsidRPr="000D61D1" w:rsidRDefault="0016647F" w:rsidP="0016647F">
            <w:pPr>
              <w:widowControl w:val="0"/>
              <w:autoSpaceDE w:val="0"/>
              <w:autoSpaceDN w:val="0"/>
              <w:adjustRightInd w:val="0"/>
              <w:spacing w:before="79"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Number Sold)</w:t>
            </w:r>
          </w:p>
        </w:tc>
        <w:tc>
          <w:tcPr>
            <w:tcW w:w="1144" w:type="dxa"/>
            <w:tcBorders>
              <w:top w:val="single" w:sz="6" w:space="0" w:color="auto"/>
              <w:left w:val="nil"/>
              <w:right w:val="nil"/>
            </w:tcBorders>
          </w:tcPr>
          <w:p w14:paraId="42B86106"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(1)</w:t>
            </w:r>
          </w:p>
        </w:tc>
        <w:tc>
          <w:tcPr>
            <w:tcW w:w="1144" w:type="dxa"/>
            <w:tcBorders>
              <w:top w:val="single" w:sz="6" w:space="0" w:color="auto"/>
              <w:left w:val="nil"/>
              <w:right w:val="nil"/>
            </w:tcBorders>
          </w:tcPr>
          <w:p w14:paraId="366EEE8F"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(2)</w:t>
            </w:r>
          </w:p>
        </w:tc>
        <w:tc>
          <w:tcPr>
            <w:tcW w:w="1175" w:type="dxa"/>
            <w:tcBorders>
              <w:top w:val="single" w:sz="6" w:space="0" w:color="auto"/>
              <w:left w:val="nil"/>
              <w:right w:val="single" w:sz="4" w:space="0" w:color="auto"/>
            </w:tcBorders>
          </w:tcPr>
          <w:p w14:paraId="58C2B372"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(3)</w:t>
            </w:r>
          </w:p>
        </w:tc>
        <w:tc>
          <w:tcPr>
            <w:tcW w:w="1144" w:type="dxa"/>
            <w:tcBorders>
              <w:top w:val="single" w:sz="6" w:space="0" w:color="auto"/>
              <w:left w:val="single" w:sz="4" w:space="0" w:color="auto"/>
              <w:right w:val="nil"/>
            </w:tcBorders>
          </w:tcPr>
          <w:p w14:paraId="406B11E7"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(4)</w:t>
            </w:r>
          </w:p>
        </w:tc>
        <w:tc>
          <w:tcPr>
            <w:tcW w:w="1266" w:type="dxa"/>
            <w:tcBorders>
              <w:top w:val="single" w:sz="6" w:space="0" w:color="auto"/>
              <w:left w:val="nil"/>
              <w:right w:val="nil"/>
            </w:tcBorders>
          </w:tcPr>
          <w:p w14:paraId="669A9D90"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(5)</w:t>
            </w:r>
          </w:p>
        </w:tc>
        <w:tc>
          <w:tcPr>
            <w:tcW w:w="1144" w:type="dxa"/>
            <w:tcBorders>
              <w:top w:val="single" w:sz="6" w:space="0" w:color="auto"/>
              <w:left w:val="nil"/>
              <w:right w:val="nil"/>
            </w:tcBorders>
          </w:tcPr>
          <w:p w14:paraId="549B8490"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(6)</w:t>
            </w:r>
          </w:p>
        </w:tc>
      </w:tr>
      <w:tr w:rsidR="0016647F" w:rsidRPr="000D61D1" w14:paraId="5FCCB05D" w14:textId="77777777" w:rsidTr="00767301">
        <w:trPr>
          <w:jc w:val="center"/>
        </w:trPr>
        <w:tc>
          <w:tcPr>
            <w:tcW w:w="2009" w:type="dxa"/>
            <w:tcBorders>
              <w:left w:val="nil"/>
              <w:bottom w:val="single" w:sz="4" w:space="0" w:color="auto"/>
              <w:right w:val="nil"/>
            </w:tcBorders>
          </w:tcPr>
          <w:p w14:paraId="4F31EFEC" w14:textId="77777777" w:rsidR="0016647F" w:rsidRPr="000D61D1" w:rsidRDefault="0016647F" w:rsidP="0016647F">
            <w:pPr>
              <w:widowControl w:val="0"/>
              <w:autoSpaceDE w:val="0"/>
              <w:autoSpaceDN w:val="0"/>
              <w:adjustRightInd w:val="0"/>
              <w:spacing w:before="79" w:after="0"/>
              <w:rPr>
                <w:rFonts w:cs="Times New Roman"/>
                <w:sz w:val="22"/>
                <w:szCs w:val="22"/>
                <w:lang w:val="en-AU"/>
              </w:rPr>
            </w:pPr>
          </w:p>
        </w:tc>
        <w:tc>
          <w:tcPr>
            <w:tcW w:w="3463" w:type="dxa"/>
            <w:gridSpan w:val="3"/>
            <w:tcBorders>
              <w:left w:val="nil"/>
              <w:bottom w:val="single" w:sz="4" w:space="0" w:color="auto"/>
              <w:right w:val="single" w:sz="4" w:space="0" w:color="auto"/>
            </w:tcBorders>
          </w:tcPr>
          <w:p w14:paraId="49CE1BA8"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Houses</w:t>
            </w:r>
          </w:p>
        </w:tc>
        <w:tc>
          <w:tcPr>
            <w:tcW w:w="3554" w:type="dxa"/>
            <w:gridSpan w:val="3"/>
            <w:tcBorders>
              <w:left w:val="single" w:sz="4" w:space="0" w:color="auto"/>
              <w:bottom w:val="single" w:sz="4" w:space="0" w:color="auto"/>
              <w:right w:val="nil"/>
            </w:tcBorders>
          </w:tcPr>
          <w:p w14:paraId="0307DD98" w14:textId="77777777" w:rsidR="0016647F" w:rsidRPr="000D61D1" w:rsidRDefault="0016647F" w:rsidP="0016647F">
            <w:pPr>
              <w:widowControl w:val="0"/>
              <w:autoSpaceDE w:val="0"/>
              <w:autoSpaceDN w:val="0"/>
              <w:adjustRightInd w:val="0"/>
              <w:spacing w:before="79" w:after="0"/>
              <w:jc w:val="center"/>
              <w:rPr>
                <w:rFonts w:cs="Times New Roman"/>
                <w:sz w:val="22"/>
                <w:szCs w:val="22"/>
                <w:lang w:val="en-AU"/>
              </w:rPr>
            </w:pPr>
            <w:r w:rsidRPr="000D61D1">
              <w:rPr>
                <w:rFonts w:cs="Times New Roman"/>
                <w:sz w:val="22"/>
                <w:szCs w:val="22"/>
                <w:lang w:val="en-AU"/>
              </w:rPr>
              <w:t>Units</w:t>
            </w:r>
          </w:p>
        </w:tc>
      </w:tr>
      <w:tr w:rsidR="0016647F" w:rsidRPr="000D61D1" w14:paraId="5485DB61" w14:textId="77777777" w:rsidTr="00767301">
        <w:trPr>
          <w:jc w:val="center"/>
        </w:trPr>
        <w:tc>
          <w:tcPr>
            <w:tcW w:w="2009" w:type="dxa"/>
            <w:tcBorders>
              <w:top w:val="single" w:sz="4" w:space="0" w:color="auto"/>
              <w:left w:val="nil"/>
              <w:bottom w:val="nil"/>
              <w:right w:val="nil"/>
            </w:tcBorders>
          </w:tcPr>
          <w:p w14:paraId="4A96B6B4" w14:textId="77777777" w:rsidR="0016647F" w:rsidRPr="000D61D1" w:rsidRDefault="0016647F" w:rsidP="0016647F">
            <w:pPr>
              <w:widowControl w:val="0"/>
              <w:autoSpaceDE w:val="0"/>
              <w:autoSpaceDN w:val="0"/>
              <w:adjustRightInd w:val="0"/>
              <w:spacing w:after="79"/>
              <w:rPr>
                <w:rFonts w:cs="Times New Roman"/>
                <w:sz w:val="22"/>
                <w:szCs w:val="22"/>
                <w:lang w:val="en-AU"/>
              </w:rPr>
            </w:pPr>
          </w:p>
        </w:tc>
        <w:tc>
          <w:tcPr>
            <w:tcW w:w="1144" w:type="dxa"/>
            <w:tcBorders>
              <w:top w:val="single" w:sz="4" w:space="0" w:color="auto"/>
              <w:left w:val="nil"/>
              <w:bottom w:val="nil"/>
              <w:right w:val="nil"/>
            </w:tcBorders>
          </w:tcPr>
          <w:p w14:paraId="12EBFCD9"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Full Sample</w:t>
            </w:r>
          </w:p>
        </w:tc>
        <w:tc>
          <w:tcPr>
            <w:tcW w:w="1144" w:type="dxa"/>
            <w:tcBorders>
              <w:top w:val="single" w:sz="4" w:space="0" w:color="auto"/>
              <w:left w:val="nil"/>
              <w:bottom w:val="nil"/>
              <w:right w:val="nil"/>
            </w:tcBorders>
          </w:tcPr>
          <w:p w14:paraId="024FC210"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Full Sample</w:t>
            </w:r>
          </w:p>
        </w:tc>
        <w:tc>
          <w:tcPr>
            <w:tcW w:w="1175" w:type="dxa"/>
            <w:tcBorders>
              <w:top w:val="single" w:sz="4" w:space="0" w:color="auto"/>
              <w:left w:val="nil"/>
              <w:bottom w:val="nil"/>
              <w:right w:val="single" w:sz="4" w:space="0" w:color="auto"/>
            </w:tcBorders>
          </w:tcPr>
          <w:p w14:paraId="48D4A040"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Capital Cities</w:t>
            </w:r>
          </w:p>
        </w:tc>
        <w:tc>
          <w:tcPr>
            <w:tcW w:w="1144" w:type="dxa"/>
            <w:tcBorders>
              <w:top w:val="single" w:sz="4" w:space="0" w:color="auto"/>
              <w:left w:val="single" w:sz="4" w:space="0" w:color="auto"/>
              <w:bottom w:val="nil"/>
              <w:right w:val="nil"/>
            </w:tcBorders>
          </w:tcPr>
          <w:p w14:paraId="20149930"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Full Sample</w:t>
            </w:r>
          </w:p>
        </w:tc>
        <w:tc>
          <w:tcPr>
            <w:tcW w:w="1266" w:type="dxa"/>
            <w:tcBorders>
              <w:top w:val="single" w:sz="4" w:space="0" w:color="auto"/>
              <w:left w:val="nil"/>
              <w:bottom w:val="nil"/>
              <w:right w:val="nil"/>
            </w:tcBorders>
          </w:tcPr>
          <w:p w14:paraId="51457A10"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Full Sample</w:t>
            </w:r>
          </w:p>
        </w:tc>
        <w:tc>
          <w:tcPr>
            <w:tcW w:w="1144" w:type="dxa"/>
            <w:tcBorders>
              <w:top w:val="single" w:sz="4" w:space="0" w:color="auto"/>
              <w:left w:val="nil"/>
              <w:bottom w:val="nil"/>
              <w:right w:val="nil"/>
            </w:tcBorders>
          </w:tcPr>
          <w:p w14:paraId="7168976B" w14:textId="77777777" w:rsidR="0016647F" w:rsidRPr="000D61D1" w:rsidRDefault="0016647F" w:rsidP="0016647F">
            <w:pPr>
              <w:widowControl w:val="0"/>
              <w:autoSpaceDE w:val="0"/>
              <w:autoSpaceDN w:val="0"/>
              <w:adjustRightInd w:val="0"/>
              <w:spacing w:after="79"/>
              <w:jc w:val="center"/>
              <w:rPr>
                <w:rFonts w:cs="Times New Roman"/>
                <w:sz w:val="22"/>
                <w:szCs w:val="22"/>
                <w:lang w:val="en-AU"/>
              </w:rPr>
            </w:pPr>
            <w:r w:rsidRPr="000D61D1">
              <w:rPr>
                <w:rFonts w:cs="Times New Roman"/>
                <w:sz w:val="22"/>
                <w:szCs w:val="22"/>
                <w:lang w:val="en-AU"/>
              </w:rPr>
              <w:t>Capital Cities</w:t>
            </w:r>
          </w:p>
        </w:tc>
      </w:tr>
      <w:tr w:rsidR="0016647F" w:rsidRPr="000D61D1" w14:paraId="6741D436" w14:textId="77777777" w:rsidTr="00767301">
        <w:trPr>
          <w:jc w:val="center"/>
        </w:trPr>
        <w:tc>
          <w:tcPr>
            <w:tcW w:w="2009" w:type="dxa"/>
            <w:tcBorders>
              <w:top w:val="single" w:sz="6" w:space="0" w:color="auto"/>
              <w:left w:val="nil"/>
              <w:bottom w:val="nil"/>
              <w:right w:val="nil"/>
            </w:tcBorders>
          </w:tcPr>
          <w:p w14:paraId="2E3E0DA7"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Reform Dummy</w:t>
            </w:r>
          </w:p>
        </w:tc>
        <w:tc>
          <w:tcPr>
            <w:tcW w:w="1144" w:type="dxa"/>
            <w:tcBorders>
              <w:top w:val="single" w:sz="6" w:space="0" w:color="auto"/>
              <w:left w:val="nil"/>
              <w:bottom w:val="nil"/>
              <w:right w:val="nil"/>
            </w:tcBorders>
          </w:tcPr>
          <w:p w14:paraId="1D9E8B5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-0.096</w:t>
            </w:r>
          </w:p>
        </w:tc>
        <w:tc>
          <w:tcPr>
            <w:tcW w:w="1144" w:type="dxa"/>
            <w:tcBorders>
              <w:top w:val="single" w:sz="6" w:space="0" w:color="auto"/>
              <w:left w:val="nil"/>
              <w:bottom w:val="nil"/>
              <w:right w:val="nil"/>
            </w:tcBorders>
          </w:tcPr>
          <w:p w14:paraId="66549A5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-0.062</w:t>
            </w:r>
          </w:p>
        </w:tc>
        <w:tc>
          <w:tcPr>
            <w:tcW w:w="1175" w:type="dxa"/>
            <w:tcBorders>
              <w:top w:val="single" w:sz="6" w:space="0" w:color="auto"/>
              <w:left w:val="nil"/>
              <w:bottom w:val="nil"/>
              <w:right w:val="single" w:sz="4" w:space="0" w:color="auto"/>
            </w:tcBorders>
          </w:tcPr>
          <w:p w14:paraId="56B1E09C"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-0.075</w:t>
            </w:r>
          </w:p>
        </w:tc>
        <w:tc>
          <w:tcPr>
            <w:tcW w:w="1144" w:type="dxa"/>
            <w:tcBorders>
              <w:top w:val="single" w:sz="6" w:space="0" w:color="auto"/>
              <w:left w:val="single" w:sz="4" w:space="0" w:color="auto"/>
              <w:bottom w:val="nil"/>
              <w:right w:val="nil"/>
            </w:tcBorders>
          </w:tcPr>
          <w:p w14:paraId="010294D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-0.285</w:t>
            </w:r>
          </w:p>
        </w:tc>
        <w:tc>
          <w:tcPr>
            <w:tcW w:w="1266" w:type="dxa"/>
            <w:tcBorders>
              <w:top w:val="single" w:sz="6" w:space="0" w:color="auto"/>
              <w:left w:val="nil"/>
              <w:bottom w:val="nil"/>
              <w:right w:val="nil"/>
            </w:tcBorders>
          </w:tcPr>
          <w:p w14:paraId="5B13EF1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-0.265</w:t>
            </w:r>
          </w:p>
        </w:tc>
        <w:tc>
          <w:tcPr>
            <w:tcW w:w="1144" w:type="dxa"/>
            <w:tcBorders>
              <w:top w:val="single" w:sz="6" w:space="0" w:color="auto"/>
              <w:left w:val="nil"/>
              <w:bottom w:val="nil"/>
              <w:right w:val="nil"/>
            </w:tcBorders>
          </w:tcPr>
          <w:p w14:paraId="26C8250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-0.275</w:t>
            </w:r>
          </w:p>
        </w:tc>
      </w:tr>
      <w:tr w:rsidR="0016647F" w:rsidRPr="000D61D1" w14:paraId="4ECB3471" w14:textId="77777777" w:rsidTr="00767301">
        <w:trPr>
          <w:jc w:val="center"/>
        </w:trPr>
        <w:tc>
          <w:tcPr>
            <w:tcW w:w="2009" w:type="dxa"/>
            <w:tcBorders>
              <w:top w:val="nil"/>
              <w:left w:val="nil"/>
              <w:bottom w:val="nil"/>
              <w:right w:val="nil"/>
            </w:tcBorders>
          </w:tcPr>
          <w:p w14:paraId="637704D1" w14:textId="4E15B99E"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1144" w:type="dxa"/>
            <w:tcBorders>
              <w:top w:val="nil"/>
              <w:left w:val="nil"/>
              <w:bottom w:val="nil"/>
              <w:right w:val="nil"/>
            </w:tcBorders>
          </w:tcPr>
          <w:p w14:paraId="6800A0A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0.029]*</w:t>
            </w:r>
            <w:proofErr w:type="gramEnd"/>
            <w:r w:rsidRPr="000D61D1">
              <w:rPr>
                <w:rFonts w:cs="Times New Roman"/>
                <w:sz w:val="22"/>
                <w:szCs w:val="22"/>
                <w:lang w:val="en-AU"/>
              </w:rPr>
              <w:t>*</w:t>
            </w:r>
          </w:p>
        </w:tc>
        <w:tc>
          <w:tcPr>
            <w:tcW w:w="1144" w:type="dxa"/>
            <w:tcBorders>
              <w:top w:val="nil"/>
              <w:left w:val="nil"/>
              <w:bottom w:val="nil"/>
              <w:right w:val="nil"/>
            </w:tcBorders>
          </w:tcPr>
          <w:p w14:paraId="7B20725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0.028]*</w:t>
            </w:r>
            <w:proofErr w:type="gramEnd"/>
          </w:p>
        </w:tc>
        <w:tc>
          <w:tcPr>
            <w:tcW w:w="1175" w:type="dxa"/>
            <w:tcBorders>
              <w:top w:val="nil"/>
              <w:left w:val="nil"/>
              <w:bottom w:val="nil"/>
              <w:right w:val="single" w:sz="4" w:space="0" w:color="auto"/>
            </w:tcBorders>
          </w:tcPr>
          <w:p w14:paraId="26CEA87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0.028]*</w:t>
            </w:r>
            <w:proofErr w:type="gramEnd"/>
            <w:r w:rsidRPr="000D61D1">
              <w:rPr>
                <w:rFonts w:cs="Times New Roman"/>
                <w:sz w:val="22"/>
                <w:szCs w:val="22"/>
                <w:lang w:val="en-AU"/>
              </w:rPr>
              <w:t>*</w:t>
            </w:r>
          </w:p>
        </w:tc>
        <w:tc>
          <w:tcPr>
            <w:tcW w:w="1144" w:type="dxa"/>
            <w:tcBorders>
              <w:top w:val="nil"/>
              <w:left w:val="single" w:sz="4" w:space="0" w:color="auto"/>
              <w:bottom w:val="nil"/>
              <w:right w:val="nil"/>
            </w:tcBorders>
          </w:tcPr>
          <w:p w14:paraId="61213CE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0.027]*</w:t>
            </w:r>
            <w:proofErr w:type="gramEnd"/>
            <w:r w:rsidRPr="000D61D1">
              <w:rPr>
                <w:rFonts w:cs="Times New Roman"/>
                <w:sz w:val="22"/>
                <w:szCs w:val="22"/>
                <w:lang w:val="en-AU"/>
              </w:rPr>
              <w:t>*</w:t>
            </w:r>
          </w:p>
        </w:tc>
        <w:tc>
          <w:tcPr>
            <w:tcW w:w="1266" w:type="dxa"/>
            <w:tcBorders>
              <w:top w:val="nil"/>
              <w:left w:val="nil"/>
              <w:bottom w:val="nil"/>
              <w:right w:val="nil"/>
            </w:tcBorders>
          </w:tcPr>
          <w:p w14:paraId="532B920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0.029]*</w:t>
            </w:r>
            <w:proofErr w:type="gramEnd"/>
            <w:r w:rsidRPr="000D61D1">
              <w:rPr>
                <w:rFonts w:cs="Times New Roman"/>
                <w:sz w:val="22"/>
                <w:szCs w:val="22"/>
                <w:lang w:val="en-AU"/>
              </w:rPr>
              <w:t>*</w:t>
            </w:r>
          </w:p>
        </w:tc>
        <w:tc>
          <w:tcPr>
            <w:tcW w:w="1144" w:type="dxa"/>
            <w:tcBorders>
              <w:top w:val="nil"/>
              <w:left w:val="nil"/>
              <w:bottom w:val="nil"/>
              <w:right w:val="nil"/>
            </w:tcBorders>
          </w:tcPr>
          <w:p w14:paraId="498D5A3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0.030]*</w:t>
            </w:r>
            <w:proofErr w:type="gramEnd"/>
            <w:r w:rsidRPr="000D61D1">
              <w:rPr>
                <w:rFonts w:cs="Times New Roman"/>
                <w:sz w:val="22"/>
                <w:szCs w:val="22"/>
                <w:lang w:val="en-AU"/>
              </w:rPr>
              <w:t>*</w:t>
            </w:r>
          </w:p>
        </w:tc>
      </w:tr>
      <w:tr w:rsidR="0016647F" w:rsidRPr="000D61D1" w14:paraId="1A403BE2" w14:textId="77777777" w:rsidTr="00767301">
        <w:trPr>
          <w:jc w:val="center"/>
        </w:trPr>
        <w:tc>
          <w:tcPr>
            <w:tcW w:w="2009" w:type="dxa"/>
            <w:tcBorders>
              <w:top w:val="nil"/>
              <w:left w:val="nil"/>
              <w:bottom w:val="nil"/>
              <w:right w:val="nil"/>
            </w:tcBorders>
          </w:tcPr>
          <w:p w14:paraId="64A7B6EE" w14:textId="77777777" w:rsidR="0016647F" w:rsidRPr="000D61D1" w:rsidRDefault="0016647F" w:rsidP="0016647F">
            <w:pPr>
              <w:widowControl w:val="0"/>
              <w:autoSpaceDE w:val="0"/>
              <w:autoSpaceDN w:val="0"/>
              <w:adjustRightInd w:val="0"/>
              <w:spacing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Population)</w:t>
            </w:r>
          </w:p>
        </w:tc>
        <w:tc>
          <w:tcPr>
            <w:tcW w:w="1144" w:type="dxa"/>
            <w:tcBorders>
              <w:top w:val="nil"/>
              <w:left w:val="nil"/>
              <w:bottom w:val="nil"/>
              <w:right w:val="nil"/>
            </w:tcBorders>
          </w:tcPr>
          <w:p w14:paraId="1121A72C" w14:textId="03A197FB"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4" w:type="dxa"/>
            <w:tcBorders>
              <w:top w:val="nil"/>
              <w:left w:val="nil"/>
              <w:bottom w:val="nil"/>
              <w:right w:val="nil"/>
            </w:tcBorders>
          </w:tcPr>
          <w:p w14:paraId="53170D3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1.225</w:t>
            </w:r>
          </w:p>
        </w:tc>
        <w:tc>
          <w:tcPr>
            <w:tcW w:w="1175" w:type="dxa"/>
            <w:tcBorders>
              <w:top w:val="nil"/>
              <w:left w:val="nil"/>
              <w:bottom w:val="nil"/>
              <w:right w:val="single" w:sz="4" w:space="0" w:color="auto"/>
            </w:tcBorders>
          </w:tcPr>
          <w:p w14:paraId="3663B73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1.414</w:t>
            </w:r>
          </w:p>
        </w:tc>
        <w:tc>
          <w:tcPr>
            <w:tcW w:w="1144" w:type="dxa"/>
            <w:tcBorders>
              <w:top w:val="nil"/>
              <w:left w:val="single" w:sz="4" w:space="0" w:color="auto"/>
              <w:bottom w:val="nil"/>
              <w:right w:val="nil"/>
            </w:tcBorders>
          </w:tcPr>
          <w:p w14:paraId="2A78EC49" w14:textId="69501E78"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266" w:type="dxa"/>
            <w:tcBorders>
              <w:top w:val="nil"/>
              <w:left w:val="nil"/>
              <w:bottom w:val="nil"/>
              <w:right w:val="nil"/>
            </w:tcBorders>
          </w:tcPr>
          <w:p w14:paraId="7C0D798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1.516</w:t>
            </w:r>
          </w:p>
        </w:tc>
        <w:tc>
          <w:tcPr>
            <w:tcW w:w="1144" w:type="dxa"/>
            <w:tcBorders>
              <w:top w:val="nil"/>
              <w:left w:val="nil"/>
              <w:bottom w:val="nil"/>
              <w:right w:val="nil"/>
            </w:tcBorders>
          </w:tcPr>
          <w:p w14:paraId="2BFCBF36"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2.174</w:t>
            </w:r>
          </w:p>
        </w:tc>
      </w:tr>
      <w:tr w:rsidR="0016647F" w:rsidRPr="000D61D1" w14:paraId="0BB57C9A" w14:textId="77777777" w:rsidTr="00767301">
        <w:trPr>
          <w:jc w:val="center"/>
        </w:trPr>
        <w:tc>
          <w:tcPr>
            <w:tcW w:w="2009" w:type="dxa"/>
            <w:tcBorders>
              <w:top w:val="nil"/>
              <w:left w:val="nil"/>
              <w:bottom w:val="nil"/>
              <w:right w:val="nil"/>
            </w:tcBorders>
          </w:tcPr>
          <w:p w14:paraId="2D460899" w14:textId="32E2B6A7"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1144" w:type="dxa"/>
            <w:tcBorders>
              <w:top w:val="nil"/>
              <w:left w:val="nil"/>
              <w:bottom w:val="nil"/>
              <w:right w:val="nil"/>
            </w:tcBorders>
          </w:tcPr>
          <w:p w14:paraId="72C4919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4" w:type="dxa"/>
            <w:tcBorders>
              <w:top w:val="nil"/>
              <w:left w:val="nil"/>
              <w:bottom w:val="nil"/>
              <w:right w:val="nil"/>
            </w:tcBorders>
          </w:tcPr>
          <w:p w14:paraId="7A12876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0.108]*</w:t>
            </w:r>
            <w:proofErr w:type="gramEnd"/>
            <w:r w:rsidRPr="000D61D1">
              <w:rPr>
                <w:rFonts w:cs="Times New Roman"/>
                <w:sz w:val="22"/>
                <w:szCs w:val="22"/>
                <w:lang w:val="en-AU"/>
              </w:rPr>
              <w:t>*</w:t>
            </w:r>
          </w:p>
        </w:tc>
        <w:tc>
          <w:tcPr>
            <w:tcW w:w="1175" w:type="dxa"/>
            <w:tcBorders>
              <w:top w:val="nil"/>
              <w:left w:val="nil"/>
              <w:bottom w:val="nil"/>
              <w:right w:val="single" w:sz="4" w:space="0" w:color="auto"/>
            </w:tcBorders>
          </w:tcPr>
          <w:p w14:paraId="33E0643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0.168]*</w:t>
            </w:r>
            <w:proofErr w:type="gramEnd"/>
            <w:r w:rsidRPr="000D61D1">
              <w:rPr>
                <w:rFonts w:cs="Times New Roman"/>
                <w:sz w:val="22"/>
                <w:szCs w:val="22"/>
                <w:lang w:val="en-AU"/>
              </w:rPr>
              <w:t>*</w:t>
            </w:r>
          </w:p>
        </w:tc>
        <w:tc>
          <w:tcPr>
            <w:tcW w:w="1144" w:type="dxa"/>
            <w:tcBorders>
              <w:top w:val="nil"/>
              <w:left w:val="single" w:sz="4" w:space="0" w:color="auto"/>
              <w:bottom w:val="nil"/>
              <w:right w:val="nil"/>
            </w:tcBorders>
          </w:tcPr>
          <w:p w14:paraId="4270581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266" w:type="dxa"/>
            <w:tcBorders>
              <w:top w:val="nil"/>
              <w:left w:val="nil"/>
              <w:bottom w:val="nil"/>
              <w:right w:val="nil"/>
            </w:tcBorders>
          </w:tcPr>
          <w:p w14:paraId="6AF004E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0.185]*</w:t>
            </w:r>
            <w:proofErr w:type="gramEnd"/>
            <w:r w:rsidRPr="000D61D1">
              <w:rPr>
                <w:rFonts w:cs="Times New Roman"/>
                <w:sz w:val="22"/>
                <w:szCs w:val="22"/>
                <w:lang w:val="en-AU"/>
              </w:rPr>
              <w:t>*</w:t>
            </w:r>
          </w:p>
        </w:tc>
        <w:tc>
          <w:tcPr>
            <w:tcW w:w="1144" w:type="dxa"/>
            <w:tcBorders>
              <w:top w:val="nil"/>
              <w:left w:val="nil"/>
              <w:bottom w:val="nil"/>
              <w:right w:val="nil"/>
            </w:tcBorders>
          </w:tcPr>
          <w:p w14:paraId="14F8111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0.238]*</w:t>
            </w:r>
            <w:proofErr w:type="gramEnd"/>
            <w:r w:rsidRPr="000D61D1">
              <w:rPr>
                <w:rFonts w:cs="Times New Roman"/>
                <w:sz w:val="22"/>
                <w:szCs w:val="22"/>
                <w:lang w:val="en-AU"/>
              </w:rPr>
              <w:t>*</w:t>
            </w:r>
          </w:p>
        </w:tc>
      </w:tr>
      <w:tr w:rsidR="0016647F" w:rsidRPr="000D61D1" w14:paraId="46BC83B1" w14:textId="77777777" w:rsidTr="00767301">
        <w:trPr>
          <w:jc w:val="center"/>
        </w:trPr>
        <w:tc>
          <w:tcPr>
            <w:tcW w:w="2009" w:type="dxa"/>
            <w:tcBorders>
              <w:top w:val="nil"/>
              <w:left w:val="nil"/>
              <w:bottom w:val="nil"/>
              <w:right w:val="nil"/>
            </w:tcBorders>
          </w:tcPr>
          <w:p w14:paraId="4C79C51C" w14:textId="77777777" w:rsidR="0016647F" w:rsidRPr="000D61D1" w:rsidRDefault="0016647F" w:rsidP="0016647F">
            <w:pPr>
              <w:widowControl w:val="0"/>
              <w:autoSpaceDE w:val="0"/>
              <w:autoSpaceDN w:val="0"/>
              <w:adjustRightInd w:val="0"/>
              <w:spacing w:after="0"/>
              <w:rPr>
                <w:rFonts w:cs="Times New Roman"/>
                <w:sz w:val="22"/>
                <w:szCs w:val="22"/>
                <w:lang w:val="en-AU"/>
              </w:rPr>
            </w:pPr>
            <w:proofErr w:type="gramStart"/>
            <w:r w:rsidRPr="000D61D1">
              <w:rPr>
                <w:rFonts w:cs="Times New Roman"/>
                <w:sz w:val="22"/>
                <w:szCs w:val="22"/>
                <w:lang w:val="en-AU"/>
              </w:rPr>
              <w:t>Log(</w:t>
            </w:r>
            <w:proofErr w:type="gramEnd"/>
            <w:r w:rsidRPr="000D61D1">
              <w:rPr>
                <w:rFonts w:cs="Times New Roman"/>
                <w:sz w:val="22"/>
                <w:szCs w:val="22"/>
                <w:lang w:val="en-AU"/>
              </w:rPr>
              <w:t>Income)</w:t>
            </w:r>
          </w:p>
        </w:tc>
        <w:tc>
          <w:tcPr>
            <w:tcW w:w="1144" w:type="dxa"/>
            <w:tcBorders>
              <w:top w:val="nil"/>
              <w:left w:val="nil"/>
              <w:bottom w:val="nil"/>
              <w:right w:val="nil"/>
            </w:tcBorders>
          </w:tcPr>
          <w:p w14:paraId="768BA09B" w14:textId="41ADDAD4"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4" w:type="dxa"/>
            <w:tcBorders>
              <w:top w:val="nil"/>
              <w:left w:val="nil"/>
              <w:bottom w:val="nil"/>
              <w:right w:val="nil"/>
            </w:tcBorders>
          </w:tcPr>
          <w:p w14:paraId="659D478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0.854</w:t>
            </w:r>
          </w:p>
        </w:tc>
        <w:tc>
          <w:tcPr>
            <w:tcW w:w="1175" w:type="dxa"/>
            <w:tcBorders>
              <w:top w:val="nil"/>
              <w:left w:val="nil"/>
              <w:bottom w:val="nil"/>
              <w:right w:val="single" w:sz="4" w:space="0" w:color="auto"/>
            </w:tcBorders>
          </w:tcPr>
          <w:p w14:paraId="5DCEE62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0.769</w:t>
            </w:r>
          </w:p>
        </w:tc>
        <w:tc>
          <w:tcPr>
            <w:tcW w:w="1144" w:type="dxa"/>
            <w:tcBorders>
              <w:top w:val="nil"/>
              <w:left w:val="single" w:sz="4" w:space="0" w:color="auto"/>
              <w:bottom w:val="nil"/>
              <w:right w:val="nil"/>
            </w:tcBorders>
          </w:tcPr>
          <w:p w14:paraId="655F6E22" w14:textId="45B0CCCF"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266" w:type="dxa"/>
            <w:tcBorders>
              <w:top w:val="nil"/>
              <w:left w:val="nil"/>
              <w:bottom w:val="nil"/>
              <w:right w:val="nil"/>
            </w:tcBorders>
          </w:tcPr>
          <w:p w14:paraId="1910E8A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0.810</w:t>
            </w:r>
          </w:p>
        </w:tc>
        <w:tc>
          <w:tcPr>
            <w:tcW w:w="1144" w:type="dxa"/>
            <w:tcBorders>
              <w:top w:val="nil"/>
              <w:left w:val="nil"/>
              <w:bottom w:val="nil"/>
              <w:right w:val="nil"/>
            </w:tcBorders>
          </w:tcPr>
          <w:p w14:paraId="38B9B0B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0.848</w:t>
            </w:r>
          </w:p>
        </w:tc>
      </w:tr>
      <w:tr w:rsidR="0016647F" w:rsidRPr="000D61D1" w14:paraId="71D7DA10" w14:textId="77777777" w:rsidTr="00767301">
        <w:trPr>
          <w:jc w:val="center"/>
        </w:trPr>
        <w:tc>
          <w:tcPr>
            <w:tcW w:w="2009" w:type="dxa"/>
            <w:tcBorders>
              <w:top w:val="nil"/>
              <w:left w:val="nil"/>
              <w:bottom w:val="nil"/>
              <w:right w:val="nil"/>
            </w:tcBorders>
          </w:tcPr>
          <w:p w14:paraId="4914EDC6" w14:textId="3E85FE35" w:rsidR="0016647F" w:rsidRPr="000D61D1" w:rsidRDefault="00B5069E" w:rsidP="0016647F">
            <w:pPr>
              <w:widowControl w:val="0"/>
              <w:autoSpaceDE w:val="0"/>
              <w:autoSpaceDN w:val="0"/>
              <w:adjustRightInd w:val="0"/>
              <w:spacing w:after="0"/>
              <w:rPr>
                <w:rFonts w:cs="Times New Roman"/>
                <w:sz w:val="22"/>
                <w:szCs w:val="22"/>
                <w:lang w:val="en-AU"/>
              </w:rPr>
            </w:pPr>
            <w:r>
              <w:rPr>
                <w:rFonts w:cs="Times New Roman"/>
                <w:sz w:val="22"/>
                <w:szCs w:val="22"/>
                <w:lang w:val="en-AU"/>
              </w:rPr>
              <w:t>Standard error</w:t>
            </w:r>
          </w:p>
        </w:tc>
        <w:tc>
          <w:tcPr>
            <w:tcW w:w="1144" w:type="dxa"/>
            <w:tcBorders>
              <w:top w:val="nil"/>
              <w:left w:val="nil"/>
              <w:bottom w:val="nil"/>
              <w:right w:val="nil"/>
            </w:tcBorders>
          </w:tcPr>
          <w:p w14:paraId="42F2A1E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144" w:type="dxa"/>
            <w:tcBorders>
              <w:top w:val="nil"/>
              <w:left w:val="nil"/>
              <w:bottom w:val="nil"/>
              <w:right w:val="nil"/>
            </w:tcBorders>
          </w:tcPr>
          <w:p w14:paraId="713A77C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0.069]*</w:t>
            </w:r>
            <w:proofErr w:type="gramEnd"/>
            <w:r w:rsidRPr="000D61D1">
              <w:rPr>
                <w:rFonts w:cs="Times New Roman"/>
                <w:sz w:val="22"/>
                <w:szCs w:val="22"/>
                <w:lang w:val="en-AU"/>
              </w:rPr>
              <w:t>*</w:t>
            </w:r>
          </w:p>
        </w:tc>
        <w:tc>
          <w:tcPr>
            <w:tcW w:w="1175" w:type="dxa"/>
            <w:tcBorders>
              <w:top w:val="nil"/>
              <w:left w:val="nil"/>
              <w:bottom w:val="nil"/>
              <w:right w:val="single" w:sz="4" w:space="0" w:color="auto"/>
            </w:tcBorders>
          </w:tcPr>
          <w:p w14:paraId="6B1305F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0.105]*</w:t>
            </w:r>
            <w:proofErr w:type="gramEnd"/>
            <w:r w:rsidRPr="000D61D1">
              <w:rPr>
                <w:rFonts w:cs="Times New Roman"/>
                <w:sz w:val="22"/>
                <w:szCs w:val="22"/>
                <w:lang w:val="en-AU"/>
              </w:rPr>
              <w:t>*</w:t>
            </w:r>
          </w:p>
        </w:tc>
        <w:tc>
          <w:tcPr>
            <w:tcW w:w="1144" w:type="dxa"/>
            <w:tcBorders>
              <w:top w:val="nil"/>
              <w:left w:val="single" w:sz="4" w:space="0" w:color="auto"/>
              <w:bottom w:val="nil"/>
              <w:right w:val="nil"/>
            </w:tcBorders>
          </w:tcPr>
          <w:p w14:paraId="53D8660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p>
        </w:tc>
        <w:tc>
          <w:tcPr>
            <w:tcW w:w="1266" w:type="dxa"/>
            <w:tcBorders>
              <w:top w:val="nil"/>
              <w:left w:val="nil"/>
              <w:bottom w:val="nil"/>
              <w:right w:val="nil"/>
            </w:tcBorders>
          </w:tcPr>
          <w:p w14:paraId="2FCF65F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0.138]*</w:t>
            </w:r>
            <w:proofErr w:type="gramEnd"/>
            <w:r w:rsidRPr="000D61D1">
              <w:rPr>
                <w:rFonts w:cs="Times New Roman"/>
                <w:sz w:val="22"/>
                <w:szCs w:val="22"/>
                <w:lang w:val="en-AU"/>
              </w:rPr>
              <w:t>*</w:t>
            </w:r>
          </w:p>
        </w:tc>
        <w:tc>
          <w:tcPr>
            <w:tcW w:w="1144" w:type="dxa"/>
            <w:tcBorders>
              <w:top w:val="nil"/>
              <w:left w:val="nil"/>
              <w:bottom w:val="nil"/>
              <w:right w:val="nil"/>
            </w:tcBorders>
          </w:tcPr>
          <w:p w14:paraId="4287E13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roofErr w:type="gramStart"/>
            <w:r w:rsidRPr="000D61D1">
              <w:rPr>
                <w:rFonts w:cs="Times New Roman"/>
                <w:sz w:val="22"/>
                <w:szCs w:val="22"/>
                <w:lang w:val="en-AU"/>
              </w:rPr>
              <w:t>0.172]*</w:t>
            </w:r>
            <w:proofErr w:type="gramEnd"/>
            <w:r w:rsidRPr="000D61D1">
              <w:rPr>
                <w:rFonts w:cs="Times New Roman"/>
                <w:sz w:val="22"/>
                <w:szCs w:val="22"/>
                <w:lang w:val="en-AU"/>
              </w:rPr>
              <w:t>*</w:t>
            </w:r>
          </w:p>
        </w:tc>
      </w:tr>
      <w:tr w:rsidR="0016647F" w:rsidRPr="000D61D1" w14:paraId="71D8ED95" w14:textId="77777777" w:rsidTr="00767301">
        <w:trPr>
          <w:jc w:val="center"/>
        </w:trPr>
        <w:tc>
          <w:tcPr>
            <w:tcW w:w="2009" w:type="dxa"/>
            <w:tcBorders>
              <w:top w:val="nil"/>
              <w:left w:val="nil"/>
              <w:bottom w:val="nil"/>
              <w:right w:val="nil"/>
            </w:tcBorders>
          </w:tcPr>
          <w:p w14:paraId="00D584EA"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Time &amp; Suburb FE</w:t>
            </w:r>
          </w:p>
        </w:tc>
        <w:tc>
          <w:tcPr>
            <w:tcW w:w="1144" w:type="dxa"/>
            <w:tcBorders>
              <w:top w:val="nil"/>
              <w:left w:val="nil"/>
              <w:bottom w:val="nil"/>
              <w:right w:val="nil"/>
            </w:tcBorders>
          </w:tcPr>
          <w:p w14:paraId="1A58A41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YES</w:t>
            </w:r>
          </w:p>
        </w:tc>
        <w:tc>
          <w:tcPr>
            <w:tcW w:w="1144" w:type="dxa"/>
            <w:tcBorders>
              <w:top w:val="nil"/>
              <w:left w:val="nil"/>
              <w:bottom w:val="nil"/>
              <w:right w:val="nil"/>
            </w:tcBorders>
          </w:tcPr>
          <w:p w14:paraId="559C61E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YES</w:t>
            </w:r>
          </w:p>
        </w:tc>
        <w:tc>
          <w:tcPr>
            <w:tcW w:w="1175" w:type="dxa"/>
            <w:tcBorders>
              <w:top w:val="nil"/>
              <w:left w:val="nil"/>
              <w:bottom w:val="nil"/>
              <w:right w:val="single" w:sz="4" w:space="0" w:color="auto"/>
            </w:tcBorders>
          </w:tcPr>
          <w:p w14:paraId="6B647B7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YES</w:t>
            </w:r>
          </w:p>
        </w:tc>
        <w:tc>
          <w:tcPr>
            <w:tcW w:w="1144" w:type="dxa"/>
            <w:tcBorders>
              <w:top w:val="nil"/>
              <w:left w:val="single" w:sz="4" w:space="0" w:color="auto"/>
              <w:bottom w:val="nil"/>
              <w:right w:val="nil"/>
            </w:tcBorders>
          </w:tcPr>
          <w:p w14:paraId="08E1BB0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YES</w:t>
            </w:r>
          </w:p>
        </w:tc>
        <w:tc>
          <w:tcPr>
            <w:tcW w:w="1266" w:type="dxa"/>
            <w:tcBorders>
              <w:top w:val="nil"/>
              <w:left w:val="nil"/>
              <w:bottom w:val="nil"/>
              <w:right w:val="nil"/>
            </w:tcBorders>
          </w:tcPr>
          <w:p w14:paraId="56D1E9B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YES</w:t>
            </w:r>
          </w:p>
        </w:tc>
        <w:tc>
          <w:tcPr>
            <w:tcW w:w="1144" w:type="dxa"/>
            <w:tcBorders>
              <w:top w:val="nil"/>
              <w:left w:val="nil"/>
              <w:bottom w:val="nil"/>
              <w:right w:val="nil"/>
            </w:tcBorders>
          </w:tcPr>
          <w:p w14:paraId="4E00055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YES</w:t>
            </w:r>
          </w:p>
        </w:tc>
      </w:tr>
      <w:tr w:rsidR="0016647F" w:rsidRPr="000D61D1" w14:paraId="2EC114AF" w14:textId="77777777" w:rsidTr="00767301">
        <w:trPr>
          <w:jc w:val="center"/>
        </w:trPr>
        <w:tc>
          <w:tcPr>
            <w:tcW w:w="2009" w:type="dxa"/>
            <w:tcBorders>
              <w:top w:val="nil"/>
              <w:left w:val="nil"/>
              <w:bottom w:val="nil"/>
              <w:right w:val="nil"/>
            </w:tcBorders>
          </w:tcPr>
          <w:p w14:paraId="2A1F6252"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Observations</w:t>
            </w:r>
          </w:p>
        </w:tc>
        <w:tc>
          <w:tcPr>
            <w:tcW w:w="1144" w:type="dxa"/>
            <w:tcBorders>
              <w:top w:val="nil"/>
              <w:left w:val="nil"/>
              <w:bottom w:val="nil"/>
              <w:right w:val="nil"/>
            </w:tcBorders>
          </w:tcPr>
          <w:p w14:paraId="110B9A9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550,554</w:t>
            </w:r>
          </w:p>
        </w:tc>
        <w:tc>
          <w:tcPr>
            <w:tcW w:w="1144" w:type="dxa"/>
            <w:tcBorders>
              <w:top w:val="nil"/>
              <w:left w:val="nil"/>
              <w:bottom w:val="nil"/>
              <w:right w:val="nil"/>
            </w:tcBorders>
          </w:tcPr>
          <w:p w14:paraId="053557B0"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522,180</w:t>
            </w:r>
          </w:p>
        </w:tc>
        <w:tc>
          <w:tcPr>
            <w:tcW w:w="1175" w:type="dxa"/>
            <w:tcBorders>
              <w:top w:val="nil"/>
              <w:left w:val="nil"/>
              <w:bottom w:val="nil"/>
              <w:right w:val="single" w:sz="4" w:space="0" w:color="auto"/>
            </w:tcBorders>
          </w:tcPr>
          <w:p w14:paraId="6A71B87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241,061</w:t>
            </w:r>
          </w:p>
        </w:tc>
        <w:tc>
          <w:tcPr>
            <w:tcW w:w="1144" w:type="dxa"/>
            <w:tcBorders>
              <w:top w:val="nil"/>
              <w:left w:val="single" w:sz="4" w:space="0" w:color="auto"/>
              <w:bottom w:val="nil"/>
              <w:right w:val="nil"/>
            </w:tcBorders>
          </w:tcPr>
          <w:p w14:paraId="27BE18DA"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220,220</w:t>
            </w:r>
          </w:p>
        </w:tc>
        <w:tc>
          <w:tcPr>
            <w:tcW w:w="1266" w:type="dxa"/>
            <w:tcBorders>
              <w:top w:val="nil"/>
              <w:left w:val="nil"/>
              <w:bottom w:val="nil"/>
              <w:right w:val="nil"/>
            </w:tcBorders>
          </w:tcPr>
          <w:p w14:paraId="42CC2D7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209,572</w:t>
            </w:r>
          </w:p>
        </w:tc>
        <w:tc>
          <w:tcPr>
            <w:tcW w:w="1144" w:type="dxa"/>
            <w:tcBorders>
              <w:top w:val="nil"/>
              <w:left w:val="nil"/>
              <w:bottom w:val="nil"/>
              <w:right w:val="nil"/>
            </w:tcBorders>
          </w:tcPr>
          <w:p w14:paraId="2DF86ED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138,177</w:t>
            </w:r>
          </w:p>
        </w:tc>
      </w:tr>
      <w:tr w:rsidR="0016647F" w:rsidRPr="000D61D1" w14:paraId="00393BFE" w14:textId="77777777" w:rsidTr="00767301">
        <w:trPr>
          <w:jc w:val="center"/>
        </w:trPr>
        <w:tc>
          <w:tcPr>
            <w:tcW w:w="2009" w:type="dxa"/>
            <w:tcBorders>
              <w:top w:val="nil"/>
              <w:left w:val="nil"/>
              <w:bottom w:val="nil"/>
              <w:right w:val="nil"/>
            </w:tcBorders>
          </w:tcPr>
          <w:p w14:paraId="40434A9A"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Number of Suburbs</w:t>
            </w:r>
          </w:p>
        </w:tc>
        <w:tc>
          <w:tcPr>
            <w:tcW w:w="1144" w:type="dxa"/>
            <w:tcBorders>
              <w:top w:val="nil"/>
              <w:left w:val="nil"/>
              <w:bottom w:val="nil"/>
              <w:right w:val="nil"/>
            </w:tcBorders>
          </w:tcPr>
          <w:p w14:paraId="7091C54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10,117</w:t>
            </w:r>
          </w:p>
        </w:tc>
        <w:tc>
          <w:tcPr>
            <w:tcW w:w="1144" w:type="dxa"/>
            <w:tcBorders>
              <w:top w:val="nil"/>
              <w:left w:val="nil"/>
              <w:bottom w:val="nil"/>
              <w:right w:val="nil"/>
            </w:tcBorders>
          </w:tcPr>
          <w:p w14:paraId="234AB5C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10,046</w:t>
            </w:r>
          </w:p>
        </w:tc>
        <w:tc>
          <w:tcPr>
            <w:tcW w:w="1175" w:type="dxa"/>
            <w:tcBorders>
              <w:top w:val="nil"/>
              <w:left w:val="nil"/>
              <w:bottom w:val="nil"/>
              <w:right w:val="single" w:sz="4" w:space="0" w:color="auto"/>
            </w:tcBorders>
          </w:tcPr>
          <w:p w14:paraId="042D2E2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2,806</w:t>
            </w:r>
          </w:p>
        </w:tc>
        <w:tc>
          <w:tcPr>
            <w:tcW w:w="1144" w:type="dxa"/>
            <w:tcBorders>
              <w:top w:val="nil"/>
              <w:left w:val="single" w:sz="4" w:space="0" w:color="auto"/>
              <w:bottom w:val="nil"/>
              <w:right w:val="nil"/>
            </w:tcBorders>
          </w:tcPr>
          <w:p w14:paraId="545035E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3,799</w:t>
            </w:r>
          </w:p>
        </w:tc>
        <w:tc>
          <w:tcPr>
            <w:tcW w:w="1266" w:type="dxa"/>
            <w:tcBorders>
              <w:top w:val="nil"/>
              <w:left w:val="nil"/>
              <w:bottom w:val="nil"/>
              <w:right w:val="nil"/>
            </w:tcBorders>
          </w:tcPr>
          <w:p w14:paraId="242FDCEB"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3,781</w:t>
            </w:r>
          </w:p>
        </w:tc>
        <w:tc>
          <w:tcPr>
            <w:tcW w:w="1144" w:type="dxa"/>
            <w:tcBorders>
              <w:top w:val="nil"/>
              <w:left w:val="nil"/>
              <w:bottom w:val="nil"/>
              <w:right w:val="nil"/>
            </w:tcBorders>
          </w:tcPr>
          <w:p w14:paraId="5B3AF797"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2,112</w:t>
            </w:r>
          </w:p>
        </w:tc>
      </w:tr>
      <w:tr w:rsidR="0016647F" w:rsidRPr="000D61D1" w14:paraId="5B634E6C" w14:textId="77777777" w:rsidTr="00767301">
        <w:trPr>
          <w:jc w:val="center"/>
        </w:trPr>
        <w:tc>
          <w:tcPr>
            <w:tcW w:w="2009" w:type="dxa"/>
            <w:tcBorders>
              <w:top w:val="nil"/>
              <w:left w:val="nil"/>
              <w:bottom w:val="nil"/>
              <w:right w:val="nil"/>
            </w:tcBorders>
          </w:tcPr>
          <w:p w14:paraId="2EBF3479"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Adj. R-squared</w:t>
            </w:r>
          </w:p>
        </w:tc>
        <w:tc>
          <w:tcPr>
            <w:tcW w:w="1144" w:type="dxa"/>
            <w:tcBorders>
              <w:top w:val="nil"/>
              <w:left w:val="nil"/>
              <w:bottom w:val="nil"/>
              <w:right w:val="nil"/>
            </w:tcBorders>
          </w:tcPr>
          <w:p w14:paraId="784CDE7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0.76</w:t>
            </w:r>
          </w:p>
        </w:tc>
        <w:tc>
          <w:tcPr>
            <w:tcW w:w="1144" w:type="dxa"/>
            <w:tcBorders>
              <w:top w:val="nil"/>
              <w:left w:val="nil"/>
              <w:bottom w:val="nil"/>
              <w:right w:val="nil"/>
            </w:tcBorders>
          </w:tcPr>
          <w:p w14:paraId="37FEB77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0.77</w:t>
            </w:r>
          </w:p>
        </w:tc>
        <w:tc>
          <w:tcPr>
            <w:tcW w:w="1175" w:type="dxa"/>
            <w:tcBorders>
              <w:top w:val="nil"/>
              <w:left w:val="nil"/>
              <w:bottom w:val="nil"/>
              <w:right w:val="single" w:sz="4" w:space="0" w:color="auto"/>
            </w:tcBorders>
          </w:tcPr>
          <w:p w14:paraId="41D2552F"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0.74</w:t>
            </w:r>
          </w:p>
        </w:tc>
        <w:tc>
          <w:tcPr>
            <w:tcW w:w="1144" w:type="dxa"/>
            <w:tcBorders>
              <w:top w:val="nil"/>
              <w:left w:val="single" w:sz="4" w:space="0" w:color="auto"/>
              <w:bottom w:val="nil"/>
              <w:right w:val="nil"/>
            </w:tcBorders>
          </w:tcPr>
          <w:p w14:paraId="3D1AC1F1"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0.74</w:t>
            </w:r>
          </w:p>
        </w:tc>
        <w:tc>
          <w:tcPr>
            <w:tcW w:w="1266" w:type="dxa"/>
            <w:tcBorders>
              <w:top w:val="nil"/>
              <w:left w:val="nil"/>
              <w:bottom w:val="nil"/>
              <w:right w:val="nil"/>
            </w:tcBorders>
          </w:tcPr>
          <w:p w14:paraId="468F1A89"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0.74</w:t>
            </w:r>
          </w:p>
        </w:tc>
        <w:tc>
          <w:tcPr>
            <w:tcW w:w="1144" w:type="dxa"/>
            <w:tcBorders>
              <w:top w:val="nil"/>
              <w:left w:val="nil"/>
              <w:bottom w:val="nil"/>
              <w:right w:val="nil"/>
            </w:tcBorders>
          </w:tcPr>
          <w:p w14:paraId="7AF9C764"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0.75</w:t>
            </w:r>
          </w:p>
        </w:tc>
      </w:tr>
      <w:tr w:rsidR="0016647F" w:rsidRPr="000D61D1" w14:paraId="0E8FC348" w14:textId="77777777" w:rsidTr="00767301">
        <w:trPr>
          <w:jc w:val="center"/>
        </w:trPr>
        <w:tc>
          <w:tcPr>
            <w:tcW w:w="2009" w:type="dxa"/>
            <w:tcBorders>
              <w:top w:val="nil"/>
              <w:left w:val="nil"/>
              <w:bottom w:val="single" w:sz="6" w:space="0" w:color="auto"/>
              <w:right w:val="nil"/>
            </w:tcBorders>
          </w:tcPr>
          <w:p w14:paraId="0BC47242" w14:textId="77777777" w:rsidR="0016647F" w:rsidRPr="000D61D1" w:rsidRDefault="0016647F" w:rsidP="0016647F">
            <w:pPr>
              <w:widowControl w:val="0"/>
              <w:autoSpaceDE w:val="0"/>
              <w:autoSpaceDN w:val="0"/>
              <w:adjustRightInd w:val="0"/>
              <w:spacing w:after="0"/>
              <w:rPr>
                <w:rFonts w:cs="Times New Roman"/>
                <w:sz w:val="22"/>
                <w:szCs w:val="22"/>
                <w:lang w:val="en-AU"/>
              </w:rPr>
            </w:pPr>
            <w:r w:rsidRPr="000D61D1">
              <w:rPr>
                <w:rFonts w:cs="Times New Roman"/>
                <w:sz w:val="22"/>
                <w:szCs w:val="22"/>
                <w:lang w:val="en-AU"/>
              </w:rPr>
              <w:t>Max in Cor. Matrix</w:t>
            </w:r>
          </w:p>
        </w:tc>
        <w:tc>
          <w:tcPr>
            <w:tcW w:w="1144" w:type="dxa"/>
            <w:tcBorders>
              <w:top w:val="nil"/>
              <w:left w:val="nil"/>
              <w:bottom w:val="single" w:sz="6" w:space="0" w:color="auto"/>
              <w:right w:val="nil"/>
            </w:tcBorders>
          </w:tcPr>
          <w:p w14:paraId="0A600C78"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
        </w:tc>
        <w:tc>
          <w:tcPr>
            <w:tcW w:w="1144" w:type="dxa"/>
            <w:tcBorders>
              <w:top w:val="nil"/>
              <w:left w:val="nil"/>
              <w:bottom w:val="single" w:sz="6" w:space="0" w:color="auto"/>
              <w:right w:val="nil"/>
            </w:tcBorders>
          </w:tcPr>
          <w:p w14:paraId="21CB1DCE"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0.11</w:t>
            </w:r>
          </w:p>
        </w:tc>
        <w:tc>
          <w:tcPr>
            <w:tcW w:w="1175" w:type="dxa"/>
            <w:tcBorders>
              <w:top w:val="nil"/>
              <w:left w:val="nil"/>
              <w:bottom w:val="single" w:sz="6" w:space="0" w:color="auto"/>
              <w:right w:val="single" w:sz="4" w:space="0" w:color="auto"/>
            </w:tcBorders>
          </w:tcPr>
          <w:p w14:paraId="084322E2"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0.15</w:t>
            </w:r>
          </w:p>
        </w:tc>
        <w:tc>
          <w:tcPr>
            <w:tcW w:w="1144" w:type="dxa"/>
            <w:tcBorders>
              <w:top w:val="nil"/>
              <w:left w:val="single" w:sz="4" w:space="0" w:color="auto"/>
              <w:bottom w:val="single" w:sz="6" w:space="0" w:color="auto"/>
              <w:right w:val="nil"/>
            </w:tcBorders>
          </w:tcPr>
          <w:p w14:paraId="129DF0AD"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w:t>
            </w:r>
          </w:p>
        </w:tc>
        <w:tc>
          <w:tcPr>
            <w:tcW w:w="1266" w:type="dxa"/>
            <w:tcBorders>
              <w:top w:val="nil"/>
              <w:left w:val="nil"/>
              <w:bottom w:val="single" w:sz="6" w:space="0" w:color="auto"/>
              <w:right w:val="nil"/>
            </w:tcBorders>
          </w:tcPr>
          <w:p w14:paraId="5026D5A5"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0.29</w:t>
            </w:r>
          </w:p>
        </w:tc>
        <w:tc>
          <w:tcPr>
            <w:tcW w:w="1144" w:type="dxa"/>
            <w:tcBorders>
              <w:top w:val="nil"/>
              <w:left w:val="nil"/>
              <w:bottom w:val="single" w:sz="6" w:space="0" w:color="auto"/>
              <w:right w:val="nil"/>
            </w:tcBorders>
          </w:tcPr>
          <w:p w14:paraId="7CDEE8A3" w14:textId="77777777" w:rsidR="0016647F" w:rsidRPr="000D61D1" w:rsidRDefault="0016647F" w:rsidP="0016647F">
            <w:pPr>
              <w:widowControl w:val="0"/>
              <w:autoSpaceDE w:val="0"/>
              <w:autoSpaceDN w:val="0"/>
              <w:adjustRightInd w:val="0"/>
              <w:spacing w:after="0"/>
              <w:jc w:val="center"/>
              <w:rPr>
                <w:rFonts w:cs="Times New Roman"/>
                <w:sz w:val="22"/>
                <w:szCs w:val="22"/>
                <w:lang w:val="en-AU"/>
              </w:rPr>
            </w:pPr>
            <w:r w:rsidRPr="000D61D1">
              <w:rPr>
                <w:rFonts w:cs="Times New Roman"/>
                <w:sz w:val="22"/>
                <w:szCs w:val="22"/>
                <w:lang w:val="en-AU"/>
              </w:rPr>
              <w:t>0.33</w:t>
            </w:r>
          </w:p>
        </w:tc>
      </w:tr>
    </w:tbl>
    <w:p w14:paraId="3C43639E" w14:textId="77777777" w:rsidR="0016647F" w:rsidRPr="000D61D1" w:rsidRDefault="0016647F" w:rsidP="0016647F">
      <w:pPr>
        <w:widowControl w:val="0"/>
        <w:autoSpaceDE w:val="0"/>
        <w:autoSpaceDN w:val="0"/>
        <w:adjustRightInd w:val="0"/>
        <w:spacing w:before="79" w:after="79"/>
        <w:jc w:val="center"/>
        <w:rPr>
          <w:rFonts w:cs="Times New Roman"/>
          <w:sz w:val="22"/>
          <w:szCs w:val="22"/>
          <w:lang w:val="en-AU"/>
        </w:rPr>
      </w:pPr>
      <w:r w:rsidRPr="000D61D1">
        <w:rPr>
          <w:rFonts w:cs="Times New Roman"/>
          <w:sz w:val="22"/>
          <w:szCs w:val="22"/>
          <w:lang w:val="en-AU"/>
        </w:rPr>
        <w:t xml:space="preserve">* </w:t>
      </w:r>
      <w:r w:rsidRPr="000D61D1">
        <w:rPr>
          <w:rFonts w:cs="Times New Roman"/>
          <w:i/>
          <w:iCs/>
          <w:sz w:val="22"/>
          <w:szCs w:val="22"/>
          <w:lang w:val="en-AU"/>
        </w:rPr>
        <w:t>p</w:t>
      </w:r>
      <w:r w:rsidRPr="000D61D1">
        <w:rPr>
          <w:rFonts w:cs="Times New Roman"/>
          <w:sz w:val="22"/>
          <w:szCs w:val="22"/>
          <w:lang w:val="en-AU"/>
        </w:rPr>
        <w:t xml:space="preserve">&lt;0.05; ** </w:t>
      </w:r>
      <w:r w:rsidRPr="000D61D1">
        <w:rPr>
          <w:rFonts w:cs="Times New Roman"/>
          <w:i/>
          <w:iCs/>
          <w:sz w:val="22"/>
          <w:szCs w:val="22"/>
          <w:lang w:val="en-AU"/>
        </w:rPr>
        <w:t>p</w:t>
      </w:r>
      <w:r w:rsidRPr="000D61D1">
        <w:rPr>
          <w:rFonts w:cs="Times New Roman"/>
          <w:sz w:val="22"/>
          <w:szCs w:val="22"/>
          <w:lang w:val="en-AU"/>
        </w:rPr>
        <w:t>&lt;0.01</w:t>
      </w:r>
    </w:p>
    <w:p w14:paraId="520E5433" w14:textId="0E609EE5" w:rsidR="0016647F" w:rsidRPr="000D61D1" w:rsidRDefault="0016647F" w:rsidP="0016647F">
      <w:pPr>
        <w:rPr>
          <w:lang w:val="en-AU"/>
        </w:rPr>
      </w:pPr>
      <w:r w:rsidRPr="000D61D1">
        <w:rPr>
          <w:lang w:val="en-AU"/>
        </w:rPr>
        <w:t>We find a consistently negative and significant effect of the reform on the number of house sales in columns 1 through 3</w:t>
      </w:r>
      <w:r w:rsidR="002D582E" w:rsidRPr="000D61D1">
        <w:rPr>
          <w:lang w:val="en-AU"/>
        </w:rPr>
        <w:t xml:space="preserve"> of </w:t>
      </w:r>
      <w:r w:rsidR="002D582E" w:rsidRPr="000D61D1">
        <w:rPr>
          <w:color w:val="000000" w:themeColor="text1"/>
          <w:lang w:val="en-AU"/>
        </w:rPr>
        <w:fldChar w:fldCharType="begin"/>
      </w:r>
      <w:r w:rsidR="002D582E" w:rsidRPr="000D61D1">
        <w:rPr>
          <w:color w:val="000000" w:themeColor="text1"/>
          <w:lang w:val="en-AU"/>
        </w:rPr>
        <w:instrText xml:space="preserve"> REF _Ref33093177 \h  \* MERGEFORMAT </w:instrText>
      </w:r>
      <w:r w:rsidR="002D582E" w:rsidRPr="000D61D1">
        <w:rPr>
          <w:color w:val="000000" w:themeColor="text1"/>
          <w:lang w:val="en-AU"/>
        </w:rPr>
      </w:r>
      <w:r w:rsidR="002D582E"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15</w:t>
      </w:r>
      <w:r w:rsidR="002D582E" w:rsidRPr="000D61D1">
        <w:rPr>
          <w:color w:val="000000" w:themeColor="text1"/>
          <w:lang w:val="en-AU"/>
        </w:rPr>
        <w:fldChar w:fldCharType="end"/>
      </w:r>
      <w:r w:rsidRPr="000D61D1">
        <w:rPr>
          <w:lang w:val="en-AU"/>
        </w:rPr>
        <w:t xml:space="preserve">. Adding extra controls reduces the effect to -6% while </w:t>
      </w:r>
      <w:r w:rsidRPr="000D61D1">
        <w:rPr>
          <w:lang w:val="en-AU"/>
        </w:rPr>
        <w:lastRenderedPageBreak/>
        <w:t xml:space="preserve">the control group of capital cities shows a treatment effect of -7%. </w:t>
      </w:r>
      <w:r w:rsidRPr="000D61D1">
        <w:rPr>
          <w:lang w:val="en-AU" w:bidi="bn-BD"/>
        </w:rPr>
        <w:t xml:space="preserve">Multicollinearity </w:t>
      </w:r>
      <w:r w:rsidRPr="000D61D1">
        <w:rPr>
          <w:lang w:val="en-AU"/>
        </w:rPr>
        <w:t xml:space="preserve">is not a problem.   </w:t>
      </w:r>
    </w:p>
    <w:p w14:paraId="0AC11B53" w14:textId="284845C7" w:rsidR="0016647F" w:rsidRPr="000D61D1" w:rsidRDefault="0016647F" w:rsidP="0016647F">
      <w:pPr>
        <w:rPr>
          <w:lang w:val="en-AU"/>
        </w:rPr>
      </w:pPr>
      <w:r w:rsidRPr="000D61D1">
        <w:rPr>
          <w:lang w:val="en-AU"/>
        </w:rPr>
        <w:t xml:space="preserve">The effect on unit sales is larger, with controls added in columns 5 and </w:t>
      </w:r>
      <w:r w:rsidR="002D582E" w:rsidRPr="000D61D1">
        <w:rPr>
          <w:lang w:val="en-AU"/>
        </w:rPr>
        <w:t xml:space="preserve">only capital cities as controls in column </w:t>
      </w:r>
      <w:r w:rsidRPr="000D61D1">
        <w:rPr>
          <w:lang w:val="en-AU"/>
        </w:rPr>
        <w:t xml:space="preserve">6 the effect is between -23% and -24%. </w:t>
      </w:r>
    </w:p>
    <w:p w14:paraId="305975F7" w14:textId="77777777" w:rsidR="0016647F" w:rsidRPr="000D61D1" w:rsidRDefault="0016647F" w:rsidP="001922CF">
      <w:pPr>
        <w:pStyle w:val="Heading3"/>
        <w:rPr>
          <w:lang w:val="en-AU"/>
        </w:rPr>
      </w:pPr>
      <w:bookmarkStart w:id="40" w:name="_Toc43911485"/>
      <w:r w:rsidRPr="000D61D1">
        <w:rPr>
          <w:lang w:val="en-AU"/>
        </w:rPr>
        <w:t>Results for housing affordability</w:t>
      </w:r>
      <w:bookmarkEnd w:id="40"/>
      <w:r w:rsidRPr="000D61D1">
        <w:rPr>
          <w:lang w:val="en-AU"/>
        </w:rPr>
        <w:t xml:space="preserve"> </w:t>
      </w:r>
    </w:p>
    <w:p w14:paraId="730F5C3E" w14:textId="75B30828" w:rsidR="0016647F" w:rsidRPr="000D61D1" w:rsidRDefault="0016647F" w:rsidP="000D52D4">
      <w:pPr>
        <w:rPr>
          <w:lang w:val="en-AU"/>
        </w:rPr>
      </w:pPr>
      <w:r w:rsidRPr="000D61D1">
        <w:rPr>
          <w:lang w:val="en-AU"/>
        </w:rPr>
        <w:t xml:space="preserve">The section </w:t>
      </w:r>
      <w:r w:rsidR="00E64554" w:rsidRPr="000D61D1">
        <w:rPr>
          <w:lang w:val="en-AU"/>
        </w:rPr>
        <w:t>considers</w:t>
      </w:r>
      <w:r w:rsidRPr="000D61D1">
        <w:rPr>
          <w:lang w:val="en-AU"/>
        </w:rPr>
        <w:t xml:space="preserve"> how affordable rental properties are after the reform. </w:t>
      </w:r>
      <w:r w:rsidR="00E64554" w:rsidRPr="000D61D1">
        <w:rPr>
          <w:color w:val="000000" w:themeColor="text1"/>
          <w:lang w:val="en-AU"/>
        </w:rPr>
        <w:fldChar w:fldCharType="begin"/>
      </w:r>
      <w:r w:rsidR="00E64554" w:rsidRPr="000D61D1">
        <w:rPr>
          <w:color w:val="000000" w:themeColor="text1"/>
          <w:lang w:val="en-AU"/>
        </w:rPr>
        <w:instrText xml:space="preserve"> REF _Ref33110528 \h </w:instrText>
      </w:r>
      <w:r w:rsidR="00B50EB0" w:rsidRPr="000D61D1">
        <w:rPr>
          <w:color w:val="000000" w:themeColor="text1"/>
          <w:lang w:val="en-AU"/>
        </w:rPr>
        <w:instrText xml:space="preserve"> \* MERGEFORMAT </w:instrText>
      </w:r>
      <w:r w:rsidR="00E64554" w:rsidRPr="000D61D1">
        <w:rPr>
          <w:color w:val="000000" w:themeColor="text1"/>
          <w:lang w:val="en-AU"/>
        </w:rPr>
      </w:r>
      <w:r w:rsidR="00E64554"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16</w:t>
      </w:r>
      <w:r w:rsidR="00E64554" w:rsidRPr="000D61D1">
        <w:rPr>
          <w:color w:val="000000" w:themeColor="text1"/>
          <w:lang w:val="en-AU"/>
        </w:rPr>
        <w:fldChar w:fldCharType="end"/>
      </w:r>
      <w:r w:rsidR="00E64554" w:rsidRPr="000D61D1">
        <w:rPr>
          <w:color w:val="000000" w:themeColor="text1"/>
          <w:lang w:val="en-AU"/>
        </w:rPr>
        <w:t xml:space="preserve"> </w:t>
      </w:r>
      <w:r w:rsidRPr="000D61D1">
        <w:rPr>
          <w:lang w:val="en-AU"/>
        </w:rPr>
        <w:t>show</w:t>
      </w:r>
      <w:r w:rsidR="00E64554" w:rsidRPr="000D61D1">
        <w:rPr>
          <w:lang w:val="en-AU"/>
        </w:rPr>
        <w:t>s</w:t>
      </w:r>
      <w:r w:rsidRPr="000D61D1">
        <w:rPr>
          <w:lang w:val="en-AU"/>
        </w:rPr>
        <w:t xml:space="preserve"> the </w:t>
      </w:r>
      <w:r w:rsidR="00E64554" w:rsidRPr="000D61D1">
        <w:rPr>
          <w:lang w:val="en-AU"/>
        </w:rPr>
        <w:t>effect</w:t>
      </w:r>
      <w:r w:rsidRPr="000D61D1">
        <w:rPr>
          <w:lang w:val="en-AU"/>
        </w:rPr>
        <w:t xml:space="preserve"> on rental prices; </w:t>
      </w:r>
      <w:r w:rsidR="00E64554" w:rsidRPr="000D61D1">
        <w:rPr>
          <w:lang w:val="en-AU"/>
        </w:rPr>
        <w:fldChar w:fldCharType="begin"/>
      </w:r>
      <w:r w:rsidR="00E64554" w:rsidRPr="000D61D1">
        <w:rPr>
          <w:lang w:val="en-AU"/>
        </w:rPr>
        <w:instrText xml:space="preserve"> REF _Ref33110672 \h </w:instrText>
      </w:r>
      <w:r w:rsidR="00E64554" w:rsidRPr="000D61D1">
        <w:rPr>
          <w:lang w:val="en-AU"/>
        </w:rPr>
      </w:r>
      <w:r w:rsidR="00E64554" w:rsidRPr="000D61D1">
        <w:rPr>
          <w:lang w:val="en-AU"/>
        </w:rPr>
        <w:fldChar w:fldCharType="separate"/>
      </w:r>
      <w:r w:rsidR="00A763B6" w:rsidRPr="000D61D1">
        <w:rPr>
          <w:lang w:val="en-AU"/>
        </w:rPr>
        <w:t xml:space="preserve">Table </w:t>
      </w:r>
      <w:r w:rsidR="00A763B6">
        <w:rPr>
          <w:noProof/>
          <w:lang w:val="en-AU"/>
        </w:rPr>
        <w:t>17</w:t>
      </w:r>
      <w:r w:rsidR="00E64554" w:rsidRPr="000D61D1">
        <w:rPr>
          <w:lang w:val="en-AU"/>
        </w:rPr>
        <w:fldChar w:fldCharType="end"/>
      </w:r>
      <w:r w:rsidR="00E64554" w:rsidRPr="000D61D1">
        <w:rPr>
          <w:lang w:val="en-AU"/>
        </w:rPr>
        <w:t xml:space="preserve"> </w:t>
      </w:r>
      <w:r w:rsidRPr="000D61D1">
        <w:rPr>
          <w:lang w:val="en-AU"/>
        </w:rPr>
        <w:t xml:space="preserve">and </w:t>
      </w:r>
      <w:r w:rsidR="00E64554" w:rsidRPr="000D61D1">
        <w:rPr>
          <w:lang w:val="en-AU"/>
        </w:rPr>
        <w:fldChar w:fldCharType="begin"/>
      </w:r>
      <w:r w:rsidR="00E64554" w:rsidRPr="000D61D1">
        <w:rPr>
          <w:lang w:val="en-AU"/>
        </w:rPr>
        <w:instrText xml:space="preserve"> REF _Ref33110683 \h </w:instrText>
      </w:r>
      <w:r w:rsidR="00E64554" w:rsidRPr="000D61D1">
        <w:rPr>
          <w:lang w:val="en-AU"/>
        </w:rPr>
      </w:r>
      <w:r w:rsidR="00E64554" w:rsidRPr="000D61D1">
        <w:rPr>
          <w:lang w:val="en-AU"/>
        </w:rPr>
        <w:fldChar w:fldCharType="separate"/>
      </w:r>
      <w:r w:rsidR="00A763B6" w:rsidRPr="000D61D1">
        <w:rPr>
          <w:bCs/>
          <w:lang w:val="en-AU"/>
        </w:rPr>
        <w:t xml:space="preserve">Table </w:t>
      </w:r>
      <w:r w:rsidR="00A763B6">
        <w:rPr>
          <w:bCs/>
          <w:noProof/>
          <w:lang w:val="en-AU"/>
        </w:rPr>
        <w:t>18</w:t>
      </w:r>
      <w:r w:rsidR="00E64554" w:rsidRPr="000D61D1">
        <w:rPr>
          <w:lang w:val="en-AU"/>
        </w:rPr>
        <w:fldChar w:fldCharType="end"/>
      </w:r>
      <w:r w:rsidR="00E64554" w:rsidRPr="000D61D1">
        <w:rPr>
          <w:lang w:val="en-AU"/>
        </w:rPr>
        <w:t xml:space="preserve"> look</w:t>
      </w:r>
      <w:r w:rsidRPr="000D61D1">
        <w:rPr>
          <w:lang w:val="en-AU"/>
        </w:rPr>
        <w:t xml:space="preserve"> at </w:t>
      </w:r>
      <w:r w:rsidR="00E64554" w:rsidRPr="000D61D1">
        <w:rPr>
          <w:lang w:val="en-AU"/>
        </w:rPr>
        <w:t xml:space="preserve">the </w:t>
      </w:r>
      <w:r w:rsidRPr="000D61D1">
        <w:rPr>
          <w:lang w:val="en-AU"/>
        </w:rPr>
        <w:t>distributional effect on rental prices</w:t>
      </w:r>
      <w:r w:rsidR="00F869BE" w:rsidRPr="000D61D1">
        <w:rPr>
          <w:lang w:val="en-AU"/>
        </w:rPr>
        <w:t>;</w:t>
      </w:r>
      <w:r w:rsidRPr="000D61D1">
        <w:rPr>
          <w:lang w:val="en-AU"/>
        </w:rPr>
        <w:t xml:space="preserve"> </w:t>
      </w:r>
      <w:r w:rsidR="00E64554" w:rsidRPr="000D61D1">
        <w:rPr>
          <w:rFonts w:cstheme="minorHAnsi"/>
          <w:lang w:val="en-AU" w:bidi="bn-BD"/>
        </w:rPr>
        <w:fldChar w:fldCharType="begin"/>
      </w:r>
      <w:r w:rsidR="00E64554" w:rsidRPr="000D61D1">
        <w:rPr>
          <w:lang w:val="en-AU"/>
        </w:rPr>
        <w:instrText xml:space="preserve"> REF _Ref33110694 \h </w:instrText>
      </w:r>
      <w:r w:rsidR="00E64554" w:rsidRPr="000D61D1">
        <w:rPr>
          <w:rFonts w:cstheme="minorHAnsi"/>
          <w:lang w:val="en-AU" w:bidi="bn-BD"/>
        </w:rPr>
      </w:r>
      <w:r w:rsidR="00E64554" w:rsidRPr="000D61D1">
        <w:rPr>
          <w:rFonts w:cstheme="minorHAnsi"/>
          <w:lang w:val="en-AU" w:bidi="bn-BD"/>
        </w:rPr>
        <w:fldChar w:fldCharType="separate"/>
      </w:r>
      <w:r w:rsidR="00A763B6" w:rsidRPr="000D61D1">
        <w:rPr>
          <w:lang w:val="en-AU"/>
        </w:rPr>
        <w:t xml:space="preserve">Table </w:t>
      </w:r>
      <w:r w:rsidR="00A763B6">
        <w:rPr>
          <w:noProof/>
          <w:lang w:val="en-AU"/>
        </w:rPr>
        <w:t>19</w:t>
      </w:r>
      <w:r w:rsidR="00E64554" w:rsidRPr="000D61D1">
        <w:rPr>
          <w:rFonts w:cstheme="minorHAnsi"/>
          <w:lang w:val="en-AU" w:bidi="bn-BD"/>
        </w:rPr>
        <w:fldChar w:fldCharType="end"/>
      </w:r>
      <w:r w:rsidR="00E64554" w:rsidRPr="000D61D1">
        <w:rPr>
          <w:rFonts w:cstheme="minorHAnsi"/>
          <w:lang w:val="en-AU" w:bidi="bn-BD"/>
        </w:rPr>
        <w:t xml:space="preserve"> analyses</w:t>
      </w:r>
      <w:r w:rsidR="000D52D4" w:rsidRPr="000D61D1">
        <w:rPr>
          <w:rFonts w:cstheme="minorHAnsi"/>
          <w:lang w:val="en-AU" w:bidi="bn-BD"/>
        </w:rPr>
        <w:t xml:space="preserve"> the number of new rental contracts. </w:t>
      </w:r>
    </w:p>
    <w:p w14:paraId="2F52BCB9" w14:textId="51A3CC3A" w:rsidR="0016647F" w:rsidRPr="000D61D1" w:rsidRDefault="0016647F" w:rsidP="0016647F">
      <w:pPr>
        <w:spacing w:before="180" w:after="180"/>
        <w:rPr>
          <w:lang w:val="en-AU"/>
        </w:rPr>
      </w:pPr>
      <w:r w:rsidRPr="000D61D1">
        <w:rPr>
          <w:lang w:val="en-AU"/>
        </w:rPr>
        <w:t xml:space="preserve">In the basic regression in column 1 </w:t>
      </w:r>
      <w:r w:rsidRPr="000D61D1">
        <w:rPr>
          <w:color w:val="000000" w:themeColor="text1"/>
          <w:lang w:val="en-AU"/>
        </w:rPr>
        <w:t xml:space="preserve">of </w:t>
      </w:r>
      <w:r w:rsidR="00E64554" w:rsidRPr="000D61D1">
        <w:rPr>
          <w:color w:val="000000" w:themeColor="text1"/>
          <w:lang w:val="en-AU"/>
        </w:rPr>
        <w:fldChar w:fldCharType="begin"/>
      </w:r>
      <w:r w:rsidR="00E64554" w:rsidRPr="000D61D1">
        <w:rPr>
          <w:color w:val="000000" w:themeColor="text1"/>
          <w:lang w:val="en-AU"/>
        </w:rPr>
        <w:instrText xml:space="preserve"> REF _Ref33110528 \h  \* MERGEFORMAT </w:instrText>
      </w:r>
      <w:r w:rsidR="00E64554" w:rsidRPr="000D61D1">
        <w:rPr>
          <w:color w:val="000000" w:themeColor="text1"/>
          <w:lang w:val="en-AU"/>
        </w:rPr>
      </w:r>
      <w:r w:rsidR="00E64554"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16</w:t>
      </w:r>
      <w:r w:rsidR="00E64554" w:rsidRPr="000D61D1">
        <w:rPr>
          <w:color w:val="000000" w:themeColor="text1"/>
          <w:lang w:val="en-AU"/>
        </w:rPr>
        <w:fldChar w:fldCharType="end"/>
      </w:r>
      <w:r w:rsidRPr="000D61D1">
        <w:rPr>
          <w:color w:val="000000" w:themeColor="text1"/>
          <w:lang w:val="en-AU"/>
        </w:rPr>
        <w:t xml:space="preserve"> </w:t>
      </w:r>
      <w:r w:rsidRPr="000D61D1">
        <w:rPr>
          <w:lang w:val="en-AU"/>
        </w:rPr>
        <w:t xml:space="preserve">we find an effect of the reform on rental prices of -7%. In column 2, after adding in population and income controls, the effect reduces to </w:t>
      </w:r>
      <w:r w:rsidR="002D582E" w:rsidRPr="000D61D1">
        <w:rPr>
          <w:lang w:val="en-AU"/>
        </w:rPr>
        <w:t>-</w:t>
      </w:r>
      <w:r w:rsidRPr="000D61D1">
        <w:rPr>
          <w:lang w:val="en-AU"/>
        </w:rPr>
        <w:t xml:space="preserve">1% and becomes statistically insignificant. In column 3 with the sample reduced to capital cities the we find an effect of -2.5%. </w:t>
      </w:r>
    </w:p>
    <w:p w14:paraId="141EC4F9" w14:textId="25177323" w:rsidR="0016647F" w:rsidRPr="000D61D1" w:rsidRDefault="0016647F" w:rsidP="0016647F">
      <w:pPr>
        <w:spacing w:before="180" w:after="180"/>
        <w:rPr>
          <w:lang w:val="en-AU"/>
        </w:rPr>
      </w:pPr>
      <w:r w:rsidRPr="000D61D1">
        <w:rPr>
          <w:lang w:val="en-AU"/>
        </w:rPr>
        <w:t>A similar picture emerges for unit rental prices. The reform reduces prices, by around 8% according to columns 5 and 6</w:t>
      </w:r>
      <w:r w:rsidR="002D582E" w:rsidRPr="000D61D1">
        <w:rPr>
          <w:lang w:val="en-AU"/>
        </w:rPr>
        <w:t xml:space="preserve"> of </w:t>
      </w:r>
      <w:r w:rsidR="002D582E" w:rsidRPr="000D61D1">
        <w:rPr>
          <w:color w:val="000000" w:themeColor="text1"/>
          <w:lang w:val="en-AU"/>
        </w:rPr>
        <w:fldChar w:fldCharType="begin"/>
      </w:r>
      <w:r w:rsidR="002D582E" w:rsidRPr="000D61D1">
        <w:rPr>
          <w:color w:val="000000" w:themeColor="text1"/>
          <w:lang w:val="en-AU"/>
        </w:rPr>
        <w:instrText xml:space="preserve"> REF _Ref33110528 \h  \* MERGEFORMAT </w:instrText>
      </w:r>
      <w:r w:rsidR="002D582E" w:rsidRPr="000D61D1">
        <w:rPr>
          <w:color w:val="000000" w:themeColor="text1"/>
          <w:lang w:val="en-AU"/>
        </w:rPr>
      </w:r>
      <w:r w:rsidR="002D582E" w:rsidRPr="000D61D1">
        <w:rPr>
          <w:color w:val="000000" w:themeColor="text1"/>
          <w:lang w:val="en-AU"/>
        </w:rPr>
        <w:fldChar w:fldCharType="separate"/>
      </w:r>
      <w:r w:rsidR="00A763B6" w:rsidRPr="00A763B6">
        <w:rPr>
          <w:color w:val="000000" w:themeColor="text1"/>
          <w:lang w:val="en-AU"/>
        </w:rPr>
        <w:t xml:space="preserve">Table </w:t>
      </w:r>
      <w:r w:rsidR="00A763B6" w:rsidRPr="00A763B6">
        <w:rPr>
          <w:noProof/>
          <w:color w:val="000000" w:themeColor="text1"/>
          <w:lang w:val="en-AU"/>
        </w:rPr>
        <w:t>16</w:t>
      </w:r>
      <w:r w:rsidR="002D582E" w:rsidRPr="000D61D1">
        <w:rPr>
          <w:color w:val="000000" w:themeColor="text1"/>
          <w:lang w:val="en-AU"/>
        </w:rPr>
        <w:fldChar w:fldCharType="end"/>
      </w:r>
      <w:r w:rsidRPr="000D61D1">
        <w:rPr>
          <w:lang w:val="en-AU"/>
        </w:rPr>
        <w:t xml:space="preserve">.  </w:t>
      </w:r>
    </w:p>
    <w:p w14:paraId="7B774E09" w14:textId="77777777" w:rsidR="0016647F" w:rsidRPr="000D61D1" w:rsidRDefault="0016647F" w:rsidP="0016647F">
      <w:pPr>
        <w:widowControl w:val="0"/>
        <w:autoSpaceDE w:val="0"/>
        <w:autoSpaceDN w:val="0"/>
        <w:adjustRightInd w:val="0"/>
        <w:spacing w:before="79" w:after="79"/>
        <w:jc w:val="center"/>
        <w:rPr>
          <w:rFonts w:ascii="Times New Roman" w:hAnsi="Times New Roman" w:cs="Times New Roman"/>
          <w:sz w:val="29"/>
          <w:szCs w:val="29"/>
          <w:lang w:val="en-AU"/>
        </w:rPr>
      </w:pPr>
    </w:p>
    <w:p w14:paraId="04F85300" w14:textId="00AE13E0" w:rsidR="00E64554" w:rsidRPr="000D61D1" w:rsidRDefault="00E64554" w:rsidP="007C11BD">
      <w:pPr>
        <w:pStyle w:val="TableCaption"/>
        <w:rPr>
          <w:rFonts w:cstheme="minorHAnsi"/>
          <w:sz w:val="22"/>
          <w:szCs w:val="22"/>
          <w:lang w:val="en-AU"/>
        </w:rPr>
      </w:pPr>
      <w:bookmarkStart w:id="41" w:name="_Ref33110528"/>
      <w:bookmarkStart w:id="42" w:name="_Toc43911503"/>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16</w:t>
      </w:r>
      <w:r w:rsidRPr="000D61D1">
        <w:rPr>
          <w:lang w:val="en-AU"/>
        </w:rPr>
        <w:fldChar w:fldCharType="end"/>
      </w:r>
      <w:bookmarkEnd w:id="41"/>
      <w:r w:rsidRPr="000D61D1">
        <w:rPr>
          <w:lang w:val="en-AU"/>
        </w:rPr>
        <w:t xml:space="preserve"> - Tax reform effect on rental prices - estimations in logs</w:t>
      </w:r>
      <w:bookmarkEnd w:id="42"/>
    </w:p>
    <w:tbl>
      <w:tblPr>
        <w:tblW w:w="0" w:type="auto"/>
        <w:jc w:val="center"/>
        <w:tblCellMar>
          <w:left w:w="144" w:type="dxa"/>
          <w:right w:w="144" w:type="dxa"/>
        </w:tblCellMar>
        <w:tblLook w:val="0000" w:firstRow="0" w:lastRow="0" w:firstColumn="0" w:lastColumn="0" w:noHBand="0" w:noVBand="0"/>
      </w:tblPr>
      <w:tblGrid>
        <w:gridCol w:w="2009"/>
        <w:gridCol w:w="1144"/>
        <w:gridCol w:w="1144"/>
        <w:gridCol w:w="1175"/>
        <w:gridCol w:w="1144"/>
        <w:gridCol w:w="1266"/>
        <w:gridCol w:w="1144"/>
      </w:tblGrid>
      <w:tr w:rsidR="0016647F" w:rsidRPr="000D61D1" w14:paraId="760B90C8" w14:textId="77777777" w:rsidTr="0016647F">
        <w:trPr>
          <w:jc w:val="center"/>
        </w:trPr>
        <w:tc>
          <w:tcPr>
            <w:tcW w:w="2268" w:type="dxa"/>
            <w:tcBorders>
              <w:top w:val="single" w:sz="6" w:space="0" w:color="auto"/>
              <w:left w:val="nil"/>
              <w:right w:val="nil"/>
            </w:tcBorders>
          </w:tcPr>
          <w:p w14:paraId="442FF059" w14:textId="77777777" w:rsidR="0016647F" w:rsidRPr="000D61D1" w:rsidRDefault="0016647F" w:rsidP="0016647F">
            <w:pPr>
              <w:widowControl w:val="0"/>
              <w:autoSpaceDE w:val="0"/>
              <w:autoSpaceDN w:val="0"/>
              <w:adjustRightInd w:val="0"/>
              <w:spacing w:before="79" w:after="0"/>
              <w:rPr>
                <w:rFonts w:cstheme="minorHAnsi"/>
                <w:sz w:val="22"/>
                <w:szCs w:val="22"/>
                <w:lang w:val="en-AU"/>
              </w:rPr>
            </w:pPr>
            <w:proofErr w:type="gramStart"/>
            <w:r w:rsidRPr="000D61D1">
              <w:rPr>
                <w:rFonts w:cstheme="minorHAnsi"/>
                <w:sz w:val="22"/>
                <w:szCs w:val="22"/>
                <w:lang w:val="en-AU"/>
              </w:rPr>
              <w:t>Log(</w:t>
            </w:r>
            <w:proofErr w:type="gramEnd"/>
            <w:r w:rsidRPr="000D61D1">
              <w:rPr>
                <w:rFonts w:cstheme="minorHAnsi"/>
                <w:sz w:val="22"/>
                <w:szCs w:val="22"/>
                <w:lang w:val="en-AU"/>
              </w:rPr>
              <w:t>Median Rent)</w:t>
            </w:r>
          </w:p>
        </w:tc>
        <w:tc>
          <w:tcPr>
            <w:tcW w:w="865" w:type="dxa"/>
            <w:tcBorders>
              <w:top w:val="single" w:sz="6" w:space="0" w:color="auto"/>
              <w:left w:val="nil"/>
              <w:right w:val="nil"/>
            </w:tcBorders>
          </w:tcPr>
          <w:p w14:paraId="7E2456F4"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(1)</w:t>
            </w:r>
          </w:p>
        </w:tc>
        <w:tc>
          <w:tcPr>
            <w:tcW w:w="1137" w:type="dxa"/>
            <w:tcBorders>
              <w:top w:val="single" w:sz="6" w:space="0" w:color="auto"/>
              <w:left w:val="nil"/>
              <w:right w:val="nil"/>
            </w:tcBorders>
          </w:tcPr>
          <w:p w14:paraId="5328B990"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(2)</w:t>
            </w:r>
          </w:p>
        </w:tc>
        <w:tc>
          <w:tcPr>
            <w:tcW w:w="1201" w:type="dxa"/>
            <w:tcBorders>
              <w:top w:val="single" w:sz="6" w:space="0" w:color="auto"/>
              <w:left w:val="nil"/>
              <w:right w:val="single" w:sz="4" w:space="0" w:color="auto"/>
            </w:tcBorders>
          </w:tcPr>
          <w:p w14:paraId="5C63AAF1"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(3)</w:t>
            </w:r>
          </w:p>
        </w:tc>
        <w:tc>
          <w:tcPr>
            <w:tcW w:w="1113" w:type="dxa"/>
            <w:tcBorders>
              <w:top w:val="single" w:sz="6" w:space="0" w:color="auto"/>
              <w:left w:val="single" w:sz="4" w:space="0" w:color="auto"/>
              <w:right w:val="nil"/>
            </w:tcBorders>
          </w:tcPr>
          <w:p w14:paraId="76A1D363"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(4)</w:t>
            </w:r>
          </w:p>
        </w:tc>
        <w:tc>
          <w:tcPr>
            <w:tcW w:w="1370" w:type="dxa"/>
            <w:tcBorders>
              <w:top w:val="single" w:sz="6" w:space="0" w:color="auto"/>
              <w:left w:val="nil"/>
              <w:right w:val="nil"/>
            </w:tcBorders>
          </w:tcPr>
          <w:p w14:paraId="39377620"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(5)</w:t>
            </w:r>
          </w:p>
        </w:tc>
        <w:tc>
          <w:tcPr>
            <w:tcW w:w="1072" w:type="dxa"/>
            <w:tcBorders>
              <w:top w:val="single" w:sz="6" w:space="0" w:color="auto"/>
              <w:left w:val="nil"/>
              <w:right w:val="nil"/>
            </w:tcBorders>
          </w:tcPr>
          <w:p w14:paraId="1FBB7887"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(6)</w:t>
            </w:r>
          </w:p>
        </w:tc>
      </w:tr>
      <w:tr w:rsidR="0016647F" w:rsidRPr="000D61D1" w14:paraId="28564FBA" w14:textId="77777777" w:rsidTr="0016647F">
        <w:trPr>
          <w:jc w:val="center"/>
        </w:trPr>
        <w:tc>
          <w:tcPr>
            <w:tcW w:w="2268" w:type="dxa"/>
            <w:tcBorders>
              <w:left w:val="nil"/>
              <w:bottom w:val="single" w:sz="4" w:space="0" w:color="auto"/>
              <w:right w:val="nil"/>
            </w:tcBorders>
          </w:tcPr>
          <w:p w14:paraId="34BE3C46" w14:textId="77777777" w:rsidR="0016647F" w:rsidRPr="000D61D1" w:rsidRDefault="0016647F" w:rsidP="0016647F">
            <w:pPr>
              <w:widowControl w:val="0"/>
              <w:autoSpaceDE w:val="0"/>
              <w:autoSpaceDN w:val="0"/>
              <w:adjustRightInd w:val="0"/>
              <w:spacing w:before="79" w:after="0"/>
              <w:rPr>
                <w:rFonts w:cstheme="minorHAnsi"/>
                <w:sz w:val="22"/>
                <w:szCs w:val="22"/>
                <w:lang w:val="en-AU"/>
              </w:rPr>
            </w:pPr>
          </w:p>
        </w:tc>
        <w:tc>
          <w:tcPr>
            <w:tcW w:w="3203" w:type="dxa"/>
            <w:gridSpan w:val="3"/>
            <w:tcBorders>
              <w:left w:val="nil"/>
              <w:bottom w:val="single" w:sz="4" w:space="0" w:color="auto"/>
              <w:right w:val="single" w:sz="4" w:space="0" w:color="auto"/>
            </w:tcBorders>
          </w:tcPr>
          <w:p w14:paraId="011B0766"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Houses</w:t>
            </w:r>
          </w:p>
        </w:tc>
        <w:tc>
          <w:tcPr>
            <w:tcW w:w="3555" w:type="dxa"/>
            <w:gridSpan w:val="3"/>
            <w:tcBorders>
              <w:left w:val="single" w:sz="4" w:space="0" w:color="auto"/>
              <w:bottom w:val="single" w:sz="4" w:space="0" w:color="auto"/>
              <w:right w:val="nil"/>
            </w:tcBorders>
          </w:tcPr>
          <w:p w14:paraId="04F78FDA"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Units</w:t>
            </w:r>
          </w:p>
        </w:tc>
      </w:tr>
      <w:tr w:rsidR="0016647F" w:rsidRPr="000D61D1" w14:paraId="6B6AD007" w14:textId="77777777" w:rsidTr="0016647F">
        <w:trPr>
          <w:jc w:val="center"/>
        </w:trPr>
        <w:tc>
          <w:tcPr>
            <w:tcW w:w="2268" w:type="dxa"/>
            <w:tcBorders>
              <w:top w:val="single" w:sz="4" w:space="0" w:color="auto"/>
              <w:left w:val="nil"/>
              <w:bottom w:val="nil"/>
              <w:right w:val="nil"/>
            </w:tcBorders>
          </w:tcPr>
          <w:p w14:paraId="123D5405" w14:textId="77777777" w:rsidR="0016647F" w:rsidRPr="000D61D1" w:rsidRDefault="0016647F" w:rsidP="0016647F">
            <w:pPr>
              <w:widowControl w:val="0"/>
              <w:autoSpaceDE w:val="0"/>
              <w:autoSpaceDN w:val="0"/>
              <w:adjustRightInd w:val="0"/>
              <w:spacing w:after="79"/>
              <w:rPr>
                <w:rFonts w:cstheme="minorHAnsi"/>
                <w:sz w:val="22"/>
                <w:szCs w:val="22"/>
                <w:lang w:val="en-AU"/>
              </w:rPr>
            </w:pPr>
          </w:p>
        </w:tc>
        <w:tc>
          <w:tcPr>
            <w:tcW w:w="865" w:type="dxa"/>
            <w:tcBorders>
              <w:top w:val="single" w:sz="4" w:space="0" w:color="auto"/>
              <w:left w:val="nil"/>
              <w:bottom w:val="nil"/>
              <w:right w:val="nil"/>
            </w:tcBorders>
          </w:tcPr>
          <w:p w14:paraId="55CCF5E8"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Full Sample</w:t>
            </w:r>
          </w:p>
        </w:tc>
        <w:tc>
          <w:tcPr>
            <w:tcW w:w="1137" w:type="dxa"/>
            <w:tcBorders>
              <w:top w:val="single" w:sz="4" w:space="0" w:color="auto"/>
              <w:left w:val="nil"/>
              <w:bottom w:val="nil"/>
              <w:right w:val="nil"/>
            </w:tcBorders>
          </w:tcPr>
          <w:p w14:paraId="33029C50"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Full Sample</w:t>
            </w:r>
          </w:p>
        </w:tc>
        <w:tc>
          <w:tcPr>
            <w:tcW w:w="1201" w:type="dxa"/>
            <w:tcBorders>
              <w:top w:val="single" w:sz="4" w:space="0" w:color="auto"/>
              <w:left w:val="nil"/>
              <w:bottom w:val="nil"/>
              <w:right w:val="single" w:sz="4" w:space="0" w:color="auto"/>
            </w:tcBorders>
          </w:tcPr>
          <w:p w14:paraId="06336EC0"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Capital Cities</w:t>
            </w:r>
          </w:p>
        </w:tc>
        <w:tc>
          <w:tcPr>
            <w:tcW w:w="1113" w:type="dxa"/>
            <w:tcBorders>
              <w:top w:val="single" w:sz="4" w:space="0" w:color="auto"/>
              <w:left w:val="single" w:sz="4" w:space="0" w:color="auto"/>
              <w:bottom w:val="nil"/>
              <w:right w:val="nil"/>
            </w:tcBorders>
          </w:tcPr>
          <w:p w14:paraId="7E2C6C60"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Full Sample</w:t>
            </w:r>
          </w:p>
        </w:tc>
        <w:tc>
          <w:tcPr>
            <w:tcW w:w="1370" w:type="dxa"/>
            <w:tcBorders>
              <w:top w:val="single" w:sz="4" w:space="0" w:color="auto"/>
              <w:left w:val="nil"/>
              <w:bottom w:val="nil"/>
              <w:right w:val="nil"/>
            </w:tcBorders>
          </w:tcPr>
          <w:p w14:paraId="09469AA9"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Full Sample</w:t>
            </w:r>
          </w:p>
        </w:tc>
        <w:tc>
          <w:tcPr>
            <w:tcW w:w="1072" w:type="dxa"/>
            <w:tcBorders>
              <w:top w:val="single" w:sz="4" w:space="0" w:color="auto"/>
              <w:left w:val="nil"/>
              <w:bottom w:val="nil"/>
              <w:right w:val="nil"/>
            </w:tcBorders>
          </w:tcPr>
          <w:p w14:paraId="74A7FB91"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Capital Cities</w:t>
            </w:r>
          </w:p>
        </w:tc>
      </w:tr>
      <w:tr w:rsidR="0016647F" w:rsidRPr="000D61D1" w14:paraId="443F5F96" w14:textId="77777777" w:rsidTr="0016647F">
        <w:trPr>
          <w:jc w:val="center"/>
        </w:trPr>
        <w:tc>
          <w:tcPr>
            <w:tcW w:w="2268" w:type="dxa"/>
            <w:tcBorders>
              <w:top w:val="single" w:sz="6" w:space="0" w:color="auto"/>
              <w:left w:val="nil"/>
              <w:bottom w:val="nil"/>
              <w:right w:val="nil"/>
            </w:tcBorders>
          </w:tcPr>
          <w:p w14:paraId="7BBB7B2D"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Reform Dummy</w:t>
            </w:r>
          </w:p>
        </w:tc>
        <w:tc>
          <w:tcPr>
            <w:tcW w:w="865" w:type="dxa"/>
            <w:tcBorders>
              <w:top w:val="single" w:sz="6" w:space="0" w:color="auto"/>
              <w:left w:val="nil"/>
              <w:bottom w:val="nil"/>
              <w:right w:val="nil"/>
            </w:tcBorders>
          </w:tcPr>
          <w:p w14:paraId="62715712"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-0.077</w:t>
            </w:r>
          </w:p>
        </w:tc>
        <w:tc>
          <w:tcPr>
            <w:tcW w:w="1137" w:type="dxa"/>
            <w:tcBorders>
              <w:top w:val="single" w:sz="6" w:space="0" w:color="auto"/>
              <w:left w:val="nil"/>
              <w:bottom w:val="nil"/>
              <w:right w:val="nil"/>
            </w:tcBorders>
          </w:tcPr>
          <w:p w14:paraId="312632C5"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-0.014</w:t>
            </w:r>
          </w:p>
        </w:tc>
        <w:tc>
          <w:tcPr>
            <w:tcW w:w="1201" w:type="dxa"/>
            <w:tcBorders>
              <w:top w:val="single" w:sz="6" w:space="0" w:color="auto"/>
              <w:left w:val="nil"/>
              <w:bottom w:val="nil"/>
              <w:right w:val="single" w:sz="4" w:space="0" w:color="auto"/>
            </w:tcBorders>
          </w:tcPr>
          <w:p w14:paraId="21767241"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-0.026</w:t>
            </w:r>
          </w:p>
        </w:tc>
        <w:tc>
          <w:tcPr>
            <w:tcW w:w="1113" w:type="dxa"/>
            <w:tcBorders>
              <w:top w:val="single" w:sz="6" w:space="0" w:color="auto"/>
              <w:left w:val="single" w:sz="4" w:space="0" w:color="auto"/>
              <w:bottom w:val="nil"/>
              <w:right w:val="nil"/>
            </w:tcBorders>
          </w:tcPr>
          <w:p w14:paraId="5809F46A"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-0.166</w:t>
            </w:r>
          </w:p>
        </w:tc>
        <w:tc>
          <w:tcPr>
            <w:tcW w:w="1370" w:type="dxa"/>
            <w:tcBorders>
              <w:top w:val="single" w:sz="6" w:space="0" w:color="auto"/>
              <w:left w:val="nil"/>
              <w:bottom w:val="nil"/>
              <w:right w:val="nil"/>
            </w:tcBorders>
          </w:tcPr>
          <w:p w14:paraId="10F26752"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-0.082</w:t>
            </w:r>
          </w:p>
        </w:tc>
        <w:tc>
          <w:tcPr>
            <w:tcW w:w="1072" w:type="dxa"/>
            <w:tcBorders>
              <w:top w:val="single" w:sz="6" w:space="0" w:color="auto"/>
              <w:left w:val="nil"/>
              <w:bottom w:val="nil"/>
              <w:right w:val="nil"/>
            </w:tcBorders>
          </w:tcPr>
          <w:p w14:paraId="3E725BFA"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-0.084</w:t>
            </w:r>
          </w:p>
        </w:tc>
      </w:tr>
      <w:tr w:rsidR="0016647F" w:rsidRPr="000D61D1" w14:paraId="6B34315F" w14:textId="77777777" w:rsidTr="0016647F">
        <w:trPr>
          <w:jc w:val="center"/>
        </w:trPr>
        <w:tc>
          <w:tcPr>
            <w:tcW w:w="2268" w:type="dxa"/>
            <w:tcBorders>
              <w:top w:val="nil"/>
              <w:left w:val="nil"/>
              <w:bottom w:val="nil"/>
              <w:right w:val="nil"/>
            </w:tcBorders>
          </w:tcPr>
          <w:p w14:paraId="4E42C832" w14:textId="3576136B" w:rsidR="0016647F" w:rsidRPr="000D61D1" w:rsidRDefault="00B5069E" w:rsidP="0016647F">
            <w:pPr>
              <w:widowControl w:val="0"/>
              <w:autoSpaceDE w:val="0"/>
              <w:autoSpaceDN w:val="0"/>
              <w:adjustRightInd w:val="0"/>
              <w:spacing w:after="0"/>
              <w:rPr>
                <w:rFonts w:cstheme="minorHAnsi"/>
                <w:sz w:val="22"/>
                <w:szCs w:val="22"/>
                <w:lang w:val="en-AU"/>
              </w:rPr>
            </w:pPr>
            <w:r>
              <w:rPr>
                <w:rFonts w:cs="Times New Roman"/>
                <w:sz w:val="22"/>
                <w:szCs w:val="22"/>
                <w:lang w:val="en-AU"/>
              </w:rPr>
              <w:t>Standard error</w:t>
            </w:r>
          </w:p>
        </w:tc>
        <w:tc>
          <w:tcPr>
            <w:tcW w:w="865" w:type="dxa"/>
            <w:tcBorders>
              <w:top w:val="nil"/>
              <w:left w:val="nil"/>
              <w:bottom w:val="nil"/>
              <w:right w:val="nil"/>
            </w:tcBorders>
          </w:tcPr>
          <w:p w14:paraId="730703AC"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0.006]*</w:t>
            </w:r>
            <w:proofErr w:type="gramEnd"/>
            <w:r w:rsidRPr="000D61D1">
              <w:rPr>
                <w:rFonts w:cstheme="minorHAnsi"/>
                <w:sz w:val="22"/>
                <w:szCs w:val="22"/>
                <w:lang w:val="en-AU"/>
              </w:rPr>
              <w:t>*</w:t>
            </w:r>
          </w:p>
        </w:tc>
        <w:tc>
          <w:tcPr>
            <w:tcW w:w="1137" w:type="dxa"/>
            <w:tcBorders>
              <w:top w:val="nil"/>
              <w:left w:val="nil"/>
              <w:bottom w:val="nil"/>
              <w:right w:val="nil"/>
            </w:tcBorders>
          </w:tcPr>
          <w:p w14:paraId="6F24D1B2"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[0.008]</w:t>
            </w:r>
          </w:p>
        </w:tc>
        <w:tc>
          <w:tcPr>
            <w:tcW w:w="1201" w:type="dxa"/>
            <w:tcBorders>
              <w:top w:val="nil"/>
              <w:left w:val="nil"/>
              <w:bottom w:val="nil"/>
              <w:right w:val="single" w:sz="4" w:space="0" w:color="auto"/>
            </w:tcBorders>
          </w:tcPr>
          <w:p w14:paraId="728D8F60"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0.007]*</w:t>
            </w:r>
            <w:proofErr w:type="gramEnd"/>
            <w:r w:rsidRPr="000D61D1">
              <w:rPr>
                <w:rFonts w:cstheme="minorHAnsi"/>
                <w:sz w:val="22"/>
                <w:szCs w:val="22"/>
                <w:lang w:val="en-AU"/>
              </w:rPr>
              <w:t>*</w:t>
            </w:r>
          </w:p>
        </w:tc>
        <w:tc>
          <w:tcPr>
            <w:tcW w:w="1113" w:type="dxa"/>
            <w:tcBorders>
              <w:top w:val="nil"/>
              <w:left w:val="single" w:sz="4" w:space="0" w:color="auto"/>
              <w:bottom w:val="nil"/>
              <w:right w:val="nil"/>
            </w:tcBorders>
          </w:tcPr>
          <w:p w14:paraId="3BC23D80"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0.011]*</w:t>
            </w:r>
            <w:proofErr w:type="gramEnd"/>
            <w:r w:rsidRPr="000D61D1">
              <w:rPr>
                <w:rFonts w:cstheme="minorHAnsi"/>
                <w:sz w:val="22"/>
                <w:szCs w:val="22"/>
                <w:lang w:val="en-AU"/>
              </w:rPr>
              <w:t>*</w:t>
            </w:r>
          </w:p>
        </w:tc>
        <w:tc>
          <w:tcPr>
            <w:tcW w:w="1370" w:type="dxa"/>
            <w:tcBorders>
              <w:top w:val="nil"/>
              <w:left w:val="nil"/>
              <w:bottom w:val="nil"/>
              <w:right w:val="nil"/>
            </w:tcBorders>
          </w:tcPr>
          <w:p w14:paraId="25BE396F"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0.013]*</w:t>
            </w:r>
            <w:proofErr w:type="gramEnd"/>
            <w:r w:rsidRPr="000D61D1">
              <w:rPr>
                <w:rFonts w:cstheme="minorHAnsi"/>
                <w:sz w:val="22"/>
                <w:szCs w:val="22"/>
                <w:lang w:val="en-AU"/>
              </w:rPr>
              <w:t>*</w:t>
            </w:r>
          </w:p>
        </w:tc>
        <w:tc>
          <w:tcPr>
            <w:tcW w:w="1072" w:type="dxa"/>
            <w:tcBorders>
              <w:top w:val="nil"/>
              <w:left w:val="nil"/>
              <w:bottom w:val="nil"/>
              <w:right w:val="nil"/>
            </w:tcBorders>
          </w:tcPr>
          <w:p w14:paraId="0DAE1A50"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0.012]*</w:t>
            </w:r>
            <w:proofErr w:type="gramEnd"/>
            <w:r w:rsidRPr="000D61D1">
              <w:rPr>
                <w:rFonts w:cstheme="minorHAnsi"/>
                <w:sz w:val="22"/>
                <w:szCs w:val="22"/>
                <w:lang w:val="en-AU"/>
              </w:rPr>
              <w:t>*</w:t>
            </w:r>
          </w:p>
        </w:tc>
      </w:tr>
      <w:tr w:rsidR="0016647F" w:rsidRPr="000D61D1" w14:paraId="66CCA92E" w14:textId="77777777" w:rsidTr="0016647F">
        <w:trPr>
          <w:jc w:val="center"/>
        </w:trPr>
        <w:tc>
          <w:tcPr>
            <w:tcW w:w="2268" w:type="dxa"/>
            <w:tcBorders>
              <w:top w:val="nil"/>
              <w:left w:val="nil"/>
              <w:bottom w:val="nil"/>
              <w:right w:val="nil"/>
            </w:tcBorders>
          </w:tcPr>
          <w:p w14:paraId="4C570033" w14:textId="77777777" w:rsidR="0016647F" w:rsidRPr="000D61D1" w:rsidRDefault="0016647F" w:rsidP="0016647F">
            <w:pPr>
              <w:widowControl w:val="0"/>
              <w:autoSpaceDE w:val="0"/>
              <w:autoSpaceDN w:val="0"/>
              <w:adjustRightInd w:val="0"/>
              <w:spacing w:after="0"/>
              <w:rPr>
                <w:rFonts w:cstheme="minorHAnsi"/>
                <w:sz w:val="22"/>
                <w:szCs w:val="22"/>
                <w:lang w:val="en-AU"/>
              </w:rPr>
            </w:pPr>
            <w:proofErr w:type="gramStart"/>
            <w:r w:rsidRPr="000D61D1">
              <w:rPr>
                <w:rFonts w:cstheme="minorHAnsi"/>
                <w:sz w:val="22"/>
                <w:szCs w:val="22"/>
                <w:lang w:val="en-AU"/>
              </w:rPr>
              <w:t>Log(</w:t>
            </w:r>
            <w:proofErr w:type="gramEnd"/>
            <w:r w:rsidRPr="000D61D1">
              <w:rPr>
                <w:rFonts w:cstheme="minorHAnsi"/>
                <w:sz w:val="22"/>
                <w:szCs w:val="22"/>
                <w:lang w:val="en-AU"/>
              </w:rPr>
              <w:t>Income)</w:t>
            </w:r>
          </w:p>
        </w:tc>
        <w:tc>
          <w:tcPr>
            <w:tcW w:w="865" w:type="dxa"/>
            <w:tcBorders>
              <w:top w:val="nil"/>
              <w:left w:val="nil"/>
              <w:bottom w:val="nil"/>
              <w:right w:val="nil"/>
            </w:tcBorders>
          </w:tcPr>
          <w:p w14:paraId="40AF7394" w14:textId="2AADFA37" w:rsidR="0016647F" w:rsidRPr="000D61D1" w:rsidRDefault="0016647F" w:rsidP="0016647F">
            <w:pPr>
              <w:widowControl w:val="0"/>
              <w:autoSpaceDE w:val="0"/>
              <w:autoSpaceDN w:val="0"/>
              <w:adjustRightInd w:val="0"/>
              <w:spacing w:after="0"/>
              <w:jc w:val="center"/>
              <w:rPr>
                <w:rFonts w:cstheme="minorHAnsi"/>
                <w:sz w:val="22"/>
                <w:szCs w:val="22"/>
                <w:lang w:val="en-AU"/>
              </w:rPr>
            </w:pPr>
          </w:p>
        </w:tc>
        <w:tc>
          <w:tcPr>
            <w:tcW w:w="1137" w:type="dxa"/>
            <w:tcBorders>
              <w:top w:val="nil"/>
              <w:left w:val="nil"/>
              <w:bottom w:val="nil"/>
              <w:right w:val="nil"/>
            </w:tcBorders>
          </w:tcPr>
          <w:p w14:paraId="25F1C072"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1.505</w:t>
            </w:r>
          </w:p>
        </w:tc>
        <w:tc>
          <w:tcPr>
            <w:tcW w:w="1201" w:type="dxa"/>
            <w:tcBorders>
              <w:top w:val="nil"/>
              <w:left w:val="nil"/>
              <w:bottom w:val="nil"/>
              <w:right w:val="single" w:sz="4" w:space="0" w:color="auto"/>
            </w:tcBorders>
          </w:tcPr>
          <w:p w14:paraId="46709A6C"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1.471</w:t>
            </w:r>
          </w:p>
        </w:tc>
        <w:tc>
          <w:tcPr>
            <w:tcW w:w="1113" w:type="dxa"/>
            <w:tcBorders>
              <w:top w:val="nil"/>
              <w:left w:val="single" w:sz="4" w:space="0" w:color="auto"/>
              <w:bottom w:val="nil"/>
              <w:right w:val="nil"/>
            </w:tcBorders>
          </w:tcPr>
          <w:p w14:paraId="68E1063C" w14:textId="6F64E1BA" w:rsidR="0016647F" w:rsidRPr="000D61D1" w:rsidRDefault="0016647F" w:rsidP="0016647F">
            <w:pPr>
              <w:widowControl w:val="0"/>
              <w:autoSpaceDE w:val="0"/>
              <w:autoSpaceDN w:val="0"/>
              <w:adjustRightInd w:val="0"/>
              <w:spacing w:after="0"/>
              <w:jc w:val="center"/>
              <w:rPr>
                <w:rFonts w:cstheme="minorHAnsi"/>
                <w:sz w:val="22"/>
                <w:szCs w:val="22"/>
                <w:lang w:val="en-AU"/>
              </w:rPr>
            </w:pPr>
          </w:p>
        </w:tc>
        <w:tc>
          <w:tcPr>
            <w:tcW w:w="1370" w:type="dxa"/>
            <w:tcBorders>
              <w:top w:val="nil"/>
              <w:left w:val="nil"/>
              <w:bottom w:val="nil"/>
              <w:right w:val="nil"/>
            </w:tcBorders>
          </w:tcPr>
          <w:p w14:paraId="1BB9264F"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1.516</w:t>
            </w:r>
          </w:p>
        </w:tc>
        <w:tc>
          <w:tcPr>
            <w:tcW w:w="1072" w:type="dxa"/>
            <w:tcBorders>
              <w:top w:val="nil"/>
              <w:left w:val="nil"/>
              <w:bottom w:val="nil"/>
              <w:right w:val="nil"/>
            </w:tcBorders>
          </w:tcPr>
          <w:p w14:paraId="28FF5781"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1.464</w:t>
            </w:r>
          </w:p>
        </w:tc>
      </w:tr>
      <w:tr w:rsidR="0016647F" w:rsidRPr="000D61D1" w14:paraId="00683A94" w14:textId="77777777" w:rsidTr="0016647F">
        <w:trPr>
          <w:jc w:val="center"/>
        </w:trPr>
        <w:tc>
          <w:tcPr>
            <w:tcW w:w="2268" w:type="dxa"/>
            <w:tcBorders>
              <w:top w:val="nil"/>
              <w:left w:val="nil"/>
              <w:bottom w:val="nil"/>
              <w:right w:val="nil"/>
            </w:tcBorders>
          </w:tcPr>
          <w:p w14:paraId="54834830" w14:textId="0DD3B363" w:rsidR="0016647F" w:rsidRPr="000D61D1" w:rsidRDefault="00B5069E" w:rsidP="0016647F">
            <w:pPr>
              <w:widowControl w:val="0"/>
              <w:autoSpaceDE w:val="0"/>
              <w:autoSpaceDN w:val="0"/>
              <w:adjustRightInd w:val="0"/>
              <w:spacing w:after="0"/>
              <w:rPr>
                <w:rFonts w:cstheme="minorHAnsi"/>
                <w:sz w:val="22"/>
                <w:szCs w:val="22"/>
                <w:lang w:val="en-AU"/>
              </w:rPr>
            </w:pPr>
            <w:r>
              <w:rPr>
                <w:rFonts w:cs="Times New Roman"/>
                <w:sz w:val="22"/>
                <w:szCs w:val="22"/>
                <w:lang w:val="en-AU"/>
              </w:rPr>
              <w:t>Standard error</w:t>
            </w:r>
          </w:p>
        </w:tc>
        <w:tc>
          <w:tcPr>
            <w:tcW w:w="865" w:type="dxa"/>
            <w:tcBorders>
              <w:top w:val="nil"/>
              <w:left w:val="nil"/>
              <w:bottom w:val="nil"/>
              <w:right w:val="nil"/>
            </w:tcBorders>
          </w:tcPr>
          <w:p w14:paraId="4B754AA7"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p>
        </w:tc>
        <w:tc>
          <w:tcPr>
            <w:tcW w:w="1137" w:type="dxa"/>
            <w:tcBorders>
              <w:top w:val="nil"/>
              <w:left w:val="nil"/>
              <w:bottom w:val="nil"/>
              <w:right w:val="nil"/>
            </w:tcBorders>
          </w:tcPr>
          <w:p w14:paraId="6DBDD41D"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0.057]*</w:t>
            </w:r>
            <w:proofErr w:type="gramEnd"/>
            <w:r w:rsidRPr="000D61D1">
              <w:rPr>
                <w:rFonts w:cstheme="minorHAnsi"/>
                <w:sz w:val="22"/>
                <w:szCs w:val="22"/>
                <w:lang w:val="en-AU"/>
              </w:rPr>
              <w:t>*</w:t>
            </w:r>
          </w:p>
        </w:tc>
        <w:tc>
          <w:tcPr>
            <w:tcW w:w="1201" w:type="dxa"/>
            <w:tcBorders>
              <w:top w:val="nil"/>
              <w:left w:val="nil"/>
              <w:bottom w:val="nil"/>
              <w:right w:val="single" w:sz="4" w:space="0" w:color="auto"/>
            </w:tcBorders>
          </w:tcPr>
          <w:p w14:paraId="267F4882"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0.029]*</w:t>
            </w:r>
            <w:proofErr w:type="gramEnd"/>
            <w:r w:rsidRPr="000D61D1">
              <w:rPr>
                <w:rFonts w:cstheme="minorHAnsi"/>
                <w:sz w:val="22"/>
                <w:szCs w:val="22"/>
                <w:lang w:val="en-AU"/>
              </w:rPr>
              <w:t>*</w:t>
            </w:r>
          </w:p>
        </w:tc>
        <w:tc>
          <w:tcPr>
            <w:tcW w:w="1113" w:type="dxa"/>
            <w:tcBorders>
              <w:top w:val="nil"/>
              <w:left w:val="single" w:sz="4" w:space="0" w:color="auto"/>
              <w:bottom w:val="nil"/>
              <w:right w:val="nil"/>
            </w:tcBorders>
          </w:tcPr>
          <w:p w14:paraId="7C0D7352"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p>
        </w:tc>
        <w:tc>
          <w:tcPr>
            <w:tcW w:w="1370" w:type="dxa"/>
            <w:tcBorders>
              <w:top w:val="nil"/>
              <w:left w:val="nil"/>
              <w:bottom w:val="nil"/>
              <w:right w:val="nil"/>
            </w:tcBorders>
          </w:tcPr>
          <w:p w14:paraId="2B0E17A9"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0.074]*</w:t>
            </w:r>
            <w:proofErr w:type="gramEnd"/>
            <w:r w:rsidRPr="000D61D1">
              <w:rPr>
                <w:rFonts w:cstheme="minorHAnsi"/>
                <w:sz w:val="22"/>
                <w:szCs w:val="22"/>
                <w:lang w:val="en-AU"/>
              </w:rPr>
              <w:t>*</w:t>
            </w:r>
          </w:p>
        </w:tc>
        <w:tc>
          <w:tcPr>
            <w:tcW w:w="1072" w:type="dxa"/>
            <w:tcBorders>
              <w:top w:val="nil"/>
              <w:left w:val="nil"/>
              <w:bottom w:val="nil"/>
              <w:right w:val="nil"/>
            </w:tcBorders>
          </w:tcPr>
          <w:p w14:paraId="56AE866F"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0.048]*</w:t>
            </w:r>
            <w:proofErr w:type="gramEnd"/>
            <w:r w:rsidRPr="000D61D1">
              <w:rPr>
                <w:rFonts w:cstheme="minorHAnsi"/>
                <w:sz w:val="22"/>
                <w:szCs w:val="22"/>
                <w:lang w:val="en-AU"/>
              </w:rPr>
              <w:t>*</w:t>
            </w:r>
          </w:p>
        </w:tc>
      </w:tr>
      <w:tr w:rsidR="0016647F" w:rsidRPr="000D61D1" w14:paraId="75E57CAC" w14:textId="77777777" w:rsidTr="0016647F">
        <w:trPr>
          <w:jc w:val="center"/>
        </w:trPr>
        <w:tc>
          <w:tcPr>
            <w:tcW w:w="2268" w:type="dxa"/>
            <w:tcBorders>
              <w:top w:val="nil"/>
              <w:left w:val="nil"/>
              <w:bottom w:val="nil"/>
              <w:right w:val="nil"/>
            </w:tcBorders>
          </w:tcPr>
          <w:p w14:paraId="399BE29C" w14:textId="77777777" w:rsidR="0016647F" w:rsidRPr="000D61D1" w:rsidRDefault="0016647F" w:rsidP="0016647F">
            <w:pPr>
              <w:widowControl w:val="0"/>
              <w:autoSpaceDE w:val="0"/>
              <w:autoSpaceDN w:val="0"/>
              <w:adjustRightInd w:val="0"/>
              <w:spacing w:after="0"/>
              <w:rPr>
                <w:rFonts w:cstheme="minorHAnsi"/>
                <w:sz w:val="22"/>
                <w:szCs w:val="22"/>
                <w:lang w:val="en-AU"/>
              </w:rPr>
            </w:pPr>
            <w:proofErr w:type="gramStart"/>
            <w:r w:rsidRPr="000D61D1">
              <w:rPr>
                <w:rFonts w:cstheme="minorHAnsi"/>
                <w:sz w:val="22"/>
                <w:szCs w:val="22"/>
                <w:lang w:val="en-AU"/>
              </w:rPr>
              <w:t>Log(</w:t>
            </w:r>
            <w:proofErr w:type="gramEnd"/>
            <w:r w:rsidRPr="000D61D1">
              <w:rPr>
                <w:rFonts w:cstheme="minorHAnsi"/>
                <w:sz w:val="22"/>
                <w:szCs w:val="22"/>
                <w:lang w:val="en-AU"/>
              </w:rPr>
              <w:t>Population)</w:t>
            </w:r>
          </w:p>
        </w:tc>
        <w:tc>
          <w:tcPr>
            <w:tcW w:w="865" w:type="dxa"/>
            <w:tcBorders>
              <w:top w:val="nil"/>
              <w:left w:val="nil"/>
              <w:bottom w:val="nil"/>
              <w:right w:val="nil"/>
            </w:tcBorders>
          </w:tcPr>
          <w:p w14:paraId="2C513FE9" w14:textId="0C347CEE" w:rsidR="0016647F" w:rsidRPr="000D61D1" w:rsidRDefault="0016647F" w:rsidP="0016647F">
            <w:pPr>
              <w:widowControl w:val="0"/>
              <w:autoSpaceDE w:val="0"/>
              <w:autoSpaceDN w:val="0"/>
              <w:adjustRightInd w:val="0"/>
              <w:spacing w:after="0"/>
              <w:jc w:val="center"/>
              <w:rPr>
                <w:rFonts w:cstheme="minorHAnsi"/>
                <w:sz w:val="22"/>
                <w:szCs w:val="22"/>
                <w:lang w:val="en-AU"/>
              </w:rPr>
            </w:pPr>
          </w:p>
        </w:tc>
        <w:tc>
          <w:tcPr>
            <w:tcW w:w="1137" w:type="dxa"/>
            <w:tcBorders>
              <w:top w:val="nil"/>
              <w:left w:val="nil"/>
              <w:bottom w:val="nil"/>
              <w:right w:val="nil"/>
            </w:tcBorders>
          </w:tcPr>
          <w:p w14:paraId="440D8936"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1.121</w:t>
            </w:r>
          </w:p>
        </w:tc>
        <w:tc>
          <w:tcPr>
            <w:tcW w:w="1201" w:type="dxa"/>
            <w:tcBorders>
              <w:top w:val="nil"/>
              <w:left w:val="nil"/>
              <w:bottom w:val="nil"/>
              <w:right w:val="single" w:sz="4" w:space="0" w:color="auto"/>
            </w:tcBorders>
          </w:tcPr>
          <w:p w14:paraId="5655C5F7"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1.344</w:t>
            </w:r>
          </w:p>
        </w:tc>
        <w:tc>
          <w:tcPr>
            <w:tcW w:w="1113" w:type="dxa"/>
            <w:tcBorders>
              <w:top w:val="nil"/>
              <w:left w:val="single" w:sz="4" w:space="0" w:color="auto"/>
              <w:bottom w:val="nil"/>
              <w:right w:val="nil"/>
            </w:tcBorders>
          </w:tcPr>
          <w:p w14:paraId="33987D68" w14:textId="54A980B7" w:rsidR="0016647F" w:rsidRPr="000D61D1" w:rsidRDefault="0016647F" w:rsidP="0016647F">
            <w:pPr>
              <w:widowControl w:val="0"/>
              <w:autoSpaceDE w:val="0"/>
              <w:autoSpaceDN w:val="0"/>
              <w:adjustRightInd w:val="0"/>
              <w:spacing w:after="0"/>
              <w:jc w:val="center"/>
              <w:rPr>
                <w:rFonts w:cstheme="minorHAnsi"/>
                <w:sz w:val="22"/>
                <w:szCs w:val="22"/>
                <w:lang w:val="en-AU"/>
              </w:rPr>
            </w:pPr>
          </w:p>
        </w:tc>
        <w:tc>
          <w:tcPr>
            <w:tcW w:w="1370" w:type="dxa"/>
            <w:tcBorders>
              <w:top w:val="nil"/>
              <w:left w:val="nil"/>
              <w:bottom w:val="nil"/>
              <w:right w:val="nil"/>
            </w:tcBorders>
          </w:tcPr>
          <w:p w14:paraId="7C0FCF1A"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1.231</w:t>
            </w:r>
          </w:p>
        </w:tc>
        <w:tc>
          <w:tcPr>
            <w:tcW w:w="1072" w:type="dxa"/>
            <w:tcBorders>
              <w:top w:val="nil"/>
              <w:left w:val="nil"/>
              <w:bottom w:val="nil"/>
              <w:right w:val="nil"/>
            </w:tcBorders>
          </w:tcPr>
          <w:p w14:paraId="05890DDD"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1.227</w:t>
            </w:r>
          </w:p>
        </w:tc>
      </w:tr>
      <w:tr w:rsidR="0016647F" w:rsidRPr="000D61D1" w14:paraId="759D9248" w14:textId="77777777" w:rsidTr="0016647F">
        <w:trPr>
          <w:jc w:val="center"/>
        </w:trPr>
        <w:tc>
          <w:tcPr>
            <w:tcW w:w="2268" w:type="dxa"/>
            <w:tcBorders>
              <w:top w:val="nil"/>
              <w:left w:val="nil"/>
              <w:bottom w:val="nil"/>
              <w:right w:val="nil"/>
            </w:tcBorders>
          </w:tcPr>
          <w:p w14:paraId="7FECC4D2" w14:textId="0D958355" w:rsidR="0016647F" w:rsidRPr="000D61D1" w:rsidRDefault="00B5069E" w:rsidP="0016647F">
            <w:pPr>
              <w:widowControl w:val="0"/>
              <w:autoSpaceDE w:val="0"/>
              <w:autoSpaceDN w:val="0"/>
              <w:adjustRightInd w:val="0"/>
              <w:spacing w:after="0"/>
              <w:rPr>
                <w:rFonts w:cstheme="minorHAnsi"/>
                <w:sz w:val="22"/>
                <w:szCs w:val="22"/>
                <w:lang w:val="en-AU"/>
              </w:rPr>
            </w:pPr>
            <w:r>
              <w:rPr>
                <w:rFonts w:cs="Times New Roman"/>
                <w:sz w:val="22"/>
                <w:szCs w:val="22"/>
                <w:lang w:val="en-AU"/>
              </w:rPr>
              <w:t>Standard error</w:t>
            </w:r>
          </w:p>
        </w:tc>
        <w:tc>
          <w:tcPr>
            <w:tcW w:w="865" w:type="dxa"/>
            <w:tcBorders>
              <w:top w:val="nil"/>
              <w:left w:val="nil"/>
              <w:bottom w:val="nil"/>
              <w:right w:val="nil"/>
            </w:tcBorders>
          </w:tcPr>
          <w:p w14:paraId="3947B3AF"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p>
        </w:tc>
        <w:tc>
          <w:tcPr>
            <w:tcW w:w="1137" w:type="dxa"/>
            <w:tcBorders>
              <w:top w:val="nil"/>
              <w:left w:val="nil"/>
              <w:bottom w:val="nil"/>
              <w:right w:val="nil"/>
            </w:tcBorders>
          </w:tcPr>
          <w:p w14:paraId="0EC5231C"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0.061]*</w:t>
            </w:r>
            <w:proofErr w:type="gramEnd"/>
            <w:r w:rsidRPr="000D61D1">
              <w:rPr>
                <w:rFonts w:cstheme="minorHAnsi"/>
                <w:sz w:val="22"/>
                <w:szCs w:val="22"/>
                <w:lang w:val="en-AU"/>
              </w:rPr>
              <w:t>*</w:t>
            </w:r>
          </w:p>
        </w:tc>
        <w:tc>
          <w:tcPr>
            <w:tcW w:w="1201" w:type="dxa"/>
            <w:tcBorders>
              <w:top w:val="nil"/>
              <w:left w:val="nil"/>
              <w:bottom w:val="nil"/>
              <w:right w:val="single" w:sz="4" w:space="0" w:color="auto"/>
            </w:tcBorders>
          </w:tcPr>
          <w:p w14:paraId="3BE0972E"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0.070]*</w:t>
            </w:r>
            <w:proofErr w:type="gramEnd"/>
            <w:r w:rsidRPr="000D61D1">
              <w:rPr>
                <w:rFonts w:cstheme="minorHAnsi"/>
                <w:sz w:val="22"/>
                <w:szCs w:val="22"/>
                <w:lang w:val="en-AU"/>
              </w:rPr>
              <w:t>*</w:t>
            </w:r>
          </w:p>
        </w:tc>
        <w:tc>
          <w:tcPr>
            <w:tcW w:w="1113" w:type="dxa"/>
            <w:tcBorders>
              <w:top w:val="nil"/>
              <w:left w:val="single" w:sz="4" w:space="0" w:color="auto"/>
              <w:bottom w:val="nil"/>
              <w:right w:val="nil"/>
            </w:tcBorders>
          </w:tcPr>
          <w:p w14:paraId="3214876B"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p>
        </w:tc>
        <w:tc>
          <w:tcPr>
            <w:tcW w:w="1370" w:type="dxa"/>
            <w:tcBorders>
              <w:top w:val="nil"/>
              <w:left w:val="nil"/>
              <w:bottom w:val="nil"/>
              <w:right w:val="nil"/>
            </w:tcBorders>
          </w:tcPr>
          <w:p w14:paraId="589BE731"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0.099]*</w:t>
            </w:r>
            <w:proofErr w:type="gramEnd"/>
            <w:r w:rsidRPr="000D61D1">
              <w:rPr>
                <w:rFonts w:cstheme="minorHAnsi"/>
                <w:sz w:val="22"/>
                <w:szCs w:val="22"/>
                <w:lang w:val="en-AU"/>
              </w:rPr>
              <w:t>*</w:t>
            </w:r>
          </w:p>
        </w:tc>
        <w:tc>
          <w:tcPr>
            <w:tcW w:w="1072" w:type="dxa"/>
            <w:tcBorders>
              <w:top w:val="nil"/>
              <w:left w:val="nil"/>
              <w:bottom w:val="nil"/>
              <w:right w:val="nil"/>
            </w:tcBorders>
          </w:tcPr>
          <w:p w14:paraId="70011C0A"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0.110]*</w:t>
            </w:r>
            <w:proofErr w:type="gramEnd"/>
            <w:r w:rsidRPr="000D61D1">
              <w:rPr>
                <w:rFonts w:cstheme="minorHAnsi"/>
                <w:sz w:val="22"/>
                <w:szCs w:val="22"/>
                <w:lang w:val="en-AU"/>
              </w:rPr>
              <w:t>*</w:t>
            </w:r>
          </w:p>
        </w:tc>
      </w:tr>
      <w:tr w:rsidR="0016647F" w:rsidRPr="000D61D1" w14:paraId="3758B728" w14:textId="77777777" w:rsidTr="0016647F">
        <w:trPr>
          <w:jc w:val="center"/>
        </w:trPr>
        <w:tc>
          <w:tcPr>
            <w:tcW w:w="2268" w:type="dxa"/>
            <w:tcBorders>
              <w:top w:val="nil"/>
              <w:left w:val="nil"/>
              <w:bottom w:val="nil"/>
              <w:right w:val="nil"/>
            </w:tcBorders>
          </w:tcPr>
          <w:p w14:paraId="3901CEAA"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Time &amp; Suburb FE</w:t>
            </w:r>
          </w:p>
        </w:tc>
        <w:tc>
          <w:tcPr>
            <w:tcW w:w="865" w:type="dxa"/>
            <w:tcBorders>
              <w:top w:val="nil"/>
              <w:left w:val="nil"/>
              <w:bottom w:val="nil"/>
              <w:right w:val="nil"/>
            </w:tcBorders>
          </w:tcPr>
          <w:p w14:paraId="15622900"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137" w:type="dxa"/>
            <w:tcBorders>
              <w:top w:val="nil"/>
              <w:left w:val="nil"/>
              <w:bottom w:val="nil"/>
              <w:right w:val="nil"/>
            </w:tcBorders>
          </w:tcPr>
          <w:p w14:paraId="71CBA549"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201" w:type="dxa"/>
            <w:tcBorders>
              <w:top w:val="nil"/>
              <w:left w:val="nil"/>
              <w:bottom w:val="nil"/>
              <w:right w:val="single" w:sz="4" w:space="0" w:color="auto"/>
            </w:tcBorders>
          </w:tcPr>
          <w:p w14:paraId="2C90DBE1"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113" w:type="dxa"/>
            <w:tcBorders>
              <w:top w:val="nil"/>
              <w:left w:val="single" w:sz="4" w:space="0" w:color="auto"/>
              <w:bottom w:val="nil"/>
              <w:right w:val="nil"/>
            </w:tcBorders>
          </w:tcPr>
          <w:p w14:paraId="4C50120A"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370" w:type="dxa"/>
            <w:tcBorders>
              <w:top w:val="nil"/>
              <w:left w:val="nil"/>
              <w:bottom w:val="nil"/>
              <w:right w:val="nil"/>
            </w:tcBorders>
          </w:tcPr>
          <w:p w14:paraId="36D0F887"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072" w:type="dxa"/>
            <w:tcBorders>
              <w:top w:val="nil"/>
              <w:left w:val="nil"/>
              <w:bottom w:val="nil"/>
              <w:right w:val="nil"/>
            </w:tcBorders>
          </w:tcPr>
          <w:p w14:paraId="09DB264B"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r>
      <w:tr w:rsidR="0016647F" w:rsidRPr="000D61D1" w14:paraId="24B78F15" w14:textId="77777777" w:rsidTr="0016647F">
        <w:trPr>
          <w:jc w:val="center"/>
        </w:trPr>
        <w:tc>
          <w:tcPr>
            <w:tcW w:w="2268" w:type="dxa"/>
            <w:tcBorders>
              <w:top w:val="nil"/>
              <w:left w:val="nil"/>
              <w:bottom w:val="nil"/>
              <w:right w:val="nil"/>
            </w:tcBorders>
          </w:tcPr>
          <w:p w14:paraId="61773DF0"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Observations</w:t>
            </w:r>
          </w:p>
        </w:tc>
        <w:tc>
          <w:tcPr>
            <w:tcW w:w="865" w:type="dxa"/>
            <w:tcBorders>
              <w:top w:val="nil"/>
              <w:left w:val="nil"/>
              <w:bottom w:val="nil"/>
              <w:right w:val="nil"/>
            </w:tcBorders>
          </w:tcPr>
          <w:p w14:paraId="36901A2C"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263,249</w:t>
            </w:r>
          </w:p>
        </w:tc>
        <w:tc>
          <w:tcPr>
            <w:tcW w:w="1137" w:type="dxa"/>
            <w:tcBorders>
              <w:top w:val="nil"/>
              <w:left w:val="nil"/>
              <w:bottom w:val="nil"/>
              <w:right w:val="nil"/>
            </w:tcBorders>
          </w:tcPr>
          <w:p w14:paraId="5148D8BC"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248,629</w:t>
            </w:r>
          </w:p>
        </w:tc>
        <w:tc>
          <w:tcPr>
            <w:tcW w:w="1201" w:type="dxa"/>
            <w:tcBorders>
              <w:top w:val="nil"/>
              <w:left w:val="nil"/>
              <w:bottom w:val="nil"/>
              <w:right w:val="single" w:sz="4" w:space="0" w:color="auto"/>
            </w:tcBorders>
          </w:tcPr>
          <w:p w14:paraId="72AF7A76"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153,750</w:t>
            </w:r>
          </w:p>
        </w:tc>
        <w:tc>
          <w:tcPr>
            <w:tcW w:w="1113" w:type="dxa"/>
            <w:tcBorders>
              <w:top w:val="nil"/>
              <w:left w:val="single" w:sz="4" w:space="0" w:color="auto"/>
              <w:bottom w:val="nil"/>
              <w:right w:val="nil"/>
            </w:tcBorders>
          </w:tcPr>
          <w:p w14:paraId="50F9FCB9"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134,234</w:t>
            </w:r>
          </w:p>
        </w:tc>
        <w:tc>
          <w:tcPr>
            <w:tcW w:w="1370" w:type="dxa"/>
            <w:tcBorders>
              <w:top w:val="nil"/>
              <w:left w:val="nil"/>
              <w:bottom w:val="nil"/>
              <w:right w:val="nil"/>
            </w:tcBorders>
          </w:tcPr>
          <w:p w14:paraId="216128CA"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126,901</w:t>
            </w:r>
          </w:p>
        </w:tc>
        <w:tc>
          <w:tcPr>
            <w:tcW w:w="1072" w:type="dxa"/>
            <w:tcBorders>
              <w:top w:val="nil"/>
              <w:left w:val="nil"/>
              <w:bottom w:val="nil"/>
              <w:right w:val="nil"/>
            </w:tcBorders>
          </w:tcPr>
          <w:p w14:paraId="27669038"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90,643</w:t>
            </w:r>
          </w:p>
        </w:tc>
      </w:tr>
      <w:tr w:rsidR="0016647F" w:rsidRPr="000D61D1" w14:paraId="485D1BD0" w14:textId="77777777" w:rsidTr="0016647F">
        <w:trPr>
          <w:jc w:val="center"/>
        </w:trPr>
        <w:tc>
          <w:tcPr>
            <w:tcW w:w="2268" w:type="dxa"/>
            <w:tcBorders>
              <w:top w:val="nil"/>
              <w:left w:val="nil"/>
              <w:bottom w:val="nil"/>
              <w:right w:val="nil"/>
            </w:tcBorders>
          </w:tcPr>
          <w:p w14:paraId="30F8F132"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Number of Suburbs</w:t>
            </w:r>
          </w:p>
        </w:tc>
        <w:tc>
          <w:tcPr>
            <w:tcW w:w="865" w:type="dxa"/>
            <w:tcBorders>
              <w:top w:val="nil"/>
              <w:left w:val="nil"/>
              <w:bottom w:val="nil"/>
              <w:right w:val="nil"/>
            </w:tcBorders>
          </w:tcPr>
          <w:p w14:paraId="5949D977"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3,435</w:t>
            </w:r>
          </w:p>
        </w:tc>
        <w:tc>
          <w:tcPr>
            <w:tcW w:w="1137" w:type="dxa"/>
            <w:tcBorders>
              <w:top w:val="nil"/>
              <w:left w:val="nil"/>
              <w:bottom w:val="nil"/>
              <w:right w:val="nil"/>
            </w:tcBorders>
          </w:tcPr>
          <w:p w14:paraId="01287CF5"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3,420</w:t>
            </w:r>
          </w:p>
        </w:tc>
        <w:tc>
          <w:tcPr>
            <w:tcW w:w="1201" w:type="dxa"/>
            <w:tcBorders>
              <w:top w:val="nil"/>
              <w:left w:val="nil"/>
              <w:bottom w:val="nil"/>
              <w:right w:val="single" w:sz="4" w:space="0" w:color="auto"/>
            </w:tcBorders>
          </w:tcPr>
          <w:p w14:paraId="094E6480"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1,988</w:t>
            </w:r>
          </w:p>
        </w:tc>
        <w:tc>
          <w:tcPr>
            <w:tcW w:w="1113" w:type="dxa"/>
            <w:tcBorders>
              <w:top w:val="nil"/>
              <w:left w:val="single" w:sz="4" w:space="0" w:color="auto"/>
              <w:bottom w:val="nil"/>
              <w:right w:val="nil"/>
            </w:tcBorders>
          </w:tcPr>
          <w:p w14:paraId="1F723D66"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2,012</w:t>
            </w:r>
          </w:p>
        </w:tc>
        <w:tc>
          <w:tcPr>
            <w:tcW w:w="1370" w:type="dxa"/>
            <w:tcBorders>
              <w:top w:val="nil"/>
              <w:left w:val="nil"/>
              <w:bottom w:val="nil"/>
              <w:right w:val="nil"/>
            </w:tcBorders>
          </w:tcPr>
          <w:p w14:paraId="7CAA2830"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1,998</w:t>
            </w:r>
          </w:p>
        </w:tc>
        <w:tc>
          <w:tcPr>
            <w:tcW w:w="1072" w:type="dxa"/>
            <w:tcBorders>
              <w:top w:val="nil"/>
              <w:left w:val="nil"/>
              <w:bottom w:val="nil"/>
              <w:right w:val="nil"/>
            </w:tcBorders>
          </w:tcPr>
          <w:p w14:paraId="26D4AF7D"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1,297</w:t>
            </w:r>
          </w:p>
        </w:tc>
      </w:tr>
      <w:tr w:rsidR="0016647F" w:rsidRPr="000D61D1" w14:paraId="7C9CF21A" w14:textId="77777777" w:rsidTr="0016647F">
        <w:trPr>
          <w:jc w:val="center"/>
        </w:trPr>
        <w:tc>
          <w:tcPr>
            <w:tcW w:w="2268" w:type="dxa"/>
            <w:tcBorders>
              <w:top w:val="nil"/>
              <w:left w:val="nil"/>
              <w:bottom w:val="nil"/>
              <w:right w:val="nil"/>
            </w:tcBorders>
          </w:tcPr>
          <w:p w14:paraId="3700C664"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Adj. R-squared</w:t>
            </w:r>
          </w:p>
        </w:tc>
        <w:tc>
          <w:tcPr>
            <w:tcW w:w="865" w:type="dxa"/>
            <w:tcBorders>
              <w:top w:val="nil"/>
              <w:left w:val="nil"/>
              <w:bottom w:val="nil"/>
              <w:right w:val="nil"/>
            </w:tcBorders>
          </w:tcPr>
          <w:p w14:paraId="33C7BD46"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0.91</w:t>
            </w:r>
          </w:p>
        </w:tc>
        <w:tc>
          <w:tcPr>
            <w:tcW w:w="1137" w:type="dxa"/>
            <w:tcBorders>
              <w:top w:val="nil"/>
              <w:left w:val="nil"/>
              <w:bottom w:val="nil"/>
              <w:right w:val="nil"/>
            </w:tcBorders>
          </w:tcPr>
          <w:p w14:paraId="10B50332"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0.92</w:t>
            </w:r>
          </w:p>
        </w:tc>
        <w:tc>
          <w:tcPr>
            <w:tcW w:w="1201" w:type="dxa"/>
            <w:tcBorders>
              <w:top w:val="nil"/>
              <w:left w:val="nil"/>
              <w:bottom w:val="nil"/>
              <w:right w:val="single" w:sz="4" w:space="0" w:color="auto"/>
            </w:tcBorders>
          </w:tcPr>
          <w:p w14:paraId="0B4843B3"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0.95</w:t>
            </w:r>
          </w:p>
        </w:tc>
        <w:tc>
          <w:tcPr>
            <w:tcW w:w="1113" w:type="dxa"/>
            <w:tcBorders>
              <w:top w:val="nil"/>
              <w:left w:val="single" w:sz="4" w:space="0" w:color="auto"/>
              <w:bottom w:val="nil"/>
              <w:right w:val="nil"/>
            </w:tcBorders>
          </w:tcPr>
          <w:p w14:paraId="6E59D5C8"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0.90</w:t>
            </w:r>
          </w:p>
        </w:tc>
        <w:tc>
          <w:tcPr>
            <w:tcW w:w="1370" w:type="dxa"/>
            <w:tcBorders>
              <w:top w:val="nil"/>
              <w:left w:val="nil"/>
              <w:bottom w:val="nil"/>
              <w:right w:val="nil"/>
            </w:tcBorders>
          </w:tcPr>
          <w:p w14:paraId="076B5CDC"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0.91</w:t>
            </w:r>
          </w:p>
        </w:tc>
        <w:tc>
          <w:tcPr>
            <w:tcW w:w="1072" w:type="dxa"/>
            <w:tcBorders>
              <w:top w:val="nil"/>
              <w:left w:val="nil"/>
              <w:bottom w:val="nil"/>
              <w:right w:val="nil"/>
            </w:tcBorders>
          </w:tcPr>
          <w:p w14:paraId="3CD6197F"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0.93</w:t>
            </w:r>
          </w:p>
        </w:tc>
      </w:tr>
      <w:tr w:rsidR="0016647F" w:rsidRPr="000D61D1" w14:paraId="2B904ED2" w14:textId="77777777" w:rsidTr="0016647F">
        <w:trPr>
          <w:jc w:val="center"/>
        </w:trPr>
        <w:tc>
          <w:tcPr>
            <w:tcW w:w="2268" w:type="dxa"/>
            <w:tcBorders>
              <w:top w:val="nil"/>
              <w:left w:val="nil"/>
              <w:bottom w:val="single" w:sz="6" w:space="0" w:color="auto"/>
              <w:right w:val="nil"/>
            </w:tcBorders>
          </w:tcPr>
          <w:p w14:paraId="2C00CEE6"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Max in Cor. Matrix</w:t>
            </w:r>
          </w:p>
        </w:tc>
        <w:tc>
          <w:tcPr>
            <w:tcW w:w="865" w:type="dxa"/>
            <w:tcBorders>
              <w:top w:val="nil"/>
              <w:left w:val="nil"/>
              <w:bottom w:val="single" w:sz="6" w:space="0" w:color="auto"/>
              <w:right w:val="nil"/>
            </w:tcBorders>
          </w:tcPr>
          <w:p w14:paraId="360E2658"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
        </w:tc>
        <w:tc>
          <w:tcPr>
            <w:tcW w:w="1137" w:type="dxa"/>
            <w:tcBorders>
              <w:top w:val="nil"/>
              <w:left w:val="nil"/>
              <w:bottom w:val="single" w:sz="6" w:space="0" w:color="auto"/>
              <w:right w:val="nil"/>
            </w:tcBorders>
          </w:tcPr>
          <w:p w14:paraId="57E1E12C"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0.52</w:t>
            </w:r>
          </w:p>
        </w:tc>
        <w:tc>
          <w:tcPr>
            <w:tcW w:w="1201" w:type="dxa"/>
            <w:tcBorders>
              <w:top w:val="nil"/>
              <w:left w:val="nil"/>
              <w:bottom w:val="single" w:sz="6" w:space="0" w:color="auto"/>
              <w:right w:val="single" w:sz="4" w:space="0" w:color="auto"/>
            </w:tcBorders>
          </w:tcPr>
          <w:p w14:paraId="0F8841B5"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0.23</w:t>
            </w:r>
          </w:p>
        </w:tc>
        <w:tc>
          <w:tcPr>
            <w:tcW w:w="1113" w:type="dxa"/>
            <w:tcBorders>
              <w:top w:val="nil"/>
              <w:left w:val="single" w:sz="4" w:space="0" w:color="auto"/>
              <w:bottom w:val="single" w:sz="6" w:space="0" w:color="auto"/>
              <w:right w:val="nil"/>
            </w:tcBorders>
          </w:tcPr>
          <w:p w14:paraId="794D85BB"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
        </w:tc>
        <w:tc>
          <w:tcPr>
            <w:tcW w:w="1370" w:type="dxa"/>
            <w:tcBorders>
              <w:top w:val="nil"/>
              <w:left w:val="nil"/>
              <w:bottom w:val="single" w:sz="6" w:space="0" w:color="auto"/>
              <w:right w:val="nil"/>
            </w:tcBorders>
          </w:tcPr>
          <w:p w14:paraId="2E1053FE"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0.41</w:t>
            </w:r>
          </w:p>
        </w:tc>
        <w:tc>
          <w:tcPr>
            <w:tcW w:w="1072" w:type="dxa"/>
            <w:tcBorders>
              <w:top w:val="nil"/>
              <w:left w:val="nil"/>
              <w:bottom w:val="single" w:sz="6" w:space="0" w:color="auto"/>
              <w:right w:val="nil"/>
            </w:tcBorders>
          </w:tcPr>
          <w:p w14:paraId="4372F0E5"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0.26</w:t>
            </w:r>
          </w:p>
        </w:tc>
      </w:tr>
    </w:tbl>
    <w:p w14:paraId="5A2C88A8" w14:textId="77777777" w:rsidR="0016647F" w:rsidRPr="000D61D1" w:rsidRDefault="0016647F" w:rsidP="0016647F">
      <w:pPr>
        <w:widowControl w:val="0"/>
        <w:autoSpaceDE w:val="0"/>
        <w:autoSpaceDN w:val="0"/>
        <w:adjustRightInd w:val="0"/>
        <w:spacing w:before="79" w:after="79"/>
        <w:jc w:val="center"/>
        <w:rPr>
          <w:rFonts w:cstheme="minorHAnsi"/>
          <w:sz w:val="22"/>
          <w:szCs w:val="22"/>
          <w:lang w:val="en-AU"/>
        </w:rPr>
      </w:pPr>
      <w:r w:rsidRPr="000D61D1">
        <w:rPr>
          <w:rFonts w:cstheme="minorHAnsi"/>
          <w:sz w:val="22"/>
          <w:szCs w:val="22"/>
          <w:lang w:val="en-AU"/>
        </w:rPr>
        <w:t xml:space="preserve">* </w:t>
      </w:r>
      <w:r w:rsidRPr="000D61D1">
        <w:rPr>
          <w:rFonts w:cstheme="minorHAnsi"/>
          <w:i/>
          <w:iCs/>
          <w:sz w:val="22"/>
          <w:szCs w:val="22"/>
          <w:lang w:val="en-AU"/>
        </w:rPr>
        <w:t>p</w:t>
      </w:r>
      <w:r w:rsidRPr="000D61D1">
        <w:rPr>
          <w:rFonts w:cstheme="minorHAnsi"/>
          <w:sz w:val="22"/>
          <w:szCs w:val="22"/>
          <w:lang w:val="en-AU"/>
        </w:rPr>
        <w:t xml:space="preserve">&lt;0.05; ** </w:t>
      </w:r>
      <w:r w:rsidRPr="000D61D1">
        <w:rPr>
          <w:rFonts w:cstheme="minorHAnsi"/>
          <w:i/>
          <w:iCs/>
          <w:sz w:val="22"/>
          <w:szCs w:val="22"/>
          <w:lang w:val="en-AU"/>
        </w:rPr>
        <w:t>p</w:t>
      </w:r>
      <w:r w:rsidRPr="000D61D1">
        <w:rPr>
          <w:rFonts w:cstheme="minorHAnsi"/>
          <w:sz w:val="22"/>
          <w:szCs w:val="22"/>
          <w:lang w:val="en-AU"/>
        </w:rPr>
        <w:t>&lt;0.01</w:t>
      </w:r>
    </w:p>
    <w:p w14:paraId="0F0AB513" w14:textId="77777777" w:rsidR="003C0366" w:rsidRPr="000D61D1" w:rsidRDefault="003C0366" w:rsidP="0016647F">
      <w:pPr>
        <w:rPr>
          <w:lang w:val="en-AU"/>
        </w:rPr>
      </w:pPr>
    </w:p>
    <w:p w14:paraId="451E31B5" w14:textId="25C17DA4" w:rsidR="0016647F" w:rsidRPr="000D61D1" w:rsidRDefault="0016647F" w:rsidP="0016647F">
      <w:pPr>
        <w:rPr>
          <w:lang w:val="en-AU"/>
        </w:rPr>
      </w:pPr>
      <w:r w:rsidRPr="000D61D1">
        <w:rPr>
          <w:lang w:val="en-AU"/>
        </w:rPr>
        <w:t xml:space="preserve">For the regressions in </w:t>
      </w:r>
      <w:r w:rsidR="00E64554" w:rsidRPr="000D61D1">
        <w:rPr>
          <w:lang w:val="en-AU"/>
        </w:rPr>
        <w:fldChar w:fldCharType="begin"/>
      </w:r>
      <w:r w:rsidR="00E64554" w:rsidRPr="000D61D1">
        <w:rPr>
          <w:lang w:val="en-AU"/>
        </w:rPr>
        <w:instrText xml:space="preserve"> REF _Ref33110672 \h </w:instrText>
      </w:r>
      <w:r w:rsidR="00E64554" w:rsidRPr="000D61D1">
        <w:rPr>
          <w:lang w:val="en-AU"/>
        </w:rPr>
      </w:r>
      <w:r w:rsidR="00E64554" w:rsidRPr="000D61D1">
        <w:rPr>
          <w:lang w:val="en-AU"/>
        </w:rPr>
        <w:fldChar w:fldCharType="separate"/>
      </w:r>
      <w:r w:rsidR="00A763B6" w:rsidRPr="000D61D1">
        <w:rPr>
          <w:lang w:val="en-AU"/>
        </w:rPr>
        <w:t xml:space="preserve">Table </w:t>
      </w:r>
      <w:r w:rsidR="00A763B6">
        <w:rPr>
          <w:noProof/>
          <w:lang w:val="en-AU"/>
        </w:rPr>
        <w:t>17</w:t>
      </w:r>
      <w:r w:rsidR="00E64554" w:rsidRPr="000D61D1">
        <w:rPr>
          <w:lang w:val="en-AU"/>
        </w:rPr>
        <w:fldChar w:fldCharType="end"/>
      </w:r>
      <w:r w:rsidR="00E64554" w:rsidRPr="000D61D1">
        <w:rPr>
          <w:lang w:val="en-AU"/>
        </w:rPr>
        <w:t xml:space="preserve"> </w:t>
      </w:r>
      <w:r w:rsidRPr="000D61D1">
        <w:rPr>
          <w:lang w:val="en-AU"/>
        </w:rPr>
        <w:t xml:space="preserve">and </w:t>
      </w:r>
      <w:r w:rsidR="00E64554" w:rsidRPr="000D61D1">
        <w:rPr>
          <w:lang w:val="en-AU"/>
        </w:rPr>
        <w:fldChar w:fldCharType="begin"/>
      </w:r>
      <w:r w:rsidR="00E64554" w:rsidRPr="000D61D1">
        <w:rPr>
          <w:lang w:val="en-AU"/>
        </w:rPr>
        <w:instrText xml:space="preserve"> REF _Ref33110683 \h </w:instrText>
      </w:r>
      <w:r w:rsidR="00E64554" w:rsidRPr="000D61D1">
        <w:rPr>
          <w:lang w:val="en-AU"/>
        </w:rPr>
      </w:r>
      <w:r w:rsidR="00E64554" w:rsidRPr="000D61D1">
        <w:rPr>
          <w:lang w:val="en-AU"/>
        </w:rPr>
        <w:fldChar w:fldCharType="separate"/>
      </w:r>
      <w:r w:rsidR="00A763B6" w:rsidRPr="000D61D1">
        <w:rPr>
          <w:bCs/>
          <w:lang w:val="en-AU"/>
        </w:rPr>
        <w:t xml:space="preserve">Table </w:t>
      </w:r>
      <w:r w:rsidR="00A763B6">
        <w:rPr>
          <w:bCs/>
          <w:noProof/>
          <w:lang w:val="en-AU"/>
        </w:rPr>
        <w:t>18</w:t>
      </w:r>
      <w:r w:rsidR="00E64554" w:rsidRPr="000D61D1">
        <w:rPr>
          <w:lang w:val="en-AU"/>
        </w:rPr>
        <w:fldChar w:fldCharType="end"/>
      </w:r>
      <w:r w:rsidRPr="000D61D1">
        <w:rPr>
          <w:lang w:val="en-AU"/>
        </w:rPr>
        <w:t xml:space="preserve"> we have split the sample for each state and territory into quintiles according to the </w:t>
      </w:r>
      <w:r w:rsidR="002D582E" w:rsidRPr="000D61D1">
        <w:rPr>
          <w:lang w:val="en-AU"/>
        </w:rPr>
        <w:t xml:space="preserve">suburb’s </w:t>
      </w:r>
      <w:r w:rsidRPr="000D61D1">
        <w:rPr>
          <w:lang w:val="en-AU"/>
        </w:rPr>
        <w:t xml:space="preserve">rental prices at the start of the reform. We then split the sample according to those quintiles and run individual regression for each rent quintile to see how the effects of the reform differ across the rental market. </w:t>
      </w:r>
    </w:p>
    <w:p w14:paraId="3265B729" w14:textId="6ED46BE7" w:rsidR="0016647F" w:rsidRPr="000D61D1" w:rsidRDefault="003C0366" w:rsidP="0016647F">
      <w:pPr>
        <w:rPr>
          <w:lang w:val="en-AU"/>
        </w:rPr>
      </w:pPr>
      <w:r w:rsidRPr="000D61D1">
        <w:rPr>
          <w:lang w:val="en-AU"/>
        </w:rPr>
        <w:t>The results suggest</w:t>
      </w:r>
      <w:r w:rsidR="0016647F" w:rsidRPr="000D61D1">
        <w:rPr>
          <w:lang w:val="en-AU"/>
        </w:rPr>
        <w:t xml:space="preserve"> that the reform led to a reduction of </w:t>
      </w:r>
      <w:r w:rsidR="00362F9C" w:rsidRPr="000D61D1">
        <w:rPr>
          <w:lang w:val="en-AU"/>
        </w:rPr>
        <w:t>up</w:t>
      </w:r>
      <w:r w:rsidR="0016647F" w:rsidRPr="000D61D1">
        <w:rPr>
          <w:lang w:val="en-AU"/>
        </w:rPr>
        <w:t xml:space="preserve"> to </w:t>
      </w:r>
      <w:r w:rsidR="008D1414" w:rsidRPr="000D61D1">
        <w:rPr>
          <w:lang w:val="en-AU"/>
        </w:rPr>
        <w:t>7</w:t>
      </w:r>
      <w:r w:rsidR="0016647F" w:rsidRPr="000D61D1">
        <w:rPr>
          <w:lang w:val="en-AU"/>
        </w:rPr>
        <w:t xml:space="preserve">% </w:t>
      </w:r>
      <w:r w:rsidRPr="000D61D1">
        <w:rPr>
          <w:lang w:val="en-AU"/>
        </w:rPr>
        <w:t xml:space="preserve">in house rental prices for the first 4 rental quintiles. By contrast, </w:t>
      </w:r>
      <w:r w:rsidR="0016647F" w:rsidRPr="000D61D1">
        <w:rPr>
          <w:lang w:val="en-AU"/>
        </w:rPr>
        <w:t>the reform led to an increase in house rental prices at the upper end of the distribution</w:t>
      </w:r>
      <w:r w:rsidRPr="000D61D1">
        <w:rPr>
          <w:lang w:val="en-AU"/>
        </w:rPr>
        <w:t xml:space="preserve"> (the 5</w:t>
      </w:r>
      <w:r w:rsidRPr="000D61D1">
        <w:rPr>
          <w:vertAlign w:val="superscript"/>
          <w:lang w:val="en-AU"/>
        </w:rPr>
        <w:t>th</w:t>
      </w:r>
      <w:r w:rsidRPr="000D61D1">
        <w:rPr>
          <w:lang w:val="en-AU"/>
        </w:rPr>
        <w:t xml:space="preserve"> quintile) by close to 9%</w:t>
      </w:r>
      <w:r w:rsidR="0016647F" w:rsidRPr="000D61D1">
        <w:rPr>
          <w:lang w:val="en-AU"/>
        </w:rPr>
        <w:t xml:space="preserve">.    </w:t>
      </w:r>
    </w:p>
    <w:p w14:paraId="4F80F524" w14:textId="77777777" w:rsidR="00D87647" w:rsidRPr="000D61D1" w:rsidRDefault="00D87647" w:rsidP="0016647F">
      <w:pPr>
        <w:rPr>
          <w:lang w:val="en-AU"/>
        </w:rPr>
      </w:pPr>
    </w:p>
    <w:p w14:paraId="729D7A1B" w14:textId="295C2AA7" w:rsidR="00E64554" w:rsidRPr="000D61D1" w:rsidRDefault="00E64554" w:rsidP="007C11BD">
      <w:pPr>
        <w:pStyle w:val="TableCaption"/>
        <w:rPr>
          <w:rFonts w:ascii="Times New Roman" w:hAnsi="Times New Roman" w:cs="Times New Roman"/>
          <w:sz w:val="22"/>
          <w:szCs w:val="22"/>
          <w:lang w:val="en-AU"/>
        </w:rPr>
      </w:pPr>
      <w:bookmarkStart w:id="43" w:name="_Ref33110672"/>
      <w:bookmarkStart w:id="44" w:name="_Toc43911504"/>
      <w:r w:rsidRPr="000D61D1">
        <w:rPr>
          <w:lang w:val="en-AU"/>
        </w:rPr>
        <w:lastRenderedPageBreak/>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17</w:t>
      </w:r>
      <w:r w:rsidRPr="000D61D1">
        <w:rPr>
          <w:lang w:val="en-AU"/>
        </w:rPr>
        <w:fldChar w:fldCharType="end"/>
      </w:r>
      <w:bookmarkEnd w:id="43"/>
      <w:r w:rsidRPr="000D61D1">
        <w:rPr>
          <w:lang w:val="en-AU"/>
        </w:rPr>
        <w:t xml:space="preserve"> - Tax reform effect on house rental prices - quantile estimations in logs</w:t>
      </w:r>
      <w:bookmarkEnd w:id="44"/>
    </w:p>
    <w:tbl>
      <w:tblPr>
        <w:tblW w:w="0" w:type="auto"/>
        <w:jc w:val="center"/>
        <w:tblCellMar>
          <w:left w:w="144" w:type="dxa"/>
          <w:right w:w="144" w:type="dxa"/>
        </w:tblCellMar>
        <w:tblLook w:val="0000" w:firstRow="0" w:lastRow="0" w:firstColumn="0" w:lastColumn="0" w:noHBand="0" w:noVBand="0"/>
      </w:tblPr>
      <w:tblGrid>
        <w:gridCol w:w="2087"/>
        <w:gridCol w:w="1387"/>
        <w:gridCol w:w="1388"/>
        <w:gridCol w:w="1388"/>
        <w:gridCol w:w="1388"/>
        <w:gridCol w:w="1388"/>
      </w:tblGrid>
      <w:tr w:rsidR="0016647F" w:rsidRPr="000D61D1" w14:paraId="54836D85" w14:textId="77777777" w:rsidTr="0016647F">
        <w:trPr>
          <w:jc w:val="center"/>
        </w:trPr>
        <w:tc>
          <w:tcPr>
            <w:tcW w:w="2234" w:type="dxa"/>
            <w:tcBorders>
              <w:top w:val="single" w:sz="6" w:space="0" w:color="auto"/>
              <w:left w:val="nil"/>
              <w:bottom w:val="nil"/>
              <w:right w:val="nil"/>
            </w:tcBorders>
          </w:tcPr>
          <w:p w14:paraId="721A7CBD" w14:textId="77777777" w:rsidR="0016647F" w:rsidRPr="000D61D1" w:rsidRDefault="0016647F" w:rsidP="0016647F">
            <w:pPr>
              <w:widowControl w:val="0"/>
              <w:autoSpaceDE w:val="0"/>
              <w:autoSpaceDN w:val="0"/>
              <w:adjustRightInd w:val="0"/>
              <w:spacing w:before="79" w:after="0"/>
              <w:rPr>
                <w:rFonts w:cstheme="minorHAnsi"/>
                <w:sz w:val="22"/>
                <w:szCs w:val="22"/>
                <w:lang w:val="en-AU"/>
              </w:rPr>
            </w:pPr>
            <w:proofErr w:type="gramStart"/>
            <w:r w:rsidRPr="000D61D1">
              <w:rPr>
                <w:rFonts w:cstheme="minorHAnsi"/>
                <w:sz w:val="22"/>
                <w:szCs w:val="22"/>
                <w:lang w:val="en-AU"/>
              </w:rPr>
              <w:t>Log(</w:t>
            </w:r>
            <w:proofErr w:type="gramEnd"/>
            <w:r w:rsidRPr="000D61D1">
              <w:rPr>
                <w:rFonts w:cstheme="minorHAnsi"/>
                <w:sz w:val="22"/>
                <w:szCs w:val="22"/>
                <w:lang w:val="en-AU"/>
              </w:rPr>
              <w:t>Median Rent)</w:t>
            </w:r>
          </w:p>
        </w:tc>
        <w:tc>
          <w:tcPr>
            <w:tcW w:w="1482" w:type="dxa"/>
            <w:tcBorders>
              <w:top w:val="single" w:sz="6" w:space="0" w:color="auto"/>
              <w:left w:val="nil"/>
              <w:bottom w:val="nil"/>
              <w:right w:val="nil"/>
            </w:tcBorders>
          </w:tcPr>
          <w:p w14:paraId="7D3052CC"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(1)</w:t>
            </w:r>
          </w:p>
        </w:tc>
        <w:tc>
          <w:tcPr>
            <w:tcW w:w="1483" w:type="dxa"/>
            <w:tcBorders>
              <w:top w:val="single" w:sz="6" w:space="0" w:color="auto"/>
              <w:left w:val="nil"/>
              <w:bottom w:val="nil"/>
              <w:right w:val="nil"/>
            </w:tcBorders>
          </w:tcPr>
          <w:p w14:paraId="41E561DB"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(2)</w:t>
            </w:r>
          </w:p>
        </w:tc>
        <w:tc>
          <w:tcPr>
            <w:tcW w:w="1483" w:type="dxa"/>
            <w:tcBorders>
              <w:top w:val="single" w:sz="6" w:space="0" w:color="auto"/>
              <w:left w:val="nil"/>
              <w:bottom w:val="nil"/>
              <w:right w:val="nil"/>
            </w:tcBorders>
          </w:tcPr>
          <w:p w14:paraId="17E7F13E"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(3)</w:t>
            </w:r>
          </w:p>
        </w:tc>
        <w:tc>
          <w:tcPr>
            <w:tcW w:w="1483" w:type="dxa"/>
            <w:tcBorders>
              <w:top w:val="single" w:sz="6" w:space="0" w:color="auto"/>
              <w:left w:val="nil"/>
              <w:bottom w:val="nil"/>
              <w:right w:val="nil"/>
            </w:tcBorders>
          </w:tcPr>
          <w:p w14:paraId="381E9378"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(4)</w:t>
            </w:r>
          </w:p>
        </w:tc>
        <w:tc>
          <w:tcPr>
            <w:tcW w:w="1483" w:type="dxa"/>
            <w:tcBorders>
              <w:top w:val="single" w:sz="6" w:space="0" w:color="auto"/>
              <w:left w:val="nil"/>
              <w:bottom w:val="nil"/>
              <w:right w:val="nil"/>
            </w:tcBorders>
          </w:tcPr>
          <w:p w14:paraId="080C2210"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(5)</w:t>
            </w:r>
          </w:p>
        </w:tc>
      </w:tr>
      <w:tr w:rsidR="0016647F" w:rsidRPr="000D61D1" w14:paraId="44958C65" w14:textId="77777777" w:rsidTr="0016647F">
        <w:trPr>
          <w:jc w:val="center"/>
        </w:trPr>
        <w:tc>
          <w:tcPr>
            <w:tcW w:w="2234" w:type="dxa"/>
            <w:tcBorders>
              <w:top w:val="nil"/>
              <w:left w:val="nil"/>
              <w:bottom w:val="nil"/>
              <w:right w:val="nil"/>
            </w:tcBorders>
          </w:tcPr>
          <w:p w14:paraId="510D5983" w14:textId="77777777" w:rsidR="0016647F" w:rsidRPr="000D61D1" w:rsidRDefault="0016647F" w:rsidP="0016647F">
            <w:pPr>
              <w:widowControl w:val="0"/>
              <w:autoSpaceDE w:val="0"/>
              <w:autoSpaceDN w:val="0"/>
              <w:adjustRightInd w:val="0"/>
              <w:spacing w:after="79"/>
              <w:rPr>
                <w:rFonts w:cstheme="minorHAnsi"/>
                <w:sz w:val="22"/>
                <w:szCs w:val="22"/>
                <w:lang w:val="en-AU"/>
              </w:rPr>
            </w:pPr>
          </w:p>
        </w:tc>
        <w:tc>
          <w:tcPr>
            <w:tcW w:w="1482" w:type="dxa"/>
            <w:tcBorders>
              <w:top w:val="nil"/>
              <w:left w:val="nil"/>
              <w:bottom w:val="nil"/>
              <w:right w:val="nil"/>
            </w:tcBorders>
          </w:tcPr>
          <w:p w14:paraId="082FDA66"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 xml:space="preserve"> 1st Quintile</w:t>
            </w:r>
          </w:p>
        </w:tc>
        <w:tc>
          <w:tcPr>
            <w:tcW w:w="1483" w:type="dxa"/>
            <w:tcBorders>
              <w:top w:val="nil"/>
              <w:left w:val="nil"/>
              <w:bottom w:val="nil"/>
              <w:right w:val="nil"/>
            </w:tcBorders>
          </w:tcPr>
          <w:p w14:paraId="2EDA2C6F"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 xml:space="preserve"> 2nd Quintile</w:t>
            </w:r>
          </w:p>
        </w:tc>
        <w:tc>
          <w:tcPr>
            <w:tcW w:w="1483" w:type="dxa"/>
            <w:tcBorders>
              <w:top w:val="nil"/>
              <w:left w:val="nil"/>
              <w:bottom w:val="nil"/>
              <w:right w:val="nil"/>
            </w:tcBorders>
          </w:tcPr>
          <w:p w14:paraId="02E76CB4"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 xml:space="preserve"> 3rd Quintile</w:t>
            </w:r>
          </w:p>
        </w:tc>
        <w:tc>
          <w:tcPr>
            <w:tcW w:w="1483" w:type="dxa"/>
            <w:tcBorders>
              <w:top w:val="nil"/>
              <w:left w:val="nil"/>
              <w:bottom w:val="nil"/>
              <w:right w:val="nil"/>
            </w:tcBorders>
          </w:tcPr>
          <w:p w14:paraId="0341E8B8"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 xml:space="preserve"> 4th Quintile</w:t>
            </w:r>
          </w:p>
        </w:tc>
        <w:tc>
          <w:tcPr>
            <w:tcW w:w="1483" w:type="dxa"/>
            <w:tcBorders>
              <w:top w:val="nil"/>
              <w:left w:val="nil"/>
              <w:bottom w:val="nil"/>
              <w:right w:val="nil"/>
            </w:tcBorders>
          </w:tcPr>
          <w:p w14:paraId="12899E96"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 xml:space="preserve"> 5th Quintile</w:t>
            </w:r>
          </w:p>
        </w:tc>
      </w:tr>
      <w:tr w:rsidR="0016647F" w:rsidRPr="000D61D1" w14:paraId="40DCC9E2" w14:textId="77777777" w:rsidTr="0016647F">
        <w:trPr>
          <w:jc w:val="center"/>
        </w:trPr>
        <w:tc>
          <w:tcPr>
            <w:tcW w:w="2234" w:type="dxa"/>
            <w:tcBorders>
              <w:top w:val="single" w:sz="6" w:space="0" w:color="auto"/>
              <w:left w:val="nil"/>
              <w:bottom w:val="nil"/>
              <w:right w:val="nil"/>
            </w:tcBorders>
          </w:tcPr>
          <w:p w14:paraId="3837E1D7"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Reform Dummy</w:t>
            </w:r>
          </w:p>
        </w:tc>
        <w:tc>
          <w:tcPr>
            <w:tcW w:w="1482" w:type="dxa"/>
            <w:tcBorders>
              <w:top w:val="single" w:sz="6" w:space="0" w:color="auto"/>
              <w:left w:val="nil"/>
              <w:bottom w:val="nil"/>
              <w:right w:val="nil"/>
            </w:tcBorders>
          </w:tcPr>
          <w:p w14:paraId="52DFD2FD"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-0.060</w:t>
            </w:r>
          </w:p>
        </w:tc>
        <w:tc>
          <w:tcPr>
            <w:tcW w:w="1483" w:type="dxa"/>
            <w:tcBorders>
              <w:top w:val="single" w:sz="6" w:space="0" w:color="auto"/>
              <w:left w:val="nil"/>
              <w:bottom w:val="nil"/>
              <w:right w:val="nil"/>
            </w:tcBorders>
          </w:tcPr>
          <w:p w14:paraId="6FAE249A"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-0.011</w:t>
            </w:r>
          </w:p>
        </w:tc>
        <w:tc>
          <w:tcPr>
            <w:tcW w:w="1483" w:type="dxa"/>
            <w:tcBorders>
              <w:top w:val="single" w:sz="6" w:space="0" w:color="auto"/>
              <w:left w:val="nil"/>
              <w:bottom w:val="nil"/>
              <w:right w:val="nil"/>
            </w:tcBorders>
          </w:tcPr>
          <w:p w14:paraId="06BF08FB"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-0.039</w:t>
            </w:r>
          </w:p>
        </w:tc>
        <w:tc>
          <w:tcPr>
            <w:tcW w:w="1483" w:type="dxa"/>
            <w:tcBorders>
              <w:top w:val="single" w:sz="6" w:space="0" w:color="auto"/>
              <w:left w:val="nil"/>
              <w:bottom w:val="nil"/>
              <w:right w:val="nil"/>
            </w:tcBorders>
          </w:tcPr>
          <w:p w14:paraId="69C84159"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-0.065</w:t>
            </w:r>
          </w:p>
        </w:tc>
        <w:tc>
          <w:tcPr>
            <w:tcW w:w="1483" w:type="dxa"/>
            <w:tcBorders>
              <w:top w:val="single" w:sz="6" w:space="0" w:color="auto"/>
              <w:left w:val="nil"/>
              <w:bottom w:val="nil"/>
              <w:right w:val="nil"/>
            </w:tcBorders>
          </w:tcPr>
          <w:p w14:paraId="427FEE11"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0.087</w:t>
            </w:r>
          </w:p>
        </w:tc>
      </w:tr>
      <w:tr w:rsidR="0016647F" w:rsidRPr="000D61D1" w14:paraId="0BC2D5B7" w14:textId="77777777" w:rsidTr="0016647F">
        <w:trPr>
          <w:jc w:val="center"/>
        </w:trPr>
        <w:tc>
          <w:tcPr>
            <w:tcW w:w="2234" w:type="dxa"/>
            <w:tcBorders>
              <w:top w:val="nil"/>
              <w:left w:val="nil"/>
              <w:bottom w:val="nil"/>
              <w:right w:val="nil"/>
            </w:tcBorders>
          </w:tcPr>
          <w:p w14:paraId="7139B66B" w14:textId="3BDC075B" w:rsidR="0016647F" w:rsidRPr="000D61D1" w:rsidRDefault="00B5069E" w:rsidP="0016647F">
            <w:pPr>
              <w:widowControl w:val="0"/>
              <w:autoSpaceDE w:val="0"/>
              <w:autoSpaceDN w:val="0"/>
              <w:adjustRightInd w:val="0"/>
              <w:spacing w:after="0"/>
              <w:rPr>
                <w:rFonts w:cstheme="minorHAnsi"/>
                <w:sz w:val="22"/>
                <w:szCs w:val="22"/>
                <w:lang w:val="en-AU"/>
              </w:rPr>
            </w:pPr>
            <w:r>
              <w:rPr>
                <w:rFonts w:cs="Times New Roman"/>
                <w:sz w:val="22"/>
                <w:szCs w:val="22"/>
                <w:lang w:val="en-AU"/>
              </w:rPr>
              <w:t>Standard error</w:t>
            </w:r>
          </w:p>
        </w:tc>
        <w:tc>
          <w:tcPr>
            <w:tcW w:w="1482" w:type="dxa"/>
            <w:tcBorders>
              <w:top w:val="nil"/>
              <w:left w:val="nil"/>
              <w:bottom w:val="nil"/>
              <w:right w:val="nil"/>
            </w:tcBorders>
          </w:tcPr>
          <w:p w14:paraId="4E182679"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0.014]*</w:t>
            </w:r>
            <w:proofErr w:type="gramEnd"/>
            <w:r w:rsidRPr="000D61D1">
              <w:rPr>
                <w:rFonts w:cstheme="minorHAnsi"/>
                <w:sz w:val="22"/>
                <w:szCs w:val="22"/>
                <w:lang w:val="en-AU"/>
              </w:rPr>
              <w:t>*</w:t>
            </w:r>
          </w:p>
        </w:tc>
        <w:tc>
          <w:tcPr>
            <w:tcW w:w="1483" w:type="dxa"/>
            <w:tcBorders>
              <w:top w:val="nil"/>
              <w:left w:val="nil"/>
              <w:bottom w:val="nil"/>
              <w:right w:val="nil"/>
            </w:tcBorders>
          </w:tcPr>
          <w:p w14:paraId="0F88D6B0"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[0.013]</w:t>
            </w:r>
          </w:p>
        </w:tc>
        <w:tc>
          <w:tcPr>
            <w:tcW w:w="1483" w:type="dxa"/>
            <w:tcBorders>
              <w:top w:val="nil"/>
              <w:left w:val="nil"/>
              <w:bottom w:val="nil"/>
              <w:right w:val="nil"/>
            </w:tcBorders>
          </w:tcPr>
          <w:p w14:paraId="0FA0D28A"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0.010]*</w:t>
            </w:r>
            <w:proofErr w:type="gramEnd"/>
            <w:r w:rsidRPr="000D61D1">
              <w:rPr>
                <w:rFonts w:cstheme="minorHAnsi"/>
                <w:sz w:val="22"/>
                <w:szCs w:val="22"/>
                <w:lang w:val="en-AU"/>
              </w:rPr>
              <w:t>*</w:t>
            </w:r>
          </w:p>
        </w:tc>
        <w:tc>
          <w:tcPr>
            <w:tcW w:w="1483" w:type="dxa"/>
            <w:tcBorders>
              <w:top w:val="nil"/>
              <w:left w:val="nil"/>
              <w:bottom w:val="nil"/>
              <w:right w:val="nil"/>
            </w:tcBorders>
          </w:tcPr>
          <w:p w14:paraId="27B9BF3E"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0.023]*</w:t>
            </w:r>
            <w:proofErr w:type="gramEnd"/>
            <w:r w:rsidRPr="000D61D1">
              <w:rPr>
                <w:rFonts w:cstheme="minorHAnsi"/>
                <w:sz w:val="22"/>
                <w:szCs w:val="22"/>
                <w:lang w:val="en-AU"/>
              </w:rPr>
              <w:t>*</w:t>
            </w:r>
          </w:p>
        </w:tc>
        <w:tc>
          <w:tcPr>
            <w:tcW w:w="1483" w:type="dxa"/>
            <w:tcBorders>
              <w:top w:val="nil"/>
              <w:left w:val="nil"/>
              <w:bottom w:val="nil"/>
              <w:right w:val="nil"/>
            </w:tcBorders>
          </w:tcPr>
          <w:p w14:paraId="1BEA6F76"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0.021]*</w:t>
            </w:r>
            <w:proofErr w:type="gramEnd"/>
            <w:r w:rsidRPr="000D61D1">
              <w:rPr>
                <w:rFonts w:cstheme="minorHAnsi"/>
                <w:sz w:val="22"/>
                <w:szCs w:val="22"/>
                <w:lang w:val="en-AU"/>
              </w:rPr>
              <w:t>*</w:t>
            </w:r>
          </w:p>
        </w:tc>
      </w:tr>
      <w:tr w:rsidR="0016647F" w:rsidRPr="000D61D1" w14:paraId="55530467" w14:textId="77777777" w:rsidTr="0016647F">
        <w:trPr>
          <w:jc w:val="center"/>
        </w:trPr>
        <w:tc>
          <w:tcPr>
            <w:tcW w:w="2234" w:type="dxa"/>
            <w:tcBorders>
              <w:top w:val="nil"/>
              <w:left w:val="nil"/>
              <w:bottom w:val="nil"/>
              <w:right w:val="nil"/>
            </w:tcBorders>
          </w:tcPr>
          <w:p w14:paraId="4C8D8AC5" w14:textId="77777777" w:rsidR="0016647F" w:rsidRPr="000D61D1" w:rsidRDefault="0016647F" w:rsidP="0016647F">
            <w:pPr>
              <w:widowControl w:val="0"/>
              <w:autoSpaceDE w:val="0"/>
              <w:autoSpaceDN w:val="0"/>
              <w:adjustRightInd w:val="0"/>
              <w:spacing w:after="0"/>
              <w:rPr>
                <w:rFonts w:cstheme="minorHAnsi"/>
                <w:sz w:val="22"/>
                <w:szCs w:val="22"/>
                <w:lang w:val="en-AU"/>
              </w:rPr>
            </w:pPr>
            <w:proofErr w:type="gramStart"/>
            <w:r w:rsidRPr="000D61D1">
              <w:rPr>
                <w:rFonts w:cstheme="minorHAnsi"/>
                <w:sz w:val="22"/>
                <w:szCs w:val="22"/>
                <w:lang w:val="en-AU"/>
              </w:rPr>
              <w:t>Log(</w:t>
            </w:r>
            <w:proofErr w:type="gramEnd"/>
            <w:r w:rsidRPr="000D61D1">
              <w:rPr>
                <w:rFonts w:cstheme="minorHAnsi"/>
                <w:sz w:val="22"/>
                <w:szCs w:val="22"/>
                <w:lang w:val="en-AU"/>
              </w:rPr>
              <w:t>Income)</w:t>
            </w:r>
          </w:p>
        </w:tc>
        <w:tc>
          <w:tcPr>
            <w:tcW w:w="1482" w:type="dxa"/>
            <w:tcBorders>
              <w:top w:val="nil"/>
              <w:left w:val="nil"/>
              <w:bottom w:val="nil"/>
              <w:right w:val="nil"/>
            </w:tcBorders>
          </w:tcPr>
          <w:p w14:paraId="6D1197BB"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0.680</w:t>
            </w:r>
          </w:p>
        </w:tc>
        <w:tc>
          <w:tcPr>
            <w:tcW w:w="1483" w:type="dxa"/>
            <w:tcBorders>
              <w:top w:val="nil"/>
              <w:left w:val="nil"/>
              <w:bottom w:val="nil"/>
              <w:right w:val="nil"/>
            </w:tcBorders>
          </w:tcPr>
          <w:p w14:paraId="56F6DDEA"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1.202</w:t>
            </w:r>
          </w:p>
        </w:tc>
        <w:tc>
          <w:tcPr>
            <w:tcW w:w="1483" w:type="dxa"/>
            <w:tcBorders>
              <w:top w:val="nil"/>
              <w:left w:val="nil"/>
              <w:bottom w:val="nil"/>
              <w:right w:val="nil"/>
            </w:tcBorders>
          </w:tcPr>
          <w:p w14:paraId="57AC32F2"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1.308</w:t>
            </w:r>
          </w:p>
        </w:tc>
        <w:tc>
          <w:tcPr>
            <w:tcW w:w="1483" w:type="dxa"/>
            <w:tcBorders>
              <w:top w:val="nil"/>
              <w:left w:val="nil"/>
              <w:bottom w:val="nil"/>
              <w:right w:val="nil"/>
            </w:tcBorders>
          </w:tcPr>
          <w:p w14:paraId="042B5F0F"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1.328</w:t>
            </w:r>
          </w:p>
        </w:tc>
        <w:tc>
          <w:tcPr>
            <w:tcW w:w="1483" w:type="dxa"/>
            <w:tcBorders>
              <w:top w:val="nil"/>
              <w:left w:val="nil"/>
              <w:bottom w:val="nil"/>
              <w:right w:val="nil"/>
            </w:tcBorders>
          </w:tcPr>
          <w:p w14:paraId="0EEA8091"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2.841</w:t>
            </w:r>
          </w:p>
        </w:tc>
      </w:tr>
      <w:tr w:rsidR="0016647F" w:rsidRPr="000D61D1" w14:paraId="69795CB5" w14:textId="77777777" w:rsidTr="0016647F">
        <w:trPr>
          <w:jc w:val="center"/>
        </w:trPr>
        <w:tc>
          <w:tcPr>
            <w:tcW w:w="2234" w:type="dxa"/>
            <w:tcBorders>
              <w:top w:val="nil"/>
              <w:left w:val="nil"/>
              <w:bottom w:val="nil"/>
              <w:right w:val="nil"/>
            </w:tcBorders>
          </w:tcPr>
          <w:p w14:paraId="6CDCD96D" w14:textId="0312FFBC" w:rsidR="0016647F" w:rsidRPr="000D61D1" w:rsidRDefault="00B5069E" w:rsidP="0016647F">
            <w:pPr>
              <w:widowControl w:val="0"/>
              <w:autoSpaceDE w:val="0"/>
              <w:autoSpaceDN w:val="0"/>
              <w:adjustRightInd w:val="0"/>
              <w:spacing w:after="0"/>
              <w:rPr>
                <w:rFonts w:cstheme="minorHAnsi"/>
                <w:sz w:val="22"/>
                <w:szCs w:val="22"/>
                <w:lang w:val="en-AU"/>
              </w:rPr>
            </w:pPr>
            <w:r>
              <w:rPr>
                <w:rFonts w:cs="Times New Roman"/>
                <w:sz w:val="22"/>
                <w:szCs w:val="22"/>
                <w:lang w:val="en-AU"/>
              </w:rPr>
              <w:t>Standard error</w:t>
            </w:r>
          </w:p>
        </w:tc>
        <w:tc>
          <w:tcPr>
            <w:tcW w:w="1482" w:type="dxa"/>
            <w:tcBorders>
              <w:top w:val="nil"/>
              <w:left w:val="nil"/>
              <w:bottom w:val="nil"/>
              <w:right w:val="nil"/>
            </w:tcBorders>
          </w:tcPr>
          <w:p w14:paraId="6F8E2E05"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0.085]*</w:t>
            </w:r>
            <w:proofErr w:type="gramEnd"/>
            <w:r w:rsidRPr="000D61D1">
              <w:rPr>
                <w:rFonts w:cstheme="minorHAnsi"/>
                <w:sz w:val="22"/>
                <w:szCs w:val="22"/>
                <w:lang w:val="en-AU"/>
              </w:rPr>
              <w:t>*</w:t>
            </w:r>
          </w:p>
        </w:tc>
        <w:tc>
          <w:tcPr>
            <w:tcW w:w="1483" w:type="dxa"/>
            <w:tcBorders>
              <w:top w:val="nil"/>
              <w:left w:val="nil"/>
              <w:bottom w:val="nil"/>
              <w:right w:val="nil"/>
            </w:tcBorders>
          </w:tcPr>
          <w:p w14:paraId="3C8866BC"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0.061]*</w:t>
            </w:r>
            <w:proofErr w:type="gramEnd"/>
            <w:r w:rsidRPr="000D61D1">
              <w:rPr>
                <w:rFonts w:cstheme="minorHAnsi"/>
                <w:sz w:val="22"/>
                <w:szCs w:val="22"/>
                <w:lang w:val="en-AU"/>
              </w:rPr>
              <w:t>*</w:t>
            </w:r>
          </w:p>
        </w:tc>
        <w:tc>
          <w:tcPr>
            <w:tcW w:w="1483" w:type="dxa"/>
            <w:tcBorders>
              <w:top w:val="nil"/>
              <w:left w:val="nil"/>
              <w:bottom w:val="nil"/>
              <w:right w:val="nil"/>
            </w:tcBorders>
          </w:tcPr>
          <w:p w14:paraId="57DA09F2"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0.064]*</w:t>
            </w:r>
            <w:proofErr w:type="gramEnd"/>
            <w:r w:rsidRPr="000D61D1">
              <w:rPr>
                <w:rFonts w:cstheme="minorHAnsi"/>
                <w:sz w:val="22"/>
                <w:szCs w:val="22"/>
                <w:lang w:val="en-AU"/>
              </w:rPr>
              <w:t>*</w:t>
            </w:r>
          </w:p>
        </w:tc>
        <w:tc>
          <w:tcPr>
            <w:tcW w:w="1483" w:type="dxa"/>
            <w:tcBorders>
              <w:top w:val="nil"/>
              <w:left w:val="nil"/>
              <w:bottom w:val="nil"/>
              <w:right w:val="nil"/>
            </w:tcBorders>
          </w:tcPr>
          <w:p w14:paraId="62BC65F9"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0.073]*</w:t>
            </w:r>
            <w:proofErr w:type="gramEnd"/>
            <w:r w:rsidRPr="000D61D1">
              <w:rPr>
                <w:rFonts w:cstheme="minorHAnsi"/>
                <w:sz w:val="22"/>
                <w:szCs w:val="22"/>
                <w:lang w:val="en-AU"/>
              </w:rPr>
              <w:t>*</w:t>
            </w:r>
          </w:p>
        </w:tc>
        <w:tc>
          <w:tcPr>
            <w:tcW w:w="1483" w:type="dxa"/>
            <w:tcBorders>
              <w:top w:val="nil"/>
              <w:left w:val="nil"/>
              <w:bottom w:val="nil"/>
              <w:right w:val="nil"/>
            </w:tcBorders>
          </w:tcPr>
          <w:p w14:paraId="70A0F239"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0.214]*</w:t>
            </w:r>
            <w:proofErr w:type="gramEnd"/>
            <w:r w:rsidRPr="000D61D1">
              <w:rPr>
                <w:rFonts w:cstheme="minorHAnsi"/>
                <w:sz w:val="22"/>
                <w:szCs w:val="22"/>
                <w:lang w:val="en-AU"/>
              </w:rPr>
              <w:t>*</w:t>
            </w:r>
          </w:p>
        </w:tc>
      </w:tr>
      <w:tr w:rsidR="0016647F" w:rsidRPr="000D61D1" w14:paraId="1D417C4D" w14:textId="77777777" w:rsidTr="0016647F">
        <w:trPr>
          <w:jc w:val="center"/>
        </w:trPr>
        <w:tc>
          <w:tcPr>
            <w:tcW w:w="2234" w:type="dxa"/>
            <w:tcBorders>
              <w:top w:val="nil"/>
              <w:left w:val="nil"/>
              <w:bottom w:val="nil"/>
              <w:right w:val="nil"/>
            </w:tcBorders>
          </w:tcPr>
          <w:p w14:paraId="6FE66A16" w14:textId="77777777" w:rsidR="0016647F" w:rsidRPr="000D61D1" w:rsidRDefault="0016647F" w:rsidP="0016647F">
            <w:pPr>
              <w:widowControl w:val="0"/>
              <w:autoSpaceDE w:val="0"/>
              <w:autoSpaceDN w:val="0"/>
              <w:adjustRightInd w:val="0"/>
              <w:spacing w:after="0"/>
              <w:rPr>
                <w:rFonts w:cstheme="minorHAnsi"/>
                <w:sz w:val="22"/>
                <w:szCs w:val="22"/>
                <w:lang w:val="en-AU"/>
              </w:rPr>
            </w:pPr>
            <w:proofErr w:type="gramStart"/>
            <w:r w:rsidRPr="000D61D1">
              <w:rPr>
                <w:rFonts w:cstheme="minorHAnsi"/>
                <w:sz w:val="22"/>
                <w:szCs w:val="22"/>
                <w:lang w:val="en-AU"/>
              </w:rPr>
              <w:t>Log(</w:t>
            </w:r>
            <w:proofErr w:type="gramEnd"/>
            <w:r w:rsidRPr="000D61D1">
              <w:rPr>
                <w:rFonts w:cstheme="minorHAnsi"/>
                <w:sz w:val="22"/>
                <w:szCs w:val="22"/>
                <w:lang w:val="en-AU"/>
              </w:rPr>
              <w:t>Population)</w:t>
            </w:r>
          </w:p>
        </w:tc>
        <w:tc>
          <w:tcPr>
            <w:tcW w:w="1482" w:type="dxa"/>
            <w:tcBorders>
              <w:top w:val="nil"/>
              <w:left w:val="nil"/>
              <w:bottom w:val="nil"/>
              <w:right w:val="nil"/>
            </w:tcBorders>
          </w:tcPr>
          <w:p w14:paraId="7580C221"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0.782</w:t>
            </w:r>
          </w:p>
        </w:tc>
        <w:tc>
          <w:tcPr>
            <w:tcW w:w="1483" w:type="dxa"/>
            <w:tcBorders>
              <w:top w:val="nil"/>
              <w:left w:val="nil"/>
              <w:bottom w:val="nil"/>
              <w:right w:val="nil"/>
            </w:tcBorders>
          </w:tcPr>
          <w:p w14:paraId="67A45ACE"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0.855</w:t>
            </w:r>
          </w:p>
        </w:tc>
        <w:tc>
          <w:tcPr>
            <w:tcW w:w="1483" w:type="dxa"/>
            <w:tcBorders>
              <w:top w:val="nil"/>
              <w:left w:val="nil"/>
              <w:bottom w:val="nil"/>
              <w:right w:val="nil"/>
            </w:tcBorders>
          </w:tcPr>
          <w:p w14:paraId="273C838E"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1.011</w:t>
            </w:r>
          </w:p>
        </w:tc>
        <w:tc>
          <w:tcPr>
            <w:tcW w:w="1483" w:type="dxa"/>
            <w:tcBorders>
              <w:top w:val="nil"/>
              <w:left w:val="nil"/>
              <w:bottom w:val="nil"/>
              <w:right w:val="nil"/>
            </w:tcBorders>
          </w:tcPr>
          <w:p w14:paraId="578F9595"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1.365</w:t>
            </w:r>
          </w:p>
        </w:tc>
        <w:tc>
          <w:tcPr>
            <w:tcW w:w="1483" w:type="dxa"/>
            <w:tcBorders>
              <w:top w:val="nil"/>
              <w:left w:val="nil"/>
              <w:bottom w:val="nil"/>
              <w:right w:val="nil"/>
            </w:tcBorders>
          </w:tcPr>
          <w:p w14:paraId="3A6A5B68"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1.022</w:t>
            </w:r>
          </w:p>
        </w:tc>
      </w:tr>
      <w:tr w:rsidR="0016647F" w:rsidRPr="000D61D1" w14:paraId="0FCB335B" w14:textId="77777777" w:rsidTr="0016647F">
        <w:trPr>
          <w:jc w:val="center"/>
        </w:trPr>
        <w:tc>
          <w:tcPr>
            <w:tcW w:w="2234" w:type="dxa"/>
            <w:tcBorders>
              <w:top w:val="nil"/>
              <w:left w:val="nil"/>
              <w:bottom w:val="nil"/>
              <w:right w:val="nil"/>
            </w:tcBorders>
          </w:tcPr>
          <w:p w14:paraId="744A4F71" w14:textId="0AE98254" w:rsidR="0016647F" w:rsidRPr="000D61D1" w:rsidRDefault="00B5069E" w:rsidP="0016647F">
            <w:pPr>
              <w:widowControl w:val="0"/>
              <w:autoSpaceDE w:val="0"/>
              <w:autoSpaceDN w:val="0"/>
              <w:adjustRightInd w:val="0"/>
              <w:spacing w:after="0"/>
              <w:rPr>
                <w:rFonts w:cstheme="minorHAnsi"/>
                <w:sz w:val="22"/>
                <w:szCs w:val="22"/>
                <w:lang w:val="en-AU"/>
              </w:rPr>
            </w:pPr>
            <w:r>
              <w:rPr>
                <w:rFonts w:cs="Times New Roman"/>
                <w:sz w:val="22"/>
                <w:szCs w:val="22"/>
                <w:lang w:val="en-AU"/>
              </w:rPr>
              <w:t>Standard error</w:t>
            </w:r>
          </w:p>
        </w:tc>
        <w:tc>
          <w:tcPr>
            <w:tcW w:w="1482" w:type="dxa"/>
            <w:tcBorders>
              <w:top w:val="nil"/>
              <w:left w:val="nil"/>
              <w:bottom w:val="nil"/>
              <w:right w:val="nil"/>
            </w:tcBorders>
          </w:tcPr>
          <w:p w14:paraId="61D6881A"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0.147]*</w:t>
            </w:r>
            <w:proofErr w:type="gramEnd"/>
            <w:r w:rsidRPr="000D61D1">
              <w:rPr>
                <w:rFonts w:cstheme="minorHAnsi"/>
                <w:sz w:val="22"/>
                <w:szCs w:val="22"/>
                <w:lang w:val="en-AU"/>
              </w:rPr>
              <w:t>*</w:t>
            </w:r>
          </w:p>
        </w:tc>
        <w:tc>
          <w:tcPr>
            <w:tcW w:w="1483" w:type="dxa"/>
            <w:tcBorders>
              <w:top w:val="nil"/>
              <w:left w:val="nil"/>
              <w:bottom w:val="nil"/>
              <w:right w:val="nil"/>
            </w:tcBorders>
          </w:tcPr>
          <w:p w14:paraId="7E303691"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0.115]*</w:t>
            </w:r>
            <w:proofErr w:type="gramEnd"/>
            <w:r w:rsidRPr="000D61D1">
              <w:rPr>
                <w:rFonts w:cstheme="minorHAnsi"/>
                <w:sz w:val="22"/>
                <w:szCs w:val="22"/>
                <w:lang w:val="en-AU"/>
              </w:rPr>
              <w:t>*</w:t>
            </w:r>
          </w:p>
        </w:tc>
        <w:tc>
          <w:tcPr>
            <w:tcW w:w="1483" w:type="dxa"/>
            <w:tcBorders>
              <w:top w:val="nil"/>
              <w:left w:val="nil"/>
              <w:bottom w:val="nil"/>
              <w:right w:val="nil"/>
            </w:tcBorders>
          </w:tcPr>
          <w:p w14:paraId="1AAA52D0"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0.118]*</w:t>
            </w:r>
            <w:proofErr w:type="gramEnd"/>
            <w:r w:rsidRPr="000D61D1">
              <w:rPr>
                <w:rFonts w:cstheme="minorHAnsi"/>
                <w:sz w:val="22"/>
                <w:szCs w:val="22"/>
                <w:lang w:val="en-AU"/>
              </w:rPr>
              <w:t>*</w:t>
            </w:r>
          </w:p>
        </w:tc>
        <w:tc>
          <w:tcPr>
            <w:tcW w:w="1483" w:type="dxa"/>
            <w:tcBorders>
              <w:top w:val="nil"/>
              <w:left w:val="nil"/>
              <w:bottom w:val="nil"/>
              <w:right w:val="nil"/>
            </w:tcBorders>
          </w:tcPr>
          <w:p w14:paraId="1337AC0A"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0.151]*</w:t>
            </w:r>
            <w:proofErr w:type="gramEnd"/>
            <w:r w:rsidRPr="000D61D1">
              <w:rPr>
                <w:rFonts w:cstheme="minorHAnsi"/>
                <w:sz w:val="22"/>
                <w:szCs w:val="22"/>
                <w:lang w:val="en-AU"/>
              </w:rPr>
              <w:t>*</w:t>
            </w:r>
          </w:p>
        </w:tc>
        <w:tc>
          <w:tcPr>
            <w:tcW w:w="1483" w:type="dxa"/>
            <w:tcBorders>
              <w:top w:val="nil"/>
              <w:left w:val="nil"/>
              <w:bottom w:val="nil"/>
              <w:right w:val="nil"/>
            </w:tcBorders>
          </w:tcPr>
          <w:p w14:paraId="59CFB121"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0.161]*</w:t>
            </w:r>
            <w:proofErr w:type="gramEnd"/>
            <w:r w:rsidRPr="000D61D1">
              <w:rPr>
                <w:rFonts w:cstheme="minorHAnsi"/>
                <w:sz w:val="22"/>
                <w:szCs w:val="22"/>
                <w:lang w:val="en-AU"/>
              </w:rPr>
              <w:t>*</w:t>
            </w:r>
          </w:p>
        </w:tc>
      </w:tr>
      <w:tr w:rsidR="0016647F" w:rsidRPr="000D61D1" w14:paraId="748BB098" w14:textId="77777777" w:rsidTr="0016647F">
        <w:trPr>
          <w:jc w:val="center"/>
        </w:trPr>
        <w:tc>
          <w:tcPr>
            <w:tcW w:w="2234" w:type="dxa"/>
            <w:tcBorders>
              <w:top w:val="nil"/>
              <w:left w:val="nil"/>
              <w:bottom w:val="nil"/>
              <w:right w:val="nil"/>
            </w:tcBorders>
          </w:tcPr>
          <w:p w14:paraId="017DE0E9"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Time &amp; Suburb FE</w:t>
            </w:r>
          </w:p>
        </w:tc>
        <w:tc>
          <w:tcPr>
            <w:tcW w:w="1482" w:type="dxa"/>
            <w:tcBorders>
              <w:top w:val="nil"/>
              <w:left w:val="nil"/>
              <w:bottom w:val="nil"/>
              <w:right w:val="nil"/>
            </w:tcBorders>
          </w:tcPr>
          <w:p w14:paraId="5529FC9F"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483" w:type="dxa"/>
            <w:tcBorders>
              <w:top w:val="nil"/>
              <w:left w:val="nil"/>
              <w:bottom w:val="nil"/>
              <w:right w:val="nil"/>
            </w:tcBorders>
          </w:tcPr>
          <w:p w14:paraId="46CD3F85"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483" w:type="dxa"/>
            <w:tcBorders>
              <w:top w:val="nil"/>
              <w:left w:val="nil"/>
              <w:bottom w:val="nil"/>
              <w:right w:val="nil"/>
            </w:tcBorders>
          </w:tcPr>
          <w:p w14:paraId="4B0ABBDD"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483" w:type="dxa"/>
            <w:tcBorders>
              <w:top w:val="nil"/>
              <w:left w:val="nil"/>
              <w:bottom w:val="nil"/>
              <w:right w:val="nil"/>
            </w:tcBorders>
          </w:tcPr>
          <w:p w14:paraId="75D5F25C"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483" w:type="dxa"/>
            <w:tcBorders>
              <w:top w:val="nil"/>
              <w:left w:val="nil"/>
              <w:bottom w:val="nil"/>
              <w:right w:val="nil"/>
            </w:tcBorders>
          </w:tcPr>
          <w:p w14:paraId="2BBFB4E6"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r>
      <w:tr w:rsidR="0016647F" w:rsidRPr="000D61D1" w14:paraId="32C1846D" w14:textId="77777777" w:rsidTr="0016647F">
        <w:trPr>
          <w:jc w:val="center"/>
        </w:trPr>
        <w:tc>
          <w:tcPr>
            <w:tcW w:w="2234" w:type="dxa"/>
            <w:tcBorders>
              <w:top w:val="nil"/>
              <w:left w:val="nil"/>
              <w:bottom w:val="nil"/>
              <w:right w:val="nil"/>
            </w:tcBorders>
          </w:tcPr>
          <w:p w14:paraId="2E02BDA4"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Observations</w:t>
            </w:r>
          </w:p>
        </w:tc>
        <w:tc>
          <w:tcPr>
            <w:tcW w:w="1482" w:type="dxa"/>
            <w:tcBorders>
              <w:top w:val="nil"/>
              <w:left w:val="nil"/>
              <w:bottom w:val="nil"/>
              <w:right w:val="nil"/>
            </w:tcBorders>
          </w:tcPr>
          <w:p w14:paraId="3A321153"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40,308</w:t>
            </w:r>
          </w:p>
        </w:tc>
        <w:tc>
          <w:tcPr>
            <w:tcW w:w="1483" w:type="dxa"/>
            <w:tcBorders>
              <w:top w:val="nil"/>
              <w:left w:val="nil"/>
              <w:bottom w:val="nil"/>
              <w:right w:val="nil"/>
            </w:tcBorders>
          </w:tcPr>
          <w:p w14:paraId="2DCF6157"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42,221</w:t>
            </w:r>
          </w:p>
        </w:tc>
        <w:tc>
          <w:tcPr>
            <w:tcW w:w="1483" w:type="dxa"/>
            <w:tcBorders>
              <w:top w:val="nil"/>
              <w:left w:val="nil"/>
              <w:bottom w:val="nil"/>
              <w:right w:val="nil"/>
            </w:tcBorders>
          </w:tcPr>
          <w:p w14:paraId="07D60553"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42,534</w:t>
            </w:r>
          </w:p>
        </w:tc>
        <w:tc>
          <w:tcPr>
            <w:tcW w:w="1483" w:type="dxa"/>
            <w:tcBorders>
              <w:top w:val="nil"/>
              <w:left w:val="nil"/>
              <w:bottom w:val="nil"/>
              <w:right w:val="nil"/>
            </w:tcBorders>
          </w:tcPr>
          <w:p w14:paraId="3896F5E7"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41,947</w:t>
            </w:r>
          </w:p>
        </w:tc>
        <w:tc>
          <w:tcPr>
            <w:tcW w:w="1483" w:type="dxa"/>
            <w:tcBorders>
              <w:top w:val="nil"/>
              <w:left w:val="nil"/>
              <w:bottom w:val="nil"/>
              <w:right w:val="nil"/>
            </w:tcBorders>
          </w:tcPr>
          <w:p w14:paraId="126473F7"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45,438</w:t>
            </w:r>
          </w:p>
        </w:tc>
      </w:tr>
      <w:tr w:rsidR="0016647F" w:rsidRPr="000D61D1" w14:paraId="2AA34393" w14:textId="77777777" w:rsidTr="0016647F">
        <w:trPr>
          <w:jc w:val="center"/>
        </w:trPr>
        <w:tc>
          <w:tcPr>
            <w:tcW w:w="2234" w:type="dxa"/>
            <w:tcBorders>
              <w:top w:val="nil"/>
              <w:left w:val="nil"/>
              <w:bottom w:val="nil"/>
              <w:right w:val="nil"/>
            </w:tcBorders>
          </w:tcPr>
          <w:p w14:paraId="45021E31"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Number of Suburbs</w:t>
            </w:r>
          </w:p>
        </w:tc>
        <w:tc>
          <w:tcPr>
            <w:tcW w:w="1482" w:type="dxa"/>
            <w:tcBorders>
              <w:top w:val="nil"/>
              <w:left w:val="nil"/>
              <w:bottom w:val="nil"/>
              <w:right w:val="nil"/>
            </w:tcBorders>
          </w:tcPr>
          <w:p w14:paraId="7D4D1A69"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438</w:t>
            </w:r>
          </w:p>
        </w:tc>
        <w:tc>
          <w:tcPr>
            <w:tcW w:w="1483" w:type="dxa"/>
            <w:tcBorders>
              <w:top w:val="nil"/>
              <w:left w:val="nil"/>
              <w:bottom w:val="nil"/>
              <w:right w:val="nil"/>
            </w:tcBorders>
          </w:tcPr>
          <w:p w14:paraId="11FB1B78"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434</w:t>
            </w:r>
          </w:p>
        </w:tc>
        <w:tc>
          <w:tcPr>
            <w:tcW w:w="1483" w:type="dxa"/>
            <w:tcBorders>
              <w:top w:val="nil"/>
              <w:left w:val="nil"/>
              <w:bottom w:val="nil"/>
              <w:right w:val="nil"/>
            </w:tcBorders>
          </w:tcPr>
          <w:p w14:paraId="69597EAB"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445</w:t>
            </w:r>
          </w:p>
        </w:tc>
        <w:tc>
          <w:tcPr>
            <w:tcW w:w="1483" w:type="dxa"/>
            <w:tcBorders>
              <w:top w:val="nil"/>
              <w:left w:val="nil"/>
              <w:bottom w:val="nil"/>
              <w:right w:val="nil"/>
            </w:tcBorders>
          </w:tcPr>
          <w:p w14:paraId="295D492E"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441</w:t>
            </w:r>
          </w:p>
        </w:tc>
        <w:tc>
          <w:tcPr>
            <w:tcW w:w="1483" w:type="dxa"/>
            <w:tcBorders>
              <w:top w:val="nil"/>
              <w:left w:val="nil"/>
              <w:bottom w:val="nil"/>
              <w:right w:val="nil"/>
            </w:tcBorders>
          </w:tcPr>
          <w:p w14:paraId="7ACD2221"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499</w:t>
            </w:r>
          </w:p>
        </w:tc>
      </w:tr>
      <w:tr w:rsidR="0016647F" w:rsidRPr="000D61D1" w14:paraId="774DDE6A" w14:textId="77777777" w:rsidTr="0016647F">
        <w:trPr>
          <w:jc w:val="center"/>
        </w:trPr>
        <w:tc>
          <w:tcPr>
            <w:tcW w:w="2234" w:type="dxa"/>
            <w:tcBorders>
              <w:top w:val="nil"/>
              <w:left w:val="nil"/>
              <w:bottom w:val="single" w:sz="6" w:space="0" w:color="auto"/>
              <w:right w:val="nil"/>
            </w:tcBorders>
          </w:tcPr>
          <w:p w14:paraId="54643458"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Adj. R-squared</w:t>
            </w:r>
          </w:p>
        </w:tc>
        <w:tc>
          <w:tcPr>
            <w:tcW w:w="1482" w:type="dxa"/>
            <w:tcBorders>
              <w:top w:val="nil"/>
              <w:left w:val="nil"/>
              <w:bottom w:val="single" w:sz="6" w:space="0" w:color="auto"/>
              <w:right w:val="nil"/>
            </w:tcBorders>
          </w:tcPr>
          <w:p w14:paraId="2338FAEC"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0.82</w:t>
            </w:r>
          </w:p>
        </w:tc>
        <w:tc>
          <w:tcPr>
            <w:tcW w:w="1483" w:type="dxa"/>
            <w:tcBorders>
              <w:top w:val="nil"/>
              <w:left w:val="nil"/>
              <w:bottom w:val="single" w:sz="6" w:space="0" w:color="auto"/>
              <w:right w:val="nil"/>
            </w:tcBorders>
          </w:tcPr>
          <w:p w14:paraId="5BFEF93D"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0.81</w:t>
            </w:r>
          </w:p>
        </w:tc>
        <w:tc>
          <w:tcPr>
            <w:tcW w:w="1483" w:type="dxa"/>
            <w:tcBorders>
              <w:top w:val="nil"/>
              <w:left w:val="nil"/>
              <w:bottom w:val="single" w:sz="6" w:space="0" w:color="auto"/>
              <w:right w:val="nil"/>
            </w:tcBorders>
          </w:tcPr>
          <w:p w14:paraId="5FAC7A44"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0.82</w:t>
            </w:r>
          </w:p>
        </w:tc>
        <w:tc>
          <w:tcPr>
            <w:tcW w:w="1483" w:type="dxa"/>
            <w:tcBorders>
              <w:top w:val="nil"/>
              <w:left w:val="nil"/>
              <w:bottom w:val="single" w:sz="6" w:space="0" w:color="auto"/>
              <w:right w:val="nil"/>
            </w:tcBorders>
          </w:tcPr>
          <w:p w14:paraId="76DB6C20"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0.87</w:t>
            </w:r>
          </w:p>
        </w:tc>
        <w:tc>
          <w:tcPr>
            <w:tcW w:w="1483" w:type="dxa"/>
            <w:tcBorders>
              <w:top w:val="nil"/>
              <w:left w:val="nil"/>
              <w:bottom w:val="single" w:sz="6" w:space="0" w:color="auto"/>
              <w:right w:val="nil"/>
            </w:tcBorders>
          </w:tcPr>
          <w:p w14:paraId="5ACFF744"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0.87</w:t>
            </w:r>
          </w:p>
        </w:tc>
      </w:tr>
    </w:tbl>
    <w:p w14:paraId="015A8C3C" w14:textId="77777777" w:rsidR="0016647F" w:rsidRPr="000D61D1" w:rsidRDefault="0016647F" w:rsidP="0016647F">
      <w:pPr>
        <w:widowControl w:val="0"/>
        <w:autoSpaceDE w:val="0"/>
        <w:autoSpaceDN w:val="0"/>
        <w:adjustRightInd w:val="0"/>
        <w:spacing w:before="79" w:after="79"/>
        <w:jc w:val="center"/>
        <w:rPr>
          <w:rFonts w:cstheme="minorHAnsi"/>
          <w:sz w:val="22"/>
          <w:szCs w:val="22"/>
          <w:lang w:val="en-AU"/>
        </w:rPr>
      </w:pPr>
      <w:r w:rsidRPr="000D61D1">
        <w:rPr>
          <w:rFonts w:cstheme="minorHAnsi"/>
          <w:sz w:val="22"/>
          <w:szCs w:val="22"/>
          <w:lang w:val="en-AU"/>
        </w:rPr>
        <w:t xml:space="preserve">* </w:t>
      </w:r>
      <w:r w:rsidRPr="000D61D1">
        <w:rPr>
          <w:rFonts w:cstheme="minorHAnsi"/>
          <w:i/>
          <w:iCs/>
          <w:sz w:val="22"/>
          <w:szCs w:val="22"/>
          <w:lang w:val="en-AU"/>
        </w:rPr>
        <w:t>p</w:t>
      </w:r>
      <w:r w:rsidRPr="000D61D1">
        <w:rPr>
          <w:rFonts w:cstheme="minorHAnsi"/>
          <w:sz w:val="22"/>
          <w:szCs w:val="22"/>
          <w:lang w:val="en-AU"/>
        </w:rPr>
        <w:t xml:space="preserve">&lt;0.05; ** </w:t>
      </w:r>
      <w:r w:rsidRPr="000D61D1">
        <w:rPr>
          <w:rFonts w:cstheme="minorHAnsi"/>
          <w:i/>
          <w:iCs/>
          <w:sz w:val="22"/>
          <w:szCs w:val="22"/>
          <w:lang w:val="en-AU"/>
        </w:rPr>
        <w:t>p</w:t>
      </w:r>
      <w:r w:rsidRPr="000D61D1">
        <w:rPr>
          <w:rFonts w:cstheme="minorHAnsi"/>
          <w:sz w:val="22"/>
          <w:szCs w:val="22"/>
          <w:lang w:val="en-AU"/>
        </w:rPr>
        <w:t>&lt;0.01</w:t>
      </w:r>
    </w:p>
    <w:p w14:paraId="7FE5EE9A" w14:textId="77777777" w:rsidR="003C0366" w:rsidRPr="000D61D1" w:rsidRDefault="003C0366" w:rsidP="0016647F">
      <w:pPr>
        <w:rPr>
          <w:lang w:val="en-AU"/>
        </w:rPr>
      </w:pPr>
    </w:p>
    <w:p w14:paraId="09957261" w14:textId="6B288D07" w:rsidR="0016647F" w:rsidRPr="000D61D1" w:rsidRDefault="003C0366" w:rsidP="0016647F">
      <w:pPr>
        <w:rPr>
          <w:lang w:val="en-AU"/>
        </w:rPr>
      </w:pPr>
      <w:r w:rsidRPr="000D61D1">
        <w:rPr>
          <w:lang w:val="en-AU"/>
        </w:rPr>
        <w:t>T</w:t>
      </w:r>
      <w:r w:rsidR="0016647F" w:rsidRPr="000D61D1">
        <w:rPr>
          <w:lang w:val="en-AU"/>
        </w:rPr>
        <w:t xml:space="preserve">he unit rental prices distribution in </w:t>
      </w:r>
      <w:r w:rsidR="00E64554" w:rsidRPr="000D61D1">
        <w:rPr>
          <w:lang w:val="en-AU"/>
        </w:rPr>
        <w:fldChar w:fldCharType="begin"/>
      </w:r>
      <w:r w:rsidR="00E64554" w:rsidRPr="000D61D1">
        <w:rPr>
          <w:lang w:val="en-AU"/>
        </w:rPr>
        <w:instrText xml:space="preserve"> REF _Ref33110683 \h </w:instrText>
      </w:r>
      <w:r w:rsidR="00E64554" w:rsidRPr="000D61D1">
        <w:rPr>
          <w:lang w:val="en-AU"/>
        </w:rPr>
      </w:r>
      <w:r w:rsidR="00E64554" w:rsidRPr="000D61D1">
        <w:rPr>
          <w:lang w:val="en-AU"/>
        </w:rPr>
        <w:fldChar w:fldCharType="separate"/>
      </w:r>
      <w:r w:rsidR="00A763B6" w:rsidRPr="000D61D1">
        <w:rPr>
          <w:bCs/>
          <w:lang w:val="en-AU"/>
        </w:rPr>
        <w:t xml:space="preserve">Table </w:t>
      </w:r>
      <w:r w:rsidR="00A763B6">
        <w:rPr>
          <w:bCs/>
          <w:noProof/>
          <w:lang w:val="en-AU"/>
        </w:rPr>
        <w:t>18</w:t>
      </w:r>
      <w:r w:rsidR="00E64554" w:rsidRPr="000D61D1">
        <w:rPr>
          <w:lang w:val="en-AU"/>
        </w:rPr>
        <w:fldChar w:fldCharType="end"/>
      </w:r>
      <w:r w:rsidR="00E64554" w:rsidRPr="000D61D1">
        <w:rPr>
          <w:lang w:val="en-AU"/>
        </w:rPr>
        <w:t xml:space="preserve"> </w:t>
      </w:r>
      <w:r w:rsidRPr="000D61D1">
        <w:rPr>
          <w:lang w:val="en-AU"/>
        </w:rPr>
        <w:t>show a</w:t>
      </w:r>
      <w:r w:rsidR="0016647F" w:rsidRPr="000D61D1">
        <w:rPr>
          <w:lang w:val="en-AU"/>
        </w:rPr>
        <w:t xml:space="preserve"> very similar picture. </w:t>
      </w:r>
      <w:r w:rsidRPr="000D61D1">
        <w:rPr>
          <w:lang w:val="en-AU"/>
        </w:rPr>
        <w:t>There is a l</w:t>
      </w:r>
      <w:r w:rsidR="0016647F" w:rsidRPr="000D61D1">
        <w:rPr>
          <w:lang w:val="en-AU"/>
        </w:rPr>
        <w:t xml:space="preserve">arge reduction in rental prices at the lower end of the distribution </w:t>
      </w:r>
      <w:r w:rsidRPr="000D61D1">
        <w:rPr>
          <w:lang w:val="en-AU"/>
        </w:rPr>
        <w:t>(13%), narrowing to about 5% in the 4</w:t>
      </w:r>
      <w:r w:rsidRPr="000D61D1">
        <w:rPr>
          <w:vertAlign w:val="superscript"/>
          <w:lang w:val="en-AU"/>
        </w:rPr>
        <w:t>th</w:t>
      </w:r>
      <w:r w:rsidRPr="000D61D1">
        <w:rPr>
          <w:lang w:val="en-AU"/>
        </w:rPr>
        <w:t xml:space="preserve"> quintile. However, there is</w:t>
      </w:r>
      <w:r w:rsidR="0016647F" w:rsidRPr="000D61D1">
        <w:rPr>
          <w:lang w:val="en-AU"/>
        </w:rPr>
        <w:t xml:space="preserve"> no significant effect </w:t>
      </w:r>
      <w:r w:rsidRPr="000D61D1">
        <w:rPr>
          <w:lang w:val="en-AU"/>
        </w:rPr>
        <w:t>of the reform on unit rental prices in the highest quintile.</w:t>
      </w:r>
      <w:r w:rsidR="0016647F" w:rsidRPr="000D61D1">
        <w:rPr>
          <w:lang w:val="en-AU"/>
        </w:rPr>
        <w:t xml:space="preserve"> </w:t>
      </w:r>
    </w:p>
    <w:p w14:paraId="38A2A3E9" w14:textId="77777777" w:rsidR="00D87647" w:rsidRPr="000D61D1" w:rsidRDefault="00D87647" w:rsidP="007C11BD">
      <w:pPr>
        <w:pStyle w:val="TableCaption"/>
        <w:rPr>
          <w:lang w:val="en-AU"/>
        </w:rPr>
      </w:pPr>
    </w:p>
    <w:p w14:paraId="60051556" w14:textId="04B2EEB3" w:rsidR="00E64554" w:rsidRPr="000D61D1" w:rsidRDefault="00E64554" w:rsidP="007C11BD">
      <w:pPr>
        <w:pStyle w:val="TableCaption"/>
        <w:rPr>
          <w:rFonts w:ascii="Times New Roman" w:hAnsi="Times New Roman"/>
          <w:bCs/>
          <w:sz w:val="22"/>
          <w:szCs w:val="22"/>
          <w:lang w:val="en-AU"/>
        </w:rPr>
      </w:pPr>
      <w:bookmarkStart w:id="45" w:name="_Ref33110683"/>
      <w:bookmarkStart w:id="46" w:name="_Toc43911505"/>
      <w:r w:rsidRPr="000D61D1">
        <w:rPr>
          <w:bCs/>
          <w:lang w:val="en-AU"/>
        </w:rPr>
        <w:t xml:space="preserve">Table </w:t>
      </w:r>
      <w:r w:rsidRPr="000D61D1">
        <w:rPr>
          <w:bCs/>
          <w:lang w:val="en-AU"/>
        </w:rPr>
        <w:fldChar w:fldCharType="begin"/>
      </w:r>
      <w:r w:rsidRPr="000D61D1">
        <w:rPr>
          <w:bCs/>
          <w:lang w:val="en-AU"/>
        </w:rPr>
        <w:instrText xml:space="preserve"> SEQ Table \* ARABIC </w:instrText>
      </w:r>
      <w:r w:rsidRPr="000D61D1">
        <w:rPr>
          <w:bCs/>
          <w:lang w:val="en-AU"/>
        </w:rPr>
        <w:fldChar w:fldCharType="separate"/>
      </w:r>
      <w:r w:rsidR="00A763B6">
        <w:rPr>
          <w:bCs/>
          <w:noProof/>
          <w:lang w:val="en-AU"/>
        </w:rPr>
        <w:t>18</w:t>
      </w:r>
      <w:r w:rsidRPr="000D61D1">
        <w:rPr>
          <w:bCs/>
          <w:lang w:val="en-AU"/>
        </w:rPr>
        <w:fldChar w:fldCharType="end"/>
      </w:r>
      <w:bookmarkEnd w:id="45"/>
      <w:r w:rsidRPr="000D61D1">
        <w:rPr>
          <w:bCs/>
          <w:lang w:val="en-AU"/>
        </w:rPr>
        <w:t>. Tax reform effect on unit rental prices - quintile estimations in logs</w:t>
      </w:r>
      <w:bookmarkEnd w:id="46"/>
    </w:p>
    <w:tbl>
      <w:tblPr>
        <w:tblW w:w="0" w:type="auto"/>
        <w:jc w:val="center"/>
        <w:tblCellMar>
          <w:left w:w="144" w:type="dxa"/>
          <w:right w:w="144" w:type="dxa"/>
        </w:tblCellMar>
        <w:tblLook w:val="0000" w:firstRow="0" w:lastRow="0" w:firstColumn="0" w:lastColumn="0" w:noHBand="0" w:noVBand="0"/>
      </w:tblPr>
      <w:tblGrid>
        <w:gridCol w:w="2087"/>
        <w:gridCol w:w="1387"/>
        <w:gridCol w:w="1388"/>
        <w:gridCol w:w="1388"/>
        <w:gridCol w:w="1388"/>
        <w:gridCol w:w="1388"/>
      </w:tblGrid>
      <w:tr w:rsidR="0016647F" w:rsidRPr="000D61D1" w14:paraId="0CF48179" w14:textId="77777777" w:rsidTr="0016647F">
        <w:trPr>
          <w:jc w:val="center"/>
        </w:trPr>
        <w:tc>
          <w:tcPr>
            <w:tcW w:w="2234" w:type="dxa"/>
            <w:tcBorders>
              <w:top w:val="single" w:sz="6" w:space="0" w:color="auto"/>
              <w:left w:val="nil"/>
              <w:bottom w:val="nil"/>
              <w:right w:val="nil"/>
            </w:tcBorders>
          </w:tcPr>
          <w:p w14:paraId="3386A305" w14:textId="77777777" w:rsidR="0016647F" w:rsidRPr="000D61D1" w:rsidRDefault="0016647F" w:rsidP="0016647F">
            <w:pPr>
              <w:widowControl w:val="0"/>
              <w:autoSpaceDE w:val="0"/>
              <w:autoSpaceDN w:val="0"/>
              <w:adjustRightInd w:val="0"/>
              <w:spacing w:before="79" w:after="0"/>
              <w:rPr>
                <w:rFonts w:cstheme="minorHAnsi"/>
                <w:sz w:val="22"/>
                <w:szCs w:val="22"/>
                <w:lang w:val="en-AU"/>
              </w:rPr>
            </w:pPr>
            <w:proofErr w:type="gramStart"/>
            <w:r w:rsidRPr="000D61D1">
              <w:rPr>
                <w:rFonts w:cstheme="minorHAnsi"/>
                <w:sz w:val="22"/>
                <w:szCs w:val="22"/>
                <w:lang w:val="en-AU"/>
              </w:rPr>
              <w:t>Log(</w:t>
            </w:r>
            <w:proofErr w:type="gramEnd"/>
            <w:r w:rsidRPr="000D61D1">
              <w:rPr>
                <w:rFonts w:cstheme="minorHAnsi"/>
                <w:sz w:val="22"/>
                <w:szCs w:val="22"/>
                <w:lang w:val="en-AU"/>
              </w:rPr>
              <w:t>Median Rent)</w:t>
            </w:r>
          </w:p>
        </w:tc>
        <w:tc>
          <w:tcPr>
            <w:tcW w:w="1482" w:type="dxa"/>
            <w:tcBorders>
              <w:top w:val="single" w:sz="6" w:space="0" w:color="auto"/>
              <w:left w:val="nil"/>
              <w:bottom w:val="nil"/>
              <w:right w:val="nil"/>
            </w:tcBorders>
          </w:tcPr>
          <w:p w14:paraId="4F28B648"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(1)</w:t>
            </w:r>
          </w:p>
        </w:tc>
        <w:tc>
          <w:tcPr>
            <w:tcW w:w="1483" w:type="dxa"/>
            <w:tcBorders>
              <w:top w:val="single" w:sz="6" w:space="0" w:color="auto"/>
              <w:left w:val="nil"/>
              <w:bottom w:val="nil"/>
              <w:right w:val="nil"/>
            </w:tcBorders>
          </w:tcPr>
          <w:p w14:paraId="67E5BC39"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(2)</w:t>
            </w:r>
          </w:p>
        </w:tc>
        <w:tc>
          <w:tcPr>
            <w:tcW w:w="1483" w:type="dxa"/>
            <w:tcBorders>
              <w:top w:val="single" w:sz="6" w:space="0" w:color="auto"/>
              <w:left w:val="nil"/>
              <w:bottom w:val="nil"/>
              <w:right w:val="nil"/>
            </w:tcBorders>
          </w:tcPr>
          <w:p w14:paraId="7372CF44"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(3)</w:t>
            </w:r>
          </w:p>
        </w:tc>
        <w:tc>
          <w:tcPr>
            <w:tcW w:w="1483" w:type="dxa"/>
            <w:tcBorders>
              <w:top w:val="single" w:sz="6" w:space="0" w:color="auto"/>
              <w:left w:val="nil"/>
              <w:bottom w:val="nil"/>
              <w:right w:val="nil"/>
            </w:tcBorders>
          </w:tcPr>
          <w:p w14:paraId="16864783"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(4)</w:t>
            </w:r>
          </w:p>
        </w:tc>
        <w:tc>
          <w:tcPr>
            <w:tcW w:w="1483" w:type="dxa"/>
            <w:tcBorders>
              <w:top w:val="single" w:sz="6" w:space="0" w:color="auto"/>
              <w:left w:val="nil"/>
              <w:bottom w:val="nil"/>
              <w:right w:val="nil"/>
            </w:tcBorders>
          </w:tcPr>
          <w:p w14:paraId="38721DF8" w14:textId="77777777" w:rsidR="0016647F" w:rsidRPr="000D61D1" w:rsidRDefault="0016647F" w:rsidP="0016647F">
            <w:pPr>
              <w:widowControl w:val="0"/>
              <w:autoSpaceDE w:val="0"/>
              <w:autoSpaceDN w:val="0"/>
              <w:adjustRightInd w:val="0"/>
              <w:spacing w:before="79" w:after="0"/>
              <w:jc w:val="center"/>
              <w:rPr>
                <w:rFonts w:cstheme="minorHAnsi"/>
                <w:sz w:val="22"/>
                <w:szCs w:val="22"/>
                <w:lang w:val="en-AU"/>
              </w:rPr>
            </w:pPr>
            <w:r w:rsidRPr="000D61D1">
              <w:rPr>
                <w:rFonts w:cstheme="minorHAnsi"/>
                <w:sz w:val="22"/>
                <w:szCs w:val="22"/>
                <w:lang w:val="en-AU"/>
              </w:rPr>
              <w:t>(5)</w:t>
            </w:r>
          </w:p>
        </w:tc>
      </w:tr>
      <w:tr w:rsidR="0016647F" w:rsidRPr="000D61D1" w14:paraId="46EB74FB" w14:textId="77777777" w:rsidTr="0016647F">
        <w:trPr>
          <w:jc w:val="center"/>
        </w:trPr>
        <w:tc>
          <w:tcPr>
            <w:tcW w:w="2234" w:type="dxa"/>
            <w:tcBorders>
              <w:top w:val="nil"/>
              <w:left w:val="nil"/>
              <w:bottom w:val="nil"/>
              <w:right w:val="nil"/>
            </w:tcBorders>
          </w:tcPr>
          <w:p w14:paraId="1B17B249" w14:textId="77777777" w:rsidR="0016647F" w:rsidRPr="000D61D1" w:rsidRDefault="0016647F" w:rsidP="0016647F">
            <w:pPr>
              <w:widowControl w:val="0"/>
              <w:autoSpaceDE w:val="0"/>
              <w:autoSpaceDN w:val="0"/>
              <w:adjustRightInd w:val="0"/>
              <w:spacing w:after="79"/>
              <w:rPr>
                <w:rFonts w:cstheme="minorHAnsi"/>
                <w:sz w:val="22"/>
                <w:szCs w:val="22"/>
                <w:lang w:val="en-AU"/>
              </w:rPr>
            </w:pPr>
          </w:p>
        </w:tc>
        <w:tc>
          <w:tcPr>
            <w:tcW w:w="1482" w:type="dxa"/>
            <w:tcBorders>
              <w:top w:val="nil"/>
              <w:left w:val="nil"/>
              <w:bottom w:val="nil"/>
              <w:right w:val="nil"/>
            </w:tcBorders>
          </w:tcPr>
          <w:p w14:paraId="771F5E40"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 xml:space="preserve"> 1st Quintile</w:t>
            </w:r>
          </w:p>
        </w:tc>
        <w:tc>
          <w:tcPr>
            <w:tcW w:w="1483" w:type="dxa"/>
            <w:tcBorders>
              <w:top w:val="nil"/>
              <w:left w:val="nil"/>
              <w:bottom w:val="nil"/>
              <w:right w:val="nil"/>
            </w:tcBorders>
          </w:tcPr>
          <w:p w14:paraId="096FC540"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 xml:space="preserve"> 2nd Quintile</w:t>
            </w:r>
          </w:p>
        </w:tc>
        <w:tc>
          <w:tcPr>
            <w:tcW w:w="1483" w:type="dxa"/>
            <w:tcBorders>
              <w:top w:val="nil"/>
              <w:left w:val="nil"/>
              <w:bottom w:val="nil"/>
              <w:right w:val="nil"/>
            </w:tcBorders>
          </w:tcPr>
          <w:p w14:paraId="1FEECF71"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 xml:space="preserve"> 3rd Quintile</w:t>
            </w:r>
          </w:p>
        </w:tc>
        <w:tc>
          <w:tcPr>
            <w:tcW w:w="1483" w:type="dxa"/>
            <w:tcBorders>
              <w:top w:val="nil"/>
              <w:left w:val="nil"/>
              <w:bottom w:val="nil"/>
              <w:right w:val="nil"/>
            </w:tcBorders>
          </w:tcPr>
          <w:p w14:paraId="2798D574"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 xml:space="preserve"> 4th Quintile</w:t>
            </w:r>
          </w:p>
        </w:tc>
        <w:tc>
          <w:tcPr>
            <w:tcW w:w="1483" w:type="dxa"/>
            <w:tcBorders>
              <w:top w:val="nil"/>
              <w:left w:val="nil"/>
              <w:bottom w:val="nil"/>
              <w:right w:val="nil"/>
            </w:tcBorders>
          </w:tcPr>
          <w:p w14:paraId="2D418DD8" w14:textId="77777777" w:rsidR="0016647F" w:rsidRPr="000D61D1" w:rsidRDefault="0016647F" w:rsidP="0016647F">
            <w:pPr>
              <w:widowControl w:val="0"/>
              <w:autoSpaceDE w:val="0"/>
              <w:autoSpaceDN w:val="0"/>
              <w:adjustRightInd w:val="0"/>
              <w:spacing w:after="79"/>
              <w:jc w:val="center"/>
              <w:rPr>
                <w:rFonts w:cstheme="minorHAnsi"/>
                <w:sz w:val="22"/>
                <w:szCs w:val="22"/>
                <w:lang w:val="en-AU"/>
              </w:rPr>
            </w:pPr>
            <w:r w:rsidRPr="000D61D1">
              <w:rPr>
                <w:rFonts w:cstheme="minorHAnsi"/>
                <w:sz w:val="22"/>
                <w:szCs w:val="22"/>
                <w:lang w:val="en-AU"/>
              </w:rPr>
              <w:t xml:space="preserve"> 5th Quintile</w:t>
            </w:r>
          </w:p>
        </w:tc>
      </w:tr>
      <w:tr w:rsidR="0016647F" w:rsidRPr="000D61D1" w14:paraId="7FB7F31D" w14:textId="77777777" w:rsidTr="0016647F">
        <w:trPr>
          <w:jc w:val="center"/>
        </w:trPr>
        <w:tc>
          <w:tcPr>
            <w:tcW w:w="2234" w:type="dxa"/>
            <w:tcBorders>
              <w:top w:val="single" w:sz="6" w:space="0" w:color="auto"/>
              <w:left w:val="nil"/>
              <w:bottom w:val="nil"/>
              <w:right w:val="nil"/>
            </w:tcBorders>
          </w:tcPr>
          <w:p w14:paraId="51F38F09"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Reform Dummy</w:t>
            </w:r>
          </w:p>
        </w:tc>
        <w:tc>
          <w:tcPr>
            <w:tcW w:w="1482" w:type="dxa"/>
            <w:tcBorders>
              <w:top w:val="single" w:sz="6" w:space="0" w:color="auto"/>
              <w:left w:val="nil"/>
              <w:bottom w:val="nil"/>
              <w:right w:val="nil"/>
            </w:tcBorders>
          </w:tcPr>
          <w:p w14:paraId="07C31B8C"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-0.130</w:t>
            </w:r>
          </w:p>
        </w:tc>
        <w:tc>
          <w:tcPr>
            <w:tcW w:w="1483" w:type="dxa"/>
            <w:tcBorders>
              <w:top w:val="single" w:sz="6" w:space="0" w:color="auto"/>
              <w:left w:val="nil"/>
              <w:bottom w:val="nil"/>
              <w:right w:val="nil"/>
            </w:tcBorders>
          </w:tcPr>
          <w:p w14:paraId="63048414"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-0.119</w:t>
            </w:r>
          </w:p>
        </w:tc>
        <w:tc>
          <w:tcPr>
            <w:tcW w:w="1483" w:type="dxa"/>
            <w:tcBorders>
              <w:top w:val="single" w:sz="6" w:space="0" w:color="auto"/>
              <w:left w:val="nil"/>
              <w:bottom w:val="nil"/>
              <w:right w:val="nil"/>
            </w:tcBorders>
          </w:tcPr>
          <w:p w14:paraId="3F4BD246"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-0.118</w:t>
            </w:r>
          </w:p>
        </w:tc>
        <w:tc>
          <w:tcPr>
            <w:tcW w:w="1483" w:type="dxa"/>
            <w:tcBorders>
              <w:top w:val="single" w:sz="6" w:space="0" w:color="auto"/>
              <w:left w:val="nil"/>
              <w:bottom w:val="nil"/>
              <w:right w:val="nil"/>
            </w:tcBorders>
          </w:tcPr>
          <w:p w14:paraId="5ACEAD8E"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-0.047</w:t>
            </w:r>
          </w:p>
        </w:tc>
        <w:tc>
          <w:tcPr>
            <w:tcW w:w="1483" w:type="dxa"/>
            <w:tcBorders>
              <w:top w:val="single" w:sz="6" w:space="0" w:color="auto"/>
              <w:left w:val="nil"/>
              <w:bottom w:val="nil"/>
              <w:right w:val="nil"/>
            </w:tcBorders>
          </w:tcPr>
          <w:p w14:paraId="45E51087"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0.026</w:t>
            </w:r>
          </w:p>
        </w:tc>
      </w:tr>
      <w:tr w:rsidR="0016647F" w:rsidRPr="000D61D1" w14:paraId="6C4A0955" w14:textId="77777777" w:rsidTr="0016647F">
        <w:trPr>
          <w:jc w:val="center"/>
        </w:trPr>
        <w:tc>
          <w:tcPr>
            <w:tcW w:w="2234" w:type="dxa"/>
            <w:tcBorders>
              <w:top w:val="nil"/>
              <w:left w:val="nil"/>
              <w:bottom w:val="nil"/>
              <w:right w:val="nil"/>
            </w:tcBorders>
          </w:tcPr>
          <w:p w14:paraId="4EF6AB33" w14:textId="3B397861" w:rsidR="0016647F" w:rsidRPr="000D61D1" w:rsidRDefault="00B5069E" w:rsidP="0016647F">
            <w:pPr>
              <w:widowControl w:val="0"/>
              <w:autoSpaceDE w:val="0"/>
              <w:autoSpaceDN w:val="0"/>
              <w:adjustRightInd w:val="0"/>
              <w:spacing w:after="0"/>
              <w:rPr>
                <w:rFonts w:cstheme="minorHAnsi"/>
                <w:sz w:val="22"/>
                <w:szCs w:val="22"/>
                <w:lang w:val="en-AU"/>
              </w:rPr>
            </w:pPr>
            <w:r>
              <w:rPr>
                <w:rFonts w:cs="Times New Roman"/>
                <w:sz w:val="22"/>
                <w:szCs w:val="22"/>
                <w:lang w:val="en-AU"/>
              </w:rPr>
              <w:t>Standard error</w:t>
            </w:r>
          </w:p>
        </w:tc>
        <w:tc>
          <w:tcPr>
            <w:tcW w:w="1482" w:type="dxa"/>
            <w:tcBorders>
              <w:top w:val="nil"/>
              <w:left w:val="nil"/>
              <w:bottom w:val="nil"/>
              <w:right w:val="nil"/>
            </w:tcBorders>
          </w:tcPr>
          <w:p w14:paraId="6812B38B"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0.037]*</w:t>
            </w:r>
            <w:proofErr w:type="gramEnd"/>
            <w:r w:rsidRPr="000D61D1">
              <w:rPr>
                <w:rFonts w:cstheme="minorHAnsi"/>
                <w:sz w:val="22"/>
                <w:szCs w:val="22"/>
                <w:lang w:val="en-AU"/>
              </w:rPr>
              <w:t>*</w:t>
            </w:r>
          </w:p>
        </w:tc>
        <w:tc>
          <w:tcPr>
            <w:tcW w:w="1483" w:type="dxa"/>
            <w:tcBorders>
              <w:top w:val="nil"/>
              <w:left w:val="nil"/>
              <w:bottom w:val="nil"/>
              <w:right w:val="nil"/>
            </w:tcBorders>
          </w:tcPr>
          <w:p w14:paraId="307ECA8B"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0.023]*</w:t>
            </w:r>
            <w:proofErr w:type="gramEnd"/>
            <w:r w:rsidRPr="000D61D1">
              <w:rPr>
                <w:rFonts w:cstheme="minorHAnsi"/>
                <w:sz w:val="22"/>
                <w:szCs w:val="22"/>
                <w:lang w:val="en-AU"/>
              </w:rPr>
              <w:t>*</w:t>
            </w:r>
          </w:p>
        </w:tc>
        <w:tc>
          <w:tcPr>
            <w:tcW w:w="1483" w:type="dxa"/>
            <w:tcBorders>
              <w:top w:val="nil"/>
              <w:left w:val="nil"/>
              <w:bottom w:val="nil"/>
              <w:right w:val="nil"/>
            </w:tcBorders>
          </w:tcPr>
          <w:p w14:paraId="0B2CF151"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0.017]*</w:t>
            </w:r>
            <w:proofErr w:type="gramEnd"/>
            <w:r w:rsidRPr="000D61D1">
              <w:rPr>
                <w:rFonts w:cstheme="minorHAnsi"/>
                <w:sz w:val="22"/>
                <w:szCs w:val="22"/>
                <w:lang w:val="en-AU"/>
              </w:rPr>
              <w:t>*</w:t>
            </w:r>
          </w:p>
        </w:tc>
        <w:tc>
          <w:tcPr>
            <w:tcW w:w="1483" w:type="dxa"/>
            <w:tcBorders>
              <w:top w:val="nil"/>
              <w:left w:val="nil"/>
              <w:bottom w:val="nil"/>
              <w:right w:val="nil"/>
            </w:tcBorders>
          </w:tcPr>
          <w:p w14:paraId="56327A74"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0.018]*</w:t>
            </w:r>
            <w:proofErr w:type="gramEnd"/>
            <w:r w:rsidRPr="000D61D1">
              <w:rPr>
                <w:rFonts w:cstheme="minorHAnsi"/>
                <w:sz w:val="22"/>
                <w:szCs w:val="22"/>
                <w:lang w:val="en-AU"/>
              </w:rPr>
              <w:t>*</w:t>
            </w:r>
          </w:p>
        </w:tc>
        <w:tc>
          <w:tcPr>
            <w:tcW w:w="1483" w:type="dxa"/>
            <w:tcBorders>
              <w:top w:val="nil"/>
              <w:left w:val="nil"/>
              <w:bottom w:val="nil"/>
              <w:right w:val="nil"/>
            </w:tcBorders>
          </w:tcPr>
          <w:p w14:paraId="69909FA9"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[0.017]</w:t>
            </w:r>
          </w:p>
        </w:tc>
      </w:tr>
      <w:tr w:rsidR="0016647F" w:rsidRPr="000D61D1" w14:paraId="4FADC9D8" w14:textId="77777777" w:rsidTr="0016647F">
        <w:trPr>
          <w:jc w:val="center"/>
        </w:trPr>
        <w:tc>
          <w:tcPr>
            <w:tcW w:w="2234" w:type="dxa"/>
            <w:tcBorders>
              <w:top w:val="nil"/>
              <w:left w:val="nil"/>
              <w:bottom w:val="nil"/>
              <w:right w:val="nil"/>
            </w:tcBorders>
          </w:tcPr>
          <w:p w14:paraId="6F54F424" w14:textId="77777777" w:rsidR="0016647F" w:rsidRPr="000D61D1" w:rsidRDefault="0016647F" w:rsidP="0016647F">
            <w:pPr>
              <w:widowControl w:val="0"/>
              <w:autoSpaceDE w:val="0"/>
              <w:autoSpaceDN w:val="0"/>
              <w:adjustRightInd w:val="0"/>
              <w:spacing w:after="0"/>
              <w:rPr>
                <w:rFonts w:cstheme="minorHAnsi"/>
                <w:sz w:val="22"/>
                <w:szCs w:val="22"/>
                <w:lang w:val="en-AU"/>
              </w:rPr>
            </w:pPr>
            <w:proofErr w:type="gramStart"/>
            <w:r w:rsidRPr="000D61D1">
              <w:rPr>
                <w:rFonts w:cstheme="minorHAnsi"/>
                <w:sz w:val="22"/>
                <w:szCs w:val="22"/>
                <w:lang w:val="en-AU"/>
              </w:rPr>
              <w:t>Log(</w:t>
            </w:r>
            <w:proofErr w:type="gramEnd"/>
            <w:r w:rsidRPr="000D61D1">
              <w:rPr>
                <w:rFonts w:cstheme="minorHAnsi"/>
                <w:sz w:val="22"/>
                <w:szCs w:val="22"/>
                <w:lang w:val="en-AU"/>
              </w:rPr>
              <w:t>Income)</w:t>
            </w:r>
          </w:p>
        </w:tc>
        <w:tc>
          <w:tcPr>
            <w:tcW w:w="1482" w:type="dxa"/>
            <w:tcBorders>
              <w:top w:val="nil"/>
              <w:left w:val="nil"/>
              <w:bottom w:val="nil"/>
              <w:right w:val="nil"/>
            </w:tcBorders>
          </w:tcPr>
          <w:p w14:paraId="2927096F"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1.048</w:t>
            </w:r>
          </w:p>
        </w:tc>
        <w:tc>
          <w:tcPr>
            <w:tcW w:w="1483" w:type="dxa"/>
            <w:tcBorders>
              <w:top w:val="nil"/>
              <w:left w:val="nil"/>
              <w:bottom w:val="nil"/>
              <w:right w:val="nil"/>
            </w:tcBorders>
          </w:tcPr>
          <w:p w14:paraId="59A1A0A5"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1.118</w:t>
            </w:r>
          </w:p>
        </w:tc>
        <w:tc>
          <w:tcPr>
            <w:tcW w:w="1483" w:type="dxa"/>
            <w:tcBorders>
              <w:top w:val="nil"/>
              <w:left w:val="nil"/>
              <w:bottom w:val="nil"/>
              <w:right w:val="nil"/>
            </w:tcBorders>
          </w:tcPr>
          <w:p w14:paraId="289CB20F"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1.423</w:t>
            </w:r>
          </w:p>
        </w:tc>
        <w:tc>
          <w:tcPr>
            <w:tcW w:w="1483" w:type="dxa"/>
            <w:tcBorders>
              <w:top w:val="nil"/>
              <w:left w:val="nil"/>
              <w:bottom w:val="nil"/>
              <w:right w:val="nil"/>
            </w:tcBorders>
          </w:tcPr>
          <w:p w14:paraId="1E67B44E"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1.405</w:t>
            </w:r>
          </w:p>
        </w:tc>
        <w:tc>
          <w:tcPr>
            <w:tcW w:w="1483" w:type="dxa"/>
            <w:tcBorders>
              <w:top w:val="nil"/>
              <w:left w:val="nil"/>
              <w:bottom w:val="nil"/>
              <w:right w:val="nil"/>
            </w:tcBorders>
          </w:tcPr>
          <w:p w14:paraId="0B7CD96C"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2.242</w:t>
            </w:r>
          </w:p>
        </w:tc>
      </w:tr>
      <w:tr w:rsidR="0016647F" w:rsidRPr="000D61D1" w14:paraId="3323DD29" w14:textId="77777777" w:rsidTr="0016647F">
        <w:trPr>
          <w:jc w:val="center"/>
        </w:trPr>
        <w:tc>
          <w:tcPr>
            <w:tcW w:w="2234" w:type="dxa"/>
            <w:tcBorders>
              <w:top w:val="nil"/>
              <w:left w:val="nil"/>
              <w:bottom w:val="nil"/>
              <w:right w:val="nil"/>
            </w:tcBorders>
          </w:tcPr>
          <w:p w14:paraId="5925337E" w14:textId="26CC03FC" w:rsidR="0016647F" w:rsidRPr="000D61D1" w:rsidRDefault="00B5069E" w:rsidP="0016647F">
            <w:pPr>
              <w:widowControl w:val="0"/>
              <w:autoSpaceDE w:val="0"/>
              <w:autoSpaceDN w:val="0"/>
              <w:adjustRightInd w:val="0"/>
              <w:spacing w:after="0"/>
              <w:rPr>
                <w:rFonts w:cstheme="minorHAnsi"/>
                <w:sz w:val="22"/>
                <w:szCs w:val="22"/>
                <w:lang w:val="en-AU"/>
              </w:rPr>
            </w:pPr>
            <w:r>
              <w:rPr>
                <w:rFonts w:cs="Times New Roman"/>
                <w:sz w:val="22"/>
                <w:szCs w:val="22"/>
                <w:lang w:val="en-AU"/>
              </w:rPr>
              <w:t>Standard error</w:t>
            </w:r>
          </w:p>
        </w:tc>
        <w:tc>
          <w:tcPr>
            <w:tcW w:w="1482" w:type="dxa"/>
            <w:tcBorders>
              <w:top w:val="nil"/>
              <w:left w:val="nil"/>
              <w:bottom w:val="nil"/>
              <w:right w:val="nil"/>
            </w:tcBorders>
          </w:tcPr>
          <w:p w14:paraId="03354251"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0.140]*</w:t>
            </w:r>
            <w:proofErr w:type="gramEnd"/>
            <w:r w:rsidRPr="000D61D1">
              <w:rPr>
                <w:rFonts w:cstheme="minorHAnsi"/>
                <w:sz w:val="22"/>
                <w:szCs w:val="22"/>
                <w:lang w:val="en-AU"/>
              </w:rPr>
              <w:t>*</w:t>
            </w:r>
          </w:p>
        </w:tc>
        <w:tc>
          <w:tcPr>
            <w:tcW w:w="1483" w:type="dxa"/>
            <w:tcBorders>
              <w:top w:val="nil"/>
              <w:left w:val="nil"/>
              <w:bottom w:val="nil"/>
              <w:right w:val="nil"/>
            </w:tcBorders>
          </w:tcPr>
          <w:p w14:paraId="2D3DD33A"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0.105]*</w:t>
            </w:r>
            <w:proofErr w:type="gramEnd"/>
            <w:r w:rsidRPr="000D61D1">
              <w:rPr>
                <w:rFonts w:cstheme="minorHAnsi"/>
                <w:sz w:val="22"/>
                <w:szCs w:val="22"/>
                <w:lang w:val="en-AU"/>
              </w:rPr>
              <w:t>*</w:t>
            </w:r>
          </w:p>
        </w:tc>
        <w:tc>
          <w:tcPr>
            <w:tcW w:w="1483" w:type="dxa"/>
            <w:tcBorders>
              <w:top w:val="nil"/>
              <w:left w:val="nil"/>
              <w:bottom w:val="nil"/>
              <w:right w:val="nil"/>
            </w:tcBorders>
          </w:tcPr>
          <w:p w14:paraId="37DD1B95"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0.128]*</w:t>
            </w:r>
            <w:proofErr w:type="gramEnd"/>
            <w:r w:rsidRPr="000D61D1">
              <w:rPr>
                <w:rFonts w:cstheme="minorHAnsi"/>
                <w:sz w:val="22"/>
                <w:szCs w:val="22"/>
                <w:lang w:val="en-AU"/>
              </w:rPr>
              <w:t>*</w:t>
            </w:r>
          </w:p>
        </w:tc>
        <w:tc>
          <w:tcPr>
            <w:tcW w:w="1483" w:type="dxa"/>
            <w:tcBorders>
              <w:top w:val="nil"/>
              <w:left w:val="nil"/>
              <w:bottom w:val="nil"/>
              <w:right w:val="nil"/>
            </w:tcBorders>
          </w:tcPr>
          <w:p w14:paraId="387806DC"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0.126]*</w:t>
            </w:r>
            <w:proofErr w:type="gramEnd"/>
            <w:r w:rsidRPr="000D61D1">
              <w:rPr>
                <w:rFonts w:cstheme="minorHAnsi"/>
                <w:sz w:val="22"/>
                <w:szCs w:val="22"/>
                <w:lang w:val="en-AU"/>
              </w:rPr>
              <w:t>*</w:t>
            </w:r>
          </w:p>
        </w:tc>
        <w:tc>
          <w:tcPr>
            <w:tcW w:w="1483" w:type="dxa"/>
            <w:tcBorders>
              <w:top w:val="nil"/>
              <w:left w:val="nil"/>
              <w:bottom w:val="nil"/>
              <w:right w:val="nil"/>
            </w:tcBorders>
          </w:tcPr>
          <w:p w14:paraId="6FABF6B1"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0.205]*</w:t>
            </w:r>
            <w:proofErr w:type="gramEnd"/>
            <w:r w:rsidRPr="000D61D1">
              <w:rPr>
                <w:rFonts w:cstheme="minorHAnsi"/>
                <w:sz w:val="22"/>
                <w:szCs w:val="22"/>
                <w:lang w:val="en-AU"/>
              </w:rPr>
              <w:t>*</w:t>
            </w:r>
          </w:p>
        </w:tc>
      </w:tr>
      <w:tr w:rsidR="0016647F" w:rsidRPr="000D61D1" w14:paraId="2AC4E0D2" w14:textId="77777777" w:rsidTr="0016647F">
        <w:trPr>
          <w:jc w:val="center"/>
        </w:trPr>
        <w:tc>
          <w:tcPr>
            <w:tcW w:w="2234" w:type="dxa"/>
            <w:tcBorders>
              <w:top w:val="nil"/>
              <w:left w:val="nil"/>
              <w:bottom w:val="nil"/>
              <w:right w:val="nil"/>
            </w:tcBorders>
          </w:tcPr>
          <w:p w14:paraId="01E8474A" w14:textId="77777777" w:rsidR="0016647F" w:rsidRPr="000D61D1" w:rsidRDefault="0016647F" w:rsidP="0016647F">
            <w:pPr>
              <w:widowControl w:val="0"/>
              <w:autoSpaceDE w:val="0"/>
              <w:autoSpaceDN w:val="0"/>
              <w:adjustRightInd w:val="0"/>
              <w:spacing w:after="0"/>
              <w:rPr>
                <w:rFonts w:cstheme="minorHAnsi"/>
                <w:sz w:val="22"/>
                <w:szCs w:val="22"/>
                <w:lang w:val="en-AU"/>
              </w:rPr>
            </w:pPr>
            <w:proofErr w:type="gramStart"/>
            <w:r w:rsidRPr="000D61D1">
              <w:rPr>
                <w:rFonts w:cstheme="minorHAnsi"/>
                <w:sz w:val="22"/>
                <w:szCs w:val="22"/>
                <w:lang w:val="en-AU"/>
              </w:rPr>
              <w:t>Log(</w:t>
            </w:r>
            <w:proofErr w:type="gramEnd"/>
            <w:r w:rsidRPr="000D61D1">
              <w:rPr>
                <w:rFonts w:cstheme="minorHAnsi"/>
                <w:sz w:val="22"/>
                <w:szCs w:val="22"/>
                <w:lang w:val="en-AU"/>
              </w:rPr>
              <w:t>Population)</w:t>
            </w:r>
          </w:p>
        </w:tc>
        <w:tc>
          <w:tcPr>
            <w:tcW w:w="1482" w:type="dxa"/>
            <w:tcBorders>
              <w:top w:val="nil"/>
              <w:left w:val="nil"/>
              <w:bottom w:val="nil"/>
              <w:right w:val="nil"/>
            </w:tcBorders>
          </w:tcPr>
          <w:p w14:paraId="470389BF"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1.289</w:t>
            </w:r>
          </w:p>
        </w:tc>
        <w:tc>
          <w:tcPr>
            <w:tcW w:w="1483" w:type="dxa"/>
            <w:tcBorders>
              <w:top w:val="nil"/>
              <w:left w:val="nil"/>
              <w:bottom w:val="nil"/>
              <w:right w:val="nil"/>
            </w:tcBorders>
          </w:tcPr>
          <w:p w14:paraId="6DC83024"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1.222</w:t>
            </w:r>
          </w:p>
        </w:tc>
        <w:tc>
          <w:tcPr>
            <w:tcW w:w="1483" w:type="dxa"/>
            <w:tcBorders>
              <w:top w:val="nil"/>
              <w:left w:val="nil"/>
              <w:bottom w:val="nil"/>
              <w:right w:val="nil"/>
            </w:tcBorders>
          </w:tcPr>
          <w:p w14:paraId="33EBB80F"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0.741</w:t>
            </w:r>
          </w:p>
        </w:tc>
        <w:tc>
          <w:tcPr>
            <w:tcW w:w="1483" w:type="dxa"/>
            <w:tcBorders>
              <w:top w:val="nil"/>
              <w:left w:val="nil"/>
              <w:bottom w:val="nil"/>
              <w:right w:val="nil"/>
            </w:tcBorders>
          </w:tcPr>
          <w:p w14:paraId="7500EF56"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0.766</w:t>
            </w:r>
          </w:p>
        </w:tc>
        <w:tc>
          <w:tcPr>
            <w:tcW w:w="1483" w:type="dxa"/>
            <w:tcBorders>
              <w:top w:val="nil"/>
              <w:left w:val="nil"/>
              <w:bottom w:val="nil"/>
              <w:right w:val="nil"/>
            </w:tcBorders>
          </w:tcPr>
          <w:p w14:paraId="3FEAB8EB"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1.117</w:t>
            </w:r>
          </w:p>
        </w:tc>
      </w:tr>
      <w:tr w:rsidR="0016647F" w:rsidRPr="000D61D1" w14:paraId="0A335174" w14:textId="77777777" w:rsidTr="0016647F">
        <w:trPr>
          <w:jc w:val="center"/>
        </w:trPr>
        <w:tc>
          <w:tcPr>
            <w:tcW w:w="2234" w:type="dxa"/>
            <w:tcBorders>
              <w:top w:val="nil"/>
              <w:left w:val="nil"/>
              <w:bottom w:val="nil"/>
              <w:right w:val="nil"/>
            </w:tcBorders>
          </w:tcPr>
          <w:p w14:paraId="5DF19CC6" w14:textId="7BC1B488" w:rsidR="0016647F" w:rsidRPr="000D61D1" w:rsidRDefault="00B5069E" w:rsidP="0016647F">
            <w:pPr>
              <w:widowControl w:val="0"/>
              <w:autoSpaceDE w:val="0"/>
              <w:autoSpaceDN w:val="0"/>
              <w:adjustRightInd w:val="0"/>
              <w:spacing w:after="0"/>
              <w:rPr>
                <w:rFonts w:cstheme="minorHAnsi"/>
                <w:sz w:val="22"/>
                <w:szCs w:val="22"/>
                <w:lang w:val="en-AU"/>
              </w:rPr>
            </w:pPr>
            <w:r>
              <w:rPr>
                <w:rFonts w:cs="Times New Roman"/>
                <w:sz w:val="22"/>
                <w:szCs w:val="22"/>
                <w:lang w:val="en-AU"/>
              </w:rPr>
              <w:t>Standard error</w:t>
            </w:r>
          </w:p>
        </w:tc>
        <w:tc>
          <w:tcPr>
            <w:tcW w:w="1482" w:type="dxa"/>
            <w:tcBorders>
              <w:top w:val="nil"/>
              <w:left w:val="nil"/>
              <w:bottom w:val="nil"/>
              <w:right w:val="nil"/>
            </w:tcBorders>
          </w:tcPr>
          <w:p w14:paraId="19183285"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0.237]*</w:t>
            </w:r>
            <w:proofErr w:type="gramEnd"/>
            <w:r w:rsidRPr="000D61D1">
              <w:rPr>
                <w:rFonts w:cstheme="minorHAnsi"/>
                <w:sz w:val="22"/>
                <w:szCs w:val="22"/>
                <w:lang w:val="en-AU"/>
              </w:rPr>
              <w:t>*</w:t>
            </w:r>
          </w:p>
        </w:tc>
        <w:tc>
          <w:tcPr>
            <w:tcW w:w="1483" w:type="dxa"/>
            <w:tcBorders>
              <w:top w:val="nil"/>
              <w:left w:val="nil"/>
              <w:bottom w:val="nil"/>
              <w:right w:val="nil"/>
            </w:tcBorders>
          </w:tcPr>
          <w:p w14:paraId="5056E2F2"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0.233]*</w:t>
            </w:r>
            <w:proofErr w:type="gramEnd"/>
            <w:r w:rsidRPr="000D61D1">
              <w:rPr>
                <w:rFonts w:cstheme="minorHAnsi"/>
                <w:sz w:val="22"/>
                <w:szCs w:val="22"/>
                <w:lang w:val="en-AU"/>
              </w:rPr>
              <w:t>*</w:t>
            </w:r>
          </w:p>
        </w:tc>
        <w:tc>
          <w:tcPr>
            <w:tcW w:w="1483" w:type="dxa"/>
            <w:tcBorders>
              <w:top w:val="nil"/>
              <w:left w:val="nil"/>
              <w:bottom w:val="nil"/>
              <w:right w:val="nil"/>
            </w:tcBorders>
          </w:tcPr>
          <w:p w14:paraId="304D3475"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0.236]*</w:t>
            </w:r>
            <w:proofErr w:type="gramEnd"/>
            <w:r w:rsidRPr="000D61D1">
              <w:rPr>
                <w:rFonts w:cstheme="minorHAnsi"/>
                <w:sz w:val="22"/>
                <w:szCs w:val="22"/>
                <w:lang w:val="en-AU"/>
              </w:rPr>
              <w:t>*</w:t>
            </w:r>
          </w:p>
        </w:tc>
        <w:tc>
          <w:tcPr>
            <w:tcW w:w="1483" w:type="dxa"/>
            <w:tcBorders>
              <w:top w:val="nil"/>
              <w:left w:val="nil"/>
              <w:bottom w:val="nil"/>
              <w:right w:val="nil"/>
            </w:tcBorders>
          </w:tcPr>
          <w:p w14:paraId="1CE23E7A"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0.218]*</w:t>
            </w:r>
            <w:proofErr w:type="gramEnd"/>
            <w:r w:rsidRPr="000D61D1">
              <w:rPr>
                <w:rFonts w:cstheme="minorHAnsi"/>
                <w:sz w:val="22"/>
                <w:szCs w:val="22"/>
                <w:lang w:val="en-AU"/>
              </w:rPr>
              <w:t>*</w:t>
            </w:r>
          </w:p>
        </w:tc>
        <w:tc>
          <w:tcPr>
            <w:tcW w:w="1483" w:type="dxa"/>
            <w:tcBorders>
              <w:top w:val="nil"/>
              <w:left w:val="nil"/>
              <w:bottom w:val="nil"/>
              <w:right w:val="nil"/>
            </w:tcBorders>
          </w:tcPr>
          <w:p w14:paraId="2E839D39"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w:t>
            </w:r>
            <w:proofErr w:type="gramStart"/>
            <w:r w:rsidRPr="000D61D1">
              <w:rPr>
                <w:rFonts w:cstheme="minorHAnsi"/>
                <w:sz w:val="22"/>
                <w:szCs w:val="22"/>
                <w:lang w:val="en-AU"/>
              </w:rPr>
              <w:t>0.241]*</w:t>
            </w:r>
            <w:proofErr w:type="gramEnd"/>
            <w:r w:rsidRPr="000D61D1">
              <w:rPr>
                <w:rFonts w:cstheme="minorHAnsi"/>
                <w:sz w:val="22"/>
                <w:szCs w:val="22"/>
                <w:lang w:val="en-AU"/>
              </w:rPr>
              <w:t>*</w:t>
            </w:r>
          </w:p>
        </w:tc>
      </w:tr>
      <w:tr w:rsidR="0016647F" w:rsidRPr="000D61D1" w14:paraId="5A41BE77" w14:textId="77777777" w:rsidTr="0016647F">
        <w:trPr>
          <w:jc w:val="center"/>
        </w:trPr>
        <w:tc>
          <w:tcPr>
            <w:tcW w:w="2234" w:type="dxa"/>
            <w:tcBorders>
              <w:top w:val="nil"/>
              <w:left w:val="nil"/>
              <w:bottom w:val="nil"/>
              <w:right w:val="nil"/>
            </w:tcBorders>
          </w:tcPr>
          <w:p w14:paraId="6DC87607"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Time &amp; Suburb FE</w:t>
            </w:r>
          </w:p>
        </w:tc>
        <w:tc>
          <w:tcPr>
            <w:tcW w:w="1482" w:type="dxa"/>
            <w:tcBorders>
              <w:top w:val="nil"/>
              <w:left w:val="nil"/>
              <w:bottom w:val="nil"/>
              <w:right w:val="nil"/>
            </w:tcBorders>
          </w:tcPr>
          <w:p w14:paraId="3E64CECC"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483" w:type="dxa"/>
            <w:tcBorders>
              <w:top w:val="nil"/>
              <w:left w:val="nil"/>
              <w:bottom w:val="nil"/>
              <w:right w:val="nil"/>
            </w:tcBorders>
          </w:tcPr>
          <w:p w14:paraId="3C5E4373"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483" w:type="dxa"/>
            <w:tcBorders>
              <w:top w:val="nil"/>
              <w:left w:val="nil"/>
              <w:bottom w:val="nil"/>
              <w:right w:val="nil"/>
            </w:tcBorders>
          </w:tcPr>
          <w:p w14:paraId="074E565E"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483" w:type="dxa"/>
            <w:tcBorders>
              <w:top w:val="nil"/>
              <w:left w:val="nil"/>
              <w:bottom w:val="nil"/>
              <w:right w:val="nil"/>
            </w:tcBorders>
          </w:tcPr>
          <w:p w14:paraId="6354017A"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483" w:type="dxa"/>
            <w:tcBorders>
              <w:top w:val="nil"/>
              <w:left w:val="nil"/>
              <w:bottom w:val="nil"/>
              <w:right w:val="nil"/>
            </w:tcBorders>
          </w:tcPr>
          <w:p w14:paraId="28C9A167"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r>
      <w:tr w:rsidR="0016647F" w:rsidRPr="000D61D1" w14:paraId="42258ED1" w14:textId="77777777" w:rsidTr="0016647F">
        <w:trPr>
          <w:jc w:val="center"/>
        </w:trPr>
        <w:tc>
          <w:tcPr>
            <w:tcW w:w="2234" w:type="dxa"/>
            <w:tcBorders>
              <w:top w:val="nil"/>
              <w:left w:val="nil"/>
              <w:bottom w:val="nil"/>
              <w:right w:val="nil"/>
            </w:tcBorders>
          </w:tcPr>
          <w:p w14:paraId="2734B11A"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Observations</w:t>
            </w:r>
          </w:p>
        </w:tc>
        <w:tc>
          <w:tcPr>
            <w:tcW w:w="1482" w:type="dxa"/>
            <w:tcBorders>
              <w:top w:val="nil"/>
              <w:left w:val="nil"/>
              <w:bottom w:val="nil"/>
              <w:right w:val="nil"/>
            </w:tcBorders>
          </w:tcPr>
          <w:p w14:paraId="2B7AEC11"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18,335</w:t>
            </w:r>
          </w:p>
        </w:tc>
        <w:tc>
          <w:tcPr>
            <w:tcW w:w="1483" w:type="dxa"/>
            <w:tcBorders>
              <w:top w:val="nil"/>
              <w:left w:val="nil"/>
              <w:bottom w:val="nil"/>
              <w:right w:val="nil"/>
            </w:tcBorders>
          </w:tcPr>
          <w:p w14:paraId="25BF15CE"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21,124</w:t>
            </w:r>
          </w:p>
        </w:tc>
        <w:tc>
          <w:tcPr>
            <w:tcW w:w="1483" w:type="dxa"/>
            <w:tcBorders>
              <w:top w:val="nil"/>
              <w:left w:val="nil"/>
              <w:bottom w:val="nil"/>
              <w:right w:val="nil"/>
            </w:tcBorders>
          </w:tcPr>
          <w:p w14:paraId="2EB43A35"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19,485</w:t>
            </w:r>
          </w:p>
        </w:tc>
        <w:tc>
          <w:tcPr>
            <w:tcW w:w="1483" w:type="dxa"/>
            <w:tcBorders>
              <w:top w:val="nil"/>
              <w:left w:val="nil"/>
              <w:bottom w:val="nil"/>
              <w:right w:val="nil"/>
            </w:tcBorders>
          </w:tcPr>
          <w:p w14:paraId="5329C9D6"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20,262</w:t>
            </w:r>
          </w:p>
        </w:tc>
        <w:tc>
          <w:tcPr>
            <w:tcW w:w="1483" w:type="dxa"/>
            <w:tcBorders>
              <w:top w:val="nil"/>
              <w:left w:val="nil"/>
              <w:bottom w:val="nil"/>
              <w:right w:val="nil"/>
            </w:tcBorders>
          </w:tcPr>
          <w:p w14:paraId="0530F4A2"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21,355</w:t>
            </w:r>
          </w:p>
        </w:tc>
      </w:tr>
      <w:tr w:rsidR="0016647F" w:rsidRPr="000D61D1" w14:paraId="4F354337" w14:textId="77777777" w:rsidTr="0016647F">
        <w:trPr>
          <w:jc w:val="center"/>
        </w:trPr>
        <w:tc>
          <w:tcPr>
            <w:tcW w:w="2234" w:type="dxa"/>
            <w:tcBorders>
              <w:top w:val="nil"/>
              <w:left w:val="nil"/>
              <w:bottom w:val="nil"/>
              <w:right w:val="nil"/>
            </w:tcBorders>
          </w:tcPr>
          <w:p w14:paraId="35E4C8F5"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Number of Suburbs</w:t>
            </w:r>
          </w:p>
        </w:tc>
        <w:tc>
          <w:tcPr>
            <w:tcW w:w="1482" w:type="dxa"/>
            <w:tcBorders>
              <w:top w:val="nil"/>
              <w:left w:val="nil"/>
              <w:bottom w:val="nil"/>
              <w:right w:val="nil"/>
            </w:tcBorders>
          </w:tcPr>
          <w:p w14:paraId="24FE4176"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216</w:t>
            </w:r>
          </w:p>
        </w:tc>
        <w:tc>
          <w:tcPr>
            <w:tcW w:w="1483" w:type="dxa"/>
            <w:tcBorders>
              <w:top w:val="nil"/>
              <w:left w:val="nil"/>
              <w:bottom w:val="nil"/>
              <w:right w:val="nil"/>
            </w:tcBorders>
          </w:tcPr>
          <w:p w14:paraId="49221945"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228</w:t>
            </w:r>
          </w:p>
        </w:tc>
        <w:tc>
          <w:tcPr>
            <w:tcW w:w="1483" w:type="dxa"/>
            <w:tcBorders>
              <w:top w:val="nil"/>
              <w:left w:val="nil"/>
              <w:bottom w:val="nil"/>
              <w:right w:val="nil"/>
            </w:tcBorders>
          </w:tcPr>
          <w:p w14:paraId="3C3037E5"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203</w:t>
            </w:r>
          </w:p>
        </w:tc>
        <w:tc>
          <w:tcPr>
            <w:tcW w:w="1483" w:type="dxa"/>
            <w:tcBorders>
              <w:top w:val="nil"/>
              <w:left w:val="nil"/>
              <w:bottom w:val="nil"/>
              <w:right w:val="nil"/>
            </w:tcBorders>
          </w:tcPr>
          <w:p w14:paraId="20DD1F24"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212</w:t>
            </w:r>
          </w:p>
        </w:tc>
        <w:tc>
          <w:tcPr>
            <w:tcW w:w="1483" w:type="dxa"/>
            <w:tcBorders>
              <w:top w:val="nil"/>
              <w:left w:val="nil"/>
              <w:bottom w:val="nil"/>
              <w:right w:val="nil"/>
            </w:tcBorders>
          </w:tcPr>
          <w:p w14:paraId="5E005E79"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218</w:t>
            </w:r>
          </w:p>
        </w:tc>
      </w:tr>
      <w:tr w:rsidR="0016647F" w:rsidRPr="000D61D1" w14:paraId="16092AD9" w14:textId="77777777" w:rsidTr="0016647F">
        <w:trPr>
          <w:jc w:val="center"/>
        </w:trPr>
        <w:tc>
          <w:tcPr>
            <w:tcW w:w="2234" w:type="dxa"/>
            <w:tcBorders>
              <w:top w:val="nil"/>
              <w:left w:val="nil"/>
              <w:bottom w:val="single" w:sz="6" w:space="0" w:color="auto"/>
              <w:right w:val="nil"/>
            </w:tcBorders>
          </w:tcPr>
          <w:p w14:paraId="4960671A" w14:textId="77777777" w:rsidR="0016647F" w:rsidRPr="000D61D1" w:rsidRDefault="0016647F" w:rsidP="0016647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Adj. R-squared</w:t>
            </w:r>
          </w:p>
        </w:tc>
        <w:tc>
          <w:tcPr>
            <w:tcW w:w="1482" w:type="dxa"/>
            <w:tcBorders>
              <w:top w:val="nil"/>
              <w:left w:val="nil"/>
              <w:bottom w:val="single" w:sz="6" w:space="0" w:color="auto"/>
              <w:right w:val="nil"/>
            </w:tcBorders>
          </w:tcPr>
          <w:p w14:paraId="12602D49"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0.85</w:t>
            </w:r>
          </w:p>
        </w:tc>
        <w:tc>
          <w:tcPr>
            <w:tcW w:w="1483" w:type="dxa"/>
            <w:tcBorders>
              <w:top w:val="nil"/>
              <w:left w:val="nil"/>
              <w:bottom w:val="single" w:sz="6" w:space="0" w:color="auto"/>
              <w:right w:val="nil"/>
            </w:tcBorders>
          </w:tcPr>
          <w:p w14:paraId="0EB5FF06"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0.80</w:t>
            </w:r>
          </w:p>
        </w:tc>
        <w:tc>
          <w:tcPr>
            <w:tcW w:w="1483" w:type="dxa"/>
            <w:tcBorders>
              <w:top w:val="nil"/>
              <w:left w:val="nil"/>
              <w:bottom w:val="single" w:sz="6" w:space="0" w:color="auto"/>
              <w:right w:val="nil"/>
            </w:tcBorders>
          </w:tcPr>
          <w:p w14:paraId="770530D0"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0.86</w:t>
            </w:r>
          </w:p>
        </w:tc>
        <w:tc>
          <w:tcPr>
            <w:tcW w:w="1483" w:type="dxa"/>
            <w:tcBorders>
              <w:top w:val="nil"/>
              <w:left w:val="nil"/>
              <w:bottom w:val="single" w:sz="6" w:space="0" w:color="auto"/>
              <w:right w:val="nil"/>
            </w:tcBorders>
          </w:tcPr>
          <w:p w14:paraId="1D2E9F24"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0.89</w:t>
            </w:r>
          </w:p>
        </w:tc>
        <w:tc>
          <w:tcPr>
            <w:tcW w:w="1483" w:type="dxa"/>
            <w:tcBorders>
              <w:top w:val="nil"/>
              <w:left w:val="nil"/>
              <w:bottom w:val="single" w:sz="6" w:space="0" w:color="auto"/>
              <w:right w:val="nil"/>
            </w:tcBorders>
          </w:tcPr>
          <w:p w14:paraId="209BDA0F" w14:textId="77777777" w:rsidR="0016647F" w:rsidRPr="000D61D1" w:rsidRDefault="0016647F" w:rsidP="0016647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0.85</w:t>
            </w:r>
          </w:p>
        </w:tc>
      </w:tr>
    </w:tbl>
    <w:p w14:paraId="63B136A4" w14:textId="6A4F79ED" w:rsidR="00E64554" w:rsidRPr="000D61D1" w:rsidRDefault="0016647F" w:rsidP="00E64554">
      <w:pPr>
        <w:widowControl w:val="0"/>
        <w:autoSpaceDE w:val="0"/>
        <w:autoSpaceDN w:val="0"/>
        <w:adjustRightInd w:val="0"/>
        <w:spacing w:before="79" w:after="79"/>
        <w:jc w:val="center"/>
        <w:rPr>
          <w:rFonts w:cstheme="minorHAnsi"/>
          <w:sz w:val="22"/>
          <w:szCs w:val="22"/>
          <w:lang w:val="en-AU" w:bidi="bn-BD"/>
        </w:rPr>
      </w:pPr>
      <w:r w:rsidRPr="000D61D1">
        <w:rPr>
          <w:rFonts w:cstheme="minorHAnsi"/>
          <w:sz w:val="22"/>
          <w:szCs w:val="22"/>
          <w:lang w:val="en-AU"/>
        </w:rPr>
        <w:t xml:space="preserve">* </w:t>
      </w:r>
      <w:r w:rsidRPr="000D61D1">
        <w:rPr>
          <w:rFonts w:cstheme="minorHAnsi"/>
          <w:i/>
          <w:iCs/>
          <w:sz w:val="22"/>
          <w:szCs w:val="22"/>
          <w:lang w:val="en-AU"/>
        </w:rPr>
        <w:t>p</w:t>
      </w:r>
      <w:r w:rsidRPr="000D61D1">
        <w:rPr>
          <w:rFonts w:cstheme="minorHAnsi"/>
          <w:sz w:val="22"/>
          <w:szCs w:val="22"/>
          <w:lang w:val="en-AU"/>
        </w:rPr>
        <w:t xml:space="preserve">&lt;0.05; ** </w:t>
      </w:r>
      <w:r w:rsidRPr="000D61D1">
        <w:rPr>
          <w:rFonts w:cstheme="minorHAnsi"/>
          <w:i/>
          <w:iCs/>
          <w:sz w:val="22"/>
          <w:szCs w:val="22"/>
          <w:lang w:val="en-AU"/>
        </w:rPr>
        <w:t>p</w:t>
      </w:r>
      <w:r w:rsidR="000D52D4" w:rsidRPr="000D61D1">
        <w:rPr>
          <w:rFonts w:cstheme="minorHAnsi"/>
          <w:sz w:val="22"/>
          <w:szCs w:val="22"/>
          <w:lang w:val="en-AU"/>
        </w:rPr>
        <w:t>&lt;0.01</w:t>
      </w:r>
    </w:p>
    <w:p w14:paraId="6571579E" w14:textId="7A40EDBA" w:rsidR="00D87647" w:rsidRDefault="00D87647" w:rsidP="000D52D4">
      <w:pPr>
        <w:rPr>
          <w:rFonts w:cstheme="minorHAnsi"/>
          <w:lang w:val="en-AU" w:bidi="bn-BD"/>
        </w:rPr>
      </w:pPr>
    </w:p>
    <w:p w14:paraId="288BB200" w14:textId="77777777" w:rsidR="00CF2A7B" w:rsidRDefault="00CF2A7B" w:rsidP="000D52D4">
      <w:pPr>
        <w:rPr>
          <w:rFonts w:cstheme="minorHAnsi"/>
          <w:lang w:val="en-AU" w:bidi="bn-BD"/>
        </w:rPr>
      </w:pPr>
      <w:r>
        <w:rPr>
          <w:rFonts w:cstheme="minorHAnsi"/>
          <w:lang w:val="en-AU" w:bidi="bn-BD"/>
        </w:rPr>
        <w:t xml:space="preserve">It may seem counter-intuitive that rental prices have gone down while rates have been going up.  One might expect at least some of the rates increase to be passed on to tenants in the form of higher rents.  One possible scenario relating to the reform is that people may have chosen to rent their properties rather than sell them in response to the stamp duty reform.  They could, reasonably, believe that they will get a better price for their house once stamp duty is </w:t>
      </w:r>
      <w:proofErr w:type="gramStart"/>
      <w:r>
        <w:rPr>
          <w:rFonts w:cstheme="minorHAnsi"/>
          <w:lang w:val="en-AU" w:bidi="bn-BD"/>
        </w:rPr>
        <w:t>completely eliminated</w:t>
      </w:r>
      <w:proofErr w:type="gramEnd"/>
      <w:r>
        <w:rPr>
          <w:rFonts w:cstheme="minorHAnsi"/>
          <w:lang w:val="en-AU" w:bidi="bn-BD"/>
        </w:rPr>
        <w:t xml:space="preserve"> and while they wait for this, they may rent their property.</w:t>
      </w:r>
    </w:p>
    <w:p w14:paraId="1C40AB20" w14:textId="63F25850" w:rsidR="00CF2A7B" w:rsidRDefault="00CF2A7B" w:rsidP="000D52D4">
      <w:pPr>
        <w:rPr>
          <w:rFonts w:cstheme="minorHAnsi"/>
          <w:lang w:val="en-AU" w:bidi="bn-BD"/>
        </w:rPr>
      </w:pPr>
      <w:r>
        <w:rPr>
          <w:rFonts w:cstheme="minorHAnsi"/>
          <w:lang w:val="en-AU" w:bidi="bn-BD"/>
        </w:rPr>
        <w:lastRenderedPageBreak/>
        <w:t xml:space="preserve">We think a more likely explanation is some other factor which is affecting supply in the ACT differently than elsewhere in Australia.  While we </w:t>
      </w:r>
      <w:proofErr w:type="spellStart"/>
      <w:r>
        <w:rPr>
          <w:rFonts w:cstheme="minorHAnsi"/>
          <w:lang w:val="en-AU" w:bidi="bn-BD"/>
        </w:rPr>
        <w:t>can not</w:t>
      </w:r>
      <w:proofErr w:type="spellEnd"/>
      <w:r>
        <w:rPr>
          <w:rFonts w:cstheme="minorHAnsi"/>
          <w:lang w:val="en-AU" w:bidi="bn-BD"/>
        </w:rPr>
        <w:t xml:space="preserve"> reject the failure of common trends, Figure 3 in the Technical Appendix suggests that the patterns of unit rental prices in 2012-2016 was very different in the ACT than in other parts of Australia (</w:t>
      </w:r>
      <w:proofErr w:type="gramStart"/>
      <w:r>
        <w:rPr>
          <w:rFonts w:cstheme="minorHAnsi"/>
          <w:lang w:val="en-AU" w:bidi="bn-BD"/>
        </w:rPr>
        <w:t>with the possible exception of</w:t>
      </w:r>
      <w:proofErr w:type="gramEnd"/>
      <w:r>
        <w:rPr>
          <w:rFonts w:cstheme="minorHAnsi"/>
          <w:lang w:val="en-AU" w:bidi="bn-BD"/>
        </w:rPr>
        <w:t xml:space="preserve"> Tasmania).  The difference-in-difference approach may not be well suited to this question.</w:t>
      </w:r>
    </w:p>
    <w:p w14:paraId="738576F7" w14:textId="29E72628" w:rsidR="000B7067" w:rsidRPr="000D61D1" w:rsidRDefault="00E64554" w:rsidP="000D52D4">
      <w:pPr>
        <w:rPr>
          <w:rFonts w:cstheme="minorHAnsi"/>
          <w:lang w:val="en-AU" w:bidi="bn-BD"/>
        </w:rPr>
      </w:pPr>
      <w:r w:rsidRPr="000D61D1">
        <w:rPr>
          <w:rFonts w:cstheme="minorHAnsi"/>
          <w:lang w:val="en-AU" w:bidi="bn-BD"/>
        </w:rPr>
        <w:fldChar w:fldCharType="begin"/>
      </w:r>
      <w:r w:rsidRPr="000D61D1">
        <w:rPr>
          <w:rFonts w:cstheme="minorHAnsi"/>
          <w:lang w:val="en-AU" w:bidi="bn-BD"/>
        </w:rPr>
        <w:instrText xml:space="preserve"> REF _Ref33110694 \h </w:instrText>
      </w:r>
      <w:r w:rsidRPr="000D61D1">
        <w:rPr>
          <w:rFonts w:cstheme="minorHAnsi"/>
          <w:lang w:val="en-AU" w:bidi="bn-BD"/>
        </w:rPr>
      </w:r>
      <w:r w:rsidRPr="000D61D1">
        <w:rPr>
          <w:rFonts w:cstheme="minorHAnsi"/>
          <w:lang w:val="en-AU" w:bidi="bn-BD"/>
        </w:rPr>
        <w:fldChar w:fldCharType="separate"/>
      </w:r>
      <w:r w:rsidR="00A763B6" w:rsidRPr="000D61D1">
        <w:rPr>
          <w:lang w:val="en-AU"/>
        </w:rPr>
        <w:t xml:space="preserve">Table </w:t>
      </w:r>
      <w:r w:rsidR="00A763B6">
        <w:rPr>
          <w:noProof/>
          <w:lang w:val="en-AU"/>
        </w:rPr>
        <w:t>19</w:t>
      </w:r>
      <w:r w:rsidRPr="000D61D1">
        <w:rPr>
          <w:rFonts w:cstheme="minorHAnsi"/>
          <w:lang w:val="en-AU" w:bidi="bn-BD"/>
        </w:rPr>
        <w:fldChar w:fldCharType="end"/>
      </w:r>
      <w:r w:rsidR="003C0366" w:rsidRPr="000D61D1">
        <w:rPr>
          <w:rFonts w:cstheme="minorHAnsi"/>
          <w:lang w:val="en-AU" w:bidi="bn-BD"/>
        </w:rPr>
        <w:t xml:space="preserve"> </w:t>
      </w:r>
      <w:r w:rsidR="000D52D4" w:rsidRPr="000D61D1">
        <w:rPr>
          <w:rFonts w:cstheme="minorHAnsi"/>
          <w:lang w:val="en-AU" w:bidi="bn-BD"/>
        </w:rPr>
        <w:t>presents the results of a time series analysi</w:t>
      </w:r>
      <w:r w:rsidR="00F869BE" w:rsidRPr="000D61D1">
        <w:rPr>
          <w:rFonts w:cstheme="minorHAnsi"/>
          <w:lang w:val="en-AU" w:bidi="bn-BD"/>
        </w:rPr>
        <w:t xml:space="preserve">s with the number of </w:t>
      </w:r>
      <w:r w:rsidR="000B7067" w:rsidRPr="000D61D1">
        <w:rPr>
          <w:rFonts w:cstheme="minorHAnsi"/>
          <w:lang w:val="en-AU" w:bidi="bn-BD"/>
        </w:rPr>
        <w:t>registered rental bonds</w:t>
      </w:r>
      <w:r w:rsidR="00F869BE" w:rsidRPr="000D61D1">
        <w:rPr>
          <w:rFonts w:cstheme="minorHAnsi"/>
          <w:lang w:val="en-AU" w:bidi="bn-BD"/>
        </w:rPr>
        <w:t xml:space="preserve"> </w:t>
      </w:r>
      <w:r w:rsidR="000D52D4" w:rsidRPr="000D61D1">
        <w:rPr>
          <w:rFonts w:cstheme="minorHAnsi"/>
          <w:lang w:val="en-AU" w:bidi="bn-BD"/>
        </w:rPr>
        <w:t>as the dependent</w:t>
      </w:r>
      <w:r w:rsidR="00F869BE" w:rsidRPr="000D61D1">
        <w:rPr>
          <w:rFonts w:cstheme="minorHAnsi"/>
          <w:lang w:val="en-AU" w:bidi="bn-BD"/>
        </w:rPr>
        <w:t xml:space="preserve"> variable. </w:t>
      </w:r>
      <w:r w:rsidR="000B7067" w:rsidRPr="000D61D1">
        <w:rPr>
          <w:rFonts w:cstheme="minorHAnsi"/>
          <w:lang w:val="en-AU" w:bidi="bn-BD"/>
        </w:rPr>
        <w:t>We use monthly fixed effects and a linear trend as basic controls for an existing trend and seasonality.</w:t>
      </w:r>
    </w:p>
    <w:p w14:paraId="6C5A0CDB" w14:textId="78DB9725" w:rsidR="000B7067" w:rsidRPr="000D61D1" w:rsidRDefault="000B7067" w:rsidP="000B7067">
      <w:pPr>
        <w:widowControl w:val="0"/>
        <w:autoSpaceDE w:val="0"/>
        <w:autoSpaceDN w:val="0"/>
        <w:adjustRightInd w:val="0"/>
        <w:spacing w:before="79" w:after="79"/>
        <w:rPr>
          <w:rFonts w:ascii="Times New Roman" w:hAnsi="Times New Roman"/>
          <w:sz w:val="19"/>
          <w:szCs w:val="19"/>
          <w:lang w:val="en-AU"/>
        </w:rPr>
      </w:pPr>
      <w:r w:rsidRPr="000D61D1">
        <w:rPr>
          <w:rFonts w:cstheme="minorHAnsi"/>
          <w:lang w:val="en-AU" w:bidi="bn-BD"/>
        </w:rPr>
        <w:t>In column 1 we only include the reform dummy to measure the effect.</w:t>
      </w:r>
      <w:r w:rsidRPr="000D61D1">
        <w:rPr>
          <w:rStyle w:val="FootnoteReference"/>
          <w:rFonts w:cstheme="minorHAnsi"/>
          <w:lang w:val="en-AU" w:bidi="bn-BD"/>
        </w:rPr>
        <w:footnoteReference w:id="12"/>
      </w:r>
      <w:r w:rsidRPr="000D61D1">
        <w:rPr>
          <w:rFonts w:cstheme="minorHAnsi"/>
          <w:lang w:val="en-AU" w:bidi="bn-BD"/>
        </w:rPr>
        <w:t xml:space="preserve"> It will capture a general shift in the number of new rentals after the reform </w:t>
      </w:r>
      <w:r w:rsidR="005060E0" w:rsidRPr="000D61D1">
        <w:rPr>
          <w:rFonts w:cstheme="minorHAnsi"/>
          <w:lang w:val="en-AU" w:bidi="bn-BD"/>
        </w:rPr>
        <w:t>commenced</w:t>
      </w:r>
      <w:r w:rsidRPr="000D61D1">
        <w:rPr>
          <w:rFonts w:cstheme="minorHAnsi"/>
          <w:lang w:val="en-AU" w:bidi="bn-BD"/>
        </w:rPr>
        <w:t xml:space="preserve">. In column 2 and 3 we add </w:t>
      </w:r>
      <w:proofErr w:type="gramStart"/>
      <w:r w:rsidRPr="000D61D1">
        <w:rPr>
          <w:rFonts w:cstheme="minorHAnsi"/>
          <w:lang w:val="en-AU" w:bidi="bn-BD"/>
        </w:rPr>
        <w:t>a number of</w:t>
      </w:r>
      <w:proofErr w:type="gramEnd"/>
      <w:r w:rsidRPr="000D61D1">
        <w:rPr>
          <w:rFonts w:cstheme="minorHAnsi"/>
          <w:lang w:val="en-AU" w:bidi="bn-BD"/>
        </w:rPr>
        <w:t xml:space="preserve"> extra controls and in column 4 we introduce a reform trend.</w:t>
      </w:r>
      <w:r w:rsidRPr="000D61D1">
        <w:rPr>
          <w:rStyle w:val="FootnoteReference"/>
          <w:rFonts w:cstheme="minorHAnsi"/>
          <w:lang w:val="en-AU" w:bidi="bn-BD"/>
        </w:rPr>
        <w:footnoteReference w:id="13"/>
      </w:r>
      <w:r w:rsidRPr="000D61D1">
        <w:rPr>
          <w:rFonts w:cstheme="minorHAnsi"/>
          <w:lang w:val="en-AU" w:bidi="bn-BD"/>
        </w:rPr>
        <w:t xml:space="preserve"> It captures any change in trend after the reform.</w:t>
      </w:r>
    </w:p>
    <w:p w14:paraId="1D3E2F43" w14:textId="4A49BECE" w:rsidR="00CE2F0E" w:rsidRDefault="000B7067" w:rsidP="000B7067">
      <w:pPr>
        <w:rPr>
          <w:rFonts w:cstheme="minorHAnsi"/>
          <w:lang w:val="en-AU" w:bidi="bn-BD"/>
        </w:rPr>
      </w:pPr>
      <w:r w:rsidRPr="000D61D1">
        <w:rPr>
          <w:rFonts w:cstheme="minorHAnsi"/>
          <w:lang w:val="en-AU" w:bidi="bn-BD"/>
        </w:rPr>
        <w:t>Throughout the specifications, the reform dummy coefficient remains large and significant. The reform’s variance inflation factor (VIF) indicates that we do not have to be overly concerned with multicollinearity. The reform coefficient suggests that more than 200 additional rental properties are available on the market each month due to the reform.</w:t>
      </w:r>
      <w:r w:rsidR="00CE2F0E" w:rsidRPr="000D61D1">
        <w:rPr>
          <w:rFonts w:cstheme="minorHAnsi"/>
          <w:lang w:val="en-AU" w:bidi="bn-BD"/>
        </w:rPr>
        <w:t xml:space="preserve">    </w:t>
      </w:r>
    </w:p>
    <w:p w14:paraId="0A29CE1D" w14:textId="7F17607D" w:rsidR="00BA21AB" w:rsidRPr="000D61D1" w:rsidRDefault="00BA21AB" w:rsidP="000B7067">
      <w:pPr>
        <w:rPr>
          <w:rFonts w:cstheme="minorHAnsi"/>
          <w:lang w:val="en-AU" w:bidi="bn-BD"/>
        </w:rPr>
      </w:pPr>
      <w:r>
        <w:rPr>
          <w:rFonts w:cstheme="minorHAnsi"/>
          <w:lang w:val="en-AU" w:bidi="bn-BD"/>
        </w:rPr>
        <w:t xml:space="preserve">Note that this time series analysis is only looking at how the supply of rental properties changes over this time period and attributing any change in the trend to the stamp duty reform.  Any other confounding factors could cause a spurious association and would lead to an erroneous conclusion.  This methodology is </w:t>
      </w:r>
      <w:r w:rsidR="00D900F1">
        <w:rPr>
          <w:rFonts w:cstheme="minorHAnsi"/>
          <w:lang w:val="en-AU" w:bidi="bn-BD"/>
        </w:rPr>
        <w:t>subject to strong caveats than the difference-in-difference estimation used previously in this section of the report.  See the discussion in the methods section above and in the technical appendix.</w:t>
      </w:r>
    </w:p>
    <w:p w14:paraId="4B0A47CE" w14:textId="7DAD5621" w:rsidR="00E64554" w:rsidRPr="000D61D1" w:rsidRDefault="00E64554" w:rsidP="007C11BD">
      <w:pPr>
        <w:pStyle w:val="TableCaption"/>
        <w:rPr>
          <w:rFonts w:cstheme="minorHAnsi"/>
          <w:lang w:val="en-AU"/>
        </w:rPr>
      </w:pPr>
      <w:bookmarkStart w:id="47" w:name="_Ref33110694"/>
      <w:bookmarkStart w:id="48" w:name="_Toc43911506"/>
      <w:bookmarkStart w:id="49" w:name="_Ref30335767"/>
      <w:r w:rsidRPr="000D61D1">
        <w:rPr>
          <w:lang w:val="en-AU"/>
        </w:rPr>
        <w:t xml:space="preserve">Table </w:t>
      </w:r>
      <w:r w:rsidRPr="000D61D1">
        <w:rPr>
          <w:lang w:val="en-AU"/>
        </w:rPr>
        <w:fldChar w:fldCharType="begin"/>
      </w:r>
      <w:r w:rsidRPr="000D61D1">
        <w:rPr>
          <w:lang w:val="en-AU"/>
        </w:rPr>
        <w:instrText xml:space="preserve"> SEQ Table \* ARABIC </w:instrText>
      </w:r>
      <w:r w:rsidRPr="000D61D1">
        <w:rPr>
          <w:lang w:val="en-AU"/>
        </w:rPr>
        <w:fldChar w:fldCharType="separate"/>
      </w:r>
      <w:r w:rsidR="00A763B6">
        <w:rPr>
          <w:noProof/>
          <w:lang w:val="en-AU"/>
        </w:rPr>
        <w:t>19</w:t>
      </w:r>
      <w:r w:rsidRPr="000D61D1">
        <w:rPr>
          <w:lang w:val="en-AU"/>
        </w:rPr>
        <w:fldChar w:fldCharType="end"/>
      </w:r>
      <w:bookmarkEnd w:id="47"/>
      <w:r w:rsidRPr="000D61D1">
        <w:rPr>
          <w:lang w:val="en-AU"/>
        </w:rPr>
        <w:t xml:space="preserve"> - Effect of the tax reform on number of new rentals - time series analysis</w:t>
      </w:r>
      <w:bookmarkEnd w:id="48"/>
    </w:p>
    <w:tbl>
      <w:tblPr>
        <w:tblW w:w="5000" w:type="pct"/>
        <w:jc w:val="center"/>
        <w:tblCellMar>
          <w:left w:w="75" w:type="dxa"/>
          <w:right w:w="75" w:type="dxa"/>
        </w:tblCellMar>
        <w:tblLook w:val="0000" w:firstRow="0" w:lastRow="0" w:firstColumn="0" w:lastColumn="0" w:noHBand="0" w:noVBand="0"/>
      </w:tblPr>
      <w:tblGrid>
        <w:gridCol w:w="1762"/>
        <w:gridCol w:w="1816"/>
        <w:gridCol w:w="1816"/>
        <w:gridCol w:w="1816"/>
        <w:gridCol w:w="1816"/>
      </w:tblGrid>
      <w:tr w:rsidR="003B2189" w:rsidRPr="000D61D1" w14:paraId="62991AA7" w14:textId="77777777" w:rsidTr="000C531F">
        <w:trPr>
          <w:jc w:val="center"/>
        </w:trPr>
        <w:tc>
          <w:tcPr>
            <w:tcW w:w="976" w:type="pct"/>
            <w:tcBorders>
              <w:top w:val="single" w:sz="6" w:space="0" w:color="auto"/>
              <w:left w:val="nil"/>
              <w:bottom w:val="nil"/>
              <w:right w:val="nil"/>
            </w:tcBorders>
          </w:tcPr>
          <w:p w14:paraId="43167328" w14:textId="77777777" w:rsidR="003B2189" w:rsidRPr="000D61D1" w:rsidRDefault="003B2189" w:rsidP="000C531F">
            <w:pPr>
              <w:widowControl w:val="0"/>
              <w:autoSpaceDE w:val="0"/>
              <w:autoSpaceDN w:val="0"/>
              <w:adjustRightInd w:val="0"/>
              <w:spacing w:after="0"/>
              <w:rPr>
                <w:rFonts w:cstheme="minorHAnsi"/>
                <w:sz w:val="22"/>
                <w:szCs w:val="22"/>
                <w:lang w:val="en-AU"/>
              </w:rPr>
            </w:pPr>
          </w:p>
        </w:tc>
        <w:tc>
          <w:tcPr>
            <w:tcW w:w="1006" w:type="pct"/>
            <w:tcBorders>
              <w:top w:val="single" w:sz="6" w:space="0" w:color="auto"/>
              <w:left w:val="nil"/>
              <w:bottom w:val="nil"/>
              <w:right w:val="nil"/>
            </w:tcBorders>
          </w:tcPr>
          <w:p w14:paraId="4F4CAA02"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w:t>
            </w:r>
          </w:p>
        </w:tc>
        <w:tc>
          <w:tcPr>
            <w:tcW w:w="1006" w:type="pct"/>
            <w:tcBorders>
              <w:top w:val="single" w:sz="6" w:space="0" w:color="auto"/>
              <w:left w:val="nil"/>
              <w:bottom w:val="nil"/>
              <w:right w:val="nil"/>
            </w:tcBorders>
          </w:tcPr>
          <w:p w14:paraId="4B22FED2"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w:t>
            </w:r>
          </w:p>
        </w:tc>
        <w:tc>
          <w:tcPr>
            <w:tcW w:w="1006" w:type="pct"/>
            <w:tcBorders>
              <w:top w:val="single" w:sz="6" w:space="0" w:color="auto"/>
              <w:left w:val="nil"/>
              <w:bottom w:val="nil"/>
              <w:right w:val="nil"/>
            </w:tcBorders>
          </w:tcPr>
          <w:p w14:paraId="18968DF1"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(3)</w:t>
            </w:r>
          </w:p>
        </w:tc>
        <w:tc>
          <w:tcPr>
            <w:tcW w:w="1006" w:type="pct"/>
            <w:tcBorders>
              <w:top w:val="single" w:sz="6" w:space="0" w:color="auto"/>
              <w:left w:val="nil"/>
              <w:bottom w:val="nil"/>
              <w:right w:val="nil"/>
            </w:tcBorders>
          </w:tcPr>
          <w:p w14:paraId="62D00D3F"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(4)</w:t>
            </w:r>
          </w:p>
        </w:tc>
      </w:tr>
      <w:tr w:rsidR="003B2189" w:rsidRPr="000D61D1" w14:paraId="42C80874" w14:textId="77777777" w:rsidTr="000C531F">
        <w:trPr>
          <w:jc w:val="center"/>
        </w:trPr>
        <w:tc>
          <w:tcPr>
            <w:tcW w:w="976" w:type="pct"/>
            <w:tcBorders>
              <w:top w:val="nil"/>
              <w:left w:val="nil"/>
              <w:bottom w:val="single" w:sz="6" w:space="0" w:color="auto"/>
              <w:right w:val="nil"/>
            </w:tcBorders>
          </w:tcPr>
          <w:p w14:paraId="26A060AC" w14:textId="77777777" w:rsidR="003B2189" w:rsidRPr="000D61D1" w:rsidRDefault="003B2189" w:rsidP="000C531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VARIABLES</w:t>
            </w:r>
          </w:p>
        </w:tc>
        <w:tc>
          <w:tcPr>
            <w:tcW w:w="1006" w:type="pct"/>
            <w:tcBorders>
              <w:top w:val="nil"/>
              <w:left w:val="nil"/>
              <w:bottom w:val="single" w:sz="6" w:space="0" w:color="auto"/>
              <w:right w:val="nil"/>
            </w:tcBorders>
          </w:tcPr>
          <w:p w14:paraId="71A95E74"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Number of Bonds</w:t>
            </w:r>
          </w:p>
        </w:tc>
        <w:tc>
          <w:tcPr>
            <w:tcW w:w="1006" w:type="pct"/>
            <w:tcBorders>
              <w:top w:val="nil"/>
              <w:left w:val="nil"/>
              <w:bottom w:val="single" w:sz="6" w:space="0" w:color="auto"/>
              <w:right w:val="nil"/>
            </w:tcBorders>
          </w:tcPr>
          <w:p w14:paraId="09997C48"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Number of Bonds</w:t>
            </w:r>
          </w:p>
        </w:tc>
        <w:tc>
          <w:tcPr>
            <w:tcW w:w="1006" w:type="pct"/>
            <w:tcBorders>
              <w:top w:val="nil"/>
              <w:left w:val="nil"/>
              <w:bottom w:val="single" w:sz="6" w:space="0" w:color="auto"/>
              <w:right w:val="nil"/>
            </w:tcBorders>
          </w:tcPr>
          <w:p w14:paraId="60419E9C"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Number of Bonds</w:t>
            </w:r>
          </w:p>
        </w:tc>
        <w:tc>
          <w:tcPr>
            <w:tcW w:w="1006" w:type="pct"/>
            <w:tcBorders>
              <w:top w:val="nil"/>
              <w:left w:val="nil"/>
              <w:bottom w:val="single" w:sz="6" w:space="0" w:color="auto"/>
              <w:right w:val="nil"/>
            </w:tcBorders>
          </w:tcPr>
          <w:p w14:paraId="506EB950"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Number of Bonds</w:t>
            </w:r>
          </w:p>
        </w:tc>
      </w:tr>
      <w:tr w:rsidR="003B2189" w:rsidRPr="000D61D1" w14:paraId="60533A91" w14:textId="77777777" w:rsidTr="000C531F">
        <w:trPr>
          <w:jc w:val="center"/>
        </w:trPr>
        <w:tc>
          <w:tcPr>
            <w:tcW w:w="976" w:type="pct"/>
            <w:tcBorders>
              <w:top w:val="nil"/>
              <w:left w:val="nil"/>
              <w:bottom w:val="nil"/>
              <w:right w:val="nil"/>
            </w:tcBorders>
          </w:tcPr>
          <w:p w14:paraId="0EF9348B" w14:textId="77777777" w:rsidR="003B2189" w:rsidRPr="000D61D1" w:rsidRDefault="003B2189" w:rsidP="000C531F">
            <w:pPr>
              <w:widowControl w:val="0"/>
              <w:autoSpaceDE w:val="0"/>
              <w:autoSpaceDN w:val="0"/>
              <w:adjustRightInd w:val="0"/>
              <w:spacing w:after="0"/>
              <w:rPr>
                <w:rFonts w:cstheme="minorHAnsi"/>
                <w:sz w:val="22"/>
                <w:szCs w:val="22"/>
                <w:lang w:val="en-AU"/>
              </w:rPr>
            </w:pPr>
          </w:p>
        </w:tc>
        <w:tc>
          <w:tcPr>
            <w:tcW w:w="1006" w:type="pct"/>
            <w:tcBorders>
              <w:top w:val="nil"/>
              <w:left w:val="nil"/>
              <w:bottom w:val="nil"/>
              <w:right w:val="nil"/>
            </w:tcBorders>
          </w:tcPr>
          <w:p w14:paraId="09616947"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791085C8"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09E94451"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54EE983D"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p>
        </w:tc>
      </w:tr>
      <w:tr w:rsidR="003B2189" w:rsidRPr="000D61D1" w14:paraId="06A421F8" w14:textId="77777777" w:rsidTr="000C531F">
        <w:trPr>
          <w:jc w:val="center"/>
        </w:trPr>
        <w:tc>
          <w:tcPr>
            <w:tcW w:w="976" w:type="pct"/>
            <w:tcBorders>
              <w:top w:val="nil"/>
              <w:left w:val="nil"/>
              <w:bottom w:val="nil"/>
              <w:right w:val="nil"/>
            </w:tcBorders>
          </w:tcPr>
          <w:p w14:paraId="73FAC7C8" w14:textId="4AD26E85" w:rsidR="003B2189" w:rsidRPr="000D61D1" w:rsidRDefault="003B2189" w:rsidP="00F869BE">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Refo</w:t>
            </w:r>
            <w:r w:rsidR="00F869BE" w:rsidRPr="000D61D1">
              <w:rPr>
                <w:rFonts w:cstheme="minorHAnsi"/>
                <w:sz w:val="22"/>
                <w:szCs w:val="22"/>
                <w:lang w:val="en-AU"/>
              </w:rPr>
              <w:t>r</w:t>
            </w:r>
            <w:r w:rsidRPr="000D61D1">
              <w:rPr>
                <w:rFonts w:cstheme="minorHAnsi"/>
                <w:sz w:val="22"/>
                <w:szCs w:val="22"/>
                <w:lang w:val="en-AU"/>
              </w:rPr>
              <w:t>m Dummy</w:t>
            </w:r>
          </w:p>
        </w:tc>
        <w:tc>
          <w:tcPr>
            <w:tcW w:w="1006" w:type="pct"/>
            <w:tcBorders>
              <w:top w:val="nil"/>
              <w:left w:val="nil"/>
              <w:bottom w:val="nil"/>
              <w:right w:val="nil"/>
            </w:tcBorders>
          </w:tcPr>
          <w:p w14:paraId="76CF2E34"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238.243***</w:t>
            </w:r>
          </w:p>
        </w:tc>
        <w:tc>
          <w:tcPr>
            <w:tcW w:w="1006" w:type="pct"/>
            <w:tcBorders>
              <w:top w:val="nil"/>
              <w:left w:val="nil"/>
              <w:bottom w:val="nil"/>
              <w:right w:val="nil"/>
            </w:tcBorders>
          </w:tcPr>
          <w:p w14:paraId="052C661F"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208.141***</w:t>
            </w:r>
          </w:p>
        </w:tc>
        <w:tc>
          <w:tcPr>
            <w:tcW w:w="1006" w:type="pct"/>
            <w:tcBorders>
              <w:top w:val="nil"/>
              <w:left w:val="nil"/>
              <w:bottom w:val="nil"/>
              <w:right w:val="nil"/>
            </w:tcBorders>
          </w:tcPr>
          <w:p w14:paraId="13567607"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225.237***</w:t>
            </w:r>
          </w:p>
        </w:tc>
        <w:tc>
          <w:tcPr>
            <w:tcW w:w="1006" w:type="pct"/>
            <w:tcBorders>
              <w:top w:val="nil"/>
              <w:left w:val="nil"/>
              <w:bottom w:val="nil"/>
              <w:right w:val="nil"/>
            </w:tcBorders>
          </w:tcPr>
          <w:p w14:paraId="76FA97F2"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223.037***</w:t>
            </w:r>
          </w:p>
        </w:tc>
      </w:tr>
      <w:tr w:rsidR="003B2189" w:rsidRPr="000D61D1" w14:paraId="4B333AF3" w14:textId="77777777" w:rsidTr="000C531F">
        <w:trPr>
          <w:jc w:val="center"/>
        </w:trPr>
        <w:tc>
          <w:tcPr>
            <w:tcW w:w="976" w:type="pct"/>
            <w:tcBorders>
              <w:top w:val="nil"/>
              <w:left w:val="nil"/>
              <w:bottom w:val="nil"/>
              <w:right w:val="nil"/>
            </w:tcBorders>
          </w:tcPr>
          <w:p w14:paraId="61B7CEBB" w14:textId="5137CB61" w:rsidR="003B2189" w:rsidRPr="000D61D1" w:rsidRDefault="00B5069E" w:rsidP="000C531F">
            <w:pPr>
              <w:widowControl w:val="0"/>
              <w:autoSpaceDE w:val="0"/>
              <w:autoSpaceDN w:val="0"/>
              <w:adjustRightInd w:val="0"/>
              <w:spacing w:after="0"/>
              <w:rPr>
                <w:rFonts w:cstheme="minorHAnsi"/>
                <w:sz w:val="22"/>
                <w:szCs w:val="22"/>
                <w:lang w:val="en-AU"/>
              </w:rPr>
            </w:pPr>
            <w:r>
              <w:rPr>
                <w:rFonts w:cs="Times New Roman"/>
                <w:sz w:val="22"/>
                <w:szCs w:val="22"/>
                <w:lang w:val="en-AU"/>
              </w:rPr>
              <w:t>Standard error</w:t>
            </w:r>
          </w:p>
        </w:tc>
        <w:tc>
          <w:tcPr>
            <w:tcW w:w="1006" w:type="pct"/>
            <w:tcBorders>
              <w:top w:val="nil"/>
              <w:left w:val="nil"/>
              <w:bottom w:val="nil"/>
              <w:right w:val="nil"/>
            </w:tcBorders>
          </w:tcPr>
          <w:p w14:paraId="6382B924"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[81.560]</w:t>
            </w:r>
          </w:p>
        </w:tc>
        <w:tc>
          <w:tcPr>
            <w:tcW w:w="1006" w:type="pct"/>
            <w:tcBorders>
              <w:top w:val="nil"/>
              <w:left w:val="nil"/>
              <w:bottom w:val="nil"/>
              <w:right w:val="nil"/>
            </w:tcBorders>
          </w:tcPr>
          <w:p w14:paraId="290598C9"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[78.420]</w:t>
            </w:r>
          </w:p>
        </w:tc>
        <w:tc>
          <w:tcPr>
            <w:tcW w:w="1006" w:type="pct"/>
            <w:tcBorders>
              <w:top w:val="nil"/>
              <w:left w:val="nil"/>
              <w:bottom w:val="nil"/>
              <w:right w:val="nil"/>
            </w:tcBorders>
          </w:tcPr>
          <w:p w14:paraId="56C3106A"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[60.706]</w:t>
            </w:r>
          </w:p>
        </w:tc>
        <w:tc>
          <w:tcPr>
            <w:tcW w:w="1006" w:type="pct"/>
            <w:tcBorders>
              <w:top w:val="nil"/>
              <w:left w:val="nil"/>
              <w:bottom w:val="nil"/>
              <w:right w:val="nil"/>
            </w:tcBorders>
          </w:tcPr>
          <w:p w14:paraId="14599198"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[63.084]</w:t>
            </w:r>
          </w:p>
        </w:tc>
      </w:tr>
      <w:tr w:rsidR="003B2189" w:rsidRPr="000D61D1" w14:paraId="09A7DA38" w14:textId="77777777" w:rsidTr="000C531F">
        <w:trPr>
          <w:jc w:val="center"/>
        </w:trPr>
        <w:tc>
          <w:tcPr>
            <w:tcW w:w="976" w:type="pct"/>
            <w:tcBorders>
              <w:top w:val="nil"/>
              <w:left w:val="nil"/>
              <w:bottom w:val="nil"/>
              <w:right w:val="nil"/>
            </w:tcBorders>
          </w:tcPr>
          <w:p w14:paraId="0769681A" w14:textId="77777777" w:rsidR="003B2189" w:rsidRPr="000D61D1" w:rsidRDefault="003B2189" w:rsidP="000C531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Reform Trend</w:t>
            </w:r>
          </w:p>
        </w:tc>
        <w:tc>
          <w:tcPr>
            <w:tcW w:w="1006" w:type="pct"/>
            <w:tcBorders>
              <w:top w:val="nil"/>
              <w:left w:val="nil"/>
              <w:bottom w:val="nil"/>
              <w:right w:val="nil"/>
            </w:tcBorders>
          </w:tcPr>
          <w:p w14:paraId="71CB6F88" w14:textId="05BBC68C"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24829631" w14:textId="0FBCA914"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40C88AED" w14:textId="53AF0AEE"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6886779E"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2.755</w:t>
            </w:r>
          </w:p>
        </w:tc>
      </w:tr>
      <w:tr w:rsidR="003B2189" w:rsidRPr="000D61D1" w14:paraId="4AA7C1A1" w14:textId="77777777" w:rsidTr="000C531F">
        <w:trPr>
          <w:jc w:val="center"/>
        </w:trPr>
        <w:tc>
          <w:tcPr>
            <w:tcW w:w="976" w:type="pct"/>
            <w:tcBorders>
              <w:top w:val="nil"/>
              <w:left w:val="nil"/>
              <w:bottom w:val="nil"/>
              <w:right w:val="nil"/>
            </w:tcBorders>
          </w:tcPr>
          <w:p w14:paraId="076B4674" w14:textId="64821962" w:rsidR="003B2189" w:rsidRPr="000D61D1" w:rsidRDefault="00B5069E" w:rsidP="000C531F">
            <w:pPr>
              <w:widowControl w:val="0"/>
              <w:autoSpaceDE w:val="0"/>
              <w:autoSpaceDN w:val="0"/>
              <w:adjustRightInd w:val="0"/>
              <w:spacing w:after="0"/>
              <w:rPr>
                <w:rFonts w:cstheme="minorHAnsi"/>
                <w:sz w:val="22"/>
                <w:szCs w:val="22"/>
                <w:lang w:val="en-AU"/>
              </w:rPr>
            </w:pPr>
            <w:r>
              <w:rPr>
                <w:rFonts w:cs="Times New Roman"/>
                <w:sz w:val="22"/>
                <w:szCs w:val="22"/>
                <w:lang w:val="en-AU"/>
              </w:rPr>
              <w:t>Standard error</w:t>
            </w:r>
          </w:p>
        </w:tc>
        <w:tc>
          <w:tcPr>
            <w:tcW w:w="1006" w:type="pct"/>
            <w:tcBorders>
              <w:top w:val="nil"/>
              <w:left w:val="nil"/>
              <w:bottom w:val="nil"/>
              <w:right w:val="nil"/>
            </w:tcBorders>
          </w:tcPr>
          <w:p w14:paraId="397A74C8"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29DEEFAE"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689DA393"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0299358B"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[10.287]</w:t>
            </w:r>
          </w:p>
        </w:tc>
      </w:tr>
      <w:tr w:rsidR="003B2189" w:rsidRPr="000D61D1" w14:paraId="3D198414" w14:textId="77777777" w:rsidTr="000C531F">
        <w:trPr>
          <w:jc w:val="center"/>
        </w:trPr>
        <w:tc>
          <w:tcPr>
            <w:tcW w:w="976" w:type="pct"/>
            <w:tcBorders>
              <w:top w:val="nil"/>
              <w:left w:val="nil"/>
              <w:bottom w:val="nil"/>
              <w:right w:val="nil"/>
            </w:tcBorders>
          </w:tcPr>
          <w:p w14:paraId="5AA901FB" w14:textId="77777777" w:rsidR="003B2189" w:rsidRPr="000D61D1" w:rsidRDefault="003B2189" w:rsidP="000C531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APS Employment</w:t>
            </w:r>
          </w:p>
        </w:tc>
        <w:tc>
          <w:tcPr>
            <w:tcW w:w="1006" w:type="pct"/>
            <w:tcBorders>
              <w:top w:val="nil"/>
              <w:left w:val="nil"/>
              <w:bottom w:val="nil"/>
              <w:right w:val="nil"/>
            </w:tcBorders>
          </w:tcPr>
          <w:p w14:paraId="20BDCE08" w14:textId="7D431BCE"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2C95C633"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0.010*</w:t>
            </w:r>
          </w:p>
        </w:tc>
        <w:tc>
          <w:tcPr>
            <w:tcW w:w="1006" w:type="pct"/>
            <w:tcBorders>
              <w:top w:val="nil"/>
              <w:left w:val="nil"/>
              <w:bottom w:val="nil"/>
              <w:right w:val="nil"/>
            </w:tcBorders>
          </w:tcPr>
          <w:p w14:paraId="08E15C56"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0.023**</w:t>
            </w:r>
          </w:p>
        </w:tc>
        <w:tc>
          <w:tcPr>
            <w:tcW w:w="1006" w:type="pct"/>
            <w:tcBorders>
              <w:top w:val="nil"/>
              <w:left w:val="nil"/>
              <w:bottom w:val="nil"/>
              <w:right w:val="nil"/>
            </w:tcBorders>
          </w:tcPr>
          <w:p w14:paraId="489FFF7F"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0.032</w:t>
            </w:r>
          </w:p>
        </w:tc>
      </w:tr>
      <w:tr w:rsidR="003B2189" w:rsidRPr="000D61D1" w14:paraId="684522CE" w14:textId="77777777" w:rsidTr="000C531F">
        <w:trPr>
          <w:jc w:val="center"/>
        </w:trPr>
        <w:tc>
          <w:tcPr>
            <w:tcW w:w="976" w:type="pct"/>
            <w:tcBorders>
              <w:top w:val="nil"/>
              <w:left w:val="nil"/>
              <w:bottom w:val="nil"/>
              <w:right w:val="nil"/>
            </w:tcBorders>
          </w:tcPr>
          <w:p w14:paraId="16ECBE0C" w14:textId="6E14B9F0" w:rsidR="003B2189" w:rsidRPr="000D61D1" w:rsidRDefault="00B5069E" w:rsidP="000C531F">
            <w:pPr>
              <w:widowControl w:val="0"/>
              <w:autoSpaceDE w:val="0"/>
              <w:autoSpaceDN w:val="0"/>
              <w:adjustRightInd w:val="0"/>
              <w:spacing w:after="0"/>
              <w:rPr>
                <w:rFonts w:cstheme="minorHAnsi"/>
                <w:sz w:val="22"/>
                <w:szCs w:val="22"/>
                <w:lang w:val="en-AU"/>
              </w:rPr>
            </w:pPr>
            <w:r>
              <w:rPr>
                <w:rFonts w:cs="Times New Roman"/>
                <w:sz w:val="22"/>
                <w:szCs w:val="22"/>
                <w:lang w:val="en-AU"/>
              </w:rPr>
              <w:t>Standard error</w:t>
            </w:r>
          </w:p>
        </w:tc>
        <w:tc>
          <w:tcPr>
            <w:tcW w:w="1006" w:type="pct"/>
            <w:tcBorders>
              <w:top w:val="nil"/>
              <w:left w:val="nil"/>
              <w:bottom w:val="nil"/>
              <w:right w:val="nil"/>
            </w:tcBorders>
          </w:tcPr>
          <w:p w14:paraId="1343907A"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220A620D"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[0.006]</w:t>
            </w:r>
          </w:p>
        </w:tc>
        <w:tc>
          <w:tcPr>
            <w:tcW w:w="1006" w:type="pct"/>
            <w:tcBorders>
              <w:top w:val="nil"/>
              <w:left w:val="nil"/>
              <w:bottom w:val="nil"/>
              <w:right w:val="nil"/>
            </w:tcBorders>
          </w:tcPr>
          <w:p w14:paraId="03605C60"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[0.009]</w:t>
            </w:r>
          </w:p>
        </w:tc>
        <w:tc>
          <w:tcPr>
            <w:tcW w:w="1006" w:type="pct"/>
            <w:tcBorders>
              <w:top w:val="nil"/>
              <w:left w:val="nil"/>
              <w:bottom w:val="nil"/>
              <w:right w:val="nil"/>
            </w:tcBorders>
          </w:tcPr>
          <w:p w14:paraId="22C48593"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[0.038]</w:t>
            </w:r>
          </w:p>
        </w:tc>
      </w:tr>
      <w:tr w:rsidR="003B2189" w:rsidRPr="000D61D1" w14:paraId="0AEAB07C" w14:textId="77777777" w:rsidTr="000C531F">
        <w:trPr>
          <w:jc w:val="center"/>
        </w:trPr>
        <w:tc>
          <w:tcPr>
            <w:tcW w:w="976" w:type="pct"/>
            <w:tcBorders>
              <w:top w:val="nil"/>
              <w:left w:val="nil"/>
              <w:bottom w:val="nil"/>
              <w:right w:val="nil"/>
            </w:tcBorders>
          </w:tcPr>
          <w:p w14:paraId="3F5520D6" w14:textId="77777777" w:rsidR="003B2189" w:rsidRPr="000D61D1" w:rsidRDefault="003B2189" w:rsidP="000C531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Income</w:t>
            </w:r>
          </w:p>
        </w:tc>
        <w:tc>
          <w:tcPr>
            <w:tcW w:w="1006" w:type="pct"/>
            <w:tcBorders>
              <w:top w:val="nil"/>
              <w:left w:val="nil"/>
              <w:bottom w:val="nil"/>
              <w:right w:val="nil"/>
            </w:tcBorders>
          </w:tcPr>
          <w:p w14:paraId="3FD99014" w14:textId="128EBBC1"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18791D0B" w14:textId="08C58FCB"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795BF74C"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-1.328</w:t>
            </w:r>
          </w:p>
        </w:tc>
        <w:tc>
          <w:tcPr>
            <w:tcW w:w="1006" w:type="pct"/>
            <w:tcBorders>
              <w:top w:val="nil"/>
              <w:left w:val="nil"/>
              <w:bottom w:val="nil"/>
              <w:right w:val="nil"/>
            </w:tcBorders>
          </w:tcPr>
          <w:p w14:paraId="582B29AD"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-1.570</w:t>
            </w:r>
          </w:p>
        </w:tc>
      </w:tr>
      <w:tr w:rsidR="003B2189" w:rsidRPr="000D61D1" w14:paraId="1FDFB644" w14:textId="77777777" w:rsidTr="000C531F">
        <w:trPr>
          <w:jc w:val="center"/>
        </w:trPr>
        <w:tc>
          <w:tcPr>
            <w:tcW w:w="976" w:type="pct"/>
            <w:tcBorders>
              <w:top w:val="nil"/>
              <w:left w:val="nil"/>
              <w:bottom w:val="nil"/>
              <w:right w:val="nil"/>
            </w:tcBorders>
          </w:tcPr>
          <w:p w14:paraId="68814855" w14:textId="2C2E1743" w:rsidR="003B2189" w:rsidRPr="000D61D1" w:rsidRDefault="00B5069E" w:rsidP="000C531F">
            <w:pPr>
              <w:widowControl w:val="0"/>
              <w:autoSpaceDE w:val="0"/>
              <w:autoSpaceDN w:val="0"/>
              <w:adjustRightInd w:val="0"/>
              <w:spacing w:after="0"/>
              <w:rPr>
                <w:rFonts w:cstheme="minorHAnsi"/>
                <w:sz w:val="22"/>
                <w:szCs w:val="22"/>
                <w:lang w:val="en-AU"/>
              </w:rPr>
            </w:pPr>
            <w:r>
              <w:rPr>
                <w:rFonts w:cs="Times New Roman"/>
                <w:sz w:val="22"/>
                <w:szCs w:val="22"/>
                <w:lang w:val="en-AU"/>
              </w:rPr>
              <w:t>Standard error</w:t>
            </w:r>
          </w:p>
        </w:tc>
        <w:tc>
          <w:tcPr>
            <w:tcW w:w="1006" w:type="pct"/>
            <w:tcBorders>
              <w:top w:val="nil"/>
              <w:left w:val="nil"/>
              <w:bottom w:val="nil"/>
              <w:right w:val="nil"/>
            </w:tcBorders>
          </w:tcPr>
          <w:p w14:paraId="42C0C310"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78082303"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6B342100"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[1.986]</w:t>
            </w:r>
          </w:p>
        </w:tc>
        <w:tc>
          <w:tcPr>
            <w:tcW w:w="1006" w:type="pct"/>
            <w:tcBorders>
              <w:top w:val="nil"/>
              <w:left w:val="nil"/>
              <w:bottom w:val="nil"/>
              <w:right w:val="nil"/>
            </w:tcBorders>
          </w:tcPr>
          <w:p w14:paraId="49E2E107"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[2.510]</w:t>
            </w:r>
          </w:p>
        </w:tc>
      </w:tr>
      <w:tr w:rsidR="003B2189" w:rsidRPr="000D61D1" w14:paraId="1FC0C3E4" w14:textId="77777777" w:rsidTr="000C531F">
        <w:trPr>
          <w:jc w:val="center"/>
        </w:trPr>
        <w:tc>
          <w:tcPr>
            <w:tcW w:w="976" w:type="pct"/>
            <w:tcBorders>
              <w:top w:val="nil"/>
              <w:left w:val="nil"/>
              <w:bottom w:val="nil"/>
              <w:right w:val="nil"/>
            </w:tcBorders>
          </w:tcPr>
          <w:p w14:paraId="646017AE" w14:textId="77777777" w:rsidR="003B2189" w:rsidRPr="000D61D1" w:rsidRDefault="003B2189" w:rsidP="000C531F">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Population</w:t>
            </w:r>
          </w:p>
        </w:tc>
        <w:tc>
          <w:tcPr>
            <w:tcW w:w="1006" w:type="pct"/>
            <w:tcBorders>
              <w:top w:val="nil"/>
              <w:left w:val="nil"/>
              <w:bottom w:val="nil"/>
              <w:right w:val="nil"/>
            </w:tcBorders>
          </w:tcPr>
          <w:p w14:paraId="55796B44" w14:textId="1E2A0676"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2E14EF9D" w14:textId="4D469AAF"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743920B1"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-0.069</w:t>
            </w:r>
          </w:p>
        </w:tc>
        <w:tc>
          <w:tcPr>
            <w:tcW w:w="1006" w:type="pct"/>
            <w:tcBorders>
              <w:top w:val="nil"/>
              <w:left w:val="nil"/>
              <w:bottom w:val="nil"/>
              <w:right w:val="nil"/>
            </w:tcBorders>
          </w:tcPr>
          <w:p w14:paraId="4EA80B27"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-0.074</w:t>
            </w:r>
          </w:p>
        </w:tc>
      </w:tr>
      <w:tr w:rsidR="003B2189" w:rsidRPr="000D61D1" w14:paraId="0BED1884" w14:textId="77777777" w:rsidTr="000C531F">
        <w:trPr>
          <w:jc w:val="center"/>
        </w:trPr>
        <w:tc>
          <w:tcPr>
            <w:tcW w:w="976" w:type="pct"/>
            <w:tcBorders>
              <w:top w:val="nil"/>
              <w:left w:val="nil"/>
              <w:bottom w:val="nil"/>
              <w:right w:val="nil"/>
            </w:tcBorders>
          </w:tcPr>
          <w:p w14:paraId="4127CACF" w14:textId="7F3F2E8B" w:rsidR="003B2189" w:rsidRPr="000D61D1" w:rsidRDefault="00B5069E" w:rsidP="000C531F">
            <w:pPr>
              <w:widowControl w:val="0"/>
              <w:autoSpaceDE w:val="0"/>
              <w:autoSpaceDN w:val="0"/>
              <w:adjustRightInd w:val="0"/>
              <w:spacing w:after="0"/>
              <w:rPr>
                <w:rFonts w:cstheme="minorHAnsi"/>
                <w:sz w:val="22"/>
                <w:szCs w:val="22"/>
                <w:lang w:val="en-AU"/>
              </w:rPr>
            </w:pPr>
            <w:r>
              <w:rPr>
                <w:rFonts w:cs="Times New Roman"/>
                <w:sz w:val="22"/>
                <w:szCs w:val="22"/>
                <w:lang w:val="en-AU"/>
              </w:rPr>
              <w:t>Standard error</w:t>
            </w:r>
          </w:p>
        </w:tc>
        <w:tc>
          <w:tcPr>
            <w:tcW w:w="1006" w:type="pct"/>
            <w:tcBorders>
              <w:top w:val="nil"/>
              <w:left w:val="nil"/>
              <w:bottom w:val="nil"/>
              <w:right w:val="nil"/>
            </w:tcBorders>
          </w:tcPr>
          <w:p w14:paraId="2E9C3DE5"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3AFF33BD"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p>
        </w:tc>
        <w:tc>
          <w:tcPr>
            <w:tcW w:w="1006" w:type="pct"/>
            <w:tcBorders>
              <w:top w:val="nil"/>
              <w:left w:val="nil"/>
              <w:bottom w:val="nil"/>
              <w:right w:val="nil"/>
            </w:tcBorders>
          </w:tcPr>
          <w:p w14:paraId="6B70A051"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[0.052]</w:t>
            </w:r>
          </w:p>
        </w:tc>
        <w:tc>
          <w:tcPr>
            <w:tcW w:w="1006" w:type="pct"/>
            <w:tcBorders>
              <w:top w:val="nil"/>
              <w:left w:val="nil"/>
              <w:bottom w:val="nil"/>
              <w:right w:val="nil"/>
            </w:tcBorders>
          </w:tcPr>
          <w:p w14:paraId="5AC32847" w14:textId="77777777" w:rsidR="003B2189" w:rsidRPr="000D61D1" w:rsidRDefault="003B2189" w:rsidP="000C531F">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[0.047]</w:t>
            </w:r>
          </w:p>
        </w:tc>
      </w:tr>
      <w:tr w:rsidR="00CE2F0E" w:rsidRPr="000D61D1" w14:paraId="5A8E247A" w14:textId="77777777" w:rsidTr="000C531F">
        <w:trPr>
          <w:jc w:val="center"/>
        </w:trPr>
        <w:tc>
          <w:tcPr>
            <w:tcW w:w="976" w:type="pct"/>
            <w:tcBorders>
              <w:top w:val="nil"/>
              <w:left w:val="nil"/>
              <w:bottom w:val="nil"/>
              <w:right w:val="nil"/>
            </w:tcBorders>
          </w:tcPr>
          <w:p w14:paraId="233245D0" w14:textId="0F4B3C89" w:rsidR="00CE2F0E" w:rsidRPr="000D61D1" w:rsidRDefault="00CE2F0E" w:rsidP="00CE2F0E">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Linear Trend</w:t>
            </w:r>
          </w:p>
        </w:tc>
        <w:tc>
          <w:tcPr>
            <w:tcW w:w="1006" w:type="pct"/>
            <w:tcBorders>
              <w:top w:val="nil"/>
              <w:left w:val="nil"/>
              <w:bottom w:val="nil"/>
              <w:right w:val="nil"/>
            </w:tcBorders>
          </w:tcPr>
          <w:p w14:paraId="5AACF4D5" w14:textId="545E1D46"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0.184</w:t>
            </w:r>
          </w:p>
        </w:tc>
        <w:tc>
          <w:tcPr>
            <w:tcW w:w="1006" w:type="pct"/>
            <w:tcBorders>
              <w:top w:val="nil"/>
              <w:left w:val="nil"/>
              <w:bottom w:val="nil"/>
              <w:right w:val="nil"/>
            </w:tcBorders>
          </w:tcPr>
          <w:p w14:paraId="38397907" w14:textId="3995E78A"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0.771</w:t>
            </w:r>
          </w:p>
        </w:tc>
        <w:tc>
          <w:tcPr>
            <w:tcW w:w="1006" w:type="pct"/>
            <w:tcBorders>
              <w:top w:val="nil"/>
              <w:left w:val="nil"/>
              <w:bottom w:val="nil"/>
              <w:right w:val="nil"/>
            </w:tcBorders>
          </w:tcPr>
          <w:p w14:paraId="0FE4DFBB" w14:textId="46E05C32"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39.659</w:t>
            </w:r>
          </w:p>
        </w:tc>
        <w:tc>
          <w:tcPr>
            <w:tcW w:w="1006" w:type="pct"/>
            <w:tcBorders>
              <w:top w:val="nil"/>
              <w:left w:val="nil"/>
              <w:bottom w:val="nil"/>
              <w:right w:val="nil"/>
            </w:tcBorders>
          </w:tcPr>
          <w:p w14:paraId="5A67C8C5" w14:textId="283DB372"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41.008</w:t>
            </w:r>
          </w:p>
        </w:tc>
      </w:tr>
      <w:tr w:rsidR="00CE2F0E" w:rsidRPr="000D61D1" w14:paraId="72BE3B7D" w14:textId="77777777" w:rsidTr="000C531F">
        <w:trPr>
          <w:jc w:val="center"/>
        </w:trPr>
        <w:tc>
          <w:tcPr>
            <w:tcW w:w="976" w:type="pct"/>
            <w:tcBorders>
              <w:top w:val="nil"/>
              <w:left w:val="nil"/>
              <w:bottom w:val="nil"/>
              <w:right w:val="nil"/>
            </w:tcBorders>
          </w:tcPr>
          <w:p w14:paraId="6E6DD199" w14:textId="6E928A5F" w:rsidR="00CE2F0E" w:rsidRPr="000D61D1" w:rsidRDefault="00B5069E" w:rsidP="00CE2F0E">
            <w:pPr>
              <w:widowControl w:val="0"/>
              <w:autoSpaceDE w:val="0"/>
              <w:autoSpaceDN w:val="0"/>
              <w:adjustRightInd w:val="0"/>
              <w:spacing w:after="0"/>
              <w:rPr>
                <w:rFonts w:cstheme="minorHAnsi"/>
                <w:sz w:val="22"/>
                <w:szCs w:val="22"/>
                <w:lang w:val="en-AU"/>
              </w:rPr>
            </w:pPr>
            <w:r>
              <w:rPr>
                <w:rFonts w:cstheme="minorHAnsi"/>
                <w:sz w:val="22"/>
                <w:szCs w:val="22"/>
                <w:lang w:val="en-AU"/>
              </w:rPr>
              <w:t>Standard error</w:t>
            </w:r>
          </w:p>
        </w:tc>
        <w:tc>
          <w:tcPr>
            <w:tcW w:w="1006" w:type="pct"/>
            <w:tcBorders>
              <w:top w:val="nil"/>
              <w:left w:val="nil"/>
              <w:bottom w:val="nil"/>
              <w:right w:val="nil"/>
            </w:tcBorders>
          </w:tcPr>
          <w:p w14:paraId="060EC5F5" w14:textId="6219E89D"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[1.318]</w:t>
            </w:r>
          </w:p>
        </w:tc>
        <w:tc>
          <w:tcPr>
            <w:tcW w:w="1006" w:type="pct"/>
            <w:tcBorders>
              <w:top w:val="nil"/>
              <w:left w:val="nil"/>
              <w:bottom w:val="nil"/>
              <w:right w:val="nil"/>
            </w:tcBorders>
          </w:tcPr>
          <w:p w14:paraId="7FCD06B7" w14:textId="16FDC4D3"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[1.231]</w:t>
            </w:r>
          </w:p>
        </w:tc>
        <w:tc>
          <w:tcPr>
            <w:tcW w:w="1006" w:type="pct"/>
            <w:tcBorders>
              <w:top w:val="nil"/>
              <w:left w:val="nil"/>
              <w:bottom w:val="nil"/>
              <w:right w:val="nil"/>
            </w:tcBorders>
          </w:tcPr>
          <w:p w14:paraId="77879BF4" w14:textId="20749ACF"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[31.580]</w:t>
            </w:r>
          </w:p>
        </w:tc>
        <w:tc>
          <w:tcPr>
            <w:tcW w:w="1006" w:type="pct"/>
            <w:tcBorders>
              <w:top w:val="nil"/>
              <w:left w:val="nil"/>
              <w:bottom w:val="nil"/>
              <w:right w:val="nil"/>
            </w:tcBorders>
          </w:tcPr>
          <w:p w14:paraId="2876DB0D" w14:textId="3463CDF8"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[29.857]</w:t>
            </w:r>
          </w:p>
        </w:tc>
      </w:tr>
      <w:tr w:rsidR="00CE2F0E" w:rsidRPr="000D61D1" w14:paraId="18235C24" w14:textId="77777777" w:rsidTr="000C531F">
        <w:trPr>
          <w:jc w:val="center"/>
        </w:trPr>
        <w:tc>
          <w:tcPr>
            <w:tcW w:w="976" w:type="pct"/>
            <w:tcBorders>
              <w:top w:val="nil"/>
              <w:left w:val="nil"/>
              <w:bottom w:val="nil"/>
              <w:right w:val="nil"/>
            </w:tcBorders>
          </w:tcPr>
          <w:p w14:paraId="21D248EF" w14:textId="77777777" w:rsidR="00CE2F0E" w:rsidRPr="000D61D1" w:rsidRDefault="00CE2F0E" w:rsidP="00CE2F0E">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Month FX</w:t>
            </w:r>
          </w:p>
        </w:tc>
        <w:tc>
          <w:tcPr>
            <w:tcW w:w="1006" w:type="pct"/>
            <w:tcBorders>
              <w:top w:val="nil"/>
              <w:left w:val="nil"/>
              <w:bottom w:val="nil"/>
              <w:right w:val="nil"/>
            </w:tcBorders>
          </w:tcPr>
          <w:p w14:paraId="1B44CF85"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006" w:type="pct"/>
            <w:tcBorders>
              <w:top w:val="nil"/>
              <w:left w:val="nil"/>
              <w:bottom w:val="nil"/>
              <w:right w:val="nil"/>
            </w:tcBorders>
          </w:tcPr>
          <w:p w14:paraId="39D9DADD"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006" w:type="pct"/>
            <w:tcBorders>
              <w:top w:val="nil"/>
              <w:left w:val="nil"/>
              <w:bottom w:val="nil"/>
              <w:right w:val="nil"/>
            </w:tcBorders>
          </w:tcPr>
          <w:p w14:paraId="75AE16F1"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c>
          <w:tcPr>
            <w:tcW w:w="1006" w:type="pct"/>
            <w:tcBorders>
              <w:top w:val="nil"/>
              <w:left w:val="nil"/>
              <w:bottom w:val="nil"/>
              <w:right w:val="nil"/>
            </w:tcBorders>
          </w:tcPr>
          <w:p w14:paraId="32B30068"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YES</w:t>
            </w:r>
          </w:p>
        </w:tc>
      </w:tr>
      <w:tr w:rsidR="00CE2F0E" w:rsidRPr="000D61D1" w14:paraId="0281F69E" w14:textId="77777777" w:rsidTr="000C531F">
        <w:trPr>
          <w:jc w:val="center"/>
        </w:trPr>
        <w:tc>
          <w:tcPr>
            <w:tcW w:w="976" w:type="pct"/>
            <w:tcBorders>
              <w:top w:val="nil"/>
              <w:left w:val="nil"/>
              <w:bottom w:val="nil"/>
              <w:right w:val="nil"/>
            </w:tcBorders>
          </w:tcPr>
          <w:p w14:paraId="1F929A10" w14:textId="77777777" w:rsidR="00CE2F0E" w:rsidRPr="000D61D1" w:rsidRDefault="00CE2F0E" w:rsidP="00CE2F0E">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Observations</w:t>
            </w:r>
          </w:p>
        </w:tc>
        <w:tc>
          <w:tcPr>
            <w:tcW w:w="1006" w:type="pct"/>
            <w:tcBorders>
              <w:top w:val="nil"/>
              <w:left w:val="nil"/>
              <w:bottom w:val="nil"/>
              <w:right w:val="nil"/>
            </w:tcBorders>
          </w:tcPr>
          <w:p w14:paraId="562D0824"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143</w:t>
            </w:r>
          </w:p>
        </w:tc>
        <w:tc>
          <w:tcPr>
            <w:tcW w:w="1006" w:type="pct"/>
            <w:tcBorders>
              <w:top w:val="nil"/>
              <w:left w:val="nil"/>
              <w:bottom w:val="nil"/>
              <w:right w:val="nil"/>
            </w:tcBorders>
          </w:tcPr>
          <w:p w14:paraId="189E2CFD"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143</w:t>
            </w:r>
          </w:p>
        </w:tc>
        <w:tc>
          <w:tcPr>
            <w:tcW w:w="1006" w:type="pct"/>
            <w:tcBorders>
              <w:top w:val="nil"/>
              <w:left w:val="nil"/>
              <w:bottom w:val="nil"/>
              <w:right w:val="nil"/>
            </w:tcBorders>
          </w:tcPr>
          <w:p w14:paraId="0730AC92"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132</w:t>
            </w:r>
          </w:p>
        </w:tc>
        <w:tc>
          <w:tcPr>
            <w:tcW w:w="1006" w:type="pct"/>
            <w:tcBorders>
              <w:top w:val="nil"/>
              <w:left w:val="nil"/>
              <w:bottom w:val="nil"/>
              <w:right w:val="nil"/>
            </w:tcBorders>
          </w:tcPr>
          <w:p w14:paraId="71591B87"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132</w:t>
            </w:r>
          </w:p>
        </w:tc>
      </w:tr>
      <w:tr w:rsidR="00CE2F0E" w:rsidRPr="000D61D1" w14:paraId="5F44E0F4" w14:textId="77777777" w:rsidTr="000C531F">
        <w:tblPrEx>
          <w:tblBorders>
            <w:bottom w:val="single" w:sz="6" w:space="0" w:color="auto"/>
          </w:tblBorders>
        </w:tblPrEx>
        <w:trPr>
          <w:jc w:val="center"/>
        </w:trPr>
        <w:tc>
          <w:tcPr>
            <w:tcW w:w="976" w:type="pct"/>
            <w:tcBorders>
              <w:top w:val="nil"/>
              <w:left w:val="nil"/>
              <w:bottom w:val="nil"/>
              <w:right w:val="nil"/>
            </w:tcBorders>
          </w:tcPr>
          <w:p w14:paraId="4EDEC684" w14:textId="77777777" w:rsidR="00CE2F0E" w:rsidRPr="000D61D1" w:rsidRDefault="00CE2F0E" w:rsidP="00CE2F0E">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t>R-squared</w:t>
            </w:r>
          </w:p>
        </w:tc>
        <w:tc>
          <w:tcPr>
            <w:tcW w:w="1006" w:type="pct"/>
            <w:tcBorders>
              <w:top w:val="nil"/>
              <w:left w:val="nil"/>
              <w:bottom w:val="nil"/>
              <w:right w:val="nil"/>
            </w:tcBorders>
          </w:tcPr>
          <w:p w14:paraId="53729BDB"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0.366</w:t>
            </w:r>
          </w:p>
        </w:tc>
        <w:tc>
          <w:tcPr>
            <w:tcW w:w="1006" w:type="pct"/>
            <w:tcBorders>
              <w:top w:val="nil"/>
              <w:left w:val="nil"/>
              <w:bottom w:val="nil"/>
              <w:right w:val="nil"/>
            </w:tcBorders>
          </w:tcPr>
          <w:p w14:paraId="6ED21299"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0.371</w:t>
            </w:r>
          </w:p>
        </w:tc>
        <w:tc>
          <w:tcPr>
            <w:tcW w:w="1006" w:type="pct"/>
            <w:tcBorders>
              <w:top w:val="nil"/>
              <w:left w:val="nil"/>
              <w:bottom w:val="nil"/>
              <w:right w:val="nil"/>
            </w:tcBorders>
          </w:tcPr>
          <w:p w14:paraId="0C2062F5"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0.517</w:t>
            </w:r>
          </w:p>
        </w:tc>
        <w:tc>
          <w:tcPr>
            <w:tcW w:w="1006" w:type="pct"/>
            <w:tcBorders>
              <w:top w:val="nil"/>
              <w:left w:val="nil"/>
              <w:bottom w:val="nil"/>
              <w:right w:val="nil"/>
            </w:tcBorders>
          </w:tcPr>
          <w:p w14:paraId="51810FB8"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0.517</w:t>
            </w:r>
          </w:p>
        </w:tc>
      </w:tr>
      <w:tr w:rsidR="00CE2F0E" w:rsidRPr="000D61D1" w14:paraId="4C2F735E" w14:textId="77777777" w:rsidTr="000C531F">
        <w:tblPrEx>
          <w:tblBorders>
            <w:bottom w:val="single" w:sz="6" w:space="0" w:color="auto"/>
          </w:tblBorders>
        </w:tblPrEx>
        <w:trPr>
          <w:jc w:val="center"/>
        </w:trPr>
        <w:tc>
          <w:tcPr>
            <w:tcW w:w="976" w:type="pct"/>
            <w:tcBorders>
              <w:top w:val="nil"/>
              <w:left w:val="nil"/>
              <w:bottom w:val="single" w:sz="6" w:space="0" w:color="auto"/>
              <w:right w:val="nil"/>
            </w:tcBorders>
          </w:tcPr>
          <w:p w14:paraId="7076EC0B" w14:textId="77777777" w:rsidR="00CE2F0E" w:rsidRPr="000D61D1" w:rsidRDefault="00CE2F0E" w:rsidP="00CE2F0E">
            <w:pPr>
              <w:widowControl w:val="0"/>
              <w:autoSpaceDE w:val="0"/>
              <w:autoSpaceDN w:val="0"/>
              <w:adjustRightInd w:val="0"/>
              <w:spacing w:after="0"/>
              <w:rPr>
                <w:rFonts w:cstheme="minorHAnsi"/>
                <w:sz w:val="22"/>
                <w:szCs w:val="22"/>
                <w:lang w:val="en-AU"/>
              </w:rPr>
            </w:pPr>
            <w:r w:rsidRPr="000D61D1">
              <w:rPr>
                <w:rFonts w:cstheme="minorHAnsi"/>
                <w:sz w:val="22"/>
                <w:szCs w:val="22"/>
                <w:lang w:val="en-AU"/>
              </w:rPr>
              <w:lastRenderedPageBreak/>
              <w:t>Reform VIF</w:t>
            </w:r>
          </w:p>
        </w:tc>
        <w:tc>
          <w:tcPr>
            <w:tcW w:w="1006" w:type="pct"/>
            <w:tcBorders>
              <w:top w:val="nil"/>
              <w:left w:val="nil"/>
              <w:bottom w:val="single" w:sz="6" w:space="0" w:color="auto"/>
              <w:right w:val="nil"/>
            </w:tcBorders>
          </w:tcPr>
          <w:p w14:paraId="1D4A686B"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3.4</w:t>
            </w:r>
          </w:p>
        </w:tc>
        <w:tc>
          <w:tcPr>
            <w:tcW w:w="1006" w:type="pct"/>
            <w:tcBorders>
              <w:top w:val="nil"/>
              <w:left w:val="nil"/>
              <w:bottom w:val="single" w:sz="6" w:space="0" w:color="auto"/>
              <w:right w:val="nil"/>
            </w:tcBorders>
          </w:tcPr>
          <w:p w14:paraId="4A94A59D"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3.7</w:t>
            </w:r>
          </w:p>
        </w:tc>
        <w:tc>
          <w:tcPr>
            <w:tcW w:w="1006" w:type="pct"/>
            <w:tcBorders>
              <w:top w:val="nil"/>
              <w:left w:val="nil"/>
              <w:bottom w:val="single" w:sz="6" w:space="0" w:color="auto"/>
              <w:right w:val="nil"/>
            </w:tcBorders>
          </w:tcPr>
          <w:p w14:paraId="43A26295"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4.3</w:t>
            </w:r>
          </w:p>
        </w:tc>
        <w:tc>
          <w:tcPr>
            <w:tcW w:w="1006" w:type="pct"/>
            <w:tcBorders>
              <w:top w:val="nil"/>
              <w:left w:val="nil"/>
              <w:bottom w:val="single" w:sz="6" w:space="0" w:color="auto"/>
              <w:right w:val="nil"/>
            </w:tcBorders>
          </w:tcPr>
          <w:p w14:paraId="47ACD335" w14:textId="77777777" w:rsidR="00CE2F0E" w:rsidRPr="000D61D1" w:rsidRDefault="00CE2F0E" w:rsidP="00CE2F0E">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4.4</w:t>
            </w:r>
          </w:p>
        </w:tc>
      </w:tr>
    </w:tbl>
    <w:p w14:paraId="5369B231" w14:textId="740D6BFA" w:rsidR="003B2189" w:rsidRPr="000D61D1" w:rsidRDefault="003B2189" w:rsidP="003B2189">
      <w:pPr>
        <w:widowControl w:val="0"/>
        <w:autoSpaceDE w:val="0"/>
        <w:autoSpaceDN w:val="0"/>
        <w:adjustRightInd w:val="0"/>
        <w:spacing w:after="0"/>
        <w:jc w:val="center"/>
        <w:rPr>
          <w:rFonts w:cstheme="minorHAnsi"/>
          <w:sz w:val="22"/>
          <w:szCs w:val="22"/>
          <w:lang w:val="en-AU"/>
        </w:rPr>
      </w:pPr>
      <w:r w:rsidRPr="000D61D1">
        <w:rPr>
          <w:rFonts w:cstheme="minorHAnsi"/>
          <w:sz w:val="22"/>
          <w:szCs w:val="22"/>
          <w:lang w:val="en-AU"/>
        </w:rPr>
        <w:t>Robust standard errors in brackets</w:t>
      </w:r>
      <w:r w:rsidR="00CE2F0E" w:rsidRPr="000D61D1">
        <w:rPr>
          <w:rFonts w:cstheme="minorHAnsi"/>
          <w:sz w:val="22"/>
          <w:szCs w:val="22"/>
          <w:lang w:val="en-AU"/>
        </w:rPr>
        <w:t>,</w:t>
      </w:r>
      <w:r w:rsidRPr="000D61D1">
        <w:rPr>
          <w:rFonts w:cstheme="minorHAnsi"/>
          <w:sz w:val="22"/>
          <w:szCs w:val="22"/>
          <w:lang w:val="en-AU"/>
        </w:rPr>
        <w:t xml:space="preserve"> *** p&lt;0.01, ** p&lt;0.05, * p&lt;0.1</w:t>
      </w:r>
      <w:r w:rsidR="00CE2F0E" w:rsidRPr="000D61D1">
        <w:rPr>
          <w:rFonts w:cstheme="minorHAnsi"/>
          <w:sz w:val="22"/>
          <w:szCs w:val="22"/>
          <w:lang w:val="en-AU"/>
        </w:rPr>
        <w:t>, Constant not reported</w:t>
      </w:r>
    </w:p>
    <w:p w14:paraId="6A232CBC" w14:textId="77777777" w:rsidR="000D52D4" w:rsidRPr="000D61D1" w:rsidRDefault="000D52D4" w:rsidP="000D52D4">
      <w:pPr>
        <w:pStyle w:val="Caption"/>
        <w:rPr>
          <w:rFonts w:cstheme="minorHAnsi"/>
          <w:sz w:val="22"/>
          <w:szCs w:val="22"/>
          <w:lang w:val="en-AU"/>
        </w:rPr>
      </w:pPr>
    </w:p>
    <w:bookmarkEnd w:id="49"/>
    <w:p w14:paraId="053D448F" w14:textId="77777777" w:rsidR="000D52D4" w:rsidRPr="000D61D1" w:rsidRDefault="000D52D4" w:rsidP="0016647F">
      <w:pPr>
        <w:rPr>
          <w:lang w:val="en-AU"/>
        </w:rPr>
      </w:pPr>
    </w:p>
    <w:p w14:paraId="7917DC3F" w14:textId="77777777" w:rsidR="0016647F" w:rsidRPr="000D61D1" w:rsidRDefault="0016647F" w:rsidP="001922CF">
      <w:pPr>
        <w:pStyle w:val="Heading3"/>
        <w:rPr>
          <w:lang w:val="en-AU"/>
        </w:rPr>
      </w:pPr>
      <w:bookmarkStart w:id="50" w:name="_Toc43911486"/>
      <w:r w:rsidRPr="000D61D1">
        <w:rPr>
          <w:lang w:val="en-AU"/>
        </w:rPr>
        <w:t>Discussion</w:t>
      </w:r>
      <w:bookmarkEnd w:id="50"/>
      <w:r w:rsidRPr="000D61D1">
        <w:rPr>
          <w:lang w:val="en-AU"/>
        </w:rPr>
        <w:t xml:space="preserve"> </w:t>
      </w:r>
    </w:p>
    <w:p w14:paraId="75ABB736" w14:textId="535F1ED5" w:rsidR="00CD4BA6" w:rsidRPr="000D61D1" w:rsidRDefault="00A867F5" w:rsidP="0016647F">
      <w:pPr>
        <w:rPr>
          <w:lang w:val="en-AU"/>
        </w:rPr>
      </w:pPr>
      <w:r w:rsidRPr="000D61D1">
        <w:rPr>
          <w:lang w:val="en-AU"/>
        </w:rPr>
        <w:t>Taking these results at face value</w:t>
      </w:r>
      <w:r w:rsidR="00A07A02" w:rsidRPr="000D61D1">
        <w:rPr>
          <w:lang w:val="en-AU"/>
        </w:rPr>
        <w:t>,</w:t>
      </w:r>
      <w:r w:rsidRPr="000D61D1">
        <w:rPr>
          <w:lang w:val="en-AU"/>
        </w:rPr>
        <w:t xml:space="preserve"> they show that the new tax system in the ACT has modestly increased property prices and reduced overall sale numbers</w:t>
      </w:r>
      <w:r w:rsidR="00A07A02" w:rsidRPr="000D61D1">
        <w:rPr>
          <w:lang w:val="en-AU"/>
        </w:rPr>
        <w:t>.</w:t>
      </w:r>
      <w:r w:rsidRPr="000D61D1">
        <w:rPr>
          <w:lang w:val="en-AU"/>
        </w:rPr>
        <w:t xml:space="preserve"> </w:t>
      </w:r>
      <w:r w:rsidR="00C76E8D" w:rsidRPr="000D61D1">
        <w:rPr>
          <w:lang w:val="en-AU"/>
        </w:rPr>
        <w:t>Consequently</w:t>
      </w:r>
      <w:r w:rsidR="00A07A02" w:rsidRPr="000D61D1">
        <w:rPr>
          <w:lang w:val="en-AU"/>
        </w:rPr>
        <w:t>, this has</w:t>
      </w:r>
      <w:r w:rsidRPr="000D61D1">
        <w:rPr>
          <w:lang w:val="en-AU"/>
        </w:rPr>
        <w:t xml:space="preserve"> reduced the economic size of the housing market slightly</w:t>
      </w:r>
      <w:r w:rsidR="00C975F1" w:rsidRPr="000D61D1">
        <w:rPr>
          <w:lang w:val="en-AU"/>
        </w:rPr>
        <w:t>.</w:t>
      </w:r>
      <w:r w:rsidR="00CD6A85" w:rsidRPr="000D61D1">
        <w:rPr>
          <w:lang w:val="en-AU"/>
        </w:rPr>
        <w:t xml:space="preserve"> We will discuss the limitations and caveats of these results in this section. We start buy summarizing the findings of the </w:t>
      </w:r>
      <w:r w:rsidR="005060E0" w:rsidRPr="000D61D1">
        <w:rPr>
          <w:lang w:val="en-AU"/>
        </w:rPr>
        <w:t>previous</w:t>
      </w:r>
      <w:r w:rsidR="00CD6A85" w:rsidRPr="000D61D1">
        <w:rPr>
          <w:lang w:val="en-AU"/>
        </w:rPr>
        <w:t xml:space="preserve"> section in more detail. </w:t>
      </w:r>
    </w:p>
    <w:p w14:paraId="6E7BF74C" w14:textId="01DA6895" w:rsidR="003A02ED" w:rsidRDefault="00CD6A85" w:rsidP="0016647F">
      <w:pPr>
        <w:rPr>
          <w:lang w:val="en-AU"/>
        </w:rPr>
      </w:pPr>
      <w:r w:rsidRPr="000D61D1">
        <w:rPr>
          <w:lang w:val="en-AU"/>
        </w:rPr>
        <w:t>Looking at</w:t>
      </w:r>
      <w:r w:rsidR="001C7868" w:rsidRPr="000D61D1">
        <w:rPr>
          <w:lang w:val="en-AU"/>
        </w:rPr>
        <w:t xml:space="preserve"> the economic effect of the reform on the housing market</w:t>
      </w:r>
      <w:r w:rsidR="00C039F6" w:rsidRPr="000D61D1">
        <w:rPr>
          <w:lang w:val="en-AU"/>
        </w:rPr>
        <w:t>,</w:t>
      </w:r>
      <w:r w:rsidR="001C7868" w:rsidRPr="000D61D1">
        <w:rPr>
          <w:lang w:val="en-AU"/>
        </w:rPr>
        <w:t xml:space="preserve"> we find evidence </w:t>
      </w:r>
      <w:r w:rsidR="00C039F6" w:rsidRPr="000D61D1">
        <w:rPr>
          <w:lang w:val="en-AU"/>
        </w:rPr>
        <w:t xml:space="preserve">of </w:t>
      </w:r>
      <w:r w:rsidR="001C7868" w:rsidRPr="000D61D1">
        <w:rPr>
          <w:lang w:val="en-AU"/>
        </w:rPr>
        <w:t xml:space="preserve">a small reduction </w:t>
      </w:r>
      <w:r w:rsidR="00C039F6" w:rsidRPr="000D61D1">
        <w:rPr>
          <w:lang w:val="en-AU"/>
        </w:rPr>
        <w:t xml:space="preserve">in the value of total sales </w:t>
      </w:r>
      <w:r w:rsidR="009B0FD7" w:rsidRPr="000D61D1">
        <w:rPr>
          <w:lang w:val="en-AU"/>
        </w:rPr>
        <w:t xml:space="preserve">(the sum of </w:t>
      </w:r>
      <w:r w:rsidR="00D454FD" w:rsidRPr="000D61D1">
        <w:rPr>
          <w:lang w:val="en-AU"/>
        </w:rPr>
        <w:t xml:space="preserve">the value of </w:t>
      </w:r>
      <w:r w:rsidR="009B0FD7" w:rsidRPr="000D61D1">
        <w:rPr>
          <w:lang w:val="en-AU"/>
        </w:rPr>
        <w:t xml:space="preserve">all sales) </w:t>
      </w:r>
      <w:r w:rsidR="00D454FD" w:rsidRPr="000D61D1">
        <w:rPr>
          <w:lang w:val="en-AU"/>
        </w:rPr>
        <w:t xml:space="preserve">ranging from no effect to </w:t>
      </w:r>
      <w:r w:rsidR="001513AA" w:rsidRPr="000D61D1">
        <w:rPr>
          <w:lang w:val="en-AU"/>
        </w:rPr>
        <w:t xml:space="preserve">about </w:t>
      </w:r>
      <w:r w:rsidR="001C7868" w:rsidRPr="000D61D1">
        <w:rPr>
          <w:lang w:val="en-AU"/>
        </w:rPr>
        <w:t>5%</w:t>
      </w:r>
      <w:r w:rsidR="00D454FD" w:rsidRPr="000D61D1">
        <w:rPr>
          <w:lang w:val="en-AU"/>
        </w:rPr>
        <w:t xml:space="preserve"> (depending on the specification).</w:t>
      </w:r>
      <w:r w:rsidR="001C7868" w:rsidRPr="000D61D1">
        <w:rPr>
          <w:lang w:val="en-AU"/>
        </w:rPr>
        <w:t xml:space="preserve"> In the unit market </w:t>
      </w:r>
      <w:r w:rsidR="008E2C12" w:rsidRPr="000D61D1">
        <w:rPr>
          <w:lang w:val="en-AU"/>
        </w:rPr>
        <w:t>total sales decreased by</w:t>
      </w:r>
      <w:r w:rsidR="001C7868" w:rsidRPr="000D61D1">
        <w:rPr>
          <w:lang w:val="en-AU"/>
        </w:rPr>
        <w:t xml:space="preserve"> about 20%</w:t>
      </w:r>
      <w:r w:rsidR="00F97CAB" w:rsidRPr="000D61D1">
        <w:rPr>
          <w:lang w:val="en-AU"/>
        </w:rPr>
        <w:t xml:space="preserve"> to 24%</w:t>
      </w:r>
      <w:r w:rsidR="00740D1A" w:rsidRPr="000D61D1">
        <w:rPr>
          <w:lang w:val="en-AU"/>
        </w:rPr>
        <w:t xml:space="preserve">. </w:t>
      </w:r>
      <w:r w:rsidR="003A02ED">
        <w:rPr>
          <w:lang w:val="en-AU"/>
        </w:rPr>
        <w:t>While the point estimates vary a lot for both house and unit</w:t>
      </w:r>
      <w:r w:rsidR="003F5D4A">
        <w:rPr>
          <w:lang w:val="en-AU"/>
        </w:rPr>
        <w:t xml:space="preserve"> regressions across</w:t>
      </w:r>
      <w:r w:rsidR="003A02ED">
        <w:rPr>
          <w:lang w:val="en-AU"/>
        </w:rPr>
        <w:t xml:space="preserve"> </w:t>
      </w:r>
      <w:r w:rsidR="003F5D4A">
        <w:rPr>
          <w:lang w:val="en-AU"/>
        </w:rPr>
        <w:t>specifications</w:t>
      </w:r>
      <w:r w:rsidR="003A02ED">
        <w:rPr>
          <w:lang w:val="en-AU"/>
        </w:rPr>
        <w:t xml:space="preserve">, we do get consistently negative results. This is true across specifications, data sets and a variety of counterfactuals. </w:t>
      </w:r>
      <w:proofErr w:type="gramStart"/>
      <w:r w:rsidR="003A02ED">
        <w:rPr>
          <w:lang w:val="en-AU"/>
        </w:rPr>
        <w:t>In particular the</w:t>
      </w:r>
      <w:proofErr w:type="gramEnd"/>
      <w:r w:rsidR="003A02ED">
        <w:rPr>
          <w:lang w:val="en-AU"/>
        </w:rPr>
        <w:t xml:space="preserve"> latter fact makes us confident that we are observing a non-spurious result in the weak conclusion that the effect of the tax reform is non-positive in nature. </w:t>
      </w:r>
    </w:p>
    <w:p w14:paraId="388595BF" w14:textId="291D293D" w:rsidR="003A02ED" w:rsidRDefault="00F3280B" w:rsidP="0016647F">
      <w:pPr>
        <w:rPr>
          <w:lang w:val="en-AU"/>
        </w:rPr>
      </w:pPr>
      <w:r>
        <w:rPr>
          <w:lang w:val="en-AU"/>
        </w:rPr>
        <w:t xml:space="preserve">These results </w:t>
      </w:r>
      <w:r w:rsidR="003A02ED">
        <w:rPr>
          <w:lang w:val="en-AU"/>
        </w:rPr>
        <w:t xml:space="preserve">on the overall property market </w:t>
      </w:r>
      <w:r>
        <w:rPr>
          <w:lang w:val="en-AU"/>
        </w:rPr>
        <w:t xml:space="preserve">are driven by </w:t>
      </w:r>
      <w:r w:rsidR="00A356E9" w:rsidRPr="000D61D1">
        <w:rPr>
          <w:lang w:val="en-AU"/>
        </w:rPr>
        <w:t xml:space="preserve">the number of sales. The number of house sales </w:t>
      </w:r>
      <w:r w:rsidR="008E2C12" w:rsidRPr="000D61D1">
        <w:rPr>
          <w:lang w:val="en-AU"/>
        </w:rPr>
        <w:t>declined</w:t>
      </w:r>
      <w:r w:rsidR="00A356E9" w:rsidRPr="000D61D1">
        <w:rPr>
          <w:lang w:val="en-AU"/>
        </w:rPr>
        <w:t xml:space="preserve"> by 6</w:t>
      </w:r>
      <w:r w:rsidR="007100DF" w:rsidRPr="000D61D1">
        <w:rPr>
          <w:lang w:val="en-AU"/>
        </w:rPr>
        <w:t xml:space="preserve"> to 7</w:t>
      </w:r>
      <w:r w:rsidR="00A356E9" w:rsidRPr="000D61D1">
        <w:rPr>
          <w:lang w:val="en-AU"/>
        </w:rPr>
        <w:t xml:space="preserve">% </w:t>
      </w:r>
      <w:r w:rsidR="008E2C12" w:rsidRPr="000D61D1">
        <w:rPr>
          <w:lang w:val="en-AU"/>
        </w:rPr>
        <w:t xml:space="preserve">and </w:t>
      </w:r>
      <w:r w:rsidR="00A356E9" w:rsidRPr="000D61D1">
        <w:rPr>
          <w:lang w:val="en-AU"/>
        </w:rPr>
        <w:t xml:space="preserve">unit sales </w:t>
      </w:r>
      <w:r w:rsidR="008E2C12" w:rsidRPr="000D61D1">
        <w:rPr>
          <w:lang w:val="en-AU"/>
        </w:rPr>
        <w:t xml:space="preserve">decreased </w:t>
      </w:r>
      <w:r w:rsidR="00A356E9" w:rsidRPr="000D61D1">
        <w:rPr>
          <w:lang w:val="en-AU"/>
        </w:rPr>
        <w:t xml:space="preserve">by </w:t>
      </w:r>
      <w:r w:rsidR="001513AA" w:rsidRPr="000D61D1">
        <w:rPr>
          <w:lang w:val="en-AU"/>
        </w:rPr>
        <w:t>2</w:t>
      </w:r>
      <w:r w:rsidR="007100DF" w:rsidRPr="000D61D1">
        <w:rPr>
          <w:lang w:val="en-AU"/>
        </w:rPr>
        <w:t>3</w:t>
      </w:r>
      <w:r w:rsidR="001513AA" w:rsidRPr="000D61D1">
        <w:rPr>
          <w:lang w:val="en-AU"/>
        </w:rPr>
        <w:t xml:space="preserve">% to </w:t>
      </w:r>
      <w:r w:rsidR="00A356E9" w:rsidRPr="000D61D1">
        <w:rPr>
          <w:lang w:val="en-AU"/>
        </w:rPr>
        <w:t xml:space="preserve">24%. The </w:t>
      </w:r>
      <w:r w:rsidR="001513AA" w:rsidRPr="000D61D1">
        <w:rPr>
          <w:lang w:val="en-AU"/>
        </w:rPr>
        <w:t xml:space="preserve">factors </w:t>
      </w:r>
      <w:r w:rsidR="00A356E9" w:rsidRPr="000D61D1">
        <w:rPr>
          <w:lang w:val="en-AU"/>
        </w:rPr>
        <w:t xml:space="preserve">driving the </w:t>
      </w:r>
      <w:r w:rsidR="008E2C12" w:rsidRPr="000D61D1">
        <w:rPr>
          <w:lang w:val="en-AU"/>
        </w:rPr>
        <w:t>reduction i</w:t>
      </w:r>
      <w:r w:rsidR="00A356E9" w:rsidRPr="000D61D1">
        <w:rPr>
          <w:lang w:val="en-AU"/>
        </w:rPr>
        <w:t xml:space="preserve">n the number of sales </w:t>
      </w:r>
      <w:r>
        <w:rPr>
          <w:lang w:val="en-AU"/>
        </w:rPr>
        <w:t>then also affect</w:t>
      </w:r>
      <w:r w:rsidR="008E2C12" w:rsidRPr="000D61D1">
        <w:rPr>
          <w:lang w:val="en-AU"/>
        </w:rPr>
        <w:t xml:space="preserve"> </w:t>
      </w:r>
      <w:r w:rsidR="00A356E9" w:rsidRPr="000D61D1">
        <w:rPr>
          <w:lang w:val="en-AU"/>
        </w:rPr>
        <w:t>the overall property market</w:t>
      </w:r>
      <w:r>
        <w:rPr>
          <w:lang w:val="en-AU"/>
        </w:rPr>
        <w:t xml:space="preserve"> as it is the product of the number of sales and prices</w:t>
      </w:r>
      <w:r w:rsidR="00A356E9" w:rsidRPr="000D61D1">
        <w:rPr>
          <w:lang w:val="en-AU"/>
        </w:rPr>
        <w:t>.</w:t>
      </w:r>
      <w:r>
        <w:rPr>
          <w:lang w:val="en-AU"/>
        </w:rPr>
        <w:t xml:space="preserve"> </w:t>
      </w:r>
    </w:p>
    <w:p w14:paraId="7AB36247" w14:textId="474F2675" w:rsidR="00CD4BA6" w:rsidRPr="000D61D1" w:rsidRDefault="00F3280B" w:rsidP="0016647F">
      <w:pPr>
        <w:rPr>
          <w:lang w:val="en-AU"/>
        </w:rPr>
      </w:pPr>
      <w:r>
        <w:rPr>
          <w:lang w:val="en-AU"/>
        </w:rPr>
        <w:t xml:space="preserve">The finding that the number of sales decreases, or at least does not </w:t>
      </w:r>
      <w:r w:rsidR="003A02ED">
        <w:rPr>
          <w:lang w:val="en-AU"/>
        </w:rPr>
        <w:t>increase</w:t>
      </w:r>
      <w:r>
        <w:rPr>
          <w:lang w:val="en-AU"/>
        </w:rPr>
        <w:t>, with reduction in stamp duty</w:t>
      </w:r>
      <w:r w:rsidR="00A356E9" w:rsidRPr="000D61D1">
        <w:rPr>
          <w:lang w:val="en-AU"/>
        </w:rPr>
        <w:t xml:space="preserve"> </w:t>
      </w:r>
      <w:r>
        <w:rPr>
          <w:lang w:val="en-AU"/>
        </w:rPr>
        <w:t>does not support the theoretical argument that a reduction in transaction cost</w:t>
      </w:r>
      <w:r w:rsidR="00D32F2D">
        <w:rPr>
          <w:lang w:val="en-AU"/>
        </w:rPr>
        <w:t>s</w:t>
      </w:r>
      <w:r>
        <w:rPr>
          <w:lang w:val="en-AU"/>
        </w:rPr>
        <w:t xml:space="preserve"> will eliminate inefficiencies in the market and lead to increased activity.</w:t>
      </w:r>
      <w:r w:rsidR="003A02ED">
        <w:rPr>
          <w:lang w:val="en-AU"/>
        </w:rPr>
        <w:t xml:space="preserve"> </w:t>
      </w:r>
      <w:r>
        <w:rPr>
          <w:lang w:val="en-AU"/>
        </w:rPr>
        <w:t xml:space="preserve">It </w:t>
      </w:r>
      <w:r w:rsidR="00A85096">
        <w:rPr>
          <w:lang w:val="en-AU"/>
        </w:rPr>
        <w:t>suggests</w:t>
      </w:r>
      <w:r>
        <w:rPr>
          <w:lang w:val="en-AU"/>
        </w:rPr>
        <w:t xml:space="preserve"> that the tax </w:t>
      </w:r>
      <w:r w:rsidR="003A02ED">
        <w:rPr>
          <w:lang w:val="en-AU"/>
        </w:rPr>
        <w:t>might</w:t>
      </w:r>
      <w:r>
        <w:rPr>
          <w:lang w:val="en-AU"/>
        </w:rPr>
        <w:t xml:space="preserve"> not play as big a role in the </w:t>
      </w:r>
      <w:r w:rsidR="003A02ED">
        <w:rPr>
          <w:lang w:val="en-AU"/>
        </w:rPr>
        <w:t xml:space="preserve">overall </w:t>
      </w:r>
      <w:r>
        <w:rPr>
          <w:lang w:val="en-AU"/>
        </w:rPr>
        <w:t xml:space="preserve">decision to buy/sell a house </w:t>
      </w:r>
      <w:r w:rsidR="003A02ED">
        <w:rPr>
          <w:lang w:val="en-AU"/>
        </w:rPr>
        <w:t xml:space="preserve">as previously </w:t>
      </w:r>
      <w:r w:rsidR="00D32F2D">
        <w:rPr>
          <w:lang w:val="en-AU"/>
        </w:rPr>
        <w:t>thought</w:t>
      </w:r>
      <w:r w:rsidR="003A02ED">
        <w:rPr>
          <w:lang w:val="en-AU"/>
        </w:rPr>
        <w:t xml:space="preserve">. This finding </w:t>
      </w:r>
      <w:r w:rsidR="00A85096">
        <w:rPr>
          <w:lang w:val="en-AU"/>
        </w:rPr>
        <w:t>warrants</w:t>
      </w:r>
      <w:r w:rsidR="003A02ED">
        <w:rPr>
          <w:lang w:val="en-AU"/>
        </w:rPr>
        <w:t xml:space="preserve"> further investigation. </w:t>
      </w:r>
    </w:p>
    <w:p w14:paraId="2B63885D" w14:textId="1B896CF1" w:rsidR="008E2C12" w:rsidRPr="000D61D1" w:rsidRDefault="00F3280B" w:rsidP="0016647F">
      <w:pPr>
        <w:rPr>
          <w:lang w:val="en-AU"/>
        </w:rPr>
      </w:pPr>
      <w:r>
        <w:rPr>
          <w:lang w:val="en-AU"/>
        </w:rPr>
        <w:t>The</w:t>
      </w:r>
      <w:r w:rsidR="003F5D4A">
        <w:rPr>
          <w:lang w:val="en-AU"/>
        </w:rPr>
        <w:t xml:space="preserve"> </w:t>
      </w:r>
      <w:proofErr w:type="spellStart"/>
      <w:r w:rsidR="003F5D4A">
        <w:rPr>
          <w:lang w:val="en-AU"/>
        </w:rPr>
        <w:t>Corel</w:t>
      </w:r>
      <w:r>
        <w:rPr>
          <w:lang w:val="en-AU"/>
        </w:rPr>
        <w:t>ogic</w:t>
      </w:r>
      <w:proofErr w:type="spellEnd"/>
      <w:r w:rsidRPr="000D61D1">
        <w:rPr>
          <w:lang w:val="en-AU"/>
        </w:rPr>
        <w:t xml:space="preserve"> </w:t>
      </w:r>
      <w:r w:rsidR="00686049" w:rsidRPr="000D61D1">
        <w:rPr>
          <w:lang w:val="en-AU"/>
        </w:rPr>
        <w:t xml:space="preserve">results </w:t>
      </w:r>
      <w:r w:rsidR="005C5998" w:rsidRPr="000D61D1">
        <w:rPr>
          <w:lang w:val="en-AU"/>
        </w:rPr>
        <w:t>suggest</w:t>
      </w:r>
      <w:r w:rsidR="00686049" w:rsidRPr="000D61D1">
        <w:rPr>
          <w:lang w:val="en-AU"/>
        </w:rPr>
        <w:t xml:space="preserve"> that</w:t>
      </w:r>
      <w:r w:rsidR="00A356E9" w:rsidRPr="000D61D1">
        <w:rPr>
          <w:lang w:val="en-AU"/>
        </w:rPr>
        <w:t xml:space="preserve"> property prices </w:t>
      </w:r>
      <w:r w:rsidR="005C5998" w:rsidRPr="000D61D1">
        <w:rPr>
          <w:lang w:val="en-AU"/>
        </w:rPr>
        <w:t>have not de</w:t>
      </w:r>
      <w:r w:rsidR="00E50F2E" w:rsidRPr="000D61D1">
        <w:rPr>
          <w:lang w:val="en-AU"/>
        </w:rPr>
        <w:t>crease</w:t>
      </w:r>
      <w:r w:rsidR="00686049" w:rsidRPr="000D61D1">
        <w:rPr>
          <w:lang w:val="en-AU"/>
        </w:rPr>
        <w:t>d</w:t>
      </w:r>
      <w:r w:rsidR="00E50F2E" w:rsidRPr="000D61D1">
        <w:rPr>
          <w:lang w:val="en-AU"/>
        </w:rPr>
        <w:t xml:space="preserve"> due to the reform. </w:t>
      </w:r>
      <w:r w:rsidR="007A10E8" w:rsidRPr="000D61D1">
        <w:rPr>
          <w:lang w:val="en-AU"/>
        </w:rPr>
        <w:t>H</w:t>
      </w:r>
      <w:r w:rsidR="00E50F2E" w:rsidRPr="000D61D1">
        <w:rPr>
          <w:lang w:val="en-AU"/>
        </w:rPr>
        <w:t xml:space="preserve">ouse prices </w:t>
      </w:r>
      <w:r w:rsidR="00686049" w:rsidRPr="000D61D1">
        <w:rPr>
          <w:lang w:val="en-AU"/>
        </w:rPr>
        <w:t>increased by</w:t>
      </w:r>
      <w:r w:rsidR="00E50F2E" w:rsidRPr="000D61D1">
        <w:rPr>
          <w:lang w:val="en-AU"/>
        </w:rPr>
        <w:t xml:space="preserve"> up to 9% due to the reform</w:t>
      </w:r>
      <w:r w:rsidR="00686049" w:rsidRPr="000D61D1">
        <w:rPr>
          <w:lang w:val="en-AU"/>
        </w:rPr>
        <w:t>,</w:t>
      </w:r>
      <w:r w:rsidR="00E50F2E" w:rsidRPr="000D61D1">
        <w:rPr>
          <w:lang w:val="en-AU"/>
        </w:rPr>
        <w:t xml:space="preserve"> </w:t>
      </w:r>
      <w:r w:rsidR="00686049" w:rsidRPr="000D61D1">
        <w:rPr>
          <w:lang w:val="en-AU"/>
        </w:rPr>
        <w:t>u</w:t>
      </w:r>
      <w:r w:rsidR="00E50F2E" w:rsidRPr="000D61D1">
        <w:rPr>
          <w:lang w:val="en-AU"/>
        </w:rPr>
        <w:t>nit prices increase</w:t>
      </w:r>
      <w:r w:rsidR="00686049" w:rsidRPr="000D61D1">
        <w:rPr>
          <w:lang w:val="en-AU"/>
        </w:rPr>
        <w:t>d</w:t>
      </w:r>
      <w:r w:rsidR="00E50F2E" w:rsidRPr="000D61D1">
        <w:rPr>
          <w:lang w:val="en-AU"/>
        </w:rPr>
        <w:t xml:space="preserve"> </w:t>
      </w:r>
      <w:r w:rsidR="00686049" w:rsidRPr="000D61D1">
        <w:rPr>
          <w:lang w:val="en-AU"/>
        </w:rPr>
        <w:t xml:space="preserve">by </w:t>
      </w:r>
      <w:r w:rsidR="00E50F2E" w:rsidRPr="000D61D1">
        <w:rPr>
          <w:lang w:val="en-AU"/>
        </w:rPr>
        <w:t xml:space="preserve">up to 4%. </w:t>
      </w:r>
      <w:r w:rsidR="00867645" w:rsidRPr="000D61D1">
        <w:rPr>
          <w:lang w:val="en-AU"/>
        </w:rPr>
        <w:t>This suggests that t</w:t>
      </w:r>
      <w:r w:rsidR="008E2C12" w:rsidRPr="000D61D1">
        <w:rPr>
          <w:lang w:val="en-AU"/>
        </w:rPr>
        <w:t>he increase in property prices ha</w:t>
      </w:r>
      <w:r w:rsidR="00867645" w:rsidRPr="000D61D1">
        <w:rPr>
          <w:lang w:val="en-AU"/>
        </w:rPr>
        <w:t>s</w:t>
      </w:r>
      <w:r w:rsidR="008E2C12" w:rsidRPr="000D61D1">
        <w:rPr>
          <w:lang w:val="en-AU"/>
        </w:rPr>
        <w:t xml:space="preserve"> </w:t>
      </w:r>
      <w:r w:rsidR="005C5998" w:rsidRPr="000D61D1">
        <w:rPr>
          <w:lang w:val="en-AU"/>
        </w:rPr>
        <w:t xml:space="preserve">likely </w:t>
      </w:r>
      <w:r w:rsidR="008E2C12" w:rsidRPr="000D61D1">
        <w:rPr>
          <w:lang w:val="en-AU"/>
        </w:rPr>
        <w:t xml:space="preserve">not improved housing affordability for </w:t>
      </w:r>
      <w:r w:rsidR="00CD6A85" w:rsidRPr="000D61D1">
        <w:rPr>
          <w:lang w:val="en-AU"/>
        </w:rPr>
        <w:t>prospective property owners</w:t>
      </w:r>
      <w:r w:rsidR="008E2C12" w:rsidRPr="000D61D1">
        <w:rPr>
          <w:lang w:val="en-AU"/>
        </w:rPr>
        <w:t>, despite the reductions in stamp duty.</w:t>
      </w:r>
    </w:p>
    <w:p w14:paraId="1C862BFA" w14:textId="0D1E7D88" w:rsidR="00BF258B" w:rsidRPr="000D61D1" w:rsidRDefault="00BF258B" w:rsidP="0016647F">
      <w:pPr>
        <w:rPr>
          <w:lang w:val="en-AU"/>
        </w:rPr>
      </w:pPr>
      <w:r w:rsidRPr="000D61D1">
        <w:rPr>
          <w:lang w:val="en-AU"/>
        </w:rPr>
        <w:t xml:space="preserve">We would expect the elimination of stamp duty to lift prices for purely mechanical reasons.  Pre-reform prices are not inclusive of stamp duty.  When stamp duty is removed, the removal of the tax wedge would lead buyers to pay a higher ex-tax price and sellers to receive a higher ex-tax price.  This mechanical effect is probably around </w:t>
      </w:r>
      <w:r w:rsidR="001F02DE" w:rsidRPr="000D61D1">
        <w:rPr>
          <w:lang w:val="en-AU"/>
        </w:rPr>
        <w:t>0.8</w:t>
      </w:r>
      <w:r w:rsidRPr="000D61D1">
        <w:rPr>
          <w:lang w:val="en-AU"/>
        </w:rPr>
        <w:t xml:space="preserve"> per cent at median house prices given the reduction in stamp duties for those houses</w:t>
      </w:r>
      <w:r w:rsidR="002333F6" w:rsidRPr="000D61D1">
        <w:rPr>
          <w:lang w:val="en-AU"/>
        </w:rPr>
        <w:t xml:space="preserve"> and the fact that most, if not all, of the tax incidence in Australia lies with the seller</w:t>
      </w:r>
      <w:r w:rsidR="00BD57D5" w:rsidRPr="000D61D1">
        <w:rPr>
          <w:rStyle w:val="FootnoteReference"/>
          <w:lang w:val="en-AU"/>
        </w:rPr>
        <w:footnoteReference w:id="14"/>
      </w:r>
      <w:r w:rsidRPr="000D61D1">
        <w:rPr>
          <w:lang w:val="en-AU"/>
        </w:rPr>
        <w:t>.</w:t>
      </w:r>
    </w:p>
    <w:p w14:paraId="6251D8CE" w14:textId="663C68D0" w:rsidR="00BF258B" w:rsidRPr="000D61D1" w:rsidRDefault="00BF258B" w:rsidP="0016647F">
      <w:pPr>
        <w:rPr>
          <w:lang w:val="en-AU"/>
        </w:rPr>
      </w:pPr>
      <w:r w:rsidRPr="000D61D1">
        <w:rPr>
          <w:lang w:val="en-AU"/>
        </w:rPr>
        <w:lastRenderedPageBreak/>
        <w:t xml:space="preserve">We may expect additional house price increases if buyers take the </w:t>
      </w:r>
      <w:r w:rsidR="002333F6" w:rsidRPr="000D61D1">
        <w:rPr>
          <w:lang w:val="en-AU"/>
        </w:rPr>
        <w:t xml:space="preserve">entire </w:t>
      </w:r>
      <w:r w:rsidRPr="000D61D1">
        <w:rPr>
          <w:lang w:val="en-AU"/>
        </w:rPr>
        <w:t xml:space="preserve">savings from stamp duty and use it to spend more money on a property. This would have the effect of buyers purchasing more expensive houses and could also push prices up for all buyers. </w:t>
      </w:r>
    </w:p>
    <w:p w14:paraId="5BA1161C" w14:textId="7CFB5E1F" w:rsidR="00A61B04" w:rsidRPr="000D61D1" w:rsidRDefault="0011794E" w:rsidP="005E74B2">
      <w:pPr>
        <w:rPr>
          <w:lang w:val="en-AU"/>
        </w:rPr>
      </w:pPr>
      <w:r w:rsidRPr="0011794E">
        <w:rPr>
          <w:lang w:val="en-AU"/>
        </w:rPr>
        <w:t xml:space="preserve">The even higher increase in prices, observed in some specifications, might make sense when we think about credit constraints in the property market. If some banks treat the cost for the house differently and separately to the cost of the stamp duty, then these amounts are not fully fungible. A prospective property buyer will only need to come up with the minimum deposit proportion of a higher house price and therefore, with the stamp duty reductions, has now the opportunity to use the saved tax amount to buy a proportionally much more expensive house.  While this could lead to house price increases of 9 per cent, that number seems to be at the very upper limit of what is conceivable. In the </w:t>
      </w:r>
      <w:proofErr w:type="spellStart"/>
      <w:r w:rsidRPr="0011794E">
        <w:rPr>
          <w:lang w:val="en-AU"/>
        </w:rPr>
        <w:t>modeling</w:t>
      </w:r>
      <w:proofErr w:type="spellEnd"/>
      <w:r w:rsidRPr="0011794E">
        <w:rPr>
          <w:lang w:val="en-AU"/>
        </w:rPr>
        <w:t xml:space="preserve"> of Part I above, scenario 2 uses a 1.7 per cent increase for properties, which </w:t>
      </w:r>
      <w:proofErr w:type="spellStart"/>
      <w:r w:rsidRPr="0011794E">
        <w:rPr>
          <w:lang w:val="en-AU"/>
        </w:rPr>
        <w:t>wasis</w:t>
      </w:r>
      <w:proofErr w:type="spellEnd"/>
      <w:r w:rsidRPr="0011794E">
        <w:rPr>
          <w:lang w:val="en-AU"/>
        </w:rPr>
        <w:t xml:space="preserve"> a weighted </w:t>
      </w:r>
      <w:proofErr w:type="spellStart"/>
      <w:r w:rsidRPr="0011794E">
        <w:rPr>
          <w:lang w:val="en-AU"/>
        </w:rPr>
        <w:t>everage</w:t>
      </w:r>
      <w:proofErr w:type="spellEnd"/>
      <w:r w:rsidRPr="0011794E">
        <w:rPr>
          <w:lang w:val="en-AU"/>
        </w:rPr>
        <w:t xml:space="preserve"> of the 2.1 per cent increase for housing which we estimate when comparing Canberra to the control group of capital cities; and the 0.2% price increase for units. These cities have more in common with Canberra than regional Australia. We also model the effect of the 0.8 per cent mechanical effect. calculated by TTPI for all properties (units and houses), as the base data used in the NATSEM analysis could not differentiate these two types of </w:t>
      </w:r>
      <w:proofErr w:type="spellStart"/>
      <w:proofErr w:type="gramStart"/>
      <w:r w:rsidRPr="0011794E">
        <w:rPr>
          <w:lang w:val="en-AU"/>
        </w:rPr>
        <w:t>housing.</w:t>
      </w:r>
      <w:r w:rsidR="00A44EEF" w:rsidRPr="000D61D1">
        <w:rPr>
          <w:lang w:val="en-AU"/>
        </w:rPr>
        <w:t>Rental</w:t>
      </w:r>
      <w:proofErr w:type="spellEnd"/>
      <w:proofErr w:type="gramEnd"/>
      <w:r w:rsidR="00A44EEF" w:rsidRPr="000D61D1">
        <w:rPr>
          <w:lang w:val="en-AU"/>
        </w:rPr>
        <w:t xml:space="preserve"> affordability </w:t>
      </w:r>
      <w:r w:rsidR="008E2C12" w:rsidRPr="000D61D1">
        <w:rPr>
          <w:lang w:val="en-AU"/>
        </w:rPr>
        <w:t>however,</w:t>
      </w:r>
      <w:r w:rsidR="00867645" w:rsidRPr="000D61D1">
        <w:rPr>
          <w:lang w:val="en-AU"/>
        </w:rPr>
        <w:t xml:space="preserve"> </w:t>
      </w:r>
      <w:r w:rsidR="00A44EEF" w:rsidRPr="000D61D1">
        <w:rPr>
          <w:lang w:val="en-AU"/>
        </w:rPr>
        <w:t>has improved with the reform. For both unit</w:t>
      </w:r>
      <w:r w:rsidR="008E2C12" w:rsidRPr="000D61D1">
        <w:rPr>
          <w:lang w:val="en-AU"/>
        </w:rPr>
        <w:t>s</w:t>
      </w:r>
      <w:r w:rsidR="00A44EEF" w:rsidRPr="000D61D1">
        <w:rPr>
          <w:lang w:val="en-AU"/>
        </w:rPr>
        <w:t xml:space="preserve"> and house</w:t>
      </w:r>
      <w:r w:rsidR="008E2C12" w:rsidRPr="000D61D1">
        <w:rPr>
          <w:lang w:val="en-AU"/>
        </w:rPr>
        <w:t>s,</w:t>
      </w:r>
      <w:r w:rsidR="00A44EEF" w:rsidRPr="000D61D1">
        <w:rPr>
          <w:lang w:val="en-AU"/>
        </w:rPr>
        <w:t xml:space="preserve"> rental prices have </w:t>
      </w:r>
      <w:r w:rsidR="008E2C12" w:rsidRPr="000D61D1">
        <w:rPr>
          <w:lang w:val="en-AU"/>
        </w:rPr>
        <w:t>decreased</w:t>
      </w:r>
      <w:r w:rsidR="00A44EEF" w:rsidRPr="000D61D1">
        <w:rPr>
          <w:lang w:val="en-AU"/>
        </w:rPr>
        <w:t xml:space="preserve"> with the introduction of the reform. The effect </w:t>
      </w:r>
      <w:r w:rsidR="00A61B04" w:rsidRPr="000D61D1">
        <w:rPr>
          <w:lang w:val="en-AU"/>
        </w:rPr>
        <w:t>is</w:t>
      </w:r>
      <w:r w:rsidR="00A44EEF" w:rsidRPr="000D61D1">
        <w:rPr>
          <w:lang w:val="en-AU"/>
        </w:rPr>
        <w:t xml:space="preserve"> small</w:t>
      </w:r>
      <w:r w:rsidR="00A61B04" w:rsidRPr="000D61D1">
        <w:rPr>
          <w:lang w:val="en-AU"/>
        </w:rPr>
        <w:t>er for houses than for units</w:t>
      </w:r>
      <w:r w:rsidR="008E2C12" w:rsidRPr="000D61D1">
        <w:rPr>
          <w:lang w:val="en-AU"/>
        </w:rPr>
        <w:t>,</w:t>
      </w:r>
      <w:r w:rsidR="00A61B04" w:rsidRPr="000D61D1">
        <w:rPr>
          <w:lang w:val="en-AU"/>
        </w:rPr>
        <w:t xml:space="preserve"> </w:t>
      </w:r>
      <w:r w:rsidR="000236D7" w:rsidRPr="000D61D1">
        <w:rPr>
          <w:lang w:val="en-AU"/>
        </w:rPr>
        <w:t xml:space="preserve">but the </w:t>
      </w:r>
      <w:r w:rsidR="00A30CBB" w:rsidRPr="000D61D1">
        <w:rPr>
          <w:lang w:val="en-AU"/>
        </w:rPr>
        <w:t xml:space="preserve">overall </w:t>
      </w:r>
      <w:r w:rsidR="000236D7" w:rsidRPr="000D61D1">
        <w:rPr>
          <w:lang w:val="en-AU"/>
        </w:rPr>
        <w:t>results</w:t>
      </w:r>
      <w:r w:rsidR="008E2C12" w:rsidRPr="000D61D1">
        <w:rPr>
          <w:lang w:val="en-AU"/>
        </w:rPr>
        <w:t xml:space="preserve"> suggests</w:t>
      </w:r>
      <w:r w:rsidR="00A61B04" w:rsidRPr="000D61D1">
        <w:rPr>
          <w:lang w:val="en-AU"/>
        </w:rPr>
        <w:t xml:space="preserve"> that increased rates</w:t>
      </w:r>
      <w:r w:rsidR="000236D7" w:rsidRPr="000D61D1">
        <w:rPr>
          <w:lang w:val="en-AU"/>
        </w:rPr>
        <w:t xml:space="preserve"> (due to the reform) are</w:t>
      </w:r>
      <w:r w:rsidR="00A30CBB" w:rsidRPr="000D61D1">
        <w:rPr>
          <w:lang w:val="en-AU"/>
        </w:rPr>
        <w:t xml:space="preserve"> not</w:t>
      </w:r>
      <w:r w:rsidR="00A61B04" w:rsidRPr="000D61D1">
        <w:rPr>
          <w:lang w:val="en-AU"/>
        </w:rPr>
        <w:t xml:space="preserve"> being passed through to renter</w:t>
      </w:r>
      <w:r w:rsidR="008E2C12" w:rsidRPr="000D61D1">
        <w:rPr>
          <w:lang w:val="en-AU"/>
        </w:rPr>
        <w:t>s</w:t>
      </w:r>
      <w:r w:rsidR="00A61B04" w:rsidRPr="000D61D1">
        <w:rPr>
          <w:lang w:val="en-AU"/>
        </w:rPr>
        <w:t xml:space="preserve">. Furthermore, we find evidence for a progressive reduction in rental prices across the rental market distribution. </w:t>
      </w:r>
      <w:r w:rsidR="000236D7" w:rsidRPr="000D61D1">
        <w:rPr>
          <w:lang w:val="en-AU"/>
        </w:rPr>
        <w:t>There is a l</w:t>
      </w:r>
      <w:r w:rsidR="00A61B04" w:rsidRPr="000D61D1">
        <w:rPr>
          <w:lang w:val="en-AU"/>
        </w:rPr>
        <w:t>arger reduction in</w:t>
      </w:r>
      <w:r w:rsidR="000236D7" w:rsidRPr="000D61D1">
        <w:rPr>
          <w:lang w:val="en-AU"/>
        </w:rPr>
        <w:t xml:space="preserve"> rental property prices in</w:t>
      </w:r>
      <w:r w:rsidR="00A61B04" w:rsidRPr="000D61D1">
        <w:rPr>
          <w:lang w:val="en-AU"/>
        </w:rPr>
        <w:t xml:space="preserve"> the lower quintiles </w:t>
      </w:r>
      <w:r w:rsidR="000236D7" w:rsidRPr="000D61D1">
        <w:rPr>
          <w:lang w:val="en-AU"/>
        </w:rPr>
        <w:t>relative to</w:t>
      </w:r>
      <w:r w:rsidR="00A61B04" w:rsidRPr="000D61D1">
        <w:rPr>
          <w:lang w:val="en-AU"/>
        </w:rPr>
        <w:t xml:space="preserve"> the upper end of the rental market.</w:t>
      </w:r>
      <w:r w:rsidR="005E74B2">
        <w:rPr>
          <w:lang w:val="en-AU"/>
        </w:rPr>
        <w:t xml:space="preserve"> While we </w:t>
      </w:r>
      <w:r w:rsidR="00A85096">
        <w:rPr>
          <w:lang w:val="en-AU"/>
        </w:rPr>
        <w:t>cannot</w:t>
      </w:r>
      <w:r w:rsidR="005E74B2">
        <w:rPr>
          <w:lang w:val="en-AU"/>
        </w:rPr>
        <w:t xml:space="preserve"> full dismiss the possibility that this result is driven by other confounding factors related to changing supply of rental properties, we have done our best to address this on our empirical </w:t>
      </w:r>
      <w:r w:rsidR="00A85096">
        <w:rPr>
          <w:lang w:val="en-AU"/>
        </w:rPr>
        <w:t>analysis</w:t>
      </w:r>
      <w:r w:rsidR="005E74B2">
        <w:rPr>
          <w:lang w:val="en-AU"/>
        </w:rPr>
        <w:t xml:space="preserve">. </w:t>
      </w:r>
    </w:p>
    <w:p w14:paraId="6F135017" w14:textId="50241BF7" w:rsidR="00570303" w:rsidRPr="000D61D1" w:rsidRDefault="00570303" w:rsidP="0016647F">
      <w:pPr>
        <w:rPr>
          <w:lang w:val="en-AU"/>
        </w:rPr>
      </w:pPr>
      <w:r w:rsidRPr="000D61D1">
        <w:rPr>
          <w:lang w:val="en-AU"/>
        </w:rPr>
        <w:t>We also checked to see whether the reforms created a large, one-off Impact that has gradually diminished over time or whether the impact of the reforms is increasing over time.  For the time period that we can observe, it appears that the effect of the reform has been gradually increasing over time.</w:t>
      </w:r>
    </w:p>
    <w:p w14:paraId="159B7FE9" w14:textId="0965517D" w:rsidR="0016647F" w:rsidRPr="000D61D1" w:rsidRDefault="0016647F" w:rsidP="0016647F">
      <w:pPr>
        <w:rPr>
          <w:lang w:val="en-AU"/>
        </w:rPr>
      </w:pPr>
      <w:r w:rsidRPr="000D61D1">
        <w:rPr>
          <w:lang w:val="en-AU"/>
        </w:rPr>
        <w:t xml:space="preserve">These results </w:t>
      </w:r>
      <w:r w:rsidR="000236D7" w:rsidRPr="000D61D1">
        <w:rPr>
          <w:lang w:val="en-AU"/>
        </w:rPr>
        <w:t>should be interpreted with caution</w:t>
      </w:r>
      <w:r w:rsidRPr="000D61D1">
        <w:rPr>
          <w:lang w:val="en-AU"/>
        </w:rPr>
        <w:t>. Whenever a difference–in-difference analysis i</w:t>
      </w:r>
      <w:r w:rsidR="000236D7" w:rsidRPr="000D61D1">
        <w:rPr>
          <w:lang w:val="en-AU"/>
        </w:rPr>
        <w:t>s applied to</w:t>
      </w:r>
      <w:r w:rsidRPr="000D61D1">
        <w:rPr>
          <w:lang w:val="en-AU"/>
        </w:rPr>
        <w:t xml:space="preserve"> the real world, as opposed to an experimental setting, we </w:t>
      </w:r>
      <w:proofErr w:type="gramStart"/>
      <w:r w:rsidRPr="000D61D1">
        <w:rPr>
          <w:lang w:val="en-AU"/>
        </w:rPr>
        <w:t>have to</w:t>
      </w:r>
      <w:proofErr w:type="gramEnd"/>
      <w:r w:rsidRPr="000D61D1">
        <w:rPr>
          <w:lang w:val="en-AU"/>
        </w:rPr>
        <w:t xml:space="preserve"> question the validity of our two assumptions. </w:t>
      </w:r>
    </w:p>
    <w:p w14:paraId="0986DCB3" w14:textId="5C9671B0" w:rsidR="0016647F" w:rsidRPr="000D61D1" w:rsidRDefault="0016647F" w:rsidP="0016647F">
      <w:pPr>
        <w:rPr>
          <w:lang w:val="en-AU"/>
        </w:rPr>
      </w:pPr>
      <w:r w:rsidRPr="000D61D1">
        <w:rPr>
          <w:lang w:val="en-AU"/>
        </w:rPr>
        <w:t xml:space="preserve">While we test for the common </w:t>
      </w:r>
      <w:proofErr w:type="gramStart"/>
      <w:r w:rsidRPr="000D61D1">
        <w:rPr>
          <w:lang w:val="en-AU"/>
        </w:rPr>
        <w:t>trends</w:t>
      </w:r>
      <w:proofErr w:type="gramEnd"/>
      <w:r w:rsidRPr="000D61D1">
        <w:rPr>
          <w:lang w:val="en-AU"/>
        </w:rPr>
        <w:t xml:space="preserve"> assumption in our data, failing to reject the parallel trends test in the pre-treatment period is not the same as confirming parallel trends in the counterfactual. </w:t>
      </w:r>
      <w:r w:rsidR="000236D7" w:rsidRPr="000D61D1">
        <w:rPr>
          <w:lang w:val="en-AU"/>
        </w:rPr>
        <w:t>In this case, we</w:t>
      </w:r>
      <w:r w:rsidRPr="000D61D1">
        <w:rPr>
          <w:lang w:val="en-AU"/>
        </w:rPr>
        <w:t xml:space="preserve"> merely fail to reject the null hypothesis of parallel trends. In other words, while we check the assumption</w:t>
      </w:r>
      <w:r w:rsidR="000236D7" w:rsidRPr="000D61D1">
        <w:rPr>
          <w:lang w:val="en-AU"/>
        </w:rPr>
        <w:t>,</w:t>
      </w:r>
      <w:r w:rsidRPr="000D61D1">
        <w:rPr>
          <w:lang w:val="en-AU"/>
        </w:rPr>
        <w:t xml:space="preserve"> it is still possible that neither of our four proposed controls groups is suitable</w:t>
      </w:r>
      <w:r w:rsidR="00A22074" w:rsidRPr="000D61D1">
        <w:rPr>
          <w:lang w:val="en-AU"/>
        </w:rPr>
        <w:t>.</w:t>
      </w:r>
      <w:r w:rsidRPr="000D61D1">
        <w:rPr>
          <w:lang w:val="en-AU"/>
        </w:rPr>
        <w:t xml:space="preserve"> </w:t>
      </w:r>
      <w:r w:rsidR="00A22074" w:rsidRPr="000D61D1">
        <w:rPr>
          <w:lang w:val="en-AU"/>
        </w:rPr>
        <w:t>T</w:t>
      </w:r>
      <w:r w:rsidRPr="000D61D1">
        <w:rPr>
          <w:lang w:val="en-AU"/>
        </w:rPr>
        <w:t>his</w:t>
      </w:r>
      <w:r w:rsidR="00600A41" w:rsidRPr="000D61D1">
        <w:rPr>
          <w:lang w:val="en-AU"/>
        </w:rPr>
        <w:t xml:space="preserve"> </w:t>
      </w:r>
      <w:r w:rsidRPr="000D61D1">
        <w:rPr>
          <w:lang w:val="en-AU"/>
        </w:rPr>
        <w:t xml:space="preserve">is </w:t>
      </w:r>
      <w:r w:rsidR="00600A41" w:rsidRPr="000D61D1">
        <w:rPr>
          <w:lang w:val="en-AU"/>
        </w:rPr>
        <w:t xml:space="preserve">a </w:t>
      </w:r>
      <w:r w:rsidR="00523371" w:rsidRPr="000D61D1">
        <w:rPr>
          <w:lang w:val="en-AU"/>
        </w:rPr>
        <w:t>p</w:t>
      </w:r>
      <w:r w:rsidR="00600A41" w:rsidRPr="000D61D1">
        <w:rPr>
          <w:lang w:val="en-AU"/>
        </w:rPr>
        <w:t xml:space="preserve">ossible limitation </w:t>
      </w:r>
      <w:r w:rsidRPr="000D61D1">
        <w:rPr>
          <w:lang w:val="en-AU"/>
        </w:rPr>
        <w:t>for all empirical analys</w:t>
      </w:r>
      <w:r w:rsidR="00A22074" w:rsidRPr="000D61D1">
        <w:rPr>
          <w:lang w:val="en-AU"/>
        </w:rPr>
        <w:t>e</w:t>
      </w:r>
      <w:r w:rsidRPr="000D61D1">
        <w:rPr>
          <w:lang w:val="en-AU"/>
        </w:rPr>
        <w:t xml:space="preserve">s of this kind. </w:t>
      </w:r>
    </w:p>
    <w:p w14:paraId="15CD6458" w14:textId="5256C59E" w:rsidR="0016647F" w:rsidRPr="000D61D1" w:rsidRDefault="00A22074" w:rsidP="0016647F">
      <w:pPr>
        <w:rPr>
          <w:lang w:val="en-AU"/>
        </w:rPr>
      </w:pPr>
      <w:r w:rsidRPr="000D61D1">
        <w:rPr>
          <w:lang w:val="en-AU"/>
        </w:rPr>
        <w:t xml:space="preserve">Of </w:t>
      </w:r>
      <w:r w:rsidR="00600A41" w:rsidRPr="000D61D1">
        <w:rPr>
          <w:lang w:val="en-AU"/>
        </w:rPr>
        <w:t>equal</w:t>
      </w:r>
      <w:r w:rsidRPr="000D61D1">
        <w:rPr>
          <w:lang w:val="en-AU"/>
        </w:rPr>
        <w:t xml:space="preserve"> importance</w:t>
      </w:r>
      <w:r w:rsidR="0016647F" w:rsidRPr="000D61D1">
        <w:rPr>
          <w:lang w:val="en-AU"/>
        </w:rPr>
        <w:t xml:space="preserve"> is the second assumption of our methodology</w:t>
      </w:r>
      <w:r w:rsidRPr="000D61D1">
        <w:rPr>
          <w:lang w:val="en-AU"/>
        </w:rPr>
        <w:t>: t</w:t>
      </w:r>
      <w:r w:rsidR="0016647F" w:rsidRPr="000D61D1">
        <w:rPr>
          <w:lang w:val="en-AU"/>
        </w:rPr>
        <w:t>hat no other changes</w:t>
      </w:r>
      <w:r w:rsidRPr="000D61D1">
        <w:rPr>
          <w:lang w:val="en-AU"/>
        </w:rPr>
        <w:t xml:space="preserve"> or policies were introduced</w:t>
      </w:r>
      <w:r w:rsidR="0016647F" w:rsidRPr="000D61D1">
        <w:rPr>
          <w:lang w:val="en-AU"/>
        </w:rPr>
        <w:t xml:space="preserve"> which </w:t>
      </w:r>
      <w:r w:rsidRPr="000D61D1">
        <w:rPr>
          <w:lang w:val="en-AU"/>
        </w:rPr>
        <w:t xml:space="preserve">would </w:t>
      </w:r>
      <w:r w:rsidR="0016647F" w:rsidRPr="000D61D1">
        <w:rPr>
          <w:lang w:val="en-AU"/>
        </w:rPr>
        <w:t>affect</w:t>
      </w:r>
      <w:r w:rsidRPr="000D61D1">
        <w:rPr>
          <w:lang w:val="en-AU"/>
        </w:rPr>
        <w:t xml:space="preserve"> the</w:t>
      </w:r>
      <w:r w:rsidR="0016647F" w:rsidRPr="000D61D1">
        <w:rPr>
          <w:lang w:val="en-AU"/>
        </w:rPr>
        <w:t xml:space="preserve"> outcomes </w:t>
      </w:r>
      <w:r w:rsidRPr="000D61D1">
        <w:rPr>
          <w:lang w:val="en-AU"/>
        </w:rPr>
        <w:t xml:space="preserve">of the </w:t>
      </w:r>
      <w:r w:rsidR="0016647F" w:rsidRPr="000D61D1">
        <w:rPr>
          <w:lang w:val="en-AU"/>
        </w:rPr>
        <w:t>treatment and control group</w:t>
      </w:r>
      <w:r w:rsidR="00C733A7" w:rsidRPr="000D61D1">
        <w:rPr>
          <w:lang w:val="en-AU"/>
        </w:rPr>
        <w:t>s</w:t>
      </w:r>
      <w:r w:rsidRPr="000D61D1">
        <w:rPr>
          <w:lang w:val="en-AU"/>
        </w:rPr>
        <w:t xml:space="preserve"> differently</w:t>
      </w:r>
      <w:r w:rsidR="0016647F" w:rsidRPr="000D61D1">
        <w:rPr>
          <w:lang w:val="en-AU"/>
        </w:rPr>
        <w:t xml:space="preserve">. There are </w:t>
      </w:r>
      <w:r w:rsidRPr="000D61D1">
        <w:rPr>
          <w:lang w:val="en-AU"/>
        </w:rPr>
        <w:t>many</w:t>
      </w:r>
      <w:r w:rsidR="0016647F" w:rsidRPr="000D61D1">
        <w:rPr>
          <w:lang w:val="en-AU"/>
        </w:rPr>
        <w:t xml:space="preserve"> ways this could be violated in</w:t>
      </w:r>
      <w:r w:rsidR="00931E5C" w:rsidRPr="000D61D1">
        <w:rPr>
          <w:lang w:val="en-AU"/>
        </w:rPr>
        <w:t xml:space="preserve"> the seven-year treatment period</w:t>
      </w:r>
      <w:r w:rsidR="0016647F" w:rsidRPr="000D61D1">
        <w:rPr>
          <w:lang w:val="en-AU"/>
        </w:rPr>
        <w:t xml:space="preserve">. We control for some likely candidates </w:t>
      </w:r>
      <w:r w:rsidRPr="000D61D1">
        <w:rPr>
          <w:lang w:val="en-AU"/>
        </w:rPr>
        <w:t>specific to the</w:t>
      </w:r>
      <w:r w:rsidR="0016647F" w:rsidRPr="000D61D1">
        <w:rPr>
          <w:lang w:val="en-AU"/>
        </w:rPr>
        <w:t xml:space="preserve"> </w:t>
      </w:r>
      <w:proofErr w:type="gramStart"/>
      <w:r w:rsidR="0016647F" w:rsidRPr="000D61D1">
        <w:rPr>
          <w:lang w:val="en-AU"/>
        </w:rPr>
        <w:t>ACT :</w:t>
      </w:r>
      <w:proofErr w:type="gramEnd"/>
      <w:r w:rsidR="0016647F" w:rsidRPr="000D61D1">
        <w:rPr>
          <w:lang w:val="en-AU"/>
        </w:rPr>
        <w:t xml:space="preserve"> a special immigration trend, a unique income development, or changes in federal government employment. </w:t>
      </w:r>
      <w:r w:rsidR="00C733A7" w:rsidRPr="000D61D1">
        <w:rPr>
          <w:lang w:val="en-AU"/>
        </w:rPr>
        <w:t xml:space="preserve">However, </w:t>
      </w:r>
      <w:r w:rsidR="0016647F" w:rsidRPr="000D61D1">
        <w:rPr>
          <w:lang w:val="en-AU"/>
        </w:rPr>
        <w:lastRenderedPageBreak/>
        <w:t xml:space="preserve">other ACT specific </w:t>
      </w:r>
      <w:r w:rsidR="00C733A7" w:rsidRPr="000D61D1">
        <w:rPr>
          <w:lang w:val="en-AU"/>
        </w:rPr>
        <w:t>factors, which vary over time, but have nothing to do with the reform, could</w:t>
      </w:r>
      <w:r w:rsidR="0016647F" w:rsidRPr="000D61D1">
        <w:rPr>
          <w:lang w:val="en-AU"/>
        </w:rPr>
        <w:t xml:space="preserve"> </w:t>
      </w:r>
      <w:r w:rsidR="00C733A7" w:rsidRPr="000D61D1">
        <w:rPr>
          <w:lang w:val="en-AU"/>
        </w:rPr>
        <w:t>also</w:t>
      </w:r>
      <w:r w:rsidR="00931E5C" w:rsidRPr="000D61D1">
        <w:rPr>
          <w:lang w:val="en-AU"/>
        </w:rPr>
        <w:t xml:space="preserve"> </w:t>
      </w:r>
      <w:r w:rsidR="0016647F" w:rsidRPr="000D61D1">
        <w:rPr>
          <w:lang w:val="en-AU"/>
        </w:rPr>
        <w:t>influenc</w:t>
      </w:r>
      <w:r w:rsidR="00931E5C" w:rsidRPr="000D61D1">
        <w:rPr>
          <w:lang w:val="en-AU"/>
        </w:rPr>
        <w:t>e</w:t>
      </w:r>
      <w:r w:rsidR="0016647F" w:rsidRPr="000D61D1">
        <w:rPr>
          <w:lang w:val="en-AU"/>
        </w:rPr>
        <w:t xml:space="preserve"> the outcome variables. </w:t>
      </w:r>
      <w:r w:rsidR="00523371" w:rsidRPr="000D61D1">
        <w:rPr>
          <w:lang w:val="en-AU"/>
        </w:rPr>
        <w:t>If such</w:t>
      </w:r>
      <w:r w:rsidR="006F1A83" w:rsidRPr="000D61D1">
        <w:rPr>
          <w:lang w:val="en-AU"/>
        </w:rPr>
        <w:t xml:space="preserve"> factors </w:t>
      </w:r>
      <w:r w:rsidR="00A85096" w:rsidRPr="000D61D1">
        <w:rPr>
          <w:lang w:val="en-AU"/>
        </w:rPr>
        <w:t>exist,</w:t>
      </w:r>
      <w:r w:rsidR="00523371" w:rsidRPr="000D61D1">
        <w:rPr>
          <w:lang w:val="en-AU"/>
        </w:rPr>
        <w:t xml:space="preserve"> they </w:t>
      </w:r>
      <w:r w:rsidR="006F1A83" w:rsidRPr="000D61D1">
        <w:rPr>
          <w:lang w:val="en-AU"/>
        </w:rPr>
        <w:t>are not accounted for in the results</w:t>
      </w:r>
      <w:r w:rsidR="0016647F" w:rsidRPr="000D61D1">
        <w:rPr>
          <w:lang w:val="en-AU"/>
        </w:rPr>
        <w:t>. As such</w:t>
      </w:r>
      <w:r w:rsidR="002167E8" w:rsidRPr="000D61D1">
        <w:rPr>
          <w:lang w:val="en-AU"/>
        </w:rPr>
        <w:t>,</w:t>
      </w:r>
      <w:r w:rsidR="0016647F" w:rsidRPr="000D61D1">
        <w:rPr>
          <w:lang w:val="en-AU"/>
        </w:rPr>
        <w:t xml:space="preserve"> we cannot exclude the possibility that the reform dummy is also capturing some other omitted </w:t>
      </w:r>
      <w:r w:rsidR="001C7868" w:rsidRPr="000D61D1">
        <w:rPr>
          <w:lang w:val="en-AU"/>
        </w:rPr>
        <w:t>factors</w:t>
      </w:r>
      <w:r w:rsidR="006F1A83" w:rsidRPr="000D61D1">
        <w:rPr>
          <w:lang w:val="en-AU"/>
        </w:rPr>
        <w:t xml:space="preserve"> which would influence the results</w:t>
      </w:r>
      <w:r w:rsidR="0016647F" w:rsidRPr="000D61D1">
        <w:rPr>
          <w:lang w:val="en-AU"/>
        </w:rPr>
        <w:t xml:space="preserve">. </w:t>
      </w:r>
      <w:r w:rsidRPr="000D61D1">
        <w:rPr>
          <w:lang w:val="en-AU"/>
        </w:rPr>
        <w:t>This</w:t>
      </w:r>
      <w:r w:rsidR="0016647F" w:rsidRPr="000D61D1">
        <w:rPr>
          <w:lang w:val="en-AU"/>
        </w:rPr>
        <w:t xml:space="preserve"> is </w:t>
      </w:r>
      <w:r w:rsidR="00523371" w:rsidRPr="000D61D1">
        <w:rPr>
          <w:lang w:val="en-AU"/>
        </w:rPr>
        <w:t xml:space="preserve">a typical limitation </w:t>
      </w:r>
      <w:r w:rsidR="0016647F" w:rsidRPr="000D61D1">
        <w:rPr>
          <w:lang w:val="en-AU"/>
        </w:rPr>
        <w:t xml:space="preserve">for any kind of empirical analysis.   </w:t>
      </w:r>
    </w:p>
    <w:p w14:paraId="61D02B37" w14:textId="7E175645" w:rsidR="007B37FC" w:rsidRPr="00E9433F" w:rsidRDefault="00CD4BA6" w:rsidP="009463DE">
      <w:pPr>
        <w:rPr>
          <w:lang w:val="en-AU"/>
        </w:rPr>
      </w:pPr>
      <w:r w:rsidRPr="000D61D1">
        <w:rPr>
          <w:lang w:val="en-AU"/>
        </w:rPr>
        <w:t xml:space="preserve">A further concern </w:t>
      </w:r>
      <w:r w:rsidR="006D5EE8" w:rsidRPr="00E9433F">
        <w:rPr>
          <w:lang w:val="en-AU"/>
        </w:rPr>
        <w:t>were</w:t>
      </w:r>
      <w:r w:rsidRPr="000D61D1">
        <w:rPr>
          <w:lang w:val="en-AU"/>
        </w:rPr>
        <w:t xml:space="preserve"> difference</w:t>
      </w:r>
      <w:r w:rsidR="004F54AE" w:rsidRPr="000D61D1">
        <w:rPr>
          <w:lang w:val="en-AU"/>
        </w:rPr>
        <w:t>s</w:t>
      </w:r>
      <w:r w:rsidRPr="000D61D1">
        <w:rPr>
          <w:lang w:val="en-AU"/>
        </w:rPr>
        <w:t xml:space="preserve"> in </w:t>
      </w:r>
      <w:r w:rsidR="004F54AE" w:rsidRPr="000D61D1">
        <w:rPr>
          <w:lang w:val="en-AU"/>
        </w:rPr>
        <w:t>the trend</w:t>
      </w:r>
      <w:r w:rsidR="006F1A83" w:rsidRPr="000D61D1">
        <w:rPr>
          <w:lang w:val="en-AU"/>
        </w:rPr>
        <w:t>s</w:t>
      </w:r>
      <w:r w:rsidRPr="000D61D1">
        <w:rPr>
          <w:lang w:val="en-AU"/>
        </w:rPr>
        <w:t xml:space="preserve"> </w:t>
      </w:r>
      <w:r w:rsidR="004F54AE" w:rsidRPr="000D61D1">
        <w:rPr>
          <w:lang w:val="en-AU"/>
        </w:rPr>
        <w:t>of</w:t>
      </w:r>
      <w:r w:rsidRPr="000D61D1">
        <w:rPr>
          <w:lang w:val="en-AU"/>
        </w:rPr>
        <w:t xml:space="preserve"> property sale </w:t>
      </w:r>
      <w:r w:rsidR="006F1A83" w:rsidRPr="000D61D1">
        <w:rPr>
          <w:lang w:val="en-AU"/>
        </w:rPr>
        <w:t xml:space="preserve">data available through </w:t>
      </w:r>
      <w:proofErr w:type="spellStart"/>
      <w:r w:rsidRPr="000D61D1">
        <w:rPr>
          <w:lang w:val="en-AU"/>
        </w:rPr>
        <w:t>Corelogic</w:t>
      </w:r>
      <w:proofErr w:type="spellEnd"/>
      <w:r w:rsidRPr="000D61D1">
        <w:rPr>
          <w:lang w:val="en-AU"/>
        </w:rPr>
        <w:t xml:space="preserve"> and </w:t>
      </w:r>
      <w:r w:rsidR="007810BE">
        <w:rPr>
          <w:lang w:val="en-AU"/>
        </w:rPr>
        <w:t xml:space="preserve">the </w:t>
      </w:r>
      <w:r w:rsidRPr="000D61D1">
        <w:rPr>
          <w:lang w:val="en-AU"/>
        </w:rPr>
        <w:t>ACT</w:t>
      </w:r>
      <w:r w:rsidR="006F1A83" w:rsidRPr="000D61D1">
        <w:rPr>
          <w:lang w:val="en-AU"/>
        </w:rPr>
        <w:t>’</w:t>
      </w:r>
      <w:r w:rsidRPr="000D61D1">
        <w:rPr>
          <w:lang w:val="en-AU"/>
        </w:rPr>
        <w:t>s administrative data</w:t>
      </w:r>
      <w:r w:rsidR="004F54AE" w:rsidRPr="000D61D1">
        <w:rPr>
          <w:lang w:val="en-AU"/>
        </w:rPr>
        <w:t xml:space="preserve">. The ACT unit record data shows a gradual increase in sales following the first 5 years of the reform, before the introduction of the </w:t>
      </w:r>
      <w:r w:rsidR="00607AAB" w:rsidRPr="000D61D1">
        <w:rPr>
          <w:lang w:val="en-AU"/>
        </w:rPr>
        <w:t>“</w:t>
      </w:r>
      <w:r w:rsidR="004F54AE" w:rsidRPr="000D61D1">
        <w:rPr>
          <w:lang w:val="en-AU"/>
        </w:rPr>
        <w:t>Barrier Free</w:t>
      </w:r>
      <w:r w:rsidR="00607AAB" w:rsidRPr="000D61D1">
        <w:rPr>
          <w:lang w:val="en-AU"/>
        </w:rPr>
        <w:t>”</w:t>
      </w:r>
      <w:r w:rsidR="00570303" w:rsidRPr="000D61D1">
        <w:rPr>
          <w:lang w:val="en-AU"/>
        </w:rPr>
        <w:t xml:space="preserve"> administrative changes discussed in the data section above</w:t>
      </w:r>
      <w:r w:rsidR="006408D2" w:rsidRPr="000D61D1">
        <w:rPr>
          <w:lang w:val="en-AU"/>
        </w:rPr>
        <w:t xml:space="preserve"> leads to a one </w:t>
      </w:r>
      <w:r w:rsidR="005060E0" w:rsidRPr="000D61D1">
        <w:rPr>
          <w:lang w:val="en-AU"/>
        </w:rPr>
        <w:t>time</w:t>
      </w:r>
      <w:r w:rsidR="006408D2" w:rsidRPr="000D61D1">
        <w:rPr>
          <w:lang w:val="en-AU"/>
        </w:rPr>
        <w:t xml:space="preserve"> drop</w:t>
      </w:r>
      <w:r w:rsidR="000144EC" w:rsidRPr="000D61D1">
        <w:rPr>
          <w:lang w:val="en-AU"/>
        </w:rPr>
        <w:t xml:space="preserve"> </w:t>
      </w:r>
      <w:r w:rsidR="007810BE">
        <w:rPr>
          <w:lang w:val="en-AU"/>
        </w:rPr>
        <w:t xml:space="preserve">in </w:t>
      </w:r>
      <w:r w:rsidR="000144EC" w:rsidRPr="000D61D1">
        <w:rPr>
          <w:lang w:val="en-AU"/>
        </w:rPr>
        <w:t>recorded sales numbers</w:t>
      </w:r>
      <w:r w:rsidR="004F54AE" w:rsidRPr="000D61D1">
        <w:rPr>
          <w:lang w:val="en-AU"/>
        </w:rPr>
        <w:t xml:space="preserve">. </w:t>
      </w:r>
      <w:r w:rsidR="006408D2" w:rsidRPr="000D61D1">
        <w:rPr>
          <w:lang w:val="en-AU"/>
        </w:rPr>
        <w:t xml:space="preserve">By contrast to the administrative data, our </w:t>
      </w:r>
      <w:proofErr w:type="spellStart"/>
      <w:r w:rsidR="006408D2" w:rsidRPr="000D61D1">
        <w:rPr>
          <w:lang w:val="en-AU"/>
        </w:rPr>
        <w:t>Corelogic</w:t>
      </w:r>
      <w:proofErr w:type="spellEnd"/>
      <w:r w:rsidR="006408D2" w:rsidRPr="000D61D1">
        <w:rPr>
          <w:lang w:val="en-AU"/>
        </w:rPr>
        <w:t xml:space="preserve"> data does not show an increase in sales after 2012 but rather a </w:t>
      </w:r>
      <w:r w:rsidR="007810BE">
        <w:rPr>
          <w:lang w:val="en-AU"/>
        </w:rPr>
        <w:t>flat trend</w:t>
      </w:r>
      <w:r w:rsidR="006408D2" w:rsidRPr="000D61D1">
        <w:rPr>
          <w:lang w:val="en-AU"/>
        </w:rPr>
        <w:t xml:space="preserve"> over the same period. This </w:t>
      </w:r>
      <w:r w:rsidR="006D5EE8" w:rsidRPr="00E9433F">
        <w:rPr>
          <w:lang w:val="en-AU"/>
        </w:rPr>
        <w:t>could</w:t>
      </w:r>
      <w:r w:rsidR="006408D2" w:rsidRPr="000D61D1">
        <w:rPr>
          <w:lang w:val="en-AU"/>
        </w:rPr>
        <w:t xml:space="preserve"> have contributed to our finding of a reduction effect in number of sales and overall sales value</w:t>
      </w:r>
      <w:r w:rsidR="006408D2" w:rsidRPr="000D61D1">
        <w:rPr>
          <w:rStyle w:val="FootnoteReference"/>
          <w:lang w:val="en-AU"/>
        </w:rPr>
        <w:footnoteReference w:id="15"/>
      </w:r>
      <w:r w:rsidR="006408D2" w:rsidRPr="000D61D1">
        <w:rPr>
          <w:lang w:val="en-AU"/>
        </w:rPr>
        <w:t>.</w:t>
      </w:r>
      <w:r w:rsidR="005D542C" w:rsidRPr="000D61D1">
        <w:rPr>
          <w:lang w:val="en-AU"/>
        </w:rPr>
        <w:t xml:space="preserve"> </w:t>
      </w:r>
      <w:proofErr w:type="gramStart"/>
      <w:r w:rsidR="00A30CBB" w:rsidRPr="000D61D1">
        <w:rPr>
          <w:lang w:val="en-AU"/>
        </w:rPr>
        <w:t>As a consequence</w:t>
      </w:r>
      <w:proofErr w:type="gramEnd"/>
      <w:r w:rsidR="00A30CBB" w:rsidRPr="000D61D1">
        <w:rPr>
          <w:lang w:val="en-AU"/>
        </w:rPr>
        <w:t>, i</w:t>
      </w:r>
      <w:r w:rsidR="00214C24" w:rsidRPr="000D61D1">
        <w:rPr>
          <w:lang w:val="en-AU"/>
        </w:rPr>
        <w:t xml:space="preserve">n additional analysis, we </w:t>
      </w:r>
      <w:r w:rsidR="00570303" w:rsidRPr="000D61D1">
        <w:rPr>
          <w:lang w:val="en-AU"/>
        </w:rPr>
        <w:t>use ACT administrative data</w:t>
      </w:r>
      <w:r w:rsidR="00214C24" w:rsidRPr="000D61D1">
        <w:rPr>
          <w:lang w:val="en-AU"/>
        </w:rPr>
        <w:t xml:space="preserve"> and similar administrative data from NSW and re-estimate the effect of the reforms on sales values, sales volumes and prices</w:t>
      </w:r>
      <w:r w:rsidR="008F1DF3">
        <w:rPr>
          <w:lang w:val="en-AU"/>
        </w:rPr>
        <w:t xml:space="preserve"> separately for houses and units</w:t>
      </w:r>
      <w:r w:rsidR="00570303" w:rsidRPr="000D61D1">
        <w:rPr>
          <w:lang w:val="en-AU"/>
        </w:rPr>
        <w:t>.</w:t>
      </w:r>
      <w:r w:rsidR="004E373E" w:rsidRPr="000D61D1">
        <w:rPr>
          <w:lang w:val="en-AU"/>
        </w:rPr>
        <w:t xml:space="preserve"> </w:t>
      </w:r>
    </w:p>
    <w:p w14:paraId="18A55F21" w14:textId="1788C4B6" w:rsidR="0016647F" w:rsidRPr="000D61D1" w:rsidRDefault="006D5EE8" w:rsidP="00046A38">
      <w:pPr>
        <w:rPr>
          <w:lang w:val="en-AU"/>
        </w:rPr>
      </w:pPr>
      <w:r w:rsidRPr="00E9433F">
        <w:rPr>
          <w:lang w:val="en-AU"/>
        </w:rPr>
        <w:t>The results from the NSW and ACT administrative</w:t>
      </w:r>
      <w:r w:rsidR="004E373E" w:rsidRPr="000D61D1">
        <w:rPr>
          <w:lang w:val="en-AU"/>
        </w:rPr>
        <w:t xml:space="preserve"> data </w:t>
      </w:r>
      <w:r w:rsidRPr="00E9433F">
        <w:rPr>
          <w:lang w:val="en-AU"/>
        </w:rPr>
        <w:t xml:space="preserve">show that observed difference in the </w:t>
      </w:r>
      <w:proofErr w:type="spellStart"/>
      <w:r w:rsidRPr="00E9433F">
        <w:rPr>
          <w:lang w:val="en-AU"/>
        </w:rPr>
        <w:t>Corelogic</w:t>
      </w:r>
      <w:proofErr w:type="spellEnd"/>
      <w:r w:rsidRPr="00E9433F">
        <w:rPr>
          <w:lang w:val="en-AU"/>
        </w:rPr>
        <w:t xml:space="preserve"> data are not driving the results. </w:t>
      </w:r>
      <w:proofErr w:type="gramStart"/>
      <w:r w:rsidR="007B37FC" w:rsidRPr="00E9433F">
        <w:rPr>
          <w:lang w:val="en-AU"/>
        </w:rPr>
        <w:t>In particular we</w:t>
      </w:r>
      <w:proofErr w:type="gramEnd"/>
      <w:r w:rsidR="00214C24" w:rsidRPr="000D61D1">
        <w:rPr>
          <w:lang w:val="en-AU"/>
        </w:rPr>
        <w:t xml:space="preserve"> find similar negative effects on sales </w:t>
      </w:r>
      <w:r w:rsidR="007B37FC" w:rsidRPr="00E9433F">
        <w:rPr>
          <w:lang w:val="en-AU"/>
        </w:rPr>
        <w:t>value</w:t>
      </w:r>
      <w:r w:rsidR="00214C24" w:rsidRPr="00E9433F">
        <w:rPr>
          <w:lang w:val="en-AU"/>
        </w:rPr>
        <w:t xml:space="preserve"> and </w:t>
      </w:r>
      <w:r w:rsidR="007B37FC" w:rsidRPr="00E9433F">
        <w:rPr>
          <w:lang w:val="en-AU"/>
        </w:rPr>
        <w:t xml:space="preserve">sales </w:t>
      </w:r>
      <w:r w:rsidR="00214C24" w:rsidRPr="00E9433F">
        <w:rPr>
          <w:lang w:val="en-AU"/>
        </w:rPr>
        <w:t>volume</w:t>
      </w:r>
      <w:r w:rsidR="007B37FC" w:rsidRPr="00E9433F">
        <w:rPr>
          <w:lang w:val="en-AU"/>
        </w:rPr>
        <w:t>, with even</w:t>
      </w:r>
      <w:r w:rsidR="004E373E" w:rsidRPr="000D61D1">
        <w:rPr>
          <w:lang w:val="en-AU"/>
        </w:rPr>
        <w:t xml:space="preserve"> larger</w:t>
      </w:r>
      <w:r w:rsidR="004E373E" w:rsidRPr="00E9433F">
        <w:rPr>
          <w:lang w:val="en-AU"/>
        </w:rPr>
        <w:t xml:space="preserve"> coe</w:t>
      </w:r>
      <w:r w:rsidR="007B37FC" w:rsidRPr="00E9433F">
        <w:rPr>
          <w:lang w:val="en-AU"/>
        </w:rPr>
        <w:t>fficient estimates</w:t>
      </w:r>
      <w:r w:rsidR="004E373E" w:rsidRPr="00E9433F">
        <w:rPr>
          <w:lang w:val="en-AU"/>
        </w:rPr>
        <w:t xml:space="preserve">. </w:t>
      </w:r>
      <w:r w:rsidR="007B37FC" w:rsidRPr="00E9433F">
        <w:rPr>
          <w:lang w:val="en-AU"/>
        </w:rPr>
        <w:t>Similar to</w:t>
      </w:r>
      <w:r w:rsidR="004E373E" w:rsidRPr="000D61D1">
        <w:rPr>
          <w:lang w:val="en-AU"/>
        </w:rPr>
        <w:t xml:space="preserve"> the </w:t>
      </w:r>
      <w:proofErr w:type="spellStart"/>
      <w:r w:rsidR="007B37FC" w:rsidRPr="00E9433F">
        <w:rPr>
          <w:lang w:val="en-AU"/>
        </w:rPr>
        <w:t>Corelogic</w:t>
      </w:r>
      <w:proofErr w:type="spellEnd"/>
      <w:r w:rsidR="007B37FC" w:rsidRPr="00E9433F">
        <w:rPr>
          <w:lang w:val="en-AU"/>
        </w:rPr>
        <w:t xml:space="preserve"> regressions above</w:t>
      </w:r>
      <w:r w:rsidR="004E373E" w:rsidRPr="00E9433F">
        <w:rPr>
          <w:lang w:val="en-AU"/>
        </w:rPr>
        <w:t xml:space="preserve">, the results </w:t>
      </w:r>
      <w:r w:rsidR="00A425E1" w:rsidRPr="00E9433F">
        <w:rPr>
          <w:lang w:val="en-AU"/>
        </w:rPr>
        <w:t xml:space="preserve">are not </w:t>
      </w:r>
      <w:proofErr w:type="gramStart"/>
      <w:r w:rsidR="0006511F">
        <w:rPr>
          <w:lang w:val="en-AU"/>
        </w:rPr>
        <w:t>stable</w:t>
      </w:r>
      <w:proofErr w:type="gramEnd"/>
      <w:r w:rsidR="0006511F">
        <w:rPr>
          <w:lang w:val="en-AU"/>
        </w:rPr>
        <w:t xml:space="preserve"> and the impact estimate changes substantially as we add additional control variables.  These results are thus </w:t>
      </w:r>
      <w:r w:rsidR="00A425E1" w:rsidRPr="00E9433F">
        <w:rPr>
          <w:lang w:val="en-AU"/>
        </w:rPr>
        <w:t>unreliable</w:t>
      </w:r>
      <w:r w:rsidR="00B06A62">
        <w:rPr>
          <w:lang w:val="en-AU"/>
        </w:rPr>
        <w:t xml:space="preserve"> for identifying the exact effect.  However, we can make similar broad conclusions with respect to </w:t>
      </w:r>
      <w:r w:rsidR="00305460">
        <w:rPr>
          <w:lang w:val="en-AU"/>
        </w:rPr>
        <w:t xml:space="preserve">the </w:t>
      </w:r>
      <w:r w:rsidR="00A425E1" w:rsidRPr="00E9433F">
        <w:rPr>
          <w:lang w:val="en-AU"/>
        </w:rPr>
        <w:t xml:space="preserve">number of sales and sales value, </w:t>
      </w:r>
      <w:r w:rsidR="00305460">
        <w:rPr>
          <w:lang w:val="en-AU"/>
        </w:rPr>
        <w:t xml:space="preserve">which </w:t>
      </w:r>
      <w:r w:rsidR="00A425E1" w:rsidRPr="00E9433F">
        <w:rPr>
          <w:lang w:val="en-AU"/>
        </w:rPr>
        <w:t>have not gone up as a result of the reform</w:t>
      </w:r>
      <w:r w:rsidR="004E373E" w:rsidRPr="00E9433F">
        <w:rPr>
          <w:lang w:val="en-AU"/>
        </w:rPr>
        <w:t>.</w:t>
      </w:r>
      <w:r w:rsidR="004E373E" w:rsidRPr="000D61D1">
        <w:rPr>
          <w:lang w:val="en-AU"/>
        </w:rPr>
        <w:t xml:space="preserve"> For prices we either get implausibly large negative values or values close to zero, depending upon the specification. </w:t>
      </w:r>
      <w:r w:rsidR="00A30CBB" w:rsidRPr="000D61D1">
        <w:rPr>
          <w:lang w:val="en-AU"/>
        </w:rPr>
        <w:t>T</w:t>
      </w:r>
      <w:r w:rsidR="004E373E" w:rsidRPr="000D61D1">
        <w:rPr>
          <w:lang w:val="en-AU"/>
        </w:rPr>
        <w:t xml:space="preserve">he fact that the results vary so </w:t>
      </w:r>
      <w:r w:rsidR="00727FDA" w:rsidRPr="00E9433F">
        <w:rPr>
          <w:lang w:val="en-AU"/>
        </w:rPr>
        <w:t>extremely</w:t>
      </w:r>
      <w:r w:rsidR="004E373E" w:rsidRPr="000D61D1">
        <w:rPr>
          <w:lang w:val="en-AU"/>
        </w:rPr>
        <w:t xml:space="preserve"> from one specification to another </w:t>
      </w:r>
      <w:r w:rsidR="009463DE" w:rsidRPr="00E9433F">
        <w:rPr>
          <w:lang w:val="en-AU"/>
        </w:rPr>
        <w:t xml:space="preserve">could be caused by </w:t>
      </w:r>
      <w:r w:rsidR="009463DE" w:rsidRPr="00E9433F">
        <w:rPr>
          <w:lang w:val="en-AU" w:bidi="bn-BD"/>
        </w:rPr>
        <w:t xml:space="preserve">multicollinearity between the reform variable and the added controls. </w:t>
      </w:r>
      <w:r w:rsidR="00A425E1" w:rsidRPr="00E9433F">
        <w:rPr>
          <w:lang w:val="en-AU" w:bidi="bn-BD"/>
        </w:rPr>
        <w:t xml:space="preserve">This confirms and </w:t>
      </w:r>
      <w:r w:rsidR="00305460">
        <w:rPr>
          <w:lang w:val="en-AU" w:bidi="bn-BD"/>
        </w:rPr>
        <w:t xml:space="preserve">strengthens </w:t>
      </w:r>
      <w:r w:rsidR="00A85096">
        <w:rPr>
          <w:lang w:val="en-AU" w:bidi="bn-BD"/>
        </w:rPr>
        <w:t xml:space="preserve">our </w:t>
      </w:r>
      <w:r w:rsidR="00A85096" w:rsidRPr="00E9433F">
        <w:rPr>
          <w:lang w:val="en-AU" w:bidi="bn-BD"/>
        </w:rPr>
        <w:t>concern</w:t>
      </w:r>
      <w:r w:rsidR="00A425E1" w:rsidRPr="00E9433F">
        <w:rPr>
          <w:lang w:val="en-AU" w:bidi="bn-BD"/>
        </w:rPr>
        <w:t xml:space="preserve"> about the </w:t>
      </w:r>
      <w:r w:rsidR="004E373E" w:rsidRPr="000D61D1">
        <w:rPr>
          <w:lang w:val="en-AU"/>
        </w:rPr>
        <w:t>reliability</w:t>
      </w:r>
      <w:r w:rsidR="00A425E1" w:rsidRPr="00E9433F">
        <w:rPr>
          <w:lang w:val="en-AU" w:bidi="bn-BD"/>
        </w:rPr>
        <w:t xml:space="preserve"> of our price effect estimates we have found with the </w:t>
      </w:r>
      <w:proofErr w:type="spellStart"/>
      <w:r w:rsidR="00A425E1" w:rsidRPr="00E9433F">
        <w:rPr>
          <w:lang w:val="en-AU" w:bidi="bn-BD"/>
        </w:rPr>
        <w:t>Corelogic</w:t>
      </w:r>
      <w:proofErr w:type="spellEnd"/>
      <w:r w:rsidR="00A425E1" w:rsidRPr="00E9433F">
        <w:rPr>
          <w:lang w:val="en-AU" w:bidi="bn-BD"/>
        </w:rPr>
        <w:t xml:space="preserve"> data</w:t>
      </w:r>
      <w:r w:rsidR="00305460">
        <w:rPr>
          <w:lang w:val="en-AU" w:bidi="bn-BD"/>
        </w:rPr>
        <w:t xml:space="preserve">.  We can only </w:t>
      </w:r>
      <w:r w:rsidR="00A425E1" w:rsidRPr="00E9433F">
        <w:rPr>
          <w:lang w:val="en-AU" w:bidi="bn-BD"/>
        </w:rPr>
        <w:t>conclude that our estimates vary too much to be reliable.</w:t>
      </w:r>
      <w:r w:rsidR="004E373E" w:rsidRPr="000D61D1">
        <w:rPr>
          <w:lang w:val="en-AU"/>
        </w:rPr>
        <w:t xml:space="preserve"> See the technical appendix for </w:t>
      </w:r>
      <w:r w:rsidR="00A425E1" w:rsidRPr="00E9433F">
        <w:rPr>
          <w:lang w:val="en-AU"/>
        </w:rPr>
        <w:t xml:space="preserve">all </w:t>
      </w:r>
      <w:r w:rsidR="004E373E" w:rsidRPr="000D61D1">
        <w:rPr>
          <w:lang w:val="en-AU"/>
        </w:rPr>
        <w:t xml:space="preserve">details </w:t>
      </w:r>
      <w:r w:rsidR="009463DE" w:rsidRPr="00E9433F">
        <w:rPr>
          <w:lang w:val="en-AU"/>
        </w:rPr>
        <w:t>on</w:t>
      </w:r>
      <w:r w:rsidR="00A425E1" w:rsidRPr="00E9433F">
        <w:rPr>
          <w:lang w:val="en-AU"/>
        </w:rPr>
        <w:t xml:space="preserve"> the administrative data</w:t>
      </w:r>
      <w:r w:rsidR="005060E0" w:rsidRPr="000D61D1">
        <w:rPr>
          <w:lang w:val="en-AU"/>
        </w:rPr>
        <w:t xml:space="preserve"> estimates</w:t>
      </w:r>
      <w:r w:rsidR="004E373E" w:rsidRPr="000D61D1">
        <w:rPr>
          <w:lang w:val="en-AU"/>
        </w:rPr>
        <w:t>.</w:t>
      </w:r>
      <w:r w:rsidR="004F54AE" w:rsidRPr="000D61D1">
        <w:rPr>
          <w:lang w:val="en-AU"/>
        </w:rPr>
        <w:t xml:space="preserve">  </w:t>
      </w:r>
      <w:r w:rsidR="00CD4BA6" w:rsidRPr="000D61D1">
        <w:rPr>
          <w:lang w:val="en-AU"/>
        </w:rPr>
        <w:t xml:space="preserve">  </w:t>
      </w:r>
    </w:p>
    <w:p w14:paraId="2C95B5E4" w14:textId="27337B1A" w:rsidR="0016647F" w:rsidRPr="000D61D1" w:rsidRDefault="005060E0" w:rsidP="00046A38">
      <w:pPr>
        <w:rPr>
          <w:lang w:val="en-AU"/>
        </w:rPr>
      </w:pPr>
      <w:r w:rsidRPr="000D61D1">
        <w:rPr>
          <w:lang w:val="en-AU"/>
        </w:rPr>
        <w:t>Finally</w:t>
      </w:r>
      <w:r w:rsidR="00934FA4" w:rsidRPr="000D61D1">
        <w:rPr>
          <w:lang w:val="en-AU"/>
        </w:rPr>
        <w:t>, w</w:t>
      </w:r>
      <w:r w:rsidR="00432FAD" w:rsidRPr="000D61D1">
        <w:rPr>
          <w:lang w:val="en-AU"/>
        </w:rPr>
        <w:t xml:space="preserve">hen looking at new rental contracts we find </w:t>
      </w:r>
      <w:r w:rsidR="00936E43" w:rsidRPr="000D61D1">
        <w:rPr>
          <w:lang w:val="en-AU"/>
        </w:rPr>
        <w:t xml:space="preserve">that the reform led to a </w:t>
      </w:r>
      <w:r w:rsidR="00E141C1" w:rsidRPr="000D61D1">
        <w:rPr>
          <w:lang w:val="en-AU"/>
        </w:rPr>
        <w:t xml:space="preserve">large </w:t>
      </w:r>
      <w:r w:rsidR="00936E43" w:rsidRPr="000D61D1">
        <w:rPr>
          <w:lang w:val="en-AU"/>
        </w:rPr>
        <w:t xml:space="preserve">increase of available </w:t>
      </w:r>
      <w:r w:rsidR="00934FA4" w:rsidRPr="000D61D1">
        <w:rPr>
          <w:lang w:val="en-AU"/>
        </w:rPr>
        <w:t>rental properties</w:t>
      </w:r>
      <w:r w:rsidR="00E141C1" w:rsidRPr="000D61D1">
        <w:rPr>
          <w:lang w:val="en-AU"/>
        </w:rPr>
        <w:t>, but relying on a time series analysis means we no longer have a counterfactual and cannot control for common shocks</w:t>
      </w:r>
      <w:r w:rsidR="00EE0D25" w:rsidRPr="000D61D1">
        <w:rPr>
          <w:lang w:val="en-AU"/>
        </w:rPr>
        <w:t xml:space="preserve"> the way we have done in the rest of the analysis</w:t>
      </w:r>
      <w:r w:rsidR="00E141C1" w:rsidRPr="000D61D1">
        <w:rPr>
          <w:lang w:val="en-AU"/>
        </w:rPr>
        <w:t xml:space="preserve">. </w:t>
      </w:r>
      <w:r w:rsidR="00D900F1">
        <w:rPr>
          <w:lang w:val="en-AU"/>
        </w:rPr>
        <w:t xml:space="preserve">Specifically, any changes to the trend in the supply of rental </w:t>
      </w:r>
      <w:r w:rsidR="00A85096">
        <w:rPr>
          <w:lang w:val="en-AU"/>
        </w:rPr>
        <w:t>properties</w:t>
      </w:r>
      <w:r w:rsidR="00D900F1">
        <w:rPr>
          <w:lang w:val="en-AU"/>
        </w:rPr>
        <w:t xml:space="preserve"> caused by any other factors that changed since 2012</w:t>
      </w:r>
      <w:r w:rsidR="0011794E">
        <w:rPr>
          <w:lang w:val="en-AU"/>
        </w:rPr>
        <w:t>/</w:t>
      </w:r>
      <w:r w:rsidR="00D900F1">
        <w:rPr>
          <w:lang w:val="en-AU"/>
        </w:rPr>
        <w:t xml:space="preserve">13 </w:t>
      </w:r>
      <w:r w:rsidR="00A85096">
        <w:rPr>
          <w:lang w:val="en-AU"/>
        </w:rPr>
        <w:t>will</w:t>
      </w:r>
      <w:r w:rsidR="00D900F1">
        <w:rPr>
          <w:lang w:val="en-AU"/>
        </w:rPr>
        <w:t xml:space="preserve"> be incorporated in this estimate.  The change in the number of rental properties may well have been driven by some other factor and not by the reform of stamp duty.  </w:t>
      </w:r>
      <w:r w:rsidR="00EE0D25" w:rsidRPr="000D61D1">
        <w:rPr>
          <w:lang w:val="en-AU"/>
        </w:rPr>
        <w:t xml:space="preserve">This should caution us </w:t>
      </w:r>
      <w:r w:rsidR="00934FA4" w:rsidRPr="000D61D1">
        <w:rPr>
          <w:lang w:val="en-AU"/>
        </w:rPr>
        <w:t>from relying</w:t>
      </w:r>
      <w:r w:rsidR="00EE0D25" w:rsidRPr="000D61D1">
        <w:rPr>
          <w:lang w:val="en-AU"/>
        </w:rPr>
        <w:t xml:space="preserve"> </w:t>
      </w:r>
      <w:r w:rsidR="00D900F1">
        <w:rPr>
          <w:lang w:val="en-AU"/>
        </w:rPr>
        <w:t xml:space="preserve">too </w:t>
      </w:r>
      <w:r w:rsidR="00EE0D25" w:rsidRPr="000D61D1">
        <w:rPr>
          <w:lang w:val="en-AU"/>
        </w:rPr>
        <w:t xml:space="preserve">heavily </w:t>
      </w:r>
      <w:r w:rsidR="00934FA4" w:rsidRPr="000D61D1">
        <w:rPr>
          <w:lang w:val="en-AU"/>
        </w:rPr>
        <w:t xml:space="preserve">on </w:t>
      </w:r>
      <w:r w:rsidR="00EE0D25" w:rsidRPr="000D61D1">
        <w:rPr>
          <w:lang w:val="en-AU"/>
        </w:rPr>
        <w:t xml:space="preserve">these results. </w:t>
      </w:r>
    </w:p>
    <w:p w14:paraId="63A0D0A3" w14:textId="1C35F11A" w:rsidR="004E373E" w:rsidRPr="000D61D1" w:rsidRDefault="004E373E" w:rsidP="00046A38">
      <w:pPr>
        <w:rPr>
          <w:lang w:val="en-AU"/>
        </w:rPr>
      </w:pPr>
      <w:r w:rsidRPr="000D61D1">
        <w:rPr>
          <w:lang w:val="en-AU"/>
        </w:rPr>
        <w:t>Overall, the difference-in-difference approach to estimate the effect of the reform was problematic. The difficulty in finding a convincing control group</w:t>
      </w:r>
      <w:r w:rsidR="003E54B0" w:rsidRPr="000D61D1">
        <w:rPr>
          <w:lang w:val="en-AU"/>
        </w:rPr>
        <w:t xml:space="preserve"> appears to be </w:t>
      </w:r>
      <w:r w:rsidRPr="000D61D1">
        <w:rPr>
          <w:lang w:val="en-AU"/>
        </w:rPr>
        <w:t xml:space="preserve">a substantial one. The fact that the impact estimates change substantially when we use different control groups or different sets of covariates hint that the estimates are </w:t>
      </w:r>
      <w:r w:rsidR="009463DE" w:rsidRPr="00E9433F">
        <w:rPr>
          <w:lang w:val="en-AU"/>
        </w:rPr>
        <w:t>not robust</w:t>
      </w:r>
      <w:r w:rsidR="00305460">
        <w:rPr>
          <w:lang w:val="en-AU"/>
        </w:rPr>
        <w:t xml:space="preserve"> to alternative control groups or alternative data source</w:t>
      </w:r>
      <w:r w:rsidRPr="000D61D1">
        <w:rPr>
          <w:lang w:val="en-AU"/>
        </w:rPr>
        <w:t xml:space="preserve">. The estimates seem to be driven more by the </w:t>
      </w:r>
      <w:r w:rsidRPr="000D61D1">
        <w:rPr>
          <w:lang w:val="en-AU"/>
        </w:rPr>
        <w:lastRenderedPageBreak/>
        <w:t xml:space="preserve">control group choice than by the territory’s tax reform.  We thus strongly encourage readers to interpret and apply these results cautiously. </w:t>
      </w:r>
    </w:p>
    <w:p w14:paraId="1D7355DA" w14:textId="3E57FF65" w:rsidR="00046A38" w:rsidRPr="000D61D1" w:rsidRDefault="00046A38" w:rsidP="00A407FF">
      <w:pPr>
        <w:pStyle w:val="Heading1"/>
        <w:numPr>
          <w:ilvl w:val="0"/>
          <w:numId w:val="16"/>
        </w:numPr>
        <w:rPr>
          <w:lang w:val="en-AU"/>
        </w:rPr>
      </w:pPr>
      <w:bookmarkStart w:id="51" w:name="_Toc43911487"/>
      <w:r w:rsidRPr="000D61D1">
        <w:rPr>
          <w:lang w:val="en-AU"/>
        </w:rPr>
        <w:t>Conclusions</w:t>
      </w:r>
      <w:bookmarkEnd w:id="51"/>
    </w:p>
    <w:p w14:paraId="0AD39DDF" w14:textId="77777777" w:rsidR="0011794E" w:rsidRPr="000D61D1" w:rsidRDefault="0011794E" w:rsidP="0011794E">
      <w:pPr>
        <w:rPr>
          <w:lang w:val="en-AU"/>
        </w:rPr>
      </w:pPr>
      <w:r w:rsidRPr="000D61D1">
        <w:rPr>
          <w:lang w:val="en-AU"/>
        </w:rPr>
        <w:t>The questions that we set out to answer were:</w:t>
      </w:r>
    </w:p>
    <w:p w14:paraId="735C29E2" w14:textId="77777777" w:rsidR="0011794E" w:rsidRPr="000D61D1" w:rsidRDefault="0011794E" w:rsidP="0011794E">
      <w:pPr>
        <w:numPr>
          <w:ilvl w:val="0"/>
          <w:numId w:val="18"/>
        </w:numPr>
        <w:rPr>
          <w:b/>
          <w:bCs/>
          <w:lang w:val="en-AU"/>
        </w:rPr>
      </w:pPr>
      <w:r w:rsidRPr="000D61D1">
        <w:rPr>
          <w:b/>
          <w:bCs/>
          <w:lang w:val="en-AU"/>
        </w:rPr>
        <w:t xml:space="preserve">What has been the impact of tax reform on different household types and cohorts, </w:t>
      </w:r>
      <w:proofErr w:type="gramStart"/>
      <w:r w:rsidRPr="000D61D1">
        <w:rPr>
          <w:b/>
          <w:bCs/>
          <w:lang w:val="en-AU"/>
        </w:rPr>
        <w:t>taking into account</w:t>
      </w:r>
      <w:proofErr w:type="gramEnd"/>
      <w:r w:rsidRPr="000D61D1">
        <w:rPr>
          <w:b/>
          <w:bCs/>
          <w:lang w:val="en-AU"/>
        </w:rPr>
        <w:t xml:space="preserve"> available concessions and deferral programs?</w:t>
      </w:r>
    </w:p>
    <w:p w14:paraId="31BFB3F2" w14:textId="192B6FA1" w:rsidR="0011794E" w:rsidRPr="000D61D1" w:rsidRDefault="0011794E" w:rsidP="0011794E">
      <w:pPr>
        <w:rPr>
          <w:lang w:val="en-AU"/>
        </w:rPr>
      </w:pPr>
      <w:r w:rsidRPr="000D61D1">
        <w:rPr>
          <w:lang w:val="en-AU"/>
        </w:rPr>
        <w:t xml:space="preserve">After taking into account all concessions and deferral programs available, and ignoring the estimated price increase due to the reform, tax reform can be expected to increase property turnover; and reduce the amounts paid for stamp duty and rates for most groups of vulnerable families in the ACT. Both the rates and stamp duty have been shown to be more progressive under the new tax system, in that </w:t>
      </w:r>
      <w:proofErr w:type="gramStart"/>
      <w:r w:rsidRPr="000D61D1">
        <w:rPr>
          <w:lang w:val="en-AU"/>
        </w:rPr>
        <w:t>low income</w:t>
      </w:r>
      <w:proofErr w:type="gramEnd"/>
      <w:r w:rsidRPr="000D61D1">
        <w:rPr>
          <w:lang w:val="en-AU"/>
        </w:rPr>
        <w:t xml:space="preserve"> families are paying slightly less of the total rates and stamp duty; and high income families are paying slightly more (</w:t>
      </w:r>
      <w:r w:rsidR="00A6304C">
        <w:rPr>
          <w:lang w:val="en-AU"/>
        </w:rPr>
        <w:t xml:space="preserve">Table 5 </w:t>
      </w:r>
      <w:r w:rsidRPr="000D61D1">
        <w:rPr>
          <w:lang w:val="en-AU"/>
        </w:rPr>
        <w:t xml:space="preserve">and </w:t>
      </w:r>
      <w:r w:rsidR="00A6304C">
        <w:rPr>
          <w:lang w:val="en-AU"/>
        </w:rPr>
        <w:t>Table 6</w:t>
      </w:r>
      <w:r w:rsidRPr="000D61D1">
        <w:rPr>
          <w:lang w:val="en-AU"/>
        </w:rPr>
        <w:t>).</w:t>
      </w:r>
    </w:p>
    <w:p w14:paraId="226713AC" w14:textId="77777777" w:rsidR="0011794E" w:rsidRPr="000D61D1" w:rsidRDefault="0011794E" w:rsidP="0011794E">
      <w:pPr>
        <w:rPr>
          <w:lang w:val="en-AU"/>
        </w:rPr>
      </w:pPr>
      <w:r w:rsidRPr="000D61D1">
        <w:rPr>
          <w:lang w:val="en-AU"/>
        </w:rPr>
        <w:t xml:space="preserve">In terms of income groups, before the modelled </w:t>
      </w:r>
      <w:r>
        <w:rPr>
          <w:lang w:val="en-AU"/>
        </w:rPr>
        <w:t>property</w:t>
      </w:r>
      <w:r w:rsidRPr="000D61D1">
        <w:rPr>
          <w:lang w:val="en-AU"/>
        </w:rPr>
        <w:t xml:space="preserve"> price increases were incorporated, low income families can be expected to pay slightly more of their incomes on rate</w:t>
      </w:r>
      <w:r>
        <w:rPr>
          <w:lang w:val="en-AU"/>
        </w:rPr>
        <w:t>s</w:t>
      </w:r>
      <w:r w:rsidRPr="000D61D1">
        <w:rPr>
          <w:lang w:val="en-AU"/>
        </w:rPr>
        <w:t xml:space="preserve"> and stamp duty, while middle income groups are paying less, possibly because these groups are benefitting from the lower stamp duty, which the lower income groups aren’t. Similarly, low wealth families experience slightly lower incomes under the new tax system, possibly because they aren’t benefitting from the lower stamp duty</w:t>
      </w:r>
      <w:r>
        <w:rPr>
          <w:lang w:val="en-AU"/>
        </w:rPr>
        <w:t xml:space="preserve"> as they </w:t>
      </w:r>
      <w:proofErr w:type="gramStart"/>
      <w:r>
        <w:rPr>
          <w:lang w:val="en-AU"/>
        </w:rPr>
        <w:t>can’t  purchase</w:t>
      </w:r>
      <w:proofErr w:type="gramEnd"/>
      <w:r>
        <w:rPr>
          <w:lang w:val="en-AU"/>
        </w:rPr>
        <w:t xml:space="preserve"> property due to the income and deposit constraints</w:t>
      </w:r>
      <w:r w:rsidRPr="000D61D1">
        <w:rPr>
          <w:lang w:val="en-AU"/>
        </w:rPr>
        <w:t>, while middle wealth families benefit from it.</w:t>
      </w:r>
    </w:p>
    <w:p w14:paraId="676A6F45" w14:textId="77777777" w:rsidR="0011794E" w:rsidRPr="000D61D1" w:rsidRDefault="0011794E" w:rsidP="0011794E">
      <w:pPr>
        <w:rPr>
          <w:lang w:val="en-AU"/>
        </w:rPr>
      </w:pPr>
      <w:r w:rsidRPr="000D61D1">
        <w:rPr>
          <w:lang w:val="en-AU"/>
        </w:rPr>
        <w:t xml:space="preserve">Once the modelled </w:t>
      </w:r>
      <w:r>
        <w:rPr>
          <w:lang w:val="en-AU"/>
        </w:rPr>
        <w:t xml:space="preserve">property </w:t>
      </w:r>
      <w:r w:rsidRPr="000D61D1">
        <w:rPr>
          <w:lang w:val="en-AU"/>
        </w:rPr>
        <w:t xml:space="preserve">price increases are incorporated into the model, first home buyers and renters can still be expected to benefit from the new tax system. The progressivity of the new rates and stamp duty is still apparent with the </w:t>
      </w:r>
      <w:r>
        <w:rPr>
          <w:lang w:val="en-AU"/>
        </w:rPr>
        <w:t xml:space="preserve">property </w:t>
      </w:r>
      <w:r w:rsidRPr="000D61D1">
        <w:rPr>
          <w:lang w:val="en-AU"/>
        </w:rPr>
        <w:t>price increase.</w:t>
      </w:r>
    </w:p>
    <w:p w14:paraId="793B9656" w14:textId="77777777" w:rsidR="0011794E" w:rsidRPr="000D61D1" w:rsidRDefault="0011794E" w:rsidP="0011794E">
      <w:pPr>
        <w:numPr>
          <w:ilvl w:val="0"/>
          <w:numId w:val="18"/>
        </w:numPr>
        <w:rPr>
          <w:b/>
          <w:bCs/>
          <w:lang w:val="en-AU"/>
        </w:rPr>
      </w:pPr>
      <w:r w:rsidRPr="000D61D1">
        <w:rPr>
          <w:b/>
          <w:bCs/>
          <w:lang w:val="en-AU"/>
        </w:rPr>
        <w:t>What has been the impact of tax reform on the progressivity and equity of the ACT tax system, considering the incidence of property purchases by households at different income and wealth?</w:t>
      </w:r>
    </w:p>
    <w:p w14:paraId="7E034D23" w14:textId="39DEB5E9" w:rsidR="0011794E" w:rsidRDefault="0011794E" w:rsidP="0011794E">
      <w:pPr>
        <w:rPr>
          <w:lang w:val="en-AU"/>
        </w:rPr>
      </w:pPr>
      <w:r w:rsidRPr="000D61D1">
        <w:rPr>
          <w:lang w:val="en-AU"/>
        </w:rPr>
        <w:t>Looking at the results by income quintiles, we show that both the rates and stamp duty in the new tax system are more progressive (</w:t>
      </w:r>
      <w:r w:rsidR="00A6304C">
        <w:rPr>
          <w:lang w:val="en-AU"/>
        </w:rPr>
        <w:t>Table 5</w:t>
      </w:r>
      <w:r w:rsidRPr="000D61D1">
        <w:rPr>
          <w:lang w:val="en-AU"/>
        </w:rPr>
        <w:t xml:space="preserve"> and </w:t>
      </w:r>
      <w:r w:rsidR="00A6304C">
        <w:rPr>
          <w:lang w:val="en-AU"/>
        </w:rPr>
        <w:t>Table 6)</w:t>
      </w:r>
      <w:r w:rsidRPr="000D61D1">
        <w:rPr>
          <w:lang w:val="en-AU"/>
        </w:rPr>
        <w:t xml:space="preserve">, with lower income families paying less of the tax take under the new system compared to the old. This was the same before and after the </w:t>
      </w:r>
      <w:r>
        <w:rPr>
          <w:lang w:val="en-AU"/>
        </w:rPr>
        <w:t>property</w:t>
      </w:r>
      <w:bookmarkStart w:id="52" w:name="_GoBack"/>
      <w:bookmarkEnd w:id="52"/>
      <w:r>
        <w:rPr>
          <w:lang w:val="en-AU"/>
        </w:rPr>
        <w:t xml:space="preserve"> </w:t>
      </w:r>
      <w:r w:rsidRPr="000D61D1">
        <w:rPr>
          <w:lang w:val="en-AU"/>
        </w:rPr>
        <w:t>price increases were incorporated.</w:t>
      </w:r>
    </w:p>
    <w:p w14:paraId="5FB32722" w14:textId="77777777" w:rsidR="0011794E" w:rsidRPr="000D61D1" w:rsidRDefault="0011794E" w:rsidP="0011794E">
      <w:pPr>
        <w:rPr>
          <w:lang w:val="en-AU"/>
        </w:rPr>
      </w:pPr>
      <w:r>
        <w:rPr>
          <w:lang w:val="en-AU"/>
        </w:rPr>
        <w:t>Interestingly, when looking at the combined impact of the stamp duty and rates together, lower income families are paying a slightly higher proportion of the combined rates and stamp duty compared to middle income families. This is discussed further in the body of the report.</w:t>
      </w:r>
    </w:p>
    <w:p w14:paraId="76F12115" w14:textId="77777777" w:rsidR="0011794E" w:rsidRPr="000D61D1" w:rsidRDefault="0011794E" w:rsidP="0011794E">
      <w:pPr>
        <w:rPr>
          <w:lang w:val="en-AU"/>
        </w:rPr>
      </w:pPr>
      <w:r w:rsidRPr="000D61D1">
        <w:rPr>
          <w:lang w:val="en-AU"/>
        </w:rPr>
        <w:t xml:space="preserve">In terms of access to housing, the new tax system has meant greater access and increased sales for </w:t>
      </w:r>
      <w:r>
        <w:rPr>
          <w:lang w:val="en-AU"/>
        </w:rPr>
        <w:t>all</w:t>
      </w:r>
      <w:r w:rsidRPr="000D61D1">
        <w:rPr>
          <w:lang w:val="en-AU"/>
        </w:rPr>
        <w:t xml:space="preserve"> income and wealth </w:t>
      </w:r>
      <w:r>
        <w:rPr>
          <w:lang w:val="en-AU"/>
        </w:rPr>
        <w:t>quintiles except the lowest income quintile with the highest average price increase, where the</w:t>
      </w:r>
      <w:r w:rsidRPr="000D61D1">
        <w:rPr>
          <w:lang w:val="en-AU"/>
        </w:rPr>
        <w:t xml:space="preserve"> impact </w:t>
      </w:r>
      <w:r>
        <w:rPr>
          <w:lang w:val="en-AU"/>
        </w:rPr>
        <w:t xml:space="preserve">was slightly negative (Table 7). </w:t>
      </w:r>
    </w:p>
    <w:p w14:paraId="1B8F2BC0" w14:textId="77777777" w:rsidR="0011794E" w:rsidRPr="000D61D1" w:rsidRDefault="0011794E" w:rsidP="0011794E">
      <w:pPr>
        <w:numPr>
          <w:ilvl w:val="0"/>
          <w:numId w:val="18"/>
        </w:numPr>
        <w:rPr>
          <w:b/>
          <w:bCs/>
          <w:lang w:val="en-AU"/>
        </w:rPr>
      </w:pPr>
      <w:r w:rsidRPr="000D61D1">
        <w:rPr>
          <w:b/>
          <w:bCs/>
          <w:lang w:val="en-AU"/>
        </w:rPr>
        <w:t>How has tax reform affected the alignment of residential property taxation with ability to pay, taking account relevant related factors including changes in land values and land use by household income level and household wealth level?</w:t>
      </w:r>
    </w:p>
    <w:p w14:paraId="5E8E27CF" w14:textId="77777777" w:rsidR="0011794E" w:rsidRPr="000D61D1" w:rsidRDefault="0011794E" w:rsidP="0011794E">
      <w:pPr>
        <w:rPr>
          <w:lang w:val="en-AU"/>
        </w:rPr>
      </w:pPr>
      <w:r w:rsidRPr="000D61D1">
        <w:rPr>
          <w:lang w:val="en-AU"/>
        </w:rPr>
        <w:lastRenderedPageBreak/>
        <w:t xml:space="preserve">This question can be answered in expectation through the model because the ability to pay for a </w:t>
      </w:r>
      <w:r>
        <w:rPr>
          <w:lang w:val="en-AU"/>
        </w:rPr>
        <w:t>property</w:t>
      </w:r>
      <w:r w:rsidRPr="000D61D1">
        <w:rPr>
          <w:lang w:val="en-AU"/>
        </w:rPr>
        <w:t xml:space="preserve"> (both the income and wealth test) is modelled. The overall results suggest that tax reform can be expected to result in improved ability to pay for </w:t>
      </w:r>
      <w:r>
        <w:rPr>
          <w:lang w:val="en-AU"/>
        </w:rPr>
        <w:t>all</w:t>
      </w:r>
      <w:r w:rsidRPr="000D61D1">
        <w:rPr>
          <w:lang w:val="en-AU"/>
        </w:rPr>
        <w:t xml:space="preserve"> families, as a greater number of them have been modelled as being able to buy. </w:t>
      </w:r>
      <w:r>
        <w:rPr>
          <w:lang w:val="en-AU"/>
        </w:rPr>
        <w:t xml:space="preserve">This is the same under all the price increases modelled. </w:t>
      </w:r>
    </w:p>
    <w:p w14:paraId="0E9A1FD9" w14:textId="77777777" w:rsidR="0011794E" w:rsidRPr="000D61D1" w:rsidRDefault="0011794E" w:rsidP="0011794E">
      <w:pPr>
        <w:numPr>
          <w:ilvl w:val="0"/>
          <w:numId w:val="18"/>
        </w:numPr>
        <w:rPr>
          <w:b/>
          <w:bCs/>
          <w:lang w:val="en-AU"/>
        </w:rPr>
      </w:pPr>
      <w:r w:rsidRPr="000D61D1">
        <w:rPr>
          <w:b/>
          <w:bCs/>
          <w:lang w:val="en-AU"/>
        </w:rPr>
        <w:t>Is there any evidence that higher annual general rates (in place of higher stamp duty) have impacted welfare or behaviour?</w:t>
      </w:r>
    </w:p>
    <w:p w14:paraId="49C46DAC" w14:textId="77777777" w:rsidR="0011794E" w:rsidRDefault="0011794E" w:rsidP="0011794E">
      <w:pPr>
        <w:rPr>
          <w:lang w:val="en-AU"/>
        </w:rPr>
      </w:pPr>
      <w:r w:rsidRPr="000D61D1">
        <w:rPr>
          <w:lang w:val="en-AU"/>
        </w:rPr>
        <w:t xml:space="preserve">When considering welfare, the impact of rates on the incomes of </w:t>
      </w:r>
      <w:proofErr w:type="gramStart"/>
      <w:r w:rsidRPr="000D61D1">
        <w:rPr>
          <w:lang w:val="en-AU"/>
        </w:rPr>
        <w:t>low income</w:t>
      </w:r>
      <w:proofErr w:type="gramEnd"/>
      <w:r w:rsidRPr="000D61D1">
        <w:rPr>
          <w:lang w:val="en-AU"/>
        </w:rPr>
        <w:t xml:space="preserve"> families </w:t>
      </w:r>
      <w:r>
        <w:rPr>
          <w:lang w:val="en-AU"/>
        </w:rPr>
        <w:t>is higher</w:t>
      </w:r>
      <w:r w:rsidRPr="000D61D1">
        <w:rPr>
          <w:lang w:val="en-AU"/>
        </w:rPr>
        <w:t xml:space="preserve"> under the new tax system, suggesting a</w:t>
      </w:r>
      <w:r>
        <w:rPr>
          <w:lang w:val="en-AU"/>
        </w:rPr>
        <w:t xml:space="preserve"> decrease</w:t>
      </w:r>
      <w:r w:rsidRPr="000D61D1">
        <w:rPr>
          <w:lang w:val="en-AU"/>
        </w:rPr>
        <w:t xml:space="preserve"> in welfare of these families. This impact was </w:t>
      </w:r>
      <w:r>
        <w:rPr>
          <w:lang w:val="en-AU"/>
        </w:rPr>
        <w:t>less</w:t>
      </w:r>
      <w:r w:rsidRPr="000D61D1">
        <w:rPr>
          <w:lang w:val="en-AU"/>
        </w:rPr>
        <w:t xml:space="preserve"> than the impact of </w:t>
      </w:r>
      <w:r>
        <w:rPr>
          <w:lang w:val="en-AU"/>
        </w:rPr>
        <w:t xml:space="preserve">the reduction in </w:t>
      </w:r>
      <w:r w:rsidRPr="000D61D1">
        <w:rPr>
          <w:lang w:val="en-AU"/>
        </w:rPr>
        <w:t xml:space="preserve">stamp duty on low income families. </w:t>
      </w:r>
      <w:proofErr w:type="gramStart"/>
      <w:r>
        <w:rPr>
          <w:lang w:val="en-AU"/>
        </w:rPr>
        <w:t>So</w:t>
      </w:r>
      <w:proofErr w:type="gramEnd"/>
      <w:r>
        <w:rPr>
          <w:lang w:val="en-AU"/>
        </w:rPr>
        <w:t xml:space="preserve"> if a low income family purchases a property, they will be on average $2,435 better off due to the lower stamp duty; but will be paying $266 per year more in rates (see Tables 14 and 16 in the technical appendix). However, there are fewer </w:t>
      </w:r>
      <w:proofErr w:type="gramStart"/>
      <w:r>
        <w:rPr>
          <w:lang w:val="en-AU"/>
        </w:rPr>
        <w:t>low income</w:t>
      </w:r>
      <w:proofErr w:type="gramEnd"/>
      <w:r>
        <w:rPr>
          <w:lang w:val="en-AU"/>
        </w:rPr>
        <w:t xml:space="preserve"> families purchasing properties, so the impact of rates affects all owners; whereas the benefit of lower stamp duty only affects those who buy.</w:t>
      </w:r>
    </w:p>
    <w:p w14:paraId="0FB02EE9" w14:textId="77777777" w:rsidR="0011794E" w:rsidRPr="000D61D1" w:rsidRDefault="0011794E" w:rsidP="0011794E">
      <w:pPr>
        <w:rPr>
          <w:lang w:val="en-AU"/>
        </w:rPr>
      </w:pPr>
      <w:r w:rsidRPr="000D61D1">
        <w:rPr>
          <w:lang w:val="en-AU"/>
        </w:rPr>
        <w:t xml:space="preserve">Reducing stamp duty under the new tax policy has meant that some of the stamp duty paid under the original tax system can now be used for a deposit. Our modelling showed that this has had a positive impact on purchasing ability, particularly for first home buyers. This was before the </w:t>
      </w:r>
      <w:r>
        <w:rPr>
          <w:lang w:val="en-AU"/>
        </w:rPr>
        <w:t>property</w:t>
      </w:r>
      <w:r w:rsidRPr="000D61D1">
        <w:rPr>
          <w:lang w:val="en-AU"/>
        </w:rPr>
        <w:t xml:space="preserve"> price increase was incorporated.</w:t>
      </w:r>
    </w:p>
    <w:p w14:paraId="750468CC" w14:textId="77777777" w:rsidR="0011794E" w:rsidRPr="000D61D1" w:rsidRDefault="0011794E" w:rsidP="0011794E">
      <w:pPr>
        <w:rPr>
          <w:lang w:val="en-AU"/>
        </w:rPr>
      </w:pPr>
      <w:r w:rsidRPr="000D61D1">
        <w:rPr>
          <w:lang w:val="en-AU"/>
        </w:rPr>
        <w:t xml:space="preserve">It is difficult to identify an impact on </w:t>
      </w:r>
      <w:proofErr w:type="spellStart"/>
      <w:r w:rsidRPr="000D61D1">
        <w:rPr>
          <w:lang w:val="en-AU"/>
        </w:rPr>
        <w:t>behavior</w:t>
      </w:r>
      <w:proofErr w:type="spellEnd"/>
      <w:r w:rsidRPr="000D61D1">
        <w:rPr>
          <w:lang w:val="en-AU"/>
        </w:rPr>
        <w:t xml:space="preserve">, and the simulation model used to address this question does not include behavioural effects, but we can say that the </w:t>
      </w:r>
      <w:r>
        <w:rPr>
          <w:lang w:val="en-AU"/>
        </w:rPr>
        <w:t>different property</w:t>
      </w:r>
      <w:r w:rsidRPr="000D61D1">
        <w:rPr>
          <w:lang w:val="en-AU"/>
        </w:rPr>
        <w:t xml:space="preserve"> price increase</w:t>
      </w:r>
      <w:r>
        <w:rPr>
          <w:lang w:val="en-AU"/>
        </w:rPr>
        <w:t xml:space="preserve">s were associated with </w:t>
      </w:r>
      <w:r w:rsidRPr="000D61D1">
        <w:rPr>
          <w:lang w:val="en-AU"/>
        </w:rPr>
        <w:t xml:space="preserve">a </w:t>
      </w:r>
      <w:r>
        <w:rPr>
          <w:lang w:val="en-AU"/>
        </w:rPr>
        <w:t xml:space="preserve">reduction in the </w:t>
      </w:r>
      <w:r w:rsidRPr="000D61D1">
        <w:rPr>
          <w:lang w:val="en-AU"/>
        </w:rPr>
        <w:t xml:space="preserve">number of </w:t>
      </w:r>
      <w:r>
        <w:rPr>
          <w:lang w:val="en-AU"/>
        </w:rPr>
        <w:t>households who</w:t>
      </w:r>
      <w:r w:rsidRPr="000D61D1">
        <w:rPr>
          <w:lang w:val="en-AU"/>
        </w:rPr>
        <w:t xml:space="preserve"> could no longer purchase a higher priced </w:t>
      </w:r>
      <w:r>
        <w:rPr>
          <w:lang w:val="en-AU"/>
        </w:rPr>
        <w:t xml:space="preserve">property </w:t>
      </w:r>
      <w:r w:rsidRPr="000D61D1">
        <w:rPr>
          <w:lang w:val="en-AU"/>
        </w:rPr>
        <w:t xml:space="preserve">due to the income and deposit requirements. </w:t>
      </w:r>
      <w:proofErr w:type="gramStart"/>
      <w:r w:rsidRPr="000D61D1">
        <w:rPr>
          <w:lang w:val="en-AU"/>
        </w:rPr>
        <w:t>So</w:t>
      </w:r>
      <w:proofErr w:type="gramEnd"/>
      <w:r w:rsidRPr="000D61D1">
        <w:rPr>
          <w:lang w:val="en-AU"/>
        </w:rPr>
        <w:t xml:space="preserve"> the income and deposit rules applied by banks to provide loans are highly sensitive to </w:t>
      </w:r>
      <w:r>
        <w:rPr>
          <w:lang w:val="en-AU"/>
        </w:rPr>
        <w:t>property</w:t>
      </w:r>
      <w:r w:rsidRPr="000D61D1">
        <w:rPr>
          <w:lang w:val="en-AU"/>
        </w:rPr>
        <w:t xml:space="preserve"> prices, and this may impact </w:t>
      </w:r>
      <w:proofErr w:type="spellStart"/>
      <w:r w:rsidRPr="000D61D1">
        <w:rPr>
          <w:lang w:val="en-AU"/>
        </w:rPr>
        <w:t>behavior</w:t>
      </w:r>
      <w:proofErr w:type="spellEnd"/>
      <w:r w:rsidRPr="000D61D1">
        <w:rPr>
          <w:lang w:val="en-AU"/>
        </w:rPr>
        <w:t xml:space="preserve"> in terms of families not purchasing; or purchasing elsewhere. </w:t>
      </w:r>
    </w:p>
    <w:p w14:paraId="08E39F6C" w14:textId="7B9A0442" w:rsidR="0048390A" w:rsidRPr="0048390A" w:rsidRDefault="0011794E" w:rsidP="004449B1">
      <w:pPr>
        <w:rPr>
          <w:lang w:val="en-AU"/>
        </w:rPr>
      </w:pPr>
      <w:r>
        <w:rPr>
          <w:lang w:val="en-AU"/>
        </w:rPr>
        <w:t>W</w:t>
      </w:r>
      <w:r w:rsidRPr="000D61D1">
        <w:rPr>
          <w:lang w:val="en-AU"/>
        </w:rPr>
        <w:t xml:space="preserve">hile the lower stamp duty has increased the number of </w:t>
      </w:r>
      <w:r>
        <w:rPr>
          <w:lang w:val="en-AU"/>
        </w:rPr>
        <w:t>properties</w:t>
      </w:r>
      <w:r w:rsidRPr="000D61D1">
        <w:rPr>
          <w:lang w:val="en-AU"/>
        </w:rPr>
        <w:t xml:space="preserve"> purchased by 2,</w:t>
      </w:r>
      <w:r>
        <w:rPr>
          <w:lang w:val="en-AU"/>
        </w:rPr>
        <w:t>304</w:t>
      </w:r>
      <w:r w:rsidRPr="000D61D1">
        <w:rPr>
          <w:lang w:val="en-AU"/>
        </w:rPr>
        <w:t xml:space="preserve"> </w:t>
      </w:r>
      <w:r>
        <w:rPr>
          <w:lang w:val="en-AU"/>
        </w:rPr>
        <w:t>properties</w:t>
      </w:r>
      <w:r w:rsidRPr="000D61D1">
        <w:rPr>
          <w:lang w:val="en-AU"/>
        </w:rPr>
        <w:t xml:space="preserve">, there was also an impact of increasing </w:t>
      </w:r>
      <w:r>
        <w:rPr>
          <w:lang w:val="en-AU"/>
        </w:rPr>
        <w:t>property</w:t>
      </w:r>
      <w:r w:rsidRPr="000D61D1">
        <w:rPr>
          <w:lang w:val="en-AU"/>
        </w:rPr>
        <w:t xml:space="preserve"> prices by </w:t>
      </w:r>
      <w:r>
        <w:rPr>
          <w:lang w:val="en-AU"/>
        </w:rPr>
        <w:t>a minimum of 0.8</w:t>
      </w:r>
      <w:r w:rsidRPr="000D61D1">
        <w:rPr>
          <w:lang w:val="en-AU"/>
        </w:rPr>
        <w:t>%</w:t>
      </w:r>
      <w:r>
        <w:rPr>
          <w:lang w:val="en-AU"/>
        </w:rPr>
        <w:t xml:space="preserve"> and 1.7% averaged over five years. The 0.8% price increase meant that rather than 2,304 new sales, there were 2,042 new sales, a drop of 262 sales; and the 1.7% average price increase was associated with 1,363 sales, a reduction of 941 sales compared to no price increase. </w:t>
      </w:r>
      <w:proofErr w:type="gramStart"/>
      <w:r>
        <w:rPr>
          <w:lang w:val="en-AU"/>
        </w:rPr>
        <w:t>S</w:t>
      </w:r>
      <w:r w:rsidRPr="000D61D1">
        <w:rPr>
          <w:lang w:val="en-AU"/>
        </w:rPr>
        <w:t>o</w:t>
      </w:r>
      <w:proofErr w:type="gramEnd"/>
      <w:r w:rsidRPr="000D61D1">
        <w:rPr>
          <w:lang w:val="en-AU"/>
        </w:rPr>
        <w:t xml:space="preserve"> one of the factors affecting </w:t>
      </w:r>
      <w:proofErr w:type="spellStart"/>
      <w:r w:rsidRPr="000D61D1">
        <w:rPr>
          <w:lang w:val="en-AU"/>
        </w:rPr>
        <w:t>behavior</w:t>
      </w:r>
      <w:proofErr w:type="spellEnd"/>
      <w:r w:rsidRPr="000D61D1">
        <w:rPr>
          <w:lang w:val="en-AU"/>
        </w:rPr>
        <w:t xml:space="preserve"> is </w:t>
      </w:r>
      <w:r>
        <w:rPr>
          <w:lang w:val="en-AU"/>
        </w:rPr>
        <w:t>property</w:t>
      </w:r>
      <w:r w:rsidRPr="000D61D1">
        <w:rPr>
          <w:lang w:val="en-AU"/>
        </w:rPr>
        <w:t xml:space="preserve"> prices, and higher </w:t>
      </w:r>
      <w:r>
        <w:rPr>
          <w:lang w:val="en-AU"/>
        </w:rPr>
        <w:t xml:space="preserve">property </w:t>
      </w:r>
      <w:r w:rsidRPr="000D61D1">
        <w:rPr>
          <w:lang w:val="en-AU"/>
        </w:rPr>
        <w:t xml:space="preserve">prices can somewhat offset the benefit of lower stamp duty in terms of the number of </w:t>
      </w:r>
      <w:r>
        <w:rPr>
          <w:lang w:val="en-AU"/>
        </w:rPr>
        <w:t>properties</w:t>
      </w:r>
      <w:r w:rsidRPr="000D61D1">
        <w:rPr>
          <w:lang w:val="en-AU"/>
        </w:rPr>
        <w:t xml:space="preserve"> sold.</w:t>
      </w:r>
      <w:r w:rsidR="0048390A">
        <w:rPr>
          <w:lang w:val="en-AU"/>
        </w:rPr>
        <w:t xml:space="preserve"> </w:t>
      </w:r>
    </w:p>
    <w:p w14:paraId="2451527D" w14:textId="77777777" w:rsidR="00936E43" w:rsidRPr="000D61D1" w:rsidRDefault="00936E43" w:rsidP="00936E43">
      <w:pPr>
        <w:numPr>
          <w:ilvl w:val="0"/>
          <w:numId w:val="18"/>
        </w:numPr>
        <w:rPr>
          <w:b/>
          <w:lang w:val="en-AU"/>
        </w:rPr>
      </w:pPr>
      <w:r w:rsidRPr="000D61D1">
        <w:rPr>
          <w:b/>
          <w:lang w:val="en-AU"/>
        </w:rPr>
        <w:t>Are the impacts of tax reform on the ACT economy to date able to be measured?</w:t>
      </w:r>
    </w:p>
    <w:p w14:paraId="1F12FD82" w14:textId="77777777" w:rsidR="002B7B15" w:rsidRPr="000D61D1" w:rsidRDefault="002B7B15" w:rsidP="002B7B15">
      <w:pPr>
        <w:pStyle w:val="BodyText"/>
        <w:rPr>
          <w:lang w:val="en-AU"/>
        </w:rPr>
      </w:pPr>
      <w:r w:rsidRPr="000D61D1">
        <w:rPr>
          <w:lang w:val="en-AU"/>
        </w:rPr>
        <w:t>We measure the effects on the economy by studying the overall value of the house and unit markets. We find that the effects of the reform on the economy in the market for houses are small or non-existent; the findings range from statistically insignificant to -</w:t>
      </w:r>
      <w:r>
        <w:rPr>
          <w:lang w:val="en-AU"/>
        </w:rPr>
        <w:t xml:space="preserve">5 per cent </w:t>
      </w:r>
      <w:r w:rsidRPr="00E9433F">
        <w:rPr>
          <w:lang w:val="en-AU"/>
        </w:rPr>
        <w:t xml:space="preserve">(and even larger negative </w:t>
      </w:r>
      <w:r>
        <w:rPr>
          <w:lang w:val="en-AU"/>
        </w:rPr>
        <w:t>effects using</w:t>
      </w:r>
      <w:r w:rsidRPr="00E9433F">
        <w:rPr>
          <w:lang w:val="en-AU"/>
        </w:rPr>
        <w:t xml:space="preserve"> the administrative data).</w:t>
      </w:r>
      <w:r w:rsidRPr="000D61D1">
        <w:rPr>
          <w:lang w:val="en-AU"/>
        </w:rPr>
        <w:t xml:space="preserve"> </w:t>
      </w:r>
      <w:r>
        <w:rPr>
          <w:lang w:val="en-AU"/>
        </w:rPr>
        <w:t>T</w:t>
      </w:r>
      <w:r w:rsidRPr="000D61D1">
        <w:rPr>
          <w:lang w:val="en-AU"/>
        </w:rPr>
        <w:t>he findings are not robust across variations in counterfactuals</w:t>
      </w:r>
      <w:r w:rsidRPr="00E9433F">
        <w:rPr>
          <w:lang w:val="en-AU"/>
        </w:rPr>
        <w:t xml:space="preserve"> and </w:t>
      </w:r>
      <w:r>
        <w:rPr>
          <w:lang w:val="en-AU"/>
        </w:rPr>
        <w:t xml:space="preserve">the </w:t>
      </w:r>
      <w:r w:rsidRPr="00E9433F">
        <w:rPr>
          <w:lang w:val="en-AU"/>
        </w:rPr>
        <w:t>point estimates are unreliable</w:t>
      </w:r>
      <w:r>
        <w:rPr>
          <w:lang w:val="en-AU"/>
        </w:rPr>
        <w:t>.</w:t>
      </w:r>
      <w:r w:rsidRPr="000D61D1">
        <w:rPr>
          <w:lang w:val="en-AU"/>
        </w:rPr>
        <w:t xml:space="preserve"> </w:t>
      </w:r>
      <w:r w:rsidRPr="00E9433F">
        <w:rPr>
          <w:lang w:val="en-AU"/>
        </w:rPr>
        <w:t xml:space="preserve">While we </w:t>
      </w:r>
      <w:r>
        <w:rPr>
          <w:lang w:val="en-AU"/>
        </w:rPr>
        <w:t>most</w:t>
      </w:r>
      <w:r w:rsidRPr="00E9433F">
        <w:rPr>
          <w:lang w:val="en-AU"/>
        </w:rPr>
        <w:t>ly</w:t>
      </w:r>
      <w:r>
        <w:rPr>
          <w:lang w:val="en-AU"/>
        </w:rPr>
        <w:t xml:space="preserve"> find</w:t>
      </w:r>
      <w:r w:rsidRPr="00E9433F">
        <w:rPr>
          <w:lang w:val="en-AU"/>
        </w:rPr>
        <w:t xml:space="preserve"> </w:t>
      </w:r>
      <w:r>
        <w:rPr>
          <w:lang w:val="en-AU"/>
        </w:rPr>
        <w:t>negative</w:t>
      </w:r>
      <w:r w:rsidRPr="00E9433F">
        <w:rPr>
          <w:lang w:val="en-AU"/>
        </w:rPr>
        <w:t xml:space="preserve"> estimates</w:t>
      </w:r>
      <w:r>
        <w:rPr>
          <w:lang w:val="en-AU"/>
        </w:rPr>
        <w:t xml:space="preserve">, suggesting that </w:t>
      </w:r>
      <w:r w:rsidRPr="00E9433F">
        <w:rPr>
          <w:lang w:val="en-AU"/>
        </w:rPr>
        <w:t xml:space="preserve">the reform did not lead to an increase in the overall </w:t>
      </w:r>
      <w:r w:rsidRPr="000D61D1">
        <w:rPr>
          <w:lang w:val="en-AU"/>
        </w:rPr>
        <w:t xml:space="preserve">value </w:t>
      </w:r>
      <w:r w:rsidRPr="00E9433F">
        <w:rPr>
          <w:lang w:val="en-AU"/>
        </w:rPr>
        <w:t xml:space="preserve">of </w:t>
      </w:r>
      <w:r>
        <w:rPr>
          <w:lang w:val="en-AU"/>
        </w:rPr>
        <w:t>the house</w:t>
      </w:r>
      <w:r w:rsidRPr="00E9433F">
        <w:rPr>
          <w:lang w:val="en-AU"/>
        </w:rPr>
        <w:t xml:space="preserve"> </w:t>
      </w:r>
      <w:r w:rsidRPr="000D61D1">
        <w:rPr>
          <w:lang w:val="en-AU"/>
        </w:rPr>
        <w:t>market economy</w:t>
      </w:r>
      <w:r>
        <w:rPr>
          <w:lang w:val="en-AU"/>
        </w:rPr>
        <w:t xml:space="preserve">, this is not consistently the case across the different specifications and we therefore cannot draw </w:t>
      </w:r>
      <w:r w:rsidRPr="00E9433F">
        <w:rPr>
          <w:lang w:val="en-AU"/>
        </w:rPr>
        <w:t>conclu</w:t>
      </w:r>
      <w:r>
        <w:rPr>
          <w:lang w:val="en-AU"/>
        </w:rPr>
        <w:t>sions from the results</w:t>
      </w:r>
      <w:r w:rsidRPr="000D61D1">
        <w:rPr>
          <w:lang w:val="en-AU"/>
        </w:rPr>
        <w:t>.</w:t>
      </w:r>
    </w:p>
    <w:p w14:paraId="36941BC0" w14:textId="77777777" w:rsidR="002B7B15" w:rsidRPr="000D61D1" w:rsidRDefault="002B7B15" w:rsidP="002B7B15">
      <w:pPr>
        <w:pStyle w:val="BodyText"/>
        <w:rPr>
          <w:lang w:val="en-AU"/>
        </w:rPr>
      </w:pPr>
      <w:r w:rsidRPr="000D61D1">
        <w:rPr>
          <w:lang w:val="en-AU"/>
        </w:rPr>
        <w:lastRenderedPageBreak/>
        <w:t>When looking at the market for units we find a strong decrease of 20% to 24</w:t>
      </w:r>
      <w:r w:rsidRPr="00E9433F">
        <w:rPr>
          <w:lang w:val="en-AU"/>
        </w:rPr>
        <w:t>% (and negative but insignificant for the administrative data).</w:t>
      </w:r>
      <w:r w:rsidRPr="000D61D1">
        <w:rPr>
          <w:lang w:val="en-AU"/>
        </w:rPr>
        <w:t xml:space="preserve"> This is a sizable amount and raises questions about whether the identifying assumptions have been met or if some other factors contribute to the unusual trend in the ACT. The</w:t>
      </w:r>
      <w:r>
        <w:rPr>
          <w:lang w:val="en-AU"/>
        </w:rPr>
        <w:t xml:space="preserve"> point estimates</w:t>
      </w:r>
      <w:r w:rsidRPr="000D61D1">
        <w:rPr>
          <w:lang w:val="en-AU"/>
        </w:rPr>
        <w:t xml:space="preserve"> are not robust to changes in control group or specification</w:t>
      </w:r>
      <w:r w:rsidRPr="00E9433F">
        <w:rPr>
          <w:lang w:val="en-AU"/>
        </w:rPr>
        <w:t xml:space="preserve"> (or data) and should be used cautiously. While we </w:t>
      </w:r>
      <w:r>
        <w:rPr>
          <w:lang w:val="en-AU"/>
        </w:rPr>
        <w:t>most</w:t>
      </w:r>
      <w:r w:rsidRPr="00E9433F">
        <w:rPr>
          <w:lang w:val="en-AU"/>
        </w:rPr>
        <w:t>ly</w:t>
      </w:r>
      <w:r>
        <w:rPr>
          <w:lang w:val="en-AU"/>
        </w:rPr>
        <w:t xml:space="preserve"> find</w:t>
      </w:r>
      <w:r w:rsidRPr="00E9433F">
        <w:rPr>
          <w:lang w:val="en-AU"/>
        </w:rPr>
        <w:t xml:space="preserve"> </w:t>
      </w:r>
      <w:r>
        <w:rPr>
          <w:lang w:val="en-AU"/>
        </w:rPr>
        <w:t>negative</w:t>
      </w:r>
      <w:r w:rsidRPr="00E9433F">
        <w:rPr>
          <w:lang w:val="en-AU"/>
        </w:rPr>
        <w:t xml:space="preserve"> estimates</w:t>
      </w:r>
      <w:r>
        <w:rPr>
          <w:lang w:val="en-AU"/>
        </w:rPr>
        <w:t xml:space="preserve">, suggesting that </w:t>
      </w:r>
      <w:r w:rsidRPr="00E9433F">
        <w:rPr>
          <w:lang w:val="en-AU"/>
        </w:rPr>
        <w:t xml:space="preserve">the reform did not lead to an increase in the overall </w:t>
      </w:r>
      <w:r w:rsidRPr="000D61D1">
        <w:rPr>
          <w:lang w:val="en-AU"/>
        </w:rPr>
        <w:t xml:space="preserve">value </w:t>
      </w:r>
      <w:r w:rsidRPr="00E9433F">
        <w:rPr>
          <w:lang w:val="en-AU"/>
        </w:rPr>
        <w:t xml:space="preserve">of </w:t>
      </w:r>
      <w:r>
        <w:rPr>
          <w:lang w:val="en-AU"/>
        </w:rPr>
        <w:t>the unit</w:t>
      </w:r>
      <w:r w:rsidRPr="00E9433F">
        <w:rPr>
          <w:lang w:val="en-AU"/>
        </w:rPr>
        <w:t xml:space="preserve"> </w:t>
      </w:r>
      <w:r w:rsidRPr="000D61D1">
        <w:rPr>
          <w:lang w:val="en-AU"/>
        </w:rPr>
        <w:t>market economy</w:t>
      </w:r>
      <w:r>
        <w:rPr>
          <w:lang w:val="en-AU"/>
        </w:rPr>
        <w:t xml:space="preserve">, this is not consistently the case across the different specifications and we therefore cannot draw </w:t>
      </w:r>
      <w:r w:rsidRPr="00E9433F">
        <w:rPr>
          <w:lang w:val="en-AU"/>
        </w:rPr>
        <w:t>conclu</w:t>
      </w:r>
      <w:r>
        <w:rPr>
          <w:lang w:val="en-AU"/>
        </w:rPr>
        <w:t>sions from the results</w:t>
      </w:r>
      <w:r w:rsidRPr="000D61D1">
        <w:rPr>
          <w:lang w:val="en-AU"/>
        </w:rPr>
        <w:t>.</w:t>
      </w:r>
    </w:p>
    <w:p w14:paraId="562B950F" w14:textId="77777777" w:rsidR="00936E43" w:rsidRPr="000D61D1" w:rsidRDefault="00936E43" w:rsidP="00936E43">
      <w:pPr>
        <w:numPr>
          <w:ilvl w:val="0"/>
          <w:numId w:val="18"/>
        </w:numPr>
        <w:ind w:left="482" w:hanging="482"/>
        <w:rPr>
          <w:b/>
          <w:lang w:val="en-AU"/>
        </w:rPr>
      </w:pPr>
      <w:r w:rsidRPr="000D61D1">
        <w:rPr>
          <w:b/>
          <w:lang w:val="en-AU"/>
        </w:rPr>
        <w:t>Are the marginal impacts from each dollar of stamp duty reduction expected to increase or decrease as tax reform progresses?</w:t>
      </w:r>
    </w:p>
    <w:p w14:paraId="61025483" w14:textId="218D9A31" w:rsidR="00936E43" w:rsidRPr="000D61D1" w:rsidRDefault="00936E43" w:rsidP="00936E43">
      <w:pPr>
        <w:pStyle w:val="BodyText"/>
        <w:rPr>
          <w:lang w:val="en-AU"/>
        </w:rPr>
      </w:pPr>
      <w:r w:rsidRPr="000D61D1">
        <w:rPr>
          <w:lang w:val="en-AU"/>
        </w:rPr>
        <w:t xml:space="preserve">Studying the trend of reform on the economy over time, we find </w:t>
      </w:r>
      <w:proofErr w:type="gramStart"/>
      <w:r w:rsidRPr="000D61D1">
        <w:rPr>
          <w:lang w:val="en-AU"/>
        </w:rPr>
        <w:t>a number of</w:t>
      </w:r>
      <w:proofErr w:type="gramEnd"/>
      <w:r w:rsidRPr="000D61D1">
        <w:rPr>
          <w:lang w:val="en-AU"/>
        </w:rPr>
        <w:t xml:space="preserve"> </w:t>
      </w:r>
      <w:r w:rsidR="00727FDA" w:rsidRPr="00E9433F">
        <w:rPr>
          <w:lang w:val="en-AU"/>
        </w:rPr>
        <w:t xml:space="preserve">weak </w:t>
      </w:r>
      <w:r w:rsidRPr="000D61D1">
        <w:rPr>
          <w:lang w:val="en-AU"/>
        </w:rPr>
        <w:t xml:space="preserve">indications that the effect of the reform increases over the short </w:t>
      </w:r>
      <w:r w:rsidR="0048390A">
        <w:rPr>
          <w:lang w:val="en-AU"/>
        </w:rPr>
        <w:t xml:space="preserve">time </w:t>
      </w:r>
      <w:r w:rsidRPr="000D61D1">
        <w:rPr>
          <w:lang w:val="en-AU"/>
        </w:rPr>
        <w:t xml:space="preserve">period observed. </w:t>
      </w:r>
      <w:r w:rsidR="00A73737" w:rsidRPr="00E9433F">
        <w:rPr>
          <w:lang w:val="en-AU"/>
        </w:rPr>
        <w:t xml:space="preserve">These measures are small and </w:t>
      </w:r>
      <w:proofErr w:type="gramStart"/>
      <w:r w:rsidR="0016401D" w:rsidRPr="00E9433F">
        <w:rPr>
          <w:lang w:val="en-AU"/>
        </w:rPr>
        <w:t>taking into account</w:t>
      </w:r>
      <w:proofErr w:type="gramEnd"/>
      <w:r w:rsidRPr="000D61D1">
        <w:rPr>
          <w:lang w:val="en-AU"/>
        </w:rPr>
        <w:t xml:space="preserve"> the </w:t>
      </w:r>
      <w:r w:rsidR="0016401D" w:rsidRPr="00E9433F">
        <w:rPr>
          <w:lang w:val="en-AU"/>
        </w:rPr>
        <w:t>limitations o</w:t>
      </w:r>
      <w:r w:rsidR="0048390A">
        <w:rPr>
          <w:lang w:val="en-AU"/>
        </w:rPr>
        <w:t>f</w:t>
      </w:r>
      <w:r w:rsidRPr="000D61D1">
        <w:rPr>
          <w:lang w:val="en-AU"/>
        </w:rPr>
        <w:t xml:space="preserve"> the </w:t>
      </w:r>
      <w:r w:rsidR="0016401D" w:rsidRPr="00E9433F">
        <w:rPr>
          <w:lang w:val="en-AU"/>
        </w:rPr>
        <w:t xml:space="preserve">data and identifying assumptions discussed above, </w:t>
      </w:r>
      <w:r w:rsidR="00175A0A" w:rsidRPr="00E9433F">
        <w:rPr>
          <w:lang w:val="en-AU"/>
        </w:rPr>
        <w:t xml:space="preserve">we would not draw any conclusion on the basis </w:t>
      </w:r>
      <w:r w:rsidRPr="000D61D1">
        <w:rPr>
          <w:lang w:val="en-AU"/>
        </w:rPr>
        <w:t xml:space="preserve">of </w:t>
      </w:r>
      <w:r w:rsidR="00175A0A" w:rsidRPr="00E9433F">
        <w:rPr>
          <w:lang w:val="en-AU"/>
        </w:rPr>
        <w:t xml:space="preserve">these </w:t>
      </w:r>
      <w:r w:rsidR="00727FDA" w:rsidRPr="00E9433F">
        <w:rPr>
          <w:lang w:val="en-AU"/>
        </w:rPr>
        <w:t>results</w:t>
      </w:r>
      <w:r w:rsidR="00175A0A" w:rsidRPr="00E9433F">
        <w:rPr>
          <w:lang w:val="en-AU"/>
        </w:rPr>
        <w:t xml:space="preserve">. </w:t>
      </w:r>
      <w:r w:rsidR="001825EC">
        <w:rPr>
          <w:lang w:val="en-AU"/>
        </w:rPr>
        <w:t xml:space="preserve">We can rule out </w:t>
      </w:r>
      <w:r w:rsidR="00057EAC" w:rsidRPr="00E9433F">
        <w:rPr>
          <w:lang w:val="en-AU"/>
        </w:rPr>
        <w:t>t</w:t>
      </w:r>
      <w:r w:rsidR="001825EC">
        <w:rPr>
          <w:lang w:val="en-AU"/>
        </w:rPr>
        <w:t>he</w:t>
      </w:r>
      <w:r w:rsidR="00057EAC" w:rsidRPr="00E9433F">
        <w:rPr>
          <w:lang w:val="en-AU"/>
        </w:rPr>
        <w:t xml:space="preserve"> </w:t>
      </w:r>
      <w:r w:rsidR="001825EC">
        <w:rPr>
          <w:lang w:val="en-AU"/>
        </w:rPr>
        <w:t xml:space="preserve">effect of </w:t>
      </w:r>
      <w:r w:rsidRPr="000D61D1">
        <w:rPr>
          <w:lang w:val="en-AU"/>
        </w:rPr>
        <w:t xml:space="preserve">the reform </w:t>
      </w:r>
      <w:r w:rsidR="001825EC">
        <w:rPr>
          <w:lang w:val="en-AU"/>
        </w:rPr>
        <w:t xml:space="preserve">declining </w:t>
      </w:r>
      <w:r w:rsidRPr="000D61D1">
        <w:rPr>
          <w:lang w:val="en-AU"/>
        </w:rPr>
        <w:t xml:space="preserve">over time. </w:t>
      </w:r>
    </w:p>
    <w:p w14:paraId="5917B8B5" w14:textId="77777777" w:rsidR="00936E43" w:rsidRPr="000D61D1" w:rsidRDefault="00936E43" w:rsidP="00936E43">
      <w:pPr>
        <w:numPr>
          <w:ilvl w:val="0"/>
          <w:numId w:val="18"/>
        </w:numPr>
        <w:ind w:left="482" w:hanging="482"/>
        <w:rPr>
          <w:b/>
          <w:lang w:val="en-AU"/>
        </w:rPr>
      </w:pPr>
      <w:r w:rsidRPr="000D61D1">
        <w:rPr>
          <w:b/>
          <w:lang w:val="en-AU"/>
        </w:rPr>
        <w:t>Is there any evidence that ACT residential property prices are higher or lower than they would have been in the absence of tax reform?</w:t>
      </w:r>
    </w:p>
    <w:p w14:paraId="106DAD9E" w14:textId="6C22A41F" w:rsidR="00B96F2D" w:rsidRPr="00E9433F" w:rsidRDefault="00936E43" w:rsidP="00936E43">
      <w:pPr>
        <w:rPr>
          <w:lang w:val="en-AU"/>
        </w:rPr>
      </w:pPr>
      <w:r w:rsidRPr="000D61D1">
        <w:rPr>
          <w:lang w:val="en-AU"/>
        </w:rPr>
        <w:t xml:space="preserve">Studying the effect of the reform on </w:t>
      </w:r>
      <w:r w:rsidR="00B96F2D" w:rsidRPr="00E9433F">
        <w:rPr>
          <w:lang w:val="en-AU"/>
        </w:rPr>
        <w:t xml:space="preserve">house </w:t>
      </w:r>
      <w:r w:rsidRPr="000D61D1">
        <w:rPr>
          <w:lang w:val="en-AU"/>
        </w:rPr>
        <w:t xml:space="preserve">prices, we find </w:t>
      </w:r>
      <w:r w:rsidR="001825EC">
        <w:rPr>
          <w:lang w:val="en-AU"/>
        </w:rPr>
        <w:t xml:space="preserve">a wide range of estimated </w:t>
      </w:r>
      <w:r w:rsidRPr="000D61D1">
        <w:rPr>
          <w:lang w:val="en-AU"/>
        </w:rPr>
        <w:t xml:space="preserve">house prices </w:t>
      </w:r>
      <w:r w:rsidR="004E373E" w:rsidRPr="000D61D1">
        <w:rPr>
          <w:lang w:val="en-AU"/>
        </w:rPr>
        <w:t xml:space="preserve">increases </w:t>
      </w:r>
      <w:r w:rsidR="001825EC">
        <w:rPr>
          <w:lang w:val="en-AU"/>
        </w:rPr>
        <w:t xml:space="preserve">from zero </w:t>
      </w:r>
      <w:r w:rsidR="00B96F2D" w:rsidRPr="00E9433F">
        <w:rPr>
          <w:lang w:val="en-AU"/>
        </w:rPr>
        <w:t>up to 9</w:t>
      </w:r>
      <w:r w:rsidR="001825EC">
        <w:rPr>
          <w:lang w:val="en-AU"/>
        </w:rPr>
        <w:t xml:space="preserve"> per cent and even</w:t>
      </w:r>
      <w:r w:rsidR="00B96F2D" w:rsidRPr="00E9433F">
        <w:rPr>
          <w:lang w:val="en-AU"/>
        </w:rPr>
        <w:t xml:space="preserve"> significantly negative house price effect</w:t>
      </w:r>
      <w:r w:rsidR="001825EC">
        <w:rPr>
          <w:lang w:val="en-AU"/>
        </w:rPr>
        <w:t>s</w:t>
      </w:r>
      <w:r w:rsidR="00B96F2D" w:rsidRPr="00E9433F">
        <w:rPr>
          <w:lang w:val="en-AU"/>
        </w:rPr>
        <w:t xml:space="preserve"> in the admin</w:t>
      </w:r>
      <w:r w:rsidR="001825EC">
        <w:rPr>
          <w:lang w:val="en-AU"/>
        </w:rPr>
        <w:t>istrative</w:t>
      </w:r>
      <w:r w:rsidR="00B96F2D" w:rsidRPr="00E9433F">
        <w:rPr>
          <w:lang w:val="en-AU"/>
        </w:rPr>
        <w:t xml:space="preserve"> data.</w:t>
      </w:r>
      <w:r w:rsidR="004E373E" w:rsidRPr="000D61D1">
        <w:rPr>
          <w:lang w:val="en-AU"/>
        </w:rPr>
        <w:t xml:space="preserve"> </w:t>
      </w:r>
      <w:r w:rsidR="001825EC">
        <w:rPr>
          <w:lang w:val="en-AU"/>
        </w:rPr>
        <w:t>E</w:t>
      </w:r>
      <w:r w:rsidR="00B96F2D" w:rsidRPr="00E9433F">
        <w:rPr>
          <w:lang w:val="en-AU"/>
        </w:rPr>
        <w:t>stimates</w:t>
      </w:r>
      <w:r w:rsidRPr="000D61D1">
        <w:rPr>
          <w:lang w:val="en-AU"/>
        </w:rPr>
        <w:t xml:space="preserve"> are not robust across variations in the control group</w:t>
      </w:r>
      <w:r w:rsidR="00B96F2D" w:rsidRPr="00E9433F">
        <w:rPr>
          <w:lang w:val="en-AU"/>
        </w:rPr>
        <w:t xml:space="preserve"> or data set.</w:t>
      </w:r>
      <w:r w:rsidRPr="000D61D1">
        <w:rPr>
          <w:lang w:val="en-AU"/>
        </w:rPr>
        <w:t xml:space="preserve"> </w:t>
      </w:r>
      <w:r w:rsidR="004E373E" w:rsidRPr="000D61D1">
        <w:rPr>
          <w:lang w:val="en-AU"/>
        </w:rPr>
        <w:t xml:space="preserve"> The results </w:t>
      </w:r>
      <w:r w:rsidR="00B96F2D" w:rsidRPr="00E9433F">
        <w:rPr>
          <w:lang w:val="en-AU"/>
        </w:rPr>
        <w:t>should be treated as unreliable</w:t>
      </w:r>
      <w:r w:rsidR="00D81A8D" w:rsidRPr="00E9433F">
        <w:rPr>
          <w:lang w:val="en-AU"/>
        </w:rPr>
        <w:t xml:space="preserve">. As </w:t>
      </w:r>
      <w:r w:rsidR="00230200">
        <w:rPr>
          <w:lang w:val="en-AU"/>
        </w:rPr>
        <w:t xml:space="preserve">a scenario </w:t>
      </w:r>
      <w:r w:rsidR="00D81A8D" w:rsidRPr="00E9433F">
        <w:rPr>
          <w:lang w:val="en-AU"/>
        </w:rPr>
        <w:t>input for the microsimulation</w:t>
      </w:r>
      <w:r w:rsidR="001825EC">
        <w:rPr>
          <w:lang w:val="en-AU"/>
        </w:rPr>
        <w:t xml:space="preserve"> study above</w:t>
      </w:r>
      <w:r w:rsidR="00D81A8D" w:rsidRPr="00E9433F">
        <w:rPr>
          <w:lang w:val="en-AU"/>
        </w:rPr>
        <w:t xml:space="preserve">, </w:t>
      </w:r>
      <w:r w:rsidR="001825EC">
        <w:rPr>
          <w:lang w:val="en-AU"/>
        </w:rPr>
        <w:t>we</w:t>
      </w:r>
      <w:r w:rsidR="00B66F40">
        <w:rPr>
          <w:lang w:val="en-AU"/>
        </w:rPr>
        <w:t xml:space="preserve"> suggest the</w:t>
      </w:r>
      <w:r w:rsidR="001825EC">
        <w:rPr>
          <w:lang w:val="en-AU"/>
        </w:rPr>
        <w:t xml:space="preserve"> </w:t>
      </w:r>
      <w:r w:rsidR="00B66F40">
        <w:rPr>
          <w:lang w:val="en-AU"/>
        </w:rPr>
        <w:t>u</w:t>
      </w:r>
      <w:r w:rsidR="00D81A8D" w:rsidRPr="00E9433F">
        <w:rPr>
          <w:lang w:val="en-AU"/>
        </w:rPr>
        <w:t xml:space="preserve">se </w:t>
      </w:r>
      <w:r w:rsidR="001825EC">
        <w:rPr>
          <w:lang w:val="en-AU"/>
        </w:rPr>
        <w:t xml:space="preserve">of a two per cent house price increase due to the stamp duty reforms.  This was the estimate </w:t>
      </w:r>
      <w:r w:rsidR="00D81A8D" w:rsidRPr="00E9433F">
        <w:rPr>
          <w:lang w:val="en-AU"/>
        </w:rPr>
        <w:t xml:space="preserve">we found </w:t>
      </w:r>
      <w:r w:rsidR="001825EC">
        <w:rPr>
          <w:lang w:val="en-AU"/>
        </w:rPr>
        <w:t xml:space="preserve">when using the CoreLogic data and other capital cities as </w:t>
      </w:r>
      <w:r w:rsidR="00A85096">
        <w:rPr>
          <w:lang w:val="en-AU"/>
        </w:rPr>
        <w:t xml:space="preserve">the </w:t>
      </w:r>
      <w:r w:rsidR="00A85096" w:rsidRPr="00E9433F">
        <w:rPr>
          <w:lang w:val="en-AU"/>
        </w:rPr>
        <w:t>counterfactual</w:t>
      </w:r>
      <w:r w:rsidR="00D81A8D" w:rsidRPr="00E9433F">
        <w:rPr>
          <w:lang w:val="en-AU"/>
        </w:rPr>
        <w:t>.</w:t>
      </w:r>
      <w:r w:rsidR="001825EC">
        <w:rPr>
          <w:lang w:val="en-AU"/>
        </w:rPr>
        <w:t xml:space="preserve">  Notwithstanding the variability of results discussed above, this seems like a reasonable control group and a plausible estimate.</w:t>
      </w:r>
    </w:p>
    <w:p w14:paraId="7E15D603" w14:textId="66969D79" w:rsidR="00936E43" w:rsidRPr="000D61D1" w:rsidRDefault="00D81A8D" w:rsidP="00936E43">
      <w:pPr>
        <w:rPr>
          <w:lang w:val="en-AU"/>
        </w:rPr>
      </w:pPr>
      <w:r w:rsidRPr="00E9433F">
        <w:rPr>
          <w:lang w:val="en-AU"/>
        </w:rPr>
        <w:t>Estimates of the effect of the reform on u</w:t>
      </w:r>
      <w:r w:rsidR="00936E43" w:rsidRPr="00E9433F">
        <w:rPr>
          <w:lang w:val="en-AU"/>
        </w:rPr>
        <w:t xml:space="preserve">nit prices </w:t>
      </w:r>
      <w:r w:rsidRPr="00E9433F">
        <w:rPr>
          <w:lang w:val="en-AU"/>
        </w:rPr>
        <w:t>are also mixed, from increase</w:t>
      </w:r>
      <w:r w:rsidR="001825EC">
        <w:rPr>
          <w:lang w:val="en-AU"/>
        </w:rPr>
        <w:t>s</w:t>
      </w:r>
      <w:r w:rsidR="00936E43" w:rsidRPr="00E9433F">
        <w:rPr>
          <w:lang w:val="en-AU"/>
        </w:rPr>
        <w:t xml:space="preserve"> up to 4%</w:t>
      </w:r>
      <w:r w:rsidRPr="00E9433F">
        <w:rPr>
          <w:lang w:val="en-AU"/>
        </w:rPr>
        <w:t xml:space="preserve"> to no effect and</w:t>
      </w:r>
      <w:r w:rsidR="00B66F40">
        <w:rPr>
          <w:lang w:val="en-AU"/>
        </w:rPr>
        <w:t xml:space="preserve"> </w:t>
      </w:r>
      <w:r w:rsidR="001825EC">
        <w:rPr>
          <w:lang w:val="en-AU"/>
        </w:rPr>
        <w:t xml:space="preserve">even, in some cases, </w:t>
      </w:r>
      <w:r w:rsidRPr="00E9433F">
        <w:rPr>
          <w:lang w:val="en-AU"/>
        </w:rPr>
        <w:t>significant negative effects</w:t>
      </w:r>
      <w:r w:rsidR="00936E43" w:rsidRPr="00E9433F">
        <w:rPr>
          <w:lang w:val="en-AU"/>
        </w:rPr>
        <w:t xml:space="preserve">. </w:t>
      </w:r>
      <w:r w:rsidRPr="00E9433F">
        <w:rPr>
          <w:lang w:val="en-AU"/>
        </w:rPr>
        <w:t>These estimates are not robust across variations in the control group or data set.  The results are</w:t>
      </w:r>
      <w:r w:rsidR="004E373E" w:rsidRPr="000D61D1">
        <w:rPr>
          <w:lang w:val="en-AU"/>
        </w:rPr>
        <w:t xml:space="preserve"> sensitive and should be treated as unreliable.</w:t>
      </w:r>
    </w:p>
    <w:p w14:paraId="26C01E43" w14:textId="77777777" w:rsidR="00936E43" w:rsidRPr="000D61D1" w:rsidRDefault="00936E43" w:rsidP="00936E43">
      <w:pPr>
        <w:numPr>
          <w:ilvl w:val="0"/>
          <w:numId w:val="18"/>
        </w:numPr>
        <w:ind w:left="482" w:hanging="482"/>
        <w:rPr>
          <w:b/>
          <w:lang w:val="en-AU"/>
        </w:rPr>
      </w:pPr>
      <w:r w:rsidRPr="000D61D1">
        <w:rPr>
          <w:b/>
          <w:lang w:val="en-AU"/>
        </w:rPr>
        <w:t>Is residential property turnover in the ACT higher or lower than it would have been in the absence of tax reform?</w:t>
      </w:r>
    </w:p>
    <w:p w14:paraId="3EEFCAC5" w14:textId="77777777" w:rsidR="002B7B15" w:rsidRPr="001825EC" w:rsidRDefault="002B7B15" w:rsidP="002B7B15">
      <w:pPr>
        <w:pStyle w:val="BodyText"/>
        <w:rPr>
          <w:lang w:val="en-AU"/>
        </w:rPr>
      </w:pPr>
      <w:r w:rsidRPr="000D61D1">
        <w:rPr>
          <w:lang w:val="en-AU"/>
        </w:rPr>
        <w:t xml:space="preserve">When looking at property turnover we find </w:t>
      </w:r>
      <w:r>
        <w:rPr>
          <w:lang w:val="en-AU"/>
        </w:rPr>
        <w:t>a wide range of estimates, many suggesting a reduction in sales</w:t>
      </w:r>
      <w:r w:rsidRPr="000D61D1">
        <w:rPr>
          <w:lang w:val="en-AU"/>
        </w:rPr>
        <w:t xml:space="preserve">. The </w:t>
      </w:r>
      <w:r w:rsidRPr="00E9433F">
        <w:rPr>
          <w:lang w:val="en-AU"/>
        </w:rPr>
        <w:t>estimate</w:t>
      </w:r>
      <w:r>
        <w:rPr>
          <w:lang w:val="en-AU"/>
        </w:rPr>
        <w:t xml:space="preserve">s vary considerably </w:t>
      </w:r>
      <w:r w:rsidRPr="00E9433F">
        <w:rPr>
          <w:lang w:val="en-AU"/>
        </w:rPr>
        <w:t xml:space="preserve">across </w:t>
      </w:r>
      <w:r w:rsidRPr="000D61D1">
        <w:rPr>
          <w:lang w:val="en-AU"/>
        </w:rPr>
        <w:t xml:space="preserve">specifications and control groups </w:t>
      </w:r>
      <w:r w:rsidRPr="00E9433F">
        <w:rPr>
          <w:lang w:val="en-AU"/>
        </w:rPr>
        <w:t xml:space="preserve">from </w:t>
      </w:r>
      <w:r>
        <w:rPr>
          <w:lang w:val="en-AU"/>
        </w:rPr>
        <w:t xml:space="preserve">insignificant effects </w:t>
      </w:r>
      <w:r w:rsidRPr="000D61D1">
        <w:rPr>
          <w:lang w:val="en-AU"/>
        </w:rPr>
        <w:t xml:space="preserve">to </w:t>
      </w:r>
      <w:r w:rsidRPr="00E9433F">
        <w:rPr>
          <w:lang w:val="en-AU"/>
        </w:rPr>
        <w:t xml:space="preserve">over 10% </w:t>
      </w:r>
      <w:r>
        <w:rPr>
          <w:lang w:val="en-AU"/>
        </w:rPr>
        <w:t xml:space="preserve">reduction in the </w:t>
      </w:r>
      <w:r w:rsidRPr="000D61D1">
        <w:rPr>
          <w:lang w:val="en-AU"/>
        </w:rPr>
        <w:t>number of house sales</w:t>
      </w:r>
      <w:r w:rsidRPr="00E9433F">
        <w:rPr>
          <w:lang w:val="en-AU"/>
        </w:rPr>
        <w:t xml:space="preserve"> (and even bigger for the administrative data). These results are not robust to changes in control group or specification (or data) and should </w:t>
      </w:r>
      <w:r w:rsidRPr="000D61D1">
        <w:rPr>
          <w:lang w:val="en-AU"/>
        </w:rPr>
        <w:t xml:space="preserve">be </w:t>
      </w:r>
      <w:r w:rsidRPr="00E9433F">
        <w:rPr>
          <w:lang w:val="en-AU"/>
        </w:rPr>
        <w:t xml:space="preserve">used </w:t>
      </w:r>
      <w:r>
        <w:rPr>
          <w:lang w:val="en-AU"/>
        </w:rPr>
        <w:t xml:space="preserve">very </w:t>
      </w:r>
      <w:r w:rsidRPr="00E9433F">
        <w:rPr>
          <w:lang w:val="en-AU"/>
        </w:rPr>
        <w:t xml:space="preserve">cautiously. While we </w:t>
      </w:r>
      <w:r>
        <w:rPr>
          <w:lang w:val="en-AU"/>
        </w:rPr>
        <w:t>most</w:t>
      </w:r>
      <w:r w:rsidRPr="00E9433F">
        <w:rPr>
          <w:lang w:val="en-AU"/>
        </w:rPr>
        <w:t>ly</w:t>
      </w:r>
      <w:r>
        <w:rPr>
          <w:lang w:val="en-AU"/>
        </w:rPr>
        <w:t xml:space="preserve"> find</w:t>
      </w:r>
      <w:r w:rsidRPr="00E9433F">
        <w:rPr>
          <w:lang w:val="en-AU"/>
        </w:rPr>
        <w:t xml:space="preserve"> </w:t>
      </w:r>
      <w:r>
        <w:rPr>
          <w:lang w:val="en-AU"/>
        </w:rPr>
        <w:t>negative</w:t>
      </w:r>
      <w:r w:rsidRPr="00E9433F">
        <w:rPr>
          <w:lang w:val="en-AU"/>
        </w:rPr>
        <w:t xml:space="preserve"> estimates</w:t>
      </w:r>
      <w:r>
        <w:rPr>
          <w:lang w:val="en-AU"/>
        </w:rPr>
        <w:t xml:space="preserve">, suggesting that </w:t>
      </w:r>
      <w:r w:rsidRPr="00E9433F">
        <w:rPr>
          <w:lang w:val="en-AU"/>
        </w:rPr>
        <w:t xml:space="preserve">the reform did not lead to an increase in the overall numbers of </w:t>
      </w:r>
      <w:r>
        <w:rPr>
          <w:lang w:val="en-AU"/>
        </w:rPr>
        <w:t>house</w:t>
      </w:r>
      <w:r w:rsidRPr="00E9433F">
        <w:rPr>
          <w:lang w:val="en-AU"/>
        </w:rPr>
        <w:t xml:space="preserve"> sales</w:t>
      </w:r>
      <w:r>
        <w:rPr>
          <w:lang w:val="en-AU"/>
        </w:rPr>
        <w:t xml:space="preserve">, this is not consistently the case across the different specifications and we therefore cannot draw </w:t>
      </w:r>
      <w:r w:rsidRPr="00E9433F">
        <w:rPr>
          <w:lang w:val="en-AU"/>
        </w:rPr>
        <w:t>conclu</w:t>
      </w:r>
      <w:r>
        <w:rPr>
          <w:lang w:val="en-AU"/>
        </w:rPr>
        <w:t>sions from the results</w:t>
      </w:r>
      <w:r w:rsidRPr="000D61D1">
        <w:rPr>
          <w:lang w:val="en-AU"/>
        </w:rPr>
        <w:t>.</w:t>
      </w:r>
    </w:p>
    <w:p w14:paraId="0004303F" w14:textId="1042BC2A" w:rsidR="002B7B15" w:rsidRPr="00E9433F" w:rsidRDefault="002B7B15" w:rsidP="002B7B15">
      <w:pPr>
        <w:pStyle w:val="BodyText"/>
        <w:rPr>
          <w:lang w:val="en-AU"/>
        </w:rPr>
      </w:pPr>
      <w:r w:rsidRPr="00E9433F">
        <w:rPr>
          <w:lang w:val="en-AU"/>
        </w:rPr>
        <w:t xml:space="preserve">The effect on </w:t>
      </w:r>
      <w:r>
        <w:rPr>
          <w:lang w:val="en-AU"/>
        </w:rPr>
        <w:t xml:space="preserve">the </w:t>
      </w:r>
      <w:r w:rsidRPr="00E9433F">
        <w:rPr>
          <w:lang w:val="en-AU"/>
        </w:rPr>
        <w:t>number of unit sales also var</w:t>
      </w:r>
      <w:r>
        <w:rPr>
          <w:lang w:val="en-AU"/>
        </w:rPr>
        <w:t>ies</w:t>
      </w:r>
      <w:r w:rsidRPr="00E9433F">
        <w:rPr>
          <w:lang w:val="en-AU"/>
        </w:rPr>
        <w:t xml:space="preserve"> across specification. The</w:t>
      </w:r>
      <w:r>
        <w:rPr>
          <w:lang w:val="en-AU"/>
        </w:rPr>
        <w:t>y</w:t>
      </w:r>
      <w:r w:rsidRPr="00E9433F">
        <w:rPr>
          <w:lang w:val="en-AU"/>
        </w:rPr>
        <w:t xml:space="preserve"> are typically three times as strong as house sale declines (but we find even positive effects in one case with the administrative data). These results are not robust to changes in control group or specification </w:t>
      </w:r>
      <w:r w:rsidRPr="00E9433F">
        <w:rPr>
          <w:lang w:val="en-AU"/>
        </w:rPr>
        <w:lastRenderedPageBreak/>
        <w:t xml:space="preserve">(or data) and should be used very cautiously. While we </w:t>
      </w:r>
      <w:r>
        <w:rPr>
          <w:lang w:val="en-AU"/>
        </w:rPr>
        <w:t>most</w:t>
      </w:r>
      <w:r w:rsidRPr="00E9433F">
        <w:rPr>
          <w:lang w:val="en-AU"/>
        </w:rPr>
        <w:t>ly</w:t>
      </w:r>
      <w:r>
        <w:rPr>
          <w:lang w:val="en-AU"/>
        </w:rPr>
        <w:t xml:space="preserve"> find</w:t>
      </w:r>
      <w:r w:rsidRPr="00E9433F">
        <w:rPr>
          <w:lang w:val="en-AU"/>
        </w:rPr>
        <w:t xml:space="preserve"> non-positive estimates</w:t>
      </w:r>
      <w:r>
        <w:rPr>
          <w:lang w:val="en-AU"/>
        </w:rPr>
        <w:t xml:space="preserve">, suggesting that </w:t>
      </w:r>
      <w:r w:rsidRPr="00E9433F">
        <w:rPr>
          <w:lang w:val="en-AU"/>
        </w:rPr>
        <w:t>the reform did not lead to an increase in the overall numbers of unit sales</w:t>
      </w:r>
      <w:r>
        <w:rPr>
          <w:lang w:val="en-AU"/>
        </w:rPr>
        <w:t xml:space="preserve">, this is not consistently the case across the different specifications and we therefore cannot draw </w:t>
      </w:r>
      <w:r w:rsidRPr="00E9433F">
        <w:rPr>
          <w:lang w:val="en-AU"/>
        </w:rPr>
        <w:t>conclu</w:t>
      </w:r>
      <w:r>
        <w:rPr>
          <w:lang w:val="en-AU"/>
        </w:rPr>
        <w:t>sions from the results</w:t>
      </w:r>
      <w:r w:rsidRPr="000D61D1">
        <w:rPr>
          <w:lang w:val="en-AU"/>
        </w:rPr>
        <w:t>.</w:t>
      </w:r>
    </w:p>
    <w:p w14:paraId="7B3A6F66" w14:textId="77777777" w:rsidR="00936E43" w:rsidRPr="000D61D1" w:rsidRDefault="00936E43" w:rsidP="00936E43">
      <w:pPr>
        <w:numPr>
          <w:ilvl w:val="0"/>
          <w:numId w:val="18"/>
        </w:numPr>
        <w:ind w:left="482" w:hanging="482"/>
        <w:rPr>
          <w:b/>
          <w:lang w:val="en-AU"/>
        </w:rPr>
      </w:pPr>
      <w:r w:rsidRPr="000D61D1">
        <w:rPr>
          <w:b/>
          <w:lang w:val="en-AU"/>
        </w:rPr>
        <w:t>To what extent is the upfront cost of residential property in the ACT (i.e. purchase price + stamp duty) less than it would have been in the absence of tax reform?</w:t>
      </w:r>
    </w:p>
    <w:p w14:paraId="0BD0A075" w14:textId="779F0DB8" w:rsidR="00936E43" w:rsidRPr="000D61D1" w:rsidRDefault="00936E43" w:rsidP="00936E43">
      <w:pPr>
        <w:pStyle w:val="BodyText"/>
        <w:rPr>
          <w:lang w:val="en-AU"/>
        </w:rPr>
      </w:pPr>
      <w:r w:rsidRPr="000D61D1">
        <w:rPr>
          <w:lang w:val="en-AU"/>
        </w:rPr>
        <w:t xml:space="preserve">Our analysis provides </w:t>
      </w:r>
      <w:r w:rsidR="00B96F2D" w:rsidRPr="00E9433F">
        <w:rPr>
          <w:lang w:val="en-AU"/>
        </w:rPr>
        <w:t xml:space="preserve">some </w:t>
      </w:r>
      <w:r w:rsidRPr="000D61D1">
        <w:rPr>
          <w:lang w:val="en-AU"/>
        </w:rPr>
        <w:t xml:space="preserve">evidence that it is likely that prices have </w:t>
      </w:r>
      <w:r w:rsidR="00B96F2D" w:rsidRPr="00E9433F">
        <w:rPr>
          <w:lang w:val="en-AU"/>
        </w:rPr>
        <w:t xml:space="preserve">not </w:t>
      </w:r>
      <w:r w:rsidRPr="000D61D1">
        <w:rPr>
          <w:lang w:val="en-AU"/>
        </w:rPr>
        <w:t xml:space="preserve">gone </w:t>
      </w:r>
      <w:r w:rsidR="00B96F2D" w:rsidRPr="00E9433F">
        <w:rPr>
          <w:lang w:val="en-AU"/>
        </w:rPr>
        <w:t>down</w:t>
      </w:r>
      <w:r w:rsidRPr="000D61D1">
        <w:rPr>
          <w:lang w:val="en-AU"/>
        </w:rPr>
        <w:t xml:space="preserve"> due to the ACT tax reform. While this increase </w:t>
      </w:r>
      <w:r w:rsidR="00140D89" w:rsidRPr="000D61D1">
        <w:rPr>
          <w:lang w:val="en-AU"/>
        </w:rPr>
        <w:t>is</w:t>
      </w:r>
      <w:r w:rsidRPr="000D61D1">
        <w:rPr>
          <w:lang w:val="en-AU"/>
        </w:rPr>
        <w:t xml:space="preserve"> hard to measure</w:t>
      </w:r>
      <w:r w:rsidR="00140D89" w:rsidRPr="000D61D1">
        <w:rPr>
          <w:lang w:val="en-AU"/>
        </w:rPr>
        <w:t xml:space="preserve"> and likely to be small</w:t>
      </w:r>
      <w:r w:rsidRPr="000D61D1">
        <w:rPr>
          <w:lang w:val="en-AU"/>
        </w:rPr>
        <w:t xml:space="preserve"> it can be up to 9</w:t>
      </w:r>
      <w:r w:rsidR="001825EC">
        <w:rPr>
          <w:lang w:val="en-AU"/>
        </w:rPr>
        <w:t xml:space="preserve"> per cent</w:t>
      </w:r>
      <w:r w:rsidRPr="000D61D1">
        <w:rPr>
          <w:lang w:val="en-AU"/>
        </w:rPr>
        <w:t xml:space="preserve"> for the housing market and up to 4</w:t>
      </w:r>
      <w:r w:rsidR="001825EC">
        <w:rPr>
          <w:lang w:val="en-AU"/>
        </w:rPr>
        <w:t xml:space="preserve"> per cent</w:t>
      </w:r>
      <w:r w:rsidRPr="000D61D1">
        <w:rPr>
          <w:lang w:val="en-AU"/>
        </w:rPr>
        <w:t xml:space="preserve"> on the market for units</w:t>
      </w:r>
      <w:r w:rsidR="00230200">
        <w:rPr>
          <w:lang w:val="en-AU"/>
        </w:rPr>
        <w:t xml:space="preserve">, but we note that we also found significant price decreases in some specifications.  </w:t>
      </w:r>
      <w:r w:rsidRPr="000D61D1">
        <w:rPr>
          <w:lang w:val="en-AU"/>
        </w:rPr>
        <w:t xml:space="preserve"> </w:t>
      </w:r>
    </w:p>
    <w:p w14:paraId="5DA85A7B" w14:textId="226737EB" w:rsidR="00936E43" w:rsidRPr="000D61D1" w:rsidRDefault="00936E43" w:rsidP="00936E43">
      <w:pPr>
        <w:pStyle w:val="BodyText"/>
        <w:rPr>
          <w:lang w:val="en-AU"/>
        </w:rPr>
      </w:pPr>
      <w:r w:rsidRPr="000D61D1">
        <w:rPr>
          <w:lang w:val="en-AU"/>
        </w:rPr>
        <w:t>The overall reduction in stamp duty since the start of the reform, when expressed relative to the price of the house is naturally small</w:t>
      </w:r>
      <w:r w:rsidR="008C134B">
        <w:rPr>
          <w:lang w:val="en-AU"/>
        </w:rPr>
        <w:t xml:space="preserve">, on average 1.5% of the </w:t>
      </w:r>
      <w:r w:rsidR="00A85096">
        <w:rPr>
          <w:lang w:val="en-AU"/>
        </w:rPr>
        <w:t>house</w:t>
      </w:r>
      <w:r w:rsidR="008C134B">
        <w:rPr>
          <w:lang w:val="en-AU"/>
        </w:rPr>
        <w:t xml:space="preserve"> price</w:t>
      </w:r>
      <w:r w:rsidRPr="000D61D1">
        <w:rPr>
          <w:lang w:val="en-AU"/>
        </w:rPr>
        <w:t>. A house price increase of only two per</w:t>
      </w:r>
      <w:r w:rsidR="00B0070E">
        <w:rPr>
          <w:lang w:val="en-AU"/>
        </w:rPr>
        <w:t xml:space="preserve"> </w:t>
      </w:r>
      <w:r w:rsidRPr="000D61D1">
        <w:rPr>
          <w:lang w:val="en-AU"/>
        </w:rPr>
        <w:t xml:space="preserve">cent would outweigh the tax reduction. Therefore, the results in this report suggest that the upfront cost of housing has likely </w:t>
      </w:r>
      <w:r w:rsidR="008C134B">
        <w:rPr>
          <w:lang w:val="en-AU"/>
        </w:rPr>
        <w:t>not gone down</w:t>
      </w:r>
      <w:r w:rsidRPr="000D61D1">
        <w:rPr>
          <w:lang w:val="en-AU"/>
        </w:rPr>
        <w:t xml:space="preserve"> with the introduction of the reform.</w:t>
      </w:r>
      <w:r w:rsidR="004E373E" w:rsidRPr="000D61D1">
        <w:rPr>
          <w:lang w:val="en-AU"/>
        </w:rPr>
        <w:t xml:space="preserve"> Again, the exact numbers are not robust to changes in control group and control variables</w:t>
      </w:r>
      <w:r w:rsidR="008C134B">
        <w:rPr>
          <w:lang w:val="en-AU"/>
        </w:rPr>
        <w:t xml:space="preserve"> and we can therefore not exclude the possibility that prices</w:t>
      </w:r>
      <w:r w:rsidR="00230200">
        <w:rPr>
          <w:lang w:val="en-AU"/>
        </w:rPr>
        <w:t xml:space="preserve"> have gone up by less than 1.5%, in which case the upfront cost for ACT properties would have reduced under the tax reform</w:t>
      </w:r>
      <w:r w:rsidR="004E373E" w:rsidRPr="000D61D1">
        <w:rPr>
          <w:lang w:val="en-AU"/>
        </w:rPr>
        <w:t>.</w:t>
      </w:r>
    </w:p>
    <w:p w14:paraId="1EA40072" w14:textId="77777777" w:rsidR="00936E43" w:rsidRPr="000D61D1" w:rsidRDefault="00936E43" w:rsidP="00936E43">
      <w:pPr>
        <w:numPr>
          <w:ilvl w:val="0"/>
          <w:numId w:val="18"/>
        </w:numPr>
        <w:ind w:left="482" w:hanging="482"/>
        <w:rPr>
          <w:b/>
          <w:lang w:val="en-AU"/>
        </w:rPr>
      </w:pPr>
      <w:r w:rsidRPr="000D61D1">
        <w:rPr>
          <w:b/>
          <w:lang w:val="en-AU"/>
        </w:rPr>
        <w:t>As a result of paying lower stamp duty than they would have in the absence of tax reform, are home buyers spending less overall on property purchases; or buying higher priced properties (i.e. adding the stamp duty saved to their purchasing budget)?</w:t>
      </w:r>
    </w:p>
    <w:p w14:paraId="14B1CE23" w14:textId="6CD8F44E" w:rsidR="00936E43" w:rsidRPr="000D61D1" w:rsidRDefault="00936E43" w:rsidP="00936E43">
      <w:pPr>
        <w:pStyle w:val="BodyText"/>
        <w:rPr>
          <w:lang w:val="en-AU"/>
        </w:rPr>
      </w:pPr>
      <w:proofErr w:type="gramStart"/>
      <w:r w:rsidRPr="000D61D1">
        <w:rPr>
          <w:lang w:val="en-AU"/>
        </w:rPr>
        <w:t>Continuing on</w:t>
      </w:r>
      <w:proofErr w:type="gramEnd"/>
      <w:r w:rsidRPr="000D61D1">
        <w:rPr>
          <w:lang w:val="en-AU"/>
        </w:rPr>
        <w:t xml:space="preserve"> from the last question we find evidence in this study that </w:t>
      </w:r>
      <w:r w:rsidR="0011794E" w:rsidRPr="0011794E">
        <w:rPr>
          <w:lang w:val="en-AU"/>
        </w:rPr>
        <w:t>families</w:t>
      </w:r>
      <w:r w:rsidR="0011794E" w:rsidRPr="0011794E" w:rsidDel="0011794E">
        <w:rPr>
          <w:lang w:val="en-AU"/>
        </w:rPr>
        <w:t xml:space="preserve"> </w:t>
      </w:r>
      <w:r w:rsidRPr="000D61D1">
        <w:rPr>
          <w:lang w:val="en-AU"/>
        </w:rPr>
        <w:t xml:space="preserve">don’t spend less on properties and are </w:t>
      </w:r>
      <w:r w:rsidR="0016401D" w:rsidRPr="00E9433F">
        <w:rPr>
          <w:lang w:val="en-AU"/>
        </w:rPr>
        <w:t>possibly</w:t>
      </w:r>
      <w:r w:rsidRPr="000D61D1">
        <w:rPr>
          <w:lang w:val="en-AU"/>
        </w:rPr>
        <w:t xml:space="preserve"> buying higher priced properties. Prices have </w:t>
      </w:r>
      <w:r w:rsidR="001825EC">
        <w:rPr>
          <w:lang w:val="en-AU"/>
        </w:rPr>
        <w:t>like</w:t>
      </w:r>
      <w:r w:rsidR="0016401D" w:rsidRPr="00E9433F">
        <w:rPr>
          <w:lang w:val="en-AU"/>
        </w:rPr>
        <w:t>ly</w:t>
      </w:r>
      <w:r w:rsidRPr="000D61D1">
        <w:rPr>
          <w:lang w:val="en-AU"/>
        </w:rPr>
        <w:t xml:space="preserve"> gone up with the introduction of the reform, and if so, by more than the equivalent of the reduction in stamp duty. </w:t>
      </w:r>
    </w:p>
    <w:p w14:paraId="043DDB73" w14:textId="4B7614D6" w:rsidR="00936E43" w:rsidRPr="000D61D1" w:rsidRDefault="00936E43" w:rsidP="00936E43">
      <w:pPr>
        <w:pStyle w:val="BodyText"/>
        <w:rPr>
          <w:lang w:val="en-AU"/>
        </w:rPr>
      </w:pPr>
      <w:r w:rsidRPr="000D61D1">
        <w:rPr>
          <w:lang w:val="en-AU"/>
        </w:rPr>
        <w:t>One reason for the higher spending on property purchases we observe might be that buyers use the saved tax to raise the maximum deposit they can afford. They are then able to buy a more expensive house given the same credit constraints.</w:t>
      </w:r>
    </w:p>
    <w:p w14:paraId="5418903C" w14:textId="5A214E8B" w:rsidR="00936E43" w:rsidRPr="000D61D1" w:rsidRDefault="00936E43" w:rsidP="0011794E">
      <w:pPr>
        <w:numPr>
          <w:ilvl w:val="0"/>
          <w:numId w:val="18"/>
        </w:numPr>
        <w:rPr>
          <w:b/>
          <w:lang w:val="en-AU"/>
        </w:rPr>
      </w:pPr>
      <w:r w:rsidRPr="000D61D1">
        <w:rPr>
          <w:b/>
          <w:lang w:val="en-AU"/>
        </w:rPr>
        <w:t xml:space="preserve">Is tax reform making it easier for </w:t>
      </w:r>
      <w:r w:rsidR="0011794E" w:rsidRPr="0011794E">
        <w:rPr>
          <w:b/>
          <w:lang w:val="en-AU"/>
        </w:rPr>
        <w:t>families</w:t>
      </w:r>
      <w:r w:rsidR="0011794E" w:rsidRPr="0011794E" w:rsidDel="0011794E">
        <w:rPr>
          <w:b/>
          <w:lang w:val="en-AU"/>
        </w:rPr>
        <w:t xml:space="preserve"> </w:t>
      </w:r>
      <w:r w:rsidRPr="000D61D1">
        <w:rPr>
          <w:b/>
          <w:lang w:val="en-AU"/>
        </w:rPr>
        <w:t>to move to properties more suited to their needs, such as downsizing?</w:t>
      </w:r>
    </w:p>
    <w:p w14:paraId="4D62363F" w14:textId="4ACF0E3A" w:rsidR="00936E43" w:rsidRPr="000D61D1" w:rsidRDefault="00936E43" w:rsidP="00936E43">
      <w:pPr>
        <w:pStyle w:val="BodyText"/>
        <w:rPr>
          <w:shd w:val="clear" w:color="auto" w:fill="FFFFFF"/>
          <w:lang w:val="en-AU"/>
        </w:rPr>
      </w:pPr>
      <w:r w:rsidRPr="000D61D1">
        <w:rPr>
          <w:shd w:val="clear" w:color="auto" w:fill="FFFFFF"/>
          <w:lang w:val="en-AU"/>
        </w:rPr>
        <w:t xml:space="preserve">The tax reform makes it easier for </w:t>
      </w:r>
      <w:r w:rsidR="0011794E" w:rsidRPr="0011794E">
        <w:rPr>
          <w:shd w:val="clear" w:color="auto" w:fill="FFFFFF"/>
          <w:lang w:val="en-AU"/>
        </w:rPr>
        <w:t>families</w:t>
      </w:r>
      <w:r w:rsidR="0011794E" w:rsidRPr="0011794E" w:rsidDel="0011794E">
        <w:rPr>
          <w:shd w:val="clear" w:color="auto" w:fill="FFFFFF"/>
          <w:lang w:val="en-AU"/>
        </w:rPr>
        <w:t xml:space="preserve"> </w:t>
      </w:r>
      <w:r w:rsidRPr="000D61D1">
        <w:rPr>
          <w:shd w:val="clear" w:color="auto" w:fill="FFFFFF"/>
          <w:lang w:val="en-AU"/>
        </w:rPr>
        <w:t xml:space="preserve">to move to different properties, </w:t>
      </w:r>
      <w:proofErr w:type="gramStart"/>
      <w:r w:rsidRPr="000D61D1">
        <w:rPr>
          <w:shd w:val="clear" w:color="auto" w:fill="FFFFFF"/>
          <w:lang w:val="en-AU"/>
        </w:rPr>
        <w:t>as long as</w:t>
      </w:r>
      <w:proofErr w:type="gramEnd"/>
      <w:r w:rsidRPr="000D61D1">
        <w:rPr>
          <w:shd w:val="clear" w:color="auto" w:fill="FFFFFF"/>
          <w:lang w:val="en-AU"/>
        </w:rPr>
        <w:t xml:space="preserve"> prices do not increase. Holding prices constant, the reduction of stamp duty means that it is more affordable for families to buy a different property because they spend less on stamp duty. </w:t>
      </w:r>
    </w:p>
    <w:p w14:paraId="4BC7F0AB" w14:textId="2CA211CA" w:rsidR="00936E43" w:rsidRPr="000D61D1" w:rsidRDefault="00485DD1" w:rsidP="00936E43">
      <w:pPr>
        <w:pStyle w:val="BodyText"/>
        <w:rPr>
          <w:b/>
          <w:lang w:val="en-AU"/>
        </w:rPr>
      </w:pPr>
      <w:r w:rsidRPr="00485DD1">
        <w:rPr>
          <w:shd w:val="clear" w:color="auto" w:fill="FFFFFF"/>
          <w:lang w:val="en-AU"/>
        </w:rPr>
        <w:t>We show that when property prices increase by an amount greater than the stamp duty savings (the 1.7% average price increase scenario), the number of houses purchased decreases compared to the lower price increase</w:t>
      </w:r>
      <w:r>
        <w:rPr>
          <w:shd w:val="clear" w:color="auto" w:fill="FFFFFF"/>
          <w:lang w:val="en-AU"/>
        </w:rPr>
        <w:t xml:space="preserve"> modelled</w:t>
      </w:r>
      <w:r w:rsidRPr="00485DD1">
        <w:rPr>
          <w:shd w:val="clear" w:color="auto" w:fill="FFFFFF"/>
          <w:lang w:val="en-AU"/>
        </w:rPr>
        <w:t xml:space="preserve">, but </w:t>
      </w:r>
      <w:r>
        <w:rPr>
          <w:shd w:val="clear" w:color="auto" w:fill="FFFFFF"/>
          <w:lang w:val="en-AU"/>
        </w:rPr>
        <w:t xml:space="preserve">compared to the old policy, </w:t>
      </w:r>
      <w:r w:rsidRPr="00485DD1">
        <w:rPr>
          <w:shd w:val="clear" w:color="auto" w:fill="FFFFFF"/>
          <w:lang w:val="en-AU"/>
        </w:rPr>
        <w:t>there is still an increase in properties purchased of 1,363 properties over the 7 years since tax reform started (Table 2).</w:t>
      </w:r>
    </w:p>
    <w:p w14:paraId="5068AB88" w14:textId="77777777" w:rsidR="00936E43" w:rsidRPr="000D61D1" w:rsidRDefault="00936E43" w:rsidP="00936E43">
      <w:pPr>
        <w:numPr>
          <w:ilvl w:val="0"/>
          <w:numId w:val="18"/>
        </w:numPr>
        <w:ind w:left="482" w:hanging="482"/>
        <w:rPr>
          <w:b/>
          <w:lang w:val="en-AU"/>
        </w:rPr>
      </w:pPr>
      <w:r w:rsidRPr="000D61D1">
        <w:rPr>
          <w:b/>
          <w:lang w:val="en-AU"/>
        </w:rPr>
        <w:t xml:space="preserve">Is rental housing </w:t>
      </w:r>
      <w:proofErr w:type="gramStart"/>
      <w:r w:rsidRPr="000D61D1">
        <w:rPr>
          <w:b/>
          <w:lang w:val="en-AU"/>
        </w:rPr>
        <w:t>more or less affordable</w:t>
      </w:r>
      <w:proofErr w:type="gramEnd"/>
      <w:r w:rsidRPr="000D61D1">
        <w:rPr>
          <w:b/>
          <w:lang w:val="en-AU"/>
        </w:rPr>
        <w:t xml:space="preserve"> than it would have been in the absence of tax reform?</w:t>
      </w:r>
    </w:p>
    <w:p w14:paraId="5A897152" w14:textId="77777777" w:rsidR="00936E43" w:rsidRPr="000D61D1" w:rsidRDefault="00936E43" w:rsidP="00936E43">
      <w:pPr>
        <w:pStyle w:val="BodyText"/>
        <w:rPr>
          <w:lang w:val="en-AU"/>
        </w:rPr>
      </w:pPr>
      <w:r w:rsidRPr="000D61D1">
        <w:rPr>
          <w:lang w:val="en-AU"/>
        </w:rPr>
        <w:lastRenderedPageBreak/>
        <w:t xml:space="preserve">In our analysis we find evidence that rental property prices have decreased with the introduction of the ACT tax reform. </w:t>
      </w:r>
    </w:p>
    <w:p w14:paraId="65CD4CB9" w14:textId="2EC47F9E" w:rsidR="00936E43" w:rsidRPr="000D61D1" w:rsidRDefault="00936E43" w:rsidP="00936E43">
      <w:pPr>
        <w:pStyle w:val="BodyText"/>
        <w:rPr>
          <w:lang w:val="en-AU"/>
        </w:rPr>
      </w:pPr>
      <w:r w:rsidRPr="000D61D1">
        <w:rPr>
          <w:lang w:val="en-AU"/>
        </w:rPr>
        <w:t xml:space="preserve">For rental house prices, we find evidence of a small reduction of </w:t>
      </w:r>
      <w:r w:rsidR="00502395">
        <w:rPr>
          <w:lang w:val="en-AU"/>
        </w:rPr>
        <w:t xml:space="preserve">about </w:t>
      </w:r>
      <w:r w:rsidRPr="000D61D1">
        <w:rPr>
          <w:lang w:val="en-AU"/>
        </w:rPr>
        <w:t>2</w:t>
      </w:r>
      <w:r w:rsidR="00502395">
        <w:rPr>
          <w:lang w:val="en-AU"/>
        </w:rPr>
        <w:t xml:space="preserve"> per cent, though point estimates </w:t>
      </w:r>
      <w:r w:rsidR="0016401D" w:rsidRPr="00E9433F">
        <w:rPr>
          <w:lang w:val="en-AU"/>
        </w:rPr>
        <w:t xml:space="preserve">vary </w:t>
      </w:r>
      <w:r w:rsidR="00727FDA" w:rsidRPr="00E9433F">
        <w:rPr>
          <w:lang w:val="en-AU"/>
        </w:rPr>
        <w:t>between</w:t>
      </w:r>
      <w:r w:rsidR="0016401D" w:rsidRPr="00E9433F">
        <w:rPr>
          <w:lang w:val="en-AU"/>
        </w:rPr>
        <w:t xml:space="preserve"> a reduction of 7</w:t>
      </w:r>
      <w:r w:rsidR="00502395">
        <w:rPr>
          <w:lang w:val="en-AU"/>
        </w:rPr>
        <w:t xml:space="preserve"> per cent </w:t>
      </w:r>
      <w:r w:rsidR="0016401D" w:rsidRPr="00E9433F">
        <w:rPr>
          <w:lang w:val="en-AU"/>
        </w:rPr>
        <w:t xml:space="preserve">and no changes across </w:t>
      </w:r>
      <w:r w:rsidR="00502395">
        <w:rPr>
          <w:lang w:val="en-AU"/>
        </w:rPr>
        <w:t xml:space="preserve">different </w:t>
      </w:r>
      <w:r w:rsidR="0016401D" w:rsidRPr="00E9433F">
        <w:rPr>
          <w:lang w:val="en-AU"/>
        </w:rPr>
        <w:t>specifications</w:t>
      </w:r>
      <w:r w:rsidR="00502395">
        <w:rPr>
          <w:lang w:val="en-AU"/>
        </w:rPr>
        <w:t xml:space="preserve"> and data sets</w:t>
      </w:r>
      <w:r w:rsidRPr="00E9433F">
        <w:rPr>
          <w:lang w:val="en-AU"/>
        </w:rPr>
        <w:t>.</w:t>
      </w:r>
      <w:r w:rsidRPr="000D61D1">
        <w:rPr>
          <w:lang w:val="en-AU"/>
        </w:rPr>
        <w:t xml:space="preserve"> The </w:t>
      </w:r>
      <w:r w:rsidR="0016401D" w:rsidRPr="00E9433F">
        <w:rPr>
          <w:lang w:val="en-AU"/>
        </w:rPr>
        <w:t xml:space="preserve">point estimates are </w:t>
      </w:r>
      <w:r w:rsidR="00502395">
        <w:rPr>
          <w:lang w:val="en-AU"/>
        </w:rPr>
        <w:t>thus</w:t>
      </w:r>
      <w:r w:rsidR="0016401D" w:rsidRPr="00E9433F">
        <w:rPr>
          <w:lang w:val="en-AU"/>
        </w:rPr>
        <w:t xml:space="preserve"> </w:t>
      </w:r>
      <w:r w:rsidR="00502395">
        <w:rPr>
          <w:lang w:val="en-AU"/>
        </w:rPr>
        <w:t>un</w:t>
      </w:r>
      <w:r w:rsidR="0016401D" w:rsidRPr="00E9433F">
        <w:rPr>
          <w:lang w:val="en-AU"/>
        </w:rPr>
        <w:t>reliable</w:t>
      </w:r>
      <w:r w:rsidR="00502395">
        <w:rPr>
          <w:lang w:val="en-AU"/>
        </w:rPr>
        <w:t>. However,</w:t>
      </w:r>
      <w:r w:rsidRPr="000D61D1">
        <w:rPr>
          <w:lang w:val="en-AU"/>
        </w:rPr>
        <w:t xml:space="preserve"> we </w:t>
      </w:r>
      <w:r w:rsidR="005A731C" w:rsidRPr="00E9433F">
        <w:rPr>
          <w:lang w:val="en-AU"/>
        </w:rPr>
        <w:t>find</w:t>
      </w:r>
      <w:r w:rsidR="0016401D" w:rsidRPr="00E9433F">
        <w:rPr>
          <w:lang w:val="en-AU"/>
        </w:rPr>
        <w:t xml:space="preserve"> consistently non-</w:t>
      </w:r>
      <w:r w:rsidR="00727FDA" w:rsidRPr="00E9433F">
        <w:rPr>
          <w:lang w:val="en-AU"/>
        </w:rPr>
        <w:t>positive</w:t>
      </w:r>
      <w:r w:rsidR="0016401D" w:rsidRPr="00E9433F">
        <w:rPr>
          <w:lang w:val="en-AU"/>
        </w:rPr>
        <w:t xml:space="preserve"> estimates, which lead</w:t>
      </w:r>
      <w:r w:rsidR="005A731C" w:rsidRPr="00E9433F">
        <w:rPr>
          <w:lang w:val="en-AU"/>
        </w:rPr>
        <w:t>s</w:t>
      </w:r>
      <w:r w:rsidR="0016401D" w:rsidRPr="00E9433F">
        <w:rPr>
          <w:lang w:val="en-AU"/>
        </w:rPr>
        <w:t xml:space="preserve"> us to</w:t>
      </w:r>
      <w:r w:rsidRPr="000D61D1">
        <w:rPr>
          <w:lang w:val="en-AU"/>
        </w:rPr>
        <w:t xml:space="preserve"> conclude that rental prices for houses have not increased due to the reform.</w:t>
      </w:r>
    </w:p>
    <w:p w14:paraId="100551AB" w14:textId="4360A046" w:rsidR="00936E43" w:rsidRPr="000D61D1" w:rsidRDefault="00936E43" w:rsidP="00936E43">
      <w:pPr>
        <w:pStyle w:val="BodyText"/>
        <w:rPr>
          <w:lang w:val="en-AU"/>
        </w:rPr>
      </w:pPr>
      <w:r w:rsidRPr="000D61D1">
        <w:rPr>
          <w:lang w:val="en-AU"/>
        </w:rPr>
        <w:t xml:space="preserve">Rental prices for units show a decrease </w:t>
      </w:r>
      <w:r w:rsidR="005A731C" w:rsidRPr="00E9433F">
        <w:rPr>
          <w:lang w:val="en-AU"/>
        </w:rPr>
        <w:t xml:space="preserve">from </w:t>
      </w:r>
      <w:r w:rsidR="00502395">
        <w:rPr>
          <w:lang w:val="en-AU"/>
        </w:rPr>
        <w:t>5 per cent</w:t>
      </w:r>
      <w:r w:rsidR="005A731C" w:rsidRPr="00E9433F">
        <w:rPr>
          <w:lang w:val="en-AU"/>
        </w:rPr>
        <w:t xml:space="preserve"> to 16</w:t>
      </w:r>
      <w:r w:rsidR="00502395">
        <w:rPr>
          <w:lang w:val="en-AU"/>
        </w:rPr>
        <w:t xml:space="preserve"> per cent (depending upon specification and data)</w:t>
      </w:r>
      <w:r w:rsidRPr="000D61D1">
        <w:rPr>
          <w:lang w:val="en-AU"/>
        </w:rPr>
        <w:t xml:space="preserve"> due to the reform. </w:t>
      </w:r>
      <w:r w:rsidRPr="00E9433F">
        <w:rPr>
          <w:lang w:val="en-AU"/>
        </w:rPr>
        <w:t>Th</w:t>
      </w:r>
      <w:r w:rsidR="005A731C" w:rsidRPr="00E9433F">
        <w:rPr>
          <w:lang w:val="en-AU"/>
        </w:rPr>
        <w:t>e</w:t>
      </w:r>
      <w:r w:rsidR="00502395">
        <w:rPr>
          <w:lang w:val="en-AU"/>
        </w:rPr>
        <w:t>se</w:t>
      </w:r>
      <w:r w:rsidRPr="00E9433F">
        <w:rPr>
          <w:lang w:val="en-AU"/>
        </w:rPr>
        <w:t xml:space="preserve"> </w:t>
      </w:r>
      <w:r w:rsidR="005A731C" w:rsidRPr="00E9433F">
        <w:rPr>
          <w:lang w:val="en-AU"/>
        </w:rPr>
        <w:t>negative</w:t>
      </w:r>
      <w:r w:rsidRPr="000D61D1">
        <w:rPr>
          <w:lang w:val="en-AU"/>
        </w:rPr>
        <w:t xml:space="preserve"> effect</w:t>
      </w:r>
      <w:r w:rsidR="00502395">
        <w:rPr>
          <w:lang w:val="en-AU"/>
        </w:rPr>
        <w:t>s</w:t>
      </w:r>
      <w:r w:rsidRPr="000D61D1">
        <w:rPr>
          <w:lang w:val="en-AU"/>
        </w:rPr>
        <w:t xml:space="preserve"> </w:t>
      </w:r>
      <w:r w:rsidR="00A85096" w:rsidRPr="000D61D1">
        <w:rPr>
          <w:lang w:val="en-AU"/>
        </w:rPr>
        <w:t>are</w:t>
      </w:r>
      <w:r w:rsidRPr="000D61D1">
        <w:rPr>
          <w:lang w:val="en-AU"/>
        </w:rPr>
        <w:t xml:space="preserve"> statistically significant and robust across specifications and control groups. </w:t>
      </w:r>
      <w:r w:rsidR="00502395">
        <w:rPr>
          <w:lang w:val="en-AU"/>
        </w:rPr>
        <w:t xml:space="preserve">While the point estimates are unreliable, </w:t>
      </w:r>
      <w:r w:rsidR="005A731C" w:rsidRPr="00E9433F">
        <w:rPr>
          <w:lang w:val="en-AU"/>
        </w:rPr>
        <w:t xml:space="preserve">the results suggest that rental prices for units have decreased due to the reform. </w:t>
      </w:r>
      <w:r w:rsidR="00D74AC9">
        <w:rPr>
          <w:lang w:val="en-AU"/>
        </w:rPr>
        <w:t xml:space="preserve">The same limitations discussed above </w:t>
      </w:r>
      <w:proofErr w:type="gramStart"/>
      <w:r w:rsidR="00D74AC9">
        <w:rPr>
          <w:lang w:val="en-AU"/>
        </w:rPr>
        <w:t>have to</w:t>
      </w:r>
      <w:proofErr w:type="gramEnd"/>
      <w:r w:rsidR="00D74AC9">
        <w:rPr>
          <w:lang w:val="en-AU"/>
        </w:rPr>
        <w:t xml:space="preserve"> be taken into account. </w:t>
      </w:r>
    </w:p>
    <w:p w14:paraId="371AB549" w14:textId="77777777" w:rsidR="00936E43" w:rsidRPr="000D61D1" w:rsidRDefault="00936E43" w:rsidP="00936E43">
      <w:pPr>
        <w:numPr>
          <w:ilvl w:val="0"/>
          <w:numId w:val="18"/>
        </w:numPr>
        <w:ind w:left="482" w:hanging="482"/>
        <w:rPr>
          <w:b/>
          <w:lang w:val="en-AU"/>
        </w:rPr>
      </w:pPr>
      <w:r w:rsidRPr="000D61D1">
        <w:rPr>
          <w:b/>
          <w:lang w:val="en-AU"/>
        </w:rPr>
        <w:t>Is the increased rates charge is being passed through to renters? If so, how much?</w:t>
      </w:r>
    </w:p>
    <w:p w14:paraId="16A972C9" w14:textId="667E63A8" w:rsidR="00936E43" w:rsidRPr="000D61D1" w:rsidRDefault="00936E43" w:rsidP="00936E43">
      <w:pPr>
        <w:pStyle w:val="BodyText"/>
        <w:rPr>
          <w:lang w:val="en-AU"/>
        </w:rPr>
      </w:pPr>
      <w:r w:rsidRPr="000D61D1">
        <w:rPr>
          <w:lang w:val="en-AU"/>
        </w:rPr>
        <w:t xml:space="preserve">Following on from the last question, since we find that rental prices have </w:t>
      </w:r>
      <w:r w:rsidR="00A85096">
        <w:rPr>
          <w:lang w:val="en-AU"/>
        </w:rPr>
        <w:t>likely</w:t>
      </w:r>
      <w:r w:rsidR="005E74B2" w:rsidRPr="00E9433F">
        <w:rPr>
          <w:lang w:val="en-AU"/>
        </w:rPr>
        <w:t xml:space="preserve"> </w:t>
      </w:r>
      <w:r w:rsidRPr="000D61D1">
        <w:rPr>
          <w:lang w:val="en-AU"/>
        </w:rPr>
        <w:t>decreased</w:t>
      </w:r>
      <w:r w:rsidR="005A731C" w:rsidRPr="00E9433F">
        <w:rPr>
          <w:lang w:val="en-AU"/>
        </w:rPr>
        <w:t xml:space="preserve"> and not </w:t>
      </w:r>
      <w:proofErr w:type="gramStart"/>
      <w:r w:rsidR="005A731C" w:rsidRPr="00E9433F">
        <w:rPr>
          <w:lang w:val="en-AU"/>
        </w:rPr>
        <w:t>increase</w:t>
      </w:r>
      <w:r w:rsidR="00502395">
        <w:rPr>
          <w:lang w:val="en-AU"/>
        </w:rPr>
        <w:t>d</w:t>
      </w:r>
      <w:proofErr w:type="gramEnd"/>
      <w:r w:rsidRPr="000D61D1">
        <w:rPr>
          <w:lang w:val="en-AU"/>
        </w:rPr>
        <w:t xml:space="preserve"> we can conclude that the increase in rates charges are not being passed onto renters. This is true for both house and unit rentals.</w:t>
      </w:r>
      <w:r w:rsidR="00CF2A7B">
        <w:rPr>
          <w:lang w:val="en-AU"/>
        </w:rPr>
        <w:t xml:space="preserve"> </w:t>
      </w:r>
    </w:p>
    <w:p w14:paraId="7DA54482" w14:textId="77777777" w:rsidR="00936E43" w:rsidRPr="000D61D1" w:rsidRDefault="00936E43" w:rsidP="00936E43">
      <w:pPr>
        <w:numPr>
          <w:ilvl w:val="0"/>
          <w:numId w:val="18"/>
        </w:numPr>
        <w:ind w:left="482" w:hanging="482"/>
        <w:rPr>
          <w:b/>
          <w:lang w:val="en-AU"/>
        </w:rPr>
      </w:pPr>
      <w:r w:rsidRPr="000D61D1">
        <w:rPr>
          <w:b/>
          <w:lang w:val="en-AU"/>
        </w:rPr>
        <w:t>Are the impacts different at different rental price levels (i.e. rent quintiles)?</w:t>
      </w:r>
    </w:p>
    <w:p w14:paraId="484237F8" w14:textId="0102E487" w:rsidR="00936E43" w:rsidRPr="000D61D1" w:rsidRDefault="00936E43" w:rsidP="00936E43">
      <w:pPr>
        <w:pStyle w:val="BodyText"/>
        <w:rPr>
          <w:lang w:val="en-AU"/>
        </w:rPr>
      </w:pPr>
      <w:r w:rsidRPr="000D61D1">
        <w:rPr>
          <w:lang w:val="en-AU"/>
        </w:rPr>
        <w:t xml:space="preserve">Our evidence suggests that the reform led to bigger (percentage) decreases in the lower quintiles of the rental market than in the more expensive part of the market. We find significant decreases in house rental prices for three of the four lower quintiles but a positive effect for the highest quintile. </w:t>
      </w:r>
    </w:p>
    <w:p w14:paraId="2F6A11F7" w14:textId="3BB84351" w:rsidR="00936E43" w:rsidRPr="000D61D1" w:rsidRDefault="00936E43" w:rsidP="00936E43">
      <w:pPr>
        <w:pStyle w:val="BodyText"/>
        <w:rPr>
          <w:lang w:val="en-AU"/>
        </w:rPr>
      </w:pPr>
      <w:r w:rsidRPr="000D61D1">
        <w:rPr>
          <w:lang w:val="en-AU"/>
        </w:rPr>
        <w:t xml:space="preserve">The unit rental prices show similar results. The strongest effect is estimated for the lowest quintile. </w:t>
      </w:r>
      <w:r w:rsidR="00502395">
        <w:rPr>
          <w:lang w:val="en-AU"/>
        </w:rPr>
        <w:t>Effects</w:t>
      </w:r>
      <w:r w:rsidRPr="000D61D1">
        <w:rPr>
          <w:lang w:val="en-AU"/>
        </w:rPr>
        <w:t xml:space="preserve"> becomes smaller</w:t>
      </w:r>
      <w:r w:rsidR="00502395">
        <w:rPr>
          <w:lang w:val="en-AU"/>
        </w:rPr>
        <w:t xml:space="preserve"> as we move up the income distribution from lower incomes to higher incomes</w:t>
      </w:r>
      <w:r w:rsidRPr="000D61D1">
        <w:rPr>
          <w:lang w:val="en-AU"/>
        </w:rPr>
        <w:t xml:space="preserve"> until it is no longer significant for the top </w:t>
      </w:r>
      <w:r w:rsidR="00502395">
        <w:rPr>
          <w:lang w:val="en-AU"/>
        </w:rPr>
        <w:t xml:space="preserve">income </w:t>
      </w:r>
      <w:r w:rsidRPr="000D61D1">
        <w:rPr>
          <w:lang w:val="en-AU"/>
        </w:rPr>
        <w:t xml:space="preserve">quintile.  </w:t>
      </w:r>
    </w:p>
    <w:p w14:paraId="134007A6" w14:textId="77777777" w:rsidR="00936E43" w:rsidRPr="000D61D1" w:rsidRDefault="00936E43" w:rsidP="00936E43">
      <w:pPr>
        <w:numPr>
          <w:ilvl w:val="0"/>
          <w:numId w:val="18"/>
        </w:numPr>
        <w:ind w:left="482" w:hanging="482"/>
        <w:rPr>
          <w:b/>
          <w:lang w:val="en-AU"/>
        </w:rPr>
      </w:pPr>
      <w:r w:rsidRPr="000D61D1">
        <w:rPr>
          <w:b/>
          <w:lang w:val="en-AU"/>
        </w:rPr>
        <w:t>Has tax reform impacted the supply of rental properties?</w:t>
      </w:r>
    </w:p>
    <w:p w14:paraId="352886E9" w14:textId="5460ED0E" w:rsidR="00936E43" w:rsidRPr="000D61D1" w:rsidRDefault="00936E43" w:rsidP="00936E43">
      <w:pPr>
        <w:rPr>
          <w:lang w:val="en-AU"/>
        </w:rPr>
      </w:pPr>
      <w:r w:rsidRPr="000D61D1">
        <w:rPr>
          <w:lang w:val="en-AU"/>
        </w:rPr>
        <w:t>Considering the flow of new properties being rented out, we find a significant increase in the numbers of new rentals resulting from the reform. While we don’t want to rely too heavily on the time series analysis in this part of the study, we take these findings as evidence that the tax reform has not reduced the availability of rental properties in the ACT, but likely increased the number of properties available for rent</w:t>
      </w:r>
      <w:r w:rsidR="00D74AC9">
        <w:rPr>
          <w:lang w:val="en-AU"/>
        </w:rPr>
        <w:t xml:space="preserve"> by 200 per month</w:t>
      </w:r>
      <w:r w:rsidRPr="000D61D1">
        <w:rPr>
          <w:lang w:val="en-AU"/>
        </w:rPr>
        <w:t>.</w:t>
      </w:r>
    </w:p>
    <w:p w14:paraId="160BF8AB" w14:textId="09F838E6" w:rsidR="00416E92" w:rsidRDefault="00416E92" w:rsidP="00EE0D25">
      <w:pPr>
        <w:pStyle w:val="BodyText"/>
        <w:rPr>
          <w:lang w:val="en-AU"/>
        </w:rPr>
      </w:pPr>
    </w:p>
    <w:p w14:paraId="12AB813C" w14:textId="58899EAE" w:rsidR="00B44672" w:rsidRDefault="00B44672" w:rsidP="00EE0D25">
      <w:pPr>
        <w:pStyle w:val="BodyText"/>
        <w:rPr>
          <w:lang w:val="en-AU"/>
        </w:rPr>
      </w:pPr>
    </w:p>
    <w:p w14:paraId="329968C8" w14:textId="425585E4" w:rsidR="00B44672" w:rsidRDefault="00B44672" w:rsidP="00EE0D25">
      <w:pPr>
        <w:pStyle w:val="BodyText"/>
        <w:rPr>
          <w:lang w:val="en-AU"/>
        </w:rPr>
      </w:pPr>
    </w:p>
    <w:p w14:paraId="65FE4F5F" w14:textId="6837DDA7" w:rsidR="00B44672" w:rsidRDefault="00B44672" w:rsidP="00EE0D25">
      <w:pPr>
        <w:pStyle w:val="BodyText"/>
        <w:rPr>
          <w:lang w:val="en-AU"/>
        </w:rPr>
      </w:pPr>
    </w:p>
    <w:p w14:paraId="423F5052" w14:textId="11F92EE9" w:rsidR="00B44672" w:rsidRDefault="00B44672" w:rsidP="00EE0D25">
      <w:pPr>
        <w:pStyle w:val="BodyText"/>
        <w:rPr>
          <w:lang w:val="en-AU"/>
        </w:rPr>
      </w:pPr>
    </w:p>
    <w:p w14:paraId="1F89614F" w14:textId="7466E42B" w:rsidR="00B44672" w:rsidRDefault="00B44672" w:rsidP="00EE0D25">
      <w:pPr>
        <w:pStyle w:val="BodyText"/>
        <w:rPr>
          <w:lang w:val="en-AU"/>
        </w:rPr>
      </w:pPr>
    </w:p>
    <w:p w14:paraId="2A4C48F9" w14:textId="4B983BF8" w:rsidR="00B44672" w:rsidRDefault="00B44672" w:rsidP="00EE0D25">
      <w:pPr>
        <w:pStyle w:val="BodyText"/>
        <w:rPr>
          <w:lang w:val="en-AU"/>
        </w:rPr>
      </w:pPr>
    </w:p>
    <w:p w14:paraId="6F5FCE4B" w14:textId="77777777" w:rsidR="00B44672" w:rsidRDefault="00B44672" w:rsidP="006179C3">
      <w:pPr>
        <w:pStyle w:val="Title"/>
        <w:spacing w:before="0"/>
      </w:pPr>
      <w:r>
        <w:rPr>
          <w:i/>
        </w:rPr>
        <w:lastRenderedPageBreak/>
        <w:t>Technical Report</w:t>
      </w:r>
      <w:r>
        <w:t xml:space="preserve"> </w:t>
      </w:r>
    </w:p>
    <w:p w14:paraId="497A12B3" w14:textId="77777777" w:rsidR="00B44672" w:rsidRDefault="00B44672" w:rsidP="006179C3">
      <w:pPr>
        <w:pStyle w:val="Title"/>
        <w:spacing w:before="120"/>
      </w:pPr>
      <w:r>
        <w:t>Distributional impacts of the ACT Government tax reform</w:t>
      </w:r>
    </w:p>
    <w:p w14:paraId="6B2C35D1" w14:textId="77777777" w:rsidR="00B44672" w:rsidRDefault="00B44672">
      <w:pPr>
        <w:pStyle w:val="Author"/>
      </w:pPr>
      <w:r>
        <w:t xml:space="preserve">Hai Anh La, Robert </w:t>
      </w:r>
      <w:proofErr w:type="spellStart"/>
      <w:r>
        <w:t>Tanton</w:t>
      </w:r>
      <w:proofErr w:type="spellEnd"/>
      <w:r>
        <w:t xml:space="preserve">, Yogi </w:t>
      </w:r>
      <w:proofErr w:type="spellStart"/>
      <w:r>
        <w:t>Vidyattama</w:t>
      </w:r>
      <w:proofErr w:type="spellEnd"/>
      <w:r>
        <w:t xml:space="preserve">, </w:t>
      </w:r>
      <w:proofErr w:type="spellStart"/>
      <w:r>
        <w:t>Jinjing</w:t>
      </w:r>
      <w:proofErr w:type="spellEnd"/>
      <w:r>
        <w:t xml:space="preserve"> Li</w:t>
      </w:r>
      <w:r>
        <w:rPr>
          <w:rStyle w:val="FootnoteReference"/>
        </w:rPr>
        <w:footnoteReference w:id="16"/>
      </w:r>
    </w:p>
    <w:p w14:paraId="1A197622" w14:textId="77777777" w:rsidR="00B44672" w:rsidRDefault="00B44672">
      <w:pPr>
        <w:pStyle w:val="Date"/>
      </w:pPr>
      <w:r>
        <w:t>15th June 2020</w:t>
      </w:r>
    </w:p>
    <w:bookmarkStart w:id="53" w:name="i.-introduction" w:displacedByCustomXml="next"/>
    <w:sdt>
      <w:sdtPr>
        <w:rPr>
          <w:rFonts w:eastAsiaTheme="minorHAnsi" w:cstheme="minorBidi"/>
          <w:b w:val="0"/>
          <w:color w:val="auto"/>
          <w:sz w:val="24"/>
          <w:szCs w:val="24"/>
        </w:rPr>
        <w:id w:val="-227847053"/>
        <w:docPartObj>
          <w:docPartGallery w:val="Table of Contents"/>
          <w:docPartUnique/>
        </w:docPartObj>
      </w:sdtPr>
      <w:sdtEndPr>
        <w:rPr>
          <w:bCs/>
          <w:noProof/>
        </w:rPr>
      </w:sdtEndPr>
      <w:sdtContent>
        <w:p w14:paraId="5DD5BCB5" w14:textId="77777777" w:rsidR="00B44672" w:rsidRDefault="00B44672" w:rsidP="00372AB3">
          <w:pPr>
            <w:pStyle w:val="TOCHeading"/>
            <w:spacing w:after="240"/>
          </w:pPr>
          <w:r>
            <w:t>Table of Contents</w:t>
          </w:r>
        </w:p>
        <w:p w14:paraId="6BB55B18" w14:textId="761F8971" w:rsidR="00B44672" w:rsidRDefault="00B44672">
          <w:pPr>
            <w:pStyle w:val="TOC1"/>
            <w:tabs>
              <w:tab w:val="right" w:leader="dot" w:pos="9350"/>
            </w:tabs>
            <w:rPr>
              <w:rFonts w:eastAsiaTheme="minorEastAsia"/>
              <w:noProof/>
              <w:sz w:val="22"/>
              <w:szCs w:val="22"/>
              <w:lang w:val="en-AU" w:eastAsia="en-AU"/>
            </w:rPr>
          </w:pPr>
          <w:r>
            <w:rPr>
              <w:b w:val="0"/>
              <w:bCs w:val="0"/>
            </w:rPr>
            <w:fldChar w:fldCharType="begin"/>
          </w:r>
          <w:r>
            <w:instrText xml:space="preserve"> TOC \o "1-3" \h \z \u </w:instrText>
          </w:r>
          <w:r>
            <w:rPr>
              <w:b w:val="0"/>
              <w:bCs w:val="0"/>
            </w:rPr>
            <w:fldChar w:fldCharType="separate"/>
          </w:r>
          <w:hyperlink w:anchor="_Toc41941358" w:history="1">
            <w:r w:rsidRPr="002C48CA">
              <w:rPr>
                <w:rStyle w:val="Hyperlink"/>
                <w:noProof/>
              </w:rPr>
              <w:t>I. Introduction</w:t>
            </w:r>
            <w:r>
              <w:rPr>
                <w:noProof/>
                <w:webHidden/>
              </w:rPr>
              <w:tab/>
            </w:r>
            <w:r>
              <w:rPr>
                <w:noProof/>
                <w:webHidden/>
              </w:rPr>
              <w:fldChar w:fldCharType="begin"/>
            </w:r>
            <w:r>
              <w:rPr>
                <w:noProof/>
                <w:webHidden/>
              </w:rPr>
              <w:instrText xml:space="preserve"> PAGEREF _Toc41941358 \h </w:instrText>
            </w:r>
            <w:r>
              <w:rPr>
                <w:noProof/>
                <w:webHidden/>
              </w:rPr>
            </w:r>
            <w:r>
              <w:rPr>
                <w:noProof/>
                <w:webHidden/>
              </w:rPr>
              <w:fldChar w:fldCharType="separate"/>
            </w:r>
            <w:r w:rsidR="00A763B6">
              <w:rPr>
                <w:noProof/>
                <w:webHidden/>
              </w:rPr>
              <w:t>40</w:t>
            </w:r>
            <w:r>
              <w:rPr>
                <w:noProof/>
                <w:webHidden/>
              </w:rPr>
              <w:fldChar w:fldCharType="end"/>
            </w:r>
          </w:hyperlink>
        </w:p>
        <w:p w14:paraId="2774A4C7" w14:textId="24D0ADEE" w:rsidR="00B44672" w:rsidRDefault="00A6304C">
          <w:pPr>
            <w:pStyle w:val="TOC1"/>
            <w:tabs>
              <w:tab w:val="right" w:leader="dot" w:pos="9350"/>
            </w:tabs>
            <w:rPr>
              <w:rFonts w:eastAsiaTheme="minorEastAsia"/>
              <w:noProof/>
              <w:sz w:val="22"/>
              <w:szCs w:val="22"/>
              <w:lang w:val="en-AU" w:eastAsia="en-AU"/>
            </w:rPr>
          </w:pPr>
          <w:hyperlink w:anchor="_Toc41941359" w:history="1">
            <w:r w:rsidR="00B44672" w:rsidRPr="002C48CA">
              <w:rPr>
                <w:rStyle w:val="Hyperlink"/>
                <w:noProof/>
              </w:rPr>
              <w:t>II. Methodology</w:t>
            </w:r>
            <w:r w:rsidR="00B44672">
              <w:rPr>
                <w:noProof/>
                <w:webHidden/>
              </w:rPr>
              <w:tab/>
            </w:r>
            <w:r w:rsidR="00B44672">
              <w:rPr>
                <w:noProof/>
                <w:webHidden/>
              </w:rPr>
              <w:fldChar w:fldCharType="begin"/>
            </w:r>
            <w:r w:rsidR="00B44672">
              <w:rPr>
                <w:noProof/>
                <w:webHidden/>
              </w:rPr>
              <w:instrText xml:space="preserve"> PAGEREF _Toc41941359 \h </w:instrText>
            </w:r>
            <w:r w:rsidR="00B44672">
              <w:rPr>
                <w:noProof/>
                <w:webHidden/>
              </w:rPr>
            </w:r>
            <w:r w:rsidR="00B44672">
              <w:rPr>
                <w:noProof/>
                <w:webHidden/>
              </w:rPr>
              <w:fldChar w:fldCharType="separate"/>
            </w:r>
            <w:r w:rsidR="00A763B6">
              <w:rPr>
                <w:noProof/>
                <w:webHidden/>
              </w:rPr>
              <w:t>41</w:t>
            </w:r>
            <w:r w:rsidR="00B44672">
              <w:rPr>
                <w:noProof/>
                <w:webHidden/>
              </w:rPr>
              <w:fldChar w:fldCharType="end"/>
            </w:r>
          </w:hyperlink>
        </w:p>
        <w:p w14:paraId="40E21FEA" w14:textId="37EA1B47" w:rsidR="00B44672" w:rsidRDefault="00A6304C">
          <w:pPr>
            <w:pStyle w:val="TOC2"/>
            <w:tabs>
              <w:tab w:val="right" w:leader="dot" w:pos="9350"/>
            </w:tabs>
            <w:rPr>
              <w:rFonts w:eastAsiaTheme="minorEastAsia"/>
              <w:noProof/>
              <w:lang w:val="en-AU" w:eastAsia="en-AU"/>
            </w:rPr>
          </w:pPr>
          <w:hyperlink w:anchor="_Toc41941360" w:history="1">
            <w:r w:rsidR="00B44672" w:rsidRPr="002C48CA">
              <w:rPr>
                <w:rStyle w:val="Hyperlink"/>
                <w:noProof/>
              </w:rPr>
              <w:t>1. Definition</w:t>
            </w:r>
            <w:r w:rsidR="00B44672">
              <w:rPr>
                <w:noProof/>
                <w:webHidden/>
              </w:rPr>
              <w:tab/>
            </w:r>
            <w:r w:rsidR="00B44672">
              <w:rPr>
                <w:noProof/>
                <w:webHidden/>
              </w:rPr>
              <w:fldChar w:fldCharType="begin"/>
            </w:r>
            <w:r w:rsidR="00B44672">
              <w:rPr>
                <w:noProof/>
                <w:webHidden/>
              </w:rPr>
              <w:instrText xml:space="preserve"> PAGEREF _Toc41941360 \h </w:instrText>
            </w:r>
            <w:r w:rsidR="00B44672">
              <w:rPr>
                <w:noProof/>
                <w:webHidden/>
              </w:rPr>
            </w:r>
            <w:r w:rsidR="00B44672">
              <w:rPr>
                <w:noProof/>
                <w:webHidden/>
              </w:rPr>
              <w:fldChar w:fldCharType="separate"/>
            </w:r>
            <w:r w:rsidR="00A763B6">
              <w:rPr>
                <w:noProof/>
                <w:webHidden/>
              </w:rPr>
              <w:t>41</w:t>
            </w:r>
            <w:r w:rsidR="00B44672">
              <w:rPr>
                <w:noProof/>
                <w:webHidden/>
              </w:rPr>
              <w:fldChar w:fldCharType="end"/>
            </w:r>
          </w:hyperlink>
        </w:p>
        <w:p w14:paraId="3DEF21A2" w14:textId="4FC3427D" w:rsidR="00B44672" w:rsidRDefault="00A6304C">
          <w:pPr>
            <w:pStyle w:val="TOC2"/>
            <w:tabs>
              <w:tab w:val="right" w:leader="dot" w:pos="9350"/>
            </w:tabs>
            <w:rPr>
              <w:rFonts w:eastAsiaTheme="minorEastAsia"/>
              <w:noProof/>
              <w:lang w:val="en-AU" w:eastAsia="en-AU"/>
            </w:rPr>
          </w:pPr>
          <w:hyperlink w:anchor="_Toc41941361" w:history="1">
            <w:r w:rsidR="00B44672" w:rsidRPr="002C48CA">
              <w:rPr>
                <w:rStyle w:val="Hyperlink"/>
                <w:noProof/>
              </w:rPr>
              <w:t>2. Assumptions</w:t>
            </w:r>
            <w:r w:rsidR="00B44672">
              <w:rPr>
                <w:noProof/>
                <w:webHidden/>
              </w:rPr>
              <w:tab/>
            </w:r>
            <w:r w:rsidR="00B44672">
              <w:rPr>
                <w:noProof/>
                <w:webHidden/>
              </w:rPr>
              <w:fldChar w:fldCharType="begin"/>
            </w:r>
            <w:r w:rsidR="00B44672">
              <w:rPr>
                <w:noProof/>
                <w:webHidden/>
              </w:rPr>
              <w:instrText xml:space="preserve"> PAGEREF _Toc41941361 \h </w:instrText>
            </w:r>
            <w:r w:rsidR="00B44672">
              <w:rPr>
                <w:noProof/>
                <w:webHidden/>
              </w:rPr>
            </w:r>
            <w:r w:rsidR="00B44672">
              <w:rPr>
                <w:noProof/>
                <w:webHidden/>
              </w:rPr>
              <w:fldChar w:fldCharType="separate"/>
            </w:r>
            <w:r w:rsidR="00A763B6">
              <w:rPr>
                <w:noProof/>
                <w:webHidden/>
              </w:rPr>
              <w:t>42</w:t>
            </w:r>
            <w:r w:rsidR="00B44672">
              <w:rPr>
                <w:noProof/>
                <w:webHidden/>
              </w:rPr>
              <w:fldChar w:fldCharType="end"/>
            </w:r>
          </w:hyperlink>
        </w:p>
        <w:p w14:paraId="19EA2496" w14:textId="2F1A74DE" w:rsidR="00B44672" w:rsidRDefault="00A6304C">
          <w:pPr>
            <w:pStyle w:val="TOC2"/>
            <w:tabs>
              <w:tab w:val="right" w:leader="dot" w:pos="9350"/>
            </w:tabs>
            <w:rPr>
              <w:rFonts w:eastAsiaTheme="minorEastAsia"/>
              <w:noProof/>
              <w:lang w:val="en-AU" w:eastAsia="en-AU"/>
            </w:rPr>
          </w:pPr>
          <w:hyperlink w:anchor="_Toc41941362" w:history="1">
            <w:r w:rsidR="00B44672" w:rsidRPr="002C48CA">
              <w:rPr>
                <w:rStyle w:val="Hyperlink"/>
                <w:noProof/>
              </w:rPr>
              <w:t>3. The synthetic population for the ACT</w:t>
            </w:r>
            <w:r w:rsidR="00B44672">
              <w:rPr>
                <w:noProof/>
                <w:webHidden/>
              </w:rPr>
              <w:tab/>
            </w:r>
            <w:r w:rsidR="00B44672">
              <w:rPr>
                <w:noProof/>
                <w:webHidden/>
              </w:rPr>
              <w:fldChar w:fldCharType="begin"/>
            </w:r>
            <w:r w:rsidR="00B44672">
              <w:rPr>
                <w:noProof/>
                <w:webHidden/>
              </w:rPr>
              <w:instrText xml:space="preserve"> PAGEREF _Toc41941362 \h </w:instrText>
            </w:r>
            <w:r w:rsidR="00B44672">
              <w:rPr>
                <w:noProof/>
                <w:webHidden/>
              </w:rPr>
            </w:r>
            <w:r w:rsidR="00B44672">
              <w:rPr>
                <w:noProof/>
                <w:webHidden/>
              </w:rPr>
              <w:fldChar w:fldCharType="separate"/>
            </w:r>
            <w:r w:rsidR="00A763B6">
              <w:rPr>
                <w:noProof/>
                <w:webHidden/>
              </w:rPr>
              <w:t>44</w:t>
            </w:r>
            <w:r w:rsidR="00B44672">
              <w:rPr>
                <w:noProof/>
                <w:webHidden/>
              </w:rPr>
              <w:fldChar w:fldCharType="end"/>
            </w:r>
          </w:hyperlink>
        </w:p>
        <w:p w14:paraId="468A5513" w14:textId="6022A515" w:rsidR="00B44672" w:rsidRDefault="00A6304C">
          <w:pPr>
            <w:pStyle w:val="TOC2"/>
            <w:tabs>
              <w:tab w:val="right" w:leader="dot" w:pos="9350"/>
            </w:tabs>
            <w:rPr>
              <w:rFonts w:eastAsiaTheme="minorEastAsia"/>
              <w:noProof/>
              <w:lang w:val="en-AU" w:eastAsia="en-AU"/>
            </w:rPr>
          </w:pPr>
          <w:hyperlink w:anchor="_Toc41941363" w:history="1">
            <w:r w:rsidR="00B44672" w:rsidRPr="002C48CA">
              <w:rPr>
                <w:rStyle w:val="Hyperlink"/>
                <w:noProof/>
              </w:rPr>
              <w:t>4. Rates and stamp duties for the new and old policies</w:t>
            </w:r>
            <w:r w:rsidR="00B44672">
              <w:rPr>
                <w:noProof/>
                <w:webHidden/>
              </w:rPr>
              <w:tab/>
            </w:r>
            <w:r w:rsidR="00B44672">
              <w:rPr>
                <w:noProof/>
                <w:webHidden/>
              </w:rPr>
              <w:fldChar w:fldCharType="begin"/>
            </w:r>
            <w:r w:rsidR="00B44672">
              <w:rPr>
                <w:noProof/>
                <w:webHidden/>
              </w:rPr>
              <w:instrText xml:space="preserve"> PAGEREF _Toc41941363 \h </w:instrText>
            </w:r>
            <w:r w:rsidR="00B44672">
              <w:rPr>
                <w:noProof/>
                <w:webHidden/>
              </w:rPr>
            </w:r>
            <w:r w:rsidR="00B44672">
              <w:rPr>
                <w:noProof/>
                <w:webHidden/>
              </w:rPr>
              <w:fldChar w:fldCharType="separate"/>
            </w:r>
            <w:r w:rsidR="00A763B6">
              <w:rPr>
                <w:noProof/>
                <w:webHidden/>
              </w:rPr>
              <w:t>45</w:t>
            </w:r>
            <w:r w:rsidR="00B44672">
              <w:rPr>
                <w:noProof/>
                <w:webHidden/>
              </w:rPr>
              <w:fldChar w:fldCharType="end"/>
            </w:r>
          </w:hyperlink>
        </w:p>
        <w:p w14:paraId="43EE97CA" w14:textId="7F0880FF" w:rsidR="00B44672" w:rsidRDefault="00A6304C">
          <w:pPr>
            <w:pStyle w:val="TOC3"/>
            <w:tabs>
              <w:tab w:val="right" w:leader="dot" w:pos="9350"/>
            </w:tabs>
            <w:rPr>
              <w:rFonts w:eastAsiaTheme="minorEastAsia"/>
              <w:noProof/>
              <w:sz w:val="22"/>
              <w:szCs w:val="22"/>
              <w:lang w:val="en-AU" w:eastAsia="en-AU"/>
            </w:rPr>
          </w:pPr>
          <w:hyperlink w:anchor="_Toc41941364" w:history="1">
            <w:r w:rsidR="00B44672" w:rsidRPr="002C48CA">
              <w:rPr>
                <w:rStyle w:val="Hyperlink"/>
                <w:noProof/>
              </w:rPr>
              <w:t>4.1. Rate rules</w:t>
            </w:r>
            <w:r w:rsidR="00B44672">
              <w:rPr>
                <w:noProof/>
                <w:webHidden/>
              </w:rPr>
              <w:tab/>
            </w:r>
            <w:r w:rsidR="00B44672">
              <w:rPr>
                <w:noProof/>
                <w:webHidden/>
              </w:rPr>
              <w:fldChar w:fldCharType="begin"/>
            </w:r>
            <w:r w:rsidR="00B44672">
              <w:rPr>
                <w:noProof/>
                <w:webHidden/>
              </w:rPr>
              <w:instrText xml:space="preserve"> PAGEREF _Toc41941364 \h </w:instrText>
            </w:r>
            <w:r w:rsidR="00B44672">
              <w:rPr>
                <w:noProof/>
                <w:webHidden/>
              </w:rPr>
            </w:r>
            <w:r w:rsidR="00B44672">
              <w:rPr>
                <w:noProof/>
                <w:webHidden/>
              </w:rPr>
              <w:fldChar w:fldCharType="separate"/>
            </w:r>
            <w:r w:rsidR="00A763B6">
              <w:rPr>
                <w:noProof/>
                <w:webHidden/>
              </w:rPr>
              <w:t>45</w:t>
            </w:r>
            <w:r w:rsidR="00B44672">
              <w:rPr>
                <w:noProof/>
                <w:webHidden/>
              </w:rPr>
              <w:fldChar w:fldCharType="end"/>
            </w:r>
          </w:hyperlink>
        </w:p>
        <w:p w14:paraId="3341EAB6" w14:textId="1A90AC83" w:rsidR="00B44672" w:rsidRDefault="00A6304C">
          <w:pPr>
            <w:pStyle w:val="TOC3"/>
            <w:tabs>
              <w:tab w:val="right" w:leader="dot" w:pos="9350"/>
            </w:tabs>
            <w:rPr>
              <w:rFonts w:eastAsiaTheme="minorEastAsia"/>
              <w:noProof/>
              <w:sz w:val="22"/>
              <w:szCs w:val="22"/>
              <w:lang w:val="en-AU" w:eastAsia="en-AU"/>
            </w:rPr>
          </w:pPr>
          <w:hyperlink w:anchor="_Toc41941365" w:history="1">
            <w:r w:rsidR="00B44672" w:rsidRPr="002C48CA">
              <w:rPr>
                <w:rStyle w:val="Hyperlink"/>
                <w:noProof/>
              </w:rPr>
              <w:t>4.2. Rate rebate rules</w:t>
            </w:r>
            <w:r w:rsidR="00B44672">
              <w:rPr>
                <w:noProof/>
                <w:webHidden/>
              </w:rPr>
              <w:tab/>
            </w:r>
            <w:r w:rsidR="00B44672">
              <w:rPr>
                <w:noProof/>
                <w:webHidden/>
              </w:rPr>
              <w:fldChar w:fldCharType="begin"/>
            </w:r>
            <w:r w:rsidR="00B44672">
              <w:rPr>
                <w:noProof/>
                <w:webHidden/>
              </w:rPr>
              <w:instrText xml:space="preserve"> PAGEREF _Toc41941365 \h </w:instrText>
            </w:r>
            <w:r w:rsidR="00B44672">
              <w:rPr>
                <w:noProof/>
                <w:webHidden/>
              </w:rPr>
            </w:r>
            <w:r w:rsidR="00B44672">
              <w:rPr>
                <w:noProof/>
                <w:webHidden/>
              </w:rPr>
              <w:fldChar w:fldCharType="separate"/>
            </w:r>
            <w:r w:rsidR="00A763B6">
              <w:rPr>
                <w:noProof/>
                <w:webHidden/>
              </w:rPr>
              <w:t>48</w:t>
            </w:r>
            <w:r w:rsidR="00B44672">
              <w:rPr>
                <w:noProof/>
                <w:webHidden/>
              </w:rPr>
              <w:fldChar w:fldCharType="end"/>
            </w:r>
          </w:hyperlink>
        </w:p>
        <w:p w14:paraId="02D62927" w14:textId="4135E864" w:rsidR="00B44672" w:rsidRDefault="00A6304C">
          <w:pPr>
            <w:pStyle w:val="TOC3"/>
            <w:tabs>
              <w:tab w:val="right" w:leader="dot" w:pos="9350"/>
            </w:tabs>
            <w:rPr>
              <w:rFonts w:eastAsiaTheme="minorEastAsia"/>
              <w:noProof/>
              <w:sz w:val="22"/>
              <w:szCs w:val="22"/>
              <w:lang w:val="en-AU" w:eastAsia="en-AU"/>
            </w:rPr>
          </w:pPr>
          <w:hyperlink w:anchor="_Toc41941366" w:history="1">
            <w:r w:rsidR="00B44672" w:rsidRPr="002C48CA">
              <w:rPr>
                <w:rStyle w:val="Hyperlink"/>
                <w:noProof/>
              </w:rPr>
              <w:t>4.3. Stamp duty rules</w:t>
            </w:r>
            <w:r w:rsidR="00B44672">
              <w:rPr>
                <w:noProof/>
                <w:webHidden/>
              </w:rPr>
              <w:tab/>
            </w:r>
            <w:r w:rsidR="00B44672">
              <w:rPr>
                <w:noProof/>
                <w:webHidden/>
              </w:rPr>
              <w:fldChar w:fldCharType="begin"/>
            </w:r>
            <w:r w:rsidR="00B44672">
              <w:rPr>
                <w:noProof/>
                <w:webHidden/>
              </w:rPr>
              <w:instrText xml:space="preserve"> PAGEREF _Toc41941366 \h </w:instrText>
            </w:r>
            <w:r w:rsidR="00B44672">
              <w:rPr>
                <w:noProof/>
                <w:webHidden/>
              </w:rPr>
            </w:r>
            <w:r w:rsidR="00B44672">
              <w:rPr>
                <w:noProof/>
                <w:webHidden/>
              </w:rPr>
              <w:fldChar w:fldCharType="separate"/>
            </w:r>
            <w:r w:rsidR="00A763B6">
              <w:rPr>
                <w:noProof/>
                <w:webHidden/>
              </w:rPr>
              <w:t>48</w:t>
            </w:r>
            <w:r w:rsidR="00B44672">
              <w:rPr>
                <w:noProof/>
                <w:webHidden/>
              </w:rPr>
              <w:fldChar w:fldCharType="end"/>
            </w:r>
          </w:hyperlink>
        </w:p>
        <w:p w14:paraId="6CF57942" w14:textId="2D418CC9" w:rsidR="00B44672" w:rsidRDefault="00A6304C">
          <w:pPr>
            <w:pStyle w:val="TOC3"/>
            <w:tabs>
              <w:tab w:val="right" w:leader="dot" w:pos="9350"/>
            </w:tabs>
            <w:rPr>
              <w:rFonts w:eastAsiaTheme="minorEastAsia"/>
              <w:noProof/>
              <w:sz w:val="22"/>
              <w:szCs w:val="22"/>
              <w:lang w:val="en-AU" w:eastAsia="en-AU"/>
            </w:rPr>
          </w:pPr>
          <w:hyperlink w:anchor="_Toc41941367" w:history="1">
            <w:r w:rsidR="00B44672" w:rsidRPr="002C48CA">
              <w:rPr>
                <w:rStyle w:val="Hyperlink"/>
                <w:noProof/>
              </w:rPr>
              <w:t>4.4. Home Buyers Concession Scheme (HBCS) rules</w:t>
            </w:r>
            <w:r w:rsidR="00B44672">
              <w:rPr>
                <w:noProof/>
                <w:webHidden/>
              </w:rPr>
              <w:tab/>
            </w:r>
            <w:r w:rsidR="00B44672">
              <w:rPr>
                <w:noProof/>
                <w:webHidden/>
              </w:rPr>
              <w:fldChar w:fldCharType="begin"/>
            </w:r>
            <w:r w:rsidR="00B44672">
              <w:rPr>
                <w:noProof/>
                <w:webHidden/>
              </w:rPr>
              <w:instrText xml:space="preserve"> PAGEREF _Toc41941367 \h </w:instrText>
            </w:r>
            <w:r w:rsidR="00B44672">
              <w:rPr>
                <w:noProof/>
                <w:webHidden/>
              </w:rPr>
            </w:r>
            <w:r w:rsidR="00B44672">
              <w:rPr>
                <w:noProof/>
                <w:webHidden/>
              </w:rPr>
              <w:fldChar w:fldCharType="separate"/>
            </w:r>
            <w:r w:rsidR="00A763B6">
              <w:rPr>
                <w:noProof/>
                <w:webHidden/>
              </w:rPr>
              <w:t>49</w:t>
            </w:r>
            <w:r w:rsidR="00B44672">
              <w:rPr>
                <w:noProof/>
                <w:webHidden/>
              </w:rPr>
              <w:fldChar w:fldCharType="end"/>
            </w:r>
          </w:hyperlink>
        </w:p>
        <w:p w14:paraId="2039CCBF" w14:textId="3AC8F4F7" w:rsidR="00B44672" w:rsidRDefault="00A6304C">
          <w:pPr>
            <w:pStyle w:val="TOC3"/>
            <w:tabs>
              <w:tab w:val="right" w:leader="dot" w:pos="9350"/>
            </w:tabs>
            <w:rPr>
              <w:rFonts w:eastAsiaTheme="minorEastAsia"/>
              <w:noProof/>
              <w:sz w:val="22"/>
              <w:szCs w:val="22"/>
              <w:lang w:val="en-AU" w:eastAsia="en-AU"/>
            </w:rPr>
          </w:pPr>
          <w:hyperlink w:anchor="_Toc41941368" w:history="1">
            <w:r w:rsidR="00B44672" w:rsidRPr="002C48CA">
              <w:rPr>
                <w:rStyle w:val="Hyperlink"/>
                <w:noProof/>
              </w:rPr>
              <w:t>4.5. Pensioner Duty Concession Scheme (PDCS) rules</w:t>
            </w:r>
            <w:r w:rsidR="00B44672">
              <w:rPr>
                <w:noProof/>
                <w:webHidden/>
              </w:rPr>
              <w:tab/>
            </w:r>
            <w:r w:rsidR="00B44672">
              <w:rPr>
                <w:noProof/>
                <w:webHidden/>
              </w:rPr>
              <w:fldChar w:fldCharType="begin"/>
            </w:r>
            <w:r w:rsidR="00B44672">
              <w:rPr>
                <w:noProof/>
                <w:webHidden/>
              </w:rPr>
              <w:instrText xml:space="preserve"> PAGEREF _Toc41941368 \h </w:instrText>
            </w:r>
            <w:r w:rsidR="00B44672">
              <w:rPr>
                <w:noProof/>
                <w:webHidden/>
              </w:rPr>
            </w:r>
            <w:r w:rsidR="00B44672">
              <w:rPr>
                <w:noProof/>
                <w:webHidden/>
              </w:rPr>
              <w:fldChar w:fldCharType="separate"/>
            </w:r>
            <w:r w:rsidR="00A763B6">
              <w:rPr>
                <w:noProof/>
                <w:webHidden/>
              </w:rPr>
              <w:t>50</w:t>
            </w:r>
            <w:r w:rsidR="00B44672">
              <w:rPr>
                <w:noProof/>
                <w:webHidden/>
              </w:rPr>
              <w:fldChar w:fldCharType="end"/>
            </w:r>
          </w:hyperlink>
        </w:p>
        <w:p w14:paraId="647077DA" w14:textId="739D6856" w:rsidR="00B44672" w:rsidRDefault="00A6304C">
          <w:pPr>
            <w:pStyle w:val="TOC3"/>
            <w:tabs>
              <w:tab w:val="right" w:leader="dot" w:pos="9350"/>
            </w:tabs>
            <w:rPr>
              <w:rFonts w:eastAsiaTheme="minorEastAsia"/>
              <w:noProof/>
              <w:sz w:val="22"/>
              <w:szCs w:val="22"/>
              <w:lang w:val="en-AU" w:eastAsia="en-AU"/>
            </w:rPr>
          </w:pPr>
          <w:hyperlink w:anchor="_Toc41941369" w:history="1">
            <w:r w:rsidR="00B44672" w:rsidRPr="002C48CA">
              <w:rPr>
                <w:rStyle w:val="Hyperlink"/>
                <w:noProof/>
              </w:rPr>
              <w:t>4.6. First Home Owner Grant (FHOG) and Land tax rules</w:t>
            </w:r>
            <w:r w:rsidR="00B44672">
              <w:rPr>
                <w:noProof/>
                <w:webHidden/>
              </w:rPr>
              <w:tab/>
            </w:r>
            <w:r w:rsidR="00B44672">
              <w:rPr>
                <w:noProof/>
                <w:webHidden/>
              </w:rPr>
              <w:fldChar w:fldCharType="begin"/>
            </w:r>
            <w:r w:rsidR="00B44672">
              <w:rPr>
                <w:noProof/>
                <w:webHidden/>
              </w:rPr>
              <w:instrText xml:space="preserve"> PAGEREF _Toc41941369 \h </w:instrText>
            </w:r>
            <w:r w:rsidR="00B44672">
              <w:rPr>
                <w:noProof/>
                <w:webHidden/>
              </w:rPr>
            </w:r>
            <w:r w:rsidR="00B44672">
              <w:rPr>
                <w:noProof/>
                <w:webHidden/>
              </w:rPr>
              <w:fldChar w:fldCharType="separate"/>
            </w:r>
            <w:r w:rsidR="00A763B6">
              <w:rPr>
                <w:noProof/>
                <w:webHidden/>
              </w:rPr>
              <w:t>51</w:t>
            </w:r>
            <w:r w:rsidR="00B44672">
              <w:rPr>
                <w:noProof/>
                <w:webHidden/>
              </w:rPr>
              <w:fldChar w:fldCharType="end"/>
            </w:r>
          </w:hyperlink>
        </w:p>
        <w:p w14:paraId="49B2D670" w14:textId="5ECFAF28" w:rsidR="00B44672" w:rsidRDefault="00A6304C">
          <w:pPr>
            <w:pStyle w:val="TOC2"/>
            <w:tabs>
              <w:tab w:val="right" w:leader="dot" w:pos="9350"/>
            </w:tabs>
            <w:rPr>
              <w:rFonts w:eastAsiaTheme="minorEastAsia"/>
              <w:noProof/>
              <w:lang w:val="en-AU" w:eastAsia="en-AU"/>
            </w:rPr>
          </w:pPr>
          <w:hyperlink w:anchor="_Toc41941370" w:history="1">
            <w:r w:rsidR="00B44672" w:rsidRPr="002C48CA">
              <w:rPr>
                <w:rStyle w:val="Hyperlink"/>
                <w:noProof/>
              </w:rPr>
              <w:t>5. Borrowing constraints - Home purchase assignment</w:t>
            </w:r>
            <w:r w:rsidR="00B44672">
              <w:rPr>
                <w:noProof/>
                <w:webHidden/>
              </w:rPr>
              <w:tab/>
            </w:r>
            <w:r w:rsidR="00B44672">
              <w:rPr>
                <w:noProof/>
                <w:webHidden/>
              </w:rPr>
              <w:fldChar w:fldCharType="begin"/>
            </w:r>
            <w:r w:rsidR="00B44672">
              <w:rPr>
                <w:noProof/>
                <w:webHidden/>
              </w:rPr>
              <w:instrText xml:space="preserve"> PAGEREF _Toc41941370 \h </w:instrText>
            </w:r>
            <w:r w:rsidR="00B44672">
              <w:rPr>
                <w:noProof/>
                <w:webHidden/>
              </w:rPr>
            </w:r>
            <w:r w:rsidR="00B44672">
              <w:rPr>
                <w:noProof/>
                <w:webHidden/>
              </w:rPr>
              <w:fldChar w:fldCharType="separate"/>
            </w:r>
            <w:r w:rsidR="00A763B6">
              <w:rPr>
                <w:noProof/>
                <w:webHidden/>
              </w:rPr>
              <w:t>52</w:t>
            </w:r>
            <w:r w:rsidR="00B44672">
              <w:rPr>
                <w:noProof/>
                <w:webHidden/>
              </w:rPr>
              <w:fldChar w:fldCharType="end"/>
            </w:r>
          </w:hyperlink>
        </w:p>
        <w:p w14:paraId="6CD96445" w14:textId="17ADBA7E" w:rsidR="00B44672" w:rsidRDefault="00A6304C">
          <w:pPr>
            <w:pStyle w:val="TOC3"/>
            <w:tabs>
              <w:tab w:val="right" w:leader="dot" w:pos="9350"/>
            </w:tabs>
            <w:rPr>
              <w:rFonts w:eastAsiaTheme="minorEastAsia"/>
              <w:noProof/>
              <w:sz w:val="22"/>
              <w:szCs w:val="22"/>
              <w:lang w:val="en-AU" w:eastAsia="en-AU"/>
            </w:rPr>
          </w:pPr>
          <w:hyperlink w:anchor="_Toc41941371" w:history="1">
            <w:r w:rsidR="00B44672" w:rsidRPr="002C48CA">
              <w:rPr>
                <w:rStyle w:val="Hyperlink"/>
                <w:noProof/>
              </w:rPr>
              <w:t>5.1. Property price estimation</w:t>
            </w:r>
            <w:r w:rsidR="00B44672">
              <w:rPr>
                <w:noProof/>
                <w:webHidden/>
              </w:rPr>
              <w:tab/>
            </w:r>
            <w:r w:rsidR="00B44672">
              <w:rPr>
                <w:noProof/>
                <w:webHidden/>
              </w:rPr>
              <w:fldChar w:fldCharType="begin"/>
            </w:r>
            <w:r w:rsidR="00B44672">
              <w:rPr>
                <w:noProof/>
                <w:webHidden/>
              </w:rPr>
              <w:instrText xml:space="preserve"> PAGEREF _Toc41941371 \h </w:instrText>
            </w:r>
            <w:r w:rsidR="00B44672">
              <w:rPr>
                <w:noProof/>
                <w:webHidden/>
              </w:rPr>
            </w:r>
            <w:r w:rsidR="00B44672">
              <w:rPr>
                <w:noProof/>
                <w:webHidden/>
              </w:rPr>
              <w:fldChar w:fldCharType="separate"/>
            </w:r>
            <w:r w:rsidR="00A763B6">
              <w:rPr>
                <w:noProof/>
                <w:webHidden/>
              </w:rPr>
              <w:t>56</w:t>
            </w:r>
            <w:r w:rsidR="00B44672">
              <w:rPr>
                <w:noProof/>
                <w:webHidden/>
              </w:rPr>
              <w:fldChar w:fldCharType="end"/>
            </w:r>
          </w:hyperlink>
        </w:p>
        <w:p w14:paraId="6AE8A63F" w14:textId="44B45BF1" w:rsidR="00B44672" w:rsidRDefault="00A6304C">
          <w:pPr>
            <w:pStyle w:val="TOC3"/>
            <w:tabs>
              <w:tab w:val="right" w:leader="dot" w:pos="9350"/>
            </w:tabs>
            <w:rPr>
              <w:rFonts w:eastAsiaTheme="minorEastAsia"/>
              <w:noProof/>
              <w:sz w:val="22"/>
              <w:szCs w:val="22"/>
              <w:lang w:val="en-AU" w:eastAsia="en-AU"/>
            </w:rPr>
          </w:pPr>
          <w:hyperlink w:anchor="_Toc41941372" w:history="1">
            <w:r w:rsidR="00B44672" w:rsidRPr="002C48CA">
              <w:rPr>
                <w:rStyle w:val="Hyperlink"/>
                <w:noProof/>
              </w:rPr>
              <w:t>5.2. Deposit requirement</w:t>
            </w:r>
            <w:r w:rsidR="00B44672">
              <w:rPr>
                <w:noProof/>
                <w:webHidden/>
              </w:rPr>
              <w:tab/>
            </w:r>
            <w:r w:rsidR="00B44672">
              <w:rPr>
                <w:noProof/>
                <w:webHidden/>
              </w:rPr>
              <w:fldChar w:fldCharType="begin"/>
            </w:r>
            <w:r w:rsidR="00B44672">
              <w:rPr>
                <w:noProof/>
                <w:webHidden/>
              </w:rPr>
              <w:instrText xml:space="preserve"> PAGEREF _Toc41941372 \h </w:instrText>
            </w:r>
            <w:r w:rsidR="00B44672">
              <w:rPr>
                <w:noProof/>
                <w:webHidden/>
              </w:rPr>
            </w:r>
            <w:r w:rsidR="00B44672">
              <w:rPr>
                <w:noProof/>
                <w:webHidden/>
              </w:rPr>
              <w:fldChar w:fldCharType="separate"/>
            </w:r>
            <w:r w:rsidR="00A763B6">
              <w:rPr>
                <w:noProof/>
                <w:webHidden/>
              </w:rPr>
              <w:t>56</w:t>
            </w:r>
            <w:r w:rsidR="00B44672">
              <w:rPr>
                <w:noProof/>
                <w:webHidden/>
              </w:rPr>
              <w:fldChar w:fldCharType="end"/>
            </w:r>
          </w:hyperlink>
        </w:p>
        <w:p w14:paraId="7A3EB066" w14:textId="3C549347" w:rsidR="00B44672" w:rsidRDefault="00A6304C">
          <w:pPr>
            <w:pStyle w:val="TOC3"/>
            <w:tabs>
              <w:tab w:val="right" w:leader="dot" w:pos="9350"/>
            </w:tabs>
            <w:rPr>
              <w:rFonts w:eastAsiaTheme="minorEastAsia"/>
              <w:noProof/>
              <w:sz w:val="22"/>
              <w:szCs w:val="22"/>
              <w:lang w:val="en-AU" w:eastAsia="en-AU"/>
            </w:rPr>
          </w:pPr>
          <w:hyperlink w:anchor="_Toc41941373" w:history="1">
            <w:r w:rsidR="00B44672" w:rsidRPr="002C48CA">
              <w:rPr>
                <w:rStyle w:val="Hyperlink"/>
                <w:noProof/>
              </w:rPr>
              <w:t>5.3. Income requirement</w:t>
            </w:r>
            <w:r w:rsidR="00B44672">
              <w:rPr>
                <w:noProof/>
                <w:webHidden/>
              </w:rPr>
              <w:tab/>
            </w:r>
            <w:r w:rsidR="00B44672">
              <w:rPr>
                <w:noProof/>
                <w:webHidden/>
              </w:rPr>
              <w:fldChar w:fldCharType="begin"/>
            </w:r>
            <w:r w:rsidR="00B44672">
              <w:rPr>
                <w:noProof/>
                <w:webHidden/>
              </w:rPr>
              <w:instrText xml:space="preserve"> PAGEREF _Toc41941373 \h </w:instrText>
            </w:r>
            <w:r w:rsidR="00B44672">
              <w:rPr>
                <w:noProof/>
                <w:webHidden/>
              </w:rPr>
            </w:r>
            <w:r w:rsidR="00B44672">
              <w:rPr>
                <w:noProof/>
                <w:webHidden/>
              </w:rPr>
              <w:fldChar w:fldCharType="separate"/>
            </w:r>
            <w:r w:rsidR="00A763B6">
              <w:rPr>
                <w:noProof/>
                <w:webHidden/>
              </w:rPr>
              <w:t>57</w:t>
            </w:r>
            <w:r w:rsidR="00B44672">
              <w:rPr>
                <w:noProof/>
                <w:webHidden/>
              </w:rPr>
              <w:fldChar w:fldCharType="end"/>
            </w:r>
          </w:hyperlink>
        </w:p>
        <w:p w14:paraId="52024073" w14:textId="6D07170E" w:rsidR="00B44672" w:rsidRDefault="00A6304C">
          <w:pPr>
            <w:pStyle w:val="TOC1"/>
            <w:tabs>
              <w:tab w:val="right" w:leader="dot" w:pos="9350"/>
            </w:tabs>
            <w:rPr>
              <w:rFonts w:eastAsiaTheme="minorEastAsia"/>
              <w:noProof/>
              <w:sz w:val="22"/>
              <w:szCs w:val="22"/>
              <w:lang w:val="en-AU" w:eastAsia="en-AU"/>
            </w:rPr>
          </w:pPr>
          <w:hyperlink w:anchor="_Toc41941374" w:history="1">
            <w:r w:rsidR="00B44672" w:rsidRPr="002C48CA">
              <w:rPr>
                <w:rStyle w:val="Hyperlink"/>
                <w:noProof/>
              </w:rPr>
              <w:t>III. Detailed Results</w:t>
            </w:r>
            <w:r w:rsidR="00B44672">
              <w:rPr>
                <w:noProof/>
                <w:webHidden/>
              </w:rPr>
              <w:tab/>
            </w:r>
            <w:r w:rsidR="00B44672">
              <w:rPr>
                <w:noProof/>
                <w:webHidden/>
              </w:rPr>
              <w:fldChar w:fldCharType="begin"/>
            </w:r>
            <w:r w:rsidR="00B44672">
              <w:rPr>
                <w:noProof/>
                <w:webHidden/>
              </w:rPr>
              <w:instrText xml:space="preserve"> PAGEREF _Toc41941374 \h </w:instrText>
            </w:r>
            <w:r w:rsidR="00B44672">
              <w:rPr>
                <w:noProof/>
                <w:webHidden/>
              </w:rPr>
            </w:r>
            <w:r w:rsidR="00B44672">
              <w:rPr>
                <w:noProof/>
                <w:webHidden/>
              </w:rPr>
              <w:fldChar w:fldCharType="separate"/>
            </w:r>
            <w:r w:rsidR="00A763B6">
              <w:rPr>
                <w:noProof/>
                <w:webHidden/>
              </w:rPr>
              <w:t>58</w:t>
            </w:r>
            <w:r w:rsidR="00B44672">
              <w:rPr>
                <w:noProof/>
                <w:webHidden/>
              </w:rPr>
              <w:fldChar w:fldCharType="end"/>
            </w:r>
          </w:hyperlink>
        </w:p>
        <w:p w14:paraId="3B6F5E4F" w14:textId="27FC4480" w:rsidR="00B44672" w:rsidRDefault="00A6304C">
          <w:pPr>
            <w:pStyle w:val="TOC3"/>
            <w:tabs>
              <w:tab w:val="right" w:leader="dot" w:pos="9350"/>
            </w:tabs>
            <w:rPr>
              <w:rFonts w:eastAsiaTheme="minorEastAsia"/>
              <w:noProof/>
              <w:sz w:val="22"/>
              <w:szCs w:val="22"/>
              <w:lang w:val="en-AU" w:eastAsia="en-AU"/>
            </w:rPr>
          </w:pPr>
          <w:hyperlink w:anchor="_Toc41941375" w:history="1">
            <w:r w:rsidR="00B44672" w:rsidRPr="002C48CA">
              <w:rPr>
                <w:rStyle w:val="Hyperlink"/>
                <w:noProof/>
              </w:rPr>
              <w:t>1. Total results</w:t>
            </w:r>
            <w:r w:rsidR="00B44672">
              <w:rPr>
                <w:noProof/>
                <w:webHidden/>
              </w:rPr>
              <w:tab/>
            </w:r>
            <w:r w:rsidR="00B44672">
              <w:rPr>
                <w:noProof/>
                <w:webHidden/>
              </w:rPr>
              <w:fldChar w:fldCharType="begin"/>
            </w:r>
            <w:r w:rsidR="00B44672">
              <w:rPr>
                <w:noProof/>
                <w:webHidden/>
              </w:rPr>
              <w:instrText xml:space="preserve"> PAGEREF _Toc41941375 \h </w:instrText>
            </w:r>
            <w:r w:rsidR="00B44672">
              <w:rPr>
                <w:noProof/>
                <w:webHidden/>
              </w:rPr>
            </w:r>
            <w:r w:rsidR="00B44672">
              <w:rPr>
                <w:noProof/>
                <w:webHidden/>
              </w:rPr>
              <w:fldChar w:fldCharType="separate"/>
            </w:r>
            <w:r w:rsidR="00A763B6">
              <w:rPr>
                <w:noProof/>
                <w:webHidden/>
              </w:rPr>
              <w:t>60</w:t>
            </w:r>
            <w:r w:rsidR="00B44672">
              <w:rPr>
                <w:noProof/>
                <w:webHidden/>
              </w:rPr>
              <w:fldChar w:fldCharType="end"/>
            </w:r>
          </w:hyperlink>
        </w:p>
        <w:p w14:paraId="3A81D112" w14:textId="13C26358" w:rsidR="00B44672" w:rsidRDefault="00A6304C">
          <w:pPr>
            <w:pStyle w:val="TOC3"/>
            <w:tabs>
              <w:tab w:val="right" w:leader="dot" w:pos="9350"/>
            </w:tabs>
            <w:rPr>
              <w:rFonts w:eastAsiaTheme="minorEastAsia"/>
              <w:noProof/>
              <w:sz w:val="22"/>
              <w:szCs w:val="22"/>
              <w:lang w:val="en-AU" w:eastAsia="en-AU"/>
            </w:rPr>
          </w:pPr>
          <w:hyperlink w:anchor="_Toc41941376" w:history="1">
            <w:r w:rsidR="00B44672" w:rsidRPr="002C48CA">
              <w:rPr>
                <w:rStyle w:val="Hyperlink"/>
                <w:noProof/>
              </w:rPr>
              <w:t>2. Results by sub-groups</w:t>
            </w:r>
            <w:r w:rsidR="00B44672">
              <w:rPr>
                <w:noProof/>
                <w:webHidden/>
              </w:rPr>
              <w:tab/>
            </w:r>
            <w:r w:rsidR="00B44672">
              <w:rPr>
                <w:noProof/>
                <w:webHidden/>
              </w:rPr>
              <w:fldChar w:fldCharType="begin"/>
            </w:r>
            <w:r w:rsidR="00B44672">
              <w:rPr>
                <w:noProof/>
                <w:webHidden/>
              </w:rPr>
              <w:instrText xml:space="preserve"> PAGEREF _Toc41941376 \h </w:instrText>
            </w:r>
            <w:r w:rsidR="00B44672">
              <w:rPr>
                <w:noProof/>
                <w:webHidden/>
              </w:rPr>
            </w:r>
            <w:r w:rsidR="00B44672">
              <w:rPr>
                <w:noProof/>
                <w:webHidden/>
              </w:rPr>
              <w:fldChar w:fldCharType="separate"/>
            </w:r>
            <w:r w:rsidR="00A763B6">
              <w:rPr>
                <w:noProof/>
                <w:webHidden/>
              </w:rPr>
              <w:t>61</w:t>
            </w:r>
            <w:r w:rsidR="00B44672">
              <w:rPr>
                <w:noProof/>
                <w:webHidden/>
              </w:rPr>
              <w:fldChar w:fldCharType="end"/>
            </w:r>
          </w:hyperlink>
        </w:p>
        <w:p w14:paraId="213E673F" w14:textId="30A5E54D" w:rsidR="00B44672" w:rsidRDefault="00A6304C">
          <w:pPr>
            <w:pStyle w:val="TOC3"/>
            <w:tabs>
              <w:tab w:val="right" w:leader="dot" w:pos="9350"/>
            </w:tabs>
            <w:rPr>
              <w:rFonts w:eastAsiaTheme="minorEastAsia"/>
              <w:noProof/>
              <w:sz w:val="22"/>
              <w:szCs w:val="22"/>
              <w:lang w:val="en-AU" w:eastAsia="en-AU"/>
            </w:rPr>
          </w:pPr>
          <w:hyperlink w:anchor="_Toc41941377" w:history="1">
            <w:r w:rsidR="00B44672" w:rsidRPr="002C48CA">
              <w:rPr>
                <w:rStyle w:val="Hyperlink"/>
                <w:noProof/>
              </w:rPr>
              <w:t>3. Results by income quintiles</w:t>
            </w:r>
            <w:r w:rsidR="00B44672">
              <w:rPr>
                <w:noProof/>
                <w:webHidden/>
              </w:rPr>
              <w:tab/>
            </w:r>
            <w:r w:rsidR="00B44672">
              <w:rPr>
                <w:noProof/>
                <w:webHidden/>
              </w:rPr>
              <w:fldChar w:fldCharType="begin"/>
            </w:r>
            <w:r w:rsidR="00B44672">
              <w:rPr>
                <w:noProof/>
                <w:webHidden/>
              </w:rPr>
              <w:instrText xml:space="preserve"> PAGEREF _Toc41941377 \h </w:instrText>
            </w:r>
            <w:r w:rsidR="00B44672">
              <w:rPr>
                <w:noProof/>
                <w:webHidden/>
              </w:rPr>
            </w:r>
            <w:r w:rsidR="00B44672">
              <w:rPr>
                <w:noProof/>
                <w:webHidden/>
              </w:rPr>
              <w:fldChar w:fldCharType="separate"/>
            </w:r>
            <w:r w:rsidR="00A763B6">
              <w:rPr>
                <w:noProof/>
                <w:webHidden/>
              </w:rPr>
              <w:t>68</w:t>
            </w:r>
            <w:r w:rsidR="00B44672">
              <w:rPr>
                <w:noProof/>
                <w:webHidden/>
              </w:rPr>
              <w:fldChar w:fldCharType="end"/>
            </w:r>
          </w:hyperlink>
        </w:p>
        <w:p w14:paraId="720BAF34" w14:textId="16797EDA" w:rsidR="00B44672" w:rsidRDefault="00A6304C">
          <w:pPr>
            <w:pStyle w:val="TOC3"/>
            <w:tabs>
              <w:tab w:val="right" w:leader="dot" w:pos="9350"/>
            </w:tabs>
            <w:rPr>
              <w:rFonts w:eastAsiaTheme="minorEastAsia"/>
              <w:noProof/>
              <w:sz w:val="22"/>
              <w:szCs w:val="22"/>
              <w:lang w:val="en-AU" w:eastAsia="en-AU"/>
            </w:rPr>
          </w:pPr>
          <w:hyperlink w:anchor="_Toc41941378" w:history="1">
            <w:r w:rsidR="00B44672" w:rsidRPr="002C48CA">
              <w:rPr>
                <w:rStyle w:val="Hyperlink"/>
                <w:noProof/>
              </w:rPr>
              <w:t>4. Results by wealth quintiles</w:t>
            </w:r>
            <w:r w:rsidR="00B44672">
              <w:rPr>
                <w:noProof/>
                <w:webHidden/>
              </w:rPr>
              <w:tab/>
            </w:r>
            <w:r w:rsidR="00B44672">
              <w:rPr>
                <w:noProof/>
                <w:webHidden/>
              </w:rPr>
              <w:fldChar w:fldCharType="begin"/>
            </w:r>
            <w:r w:rsidR="00B44672">
              <w:rPr>
                <w:noProof/>
                <w:webHidden/>
              </w:rPr>
              <w:instrText xml:space="preserve"> PAGEREF _Toc41941378 \h </w:instrText>
            </w:r>
            <w:r w:rsidR="00B44672">
              <w:rPr>
                <w:noProof/>
                <w:webHidden/>
              </w:rPr>
            </w:r>
            <w:r w:rsidR="00B44672">
              <w:rPr>
                <w:noProof/>
                <w:webHidden/>
              </w:rPr>
              <w:fldChar w:fldCharType="separate"/>
            </w:r>
            <w:r w:rsidR="00A763B6">
              <w:rPr>
                <w:noProof/>
                <w:webHidden/>
              </w:rPr>
              <w:t>78</w:t>
            </w:r>
            <w:r w:rsidR="00B44672">
              <w:rPr>
                <w:noProof/>
                <w:webHidden/>
              </w:rPr>
              <w:fldChar w:fldCharType="end"/>
            </w:r>
          </w:hyperlink>
        </w:p>
        <w:p w14:paraId="454D5D7E" w14:textId="1360E53B" w:rsidR="00B44672" w:rsidRDefault="00A6304C">
          <w:pPr>
            <w:pStyle w:val="TOC1"/>
            <w:tabs>
              <w:tab w:val="right" w:leader="dot" w:pos="9350"/>
            </w:tabs>
            <w:rPr>
              <w:rFonts w:eastAsiaTheme="minorEastAsia"/>
              <w:noProof/>
              <w:sz w:val="22"/>
              <w:szCs w:val="22"/>
              <w:lang w:val="en-AU" w:eastAsia="en-AU"/>
            </w:rPr>
          </w:pPr>
          <w:hyperlink w:anchor="_Toc41941379" w:history="1">
            <w:r w:rsidR="00B44672" w:rsidRPr="002C48CA">
              <w:rPr>
                <w:rStyle w:val="Hyperlink"/>
                <w:noProof/>
              </w:rPr>
              <w:t>Appendix</w:t>
            </w:r>
            <w:r w:rsidR="00B44672">
              <w:rPr>
                <w:noProof/>
                <w:webHidden/>
              </w:rPr>
              <w:tab/>
            </w:r>
            <w:r w:rsidR="00B44672">
              <w:rPr>
                <w:noProof/>
                <w:webHidden/>
              </w:rPr>
              <w:fldChar w:fldCharType="begin"/>
            </w:r>
            <w:r w:rsidR="00B44672">
              <w:rPr>
                <w:noProof/>
                <w:webHidden/>
              </w:rPr>
              <w:instrText xml:space="preserve"> PAGEREF _Toc41941379 \h </w:instrText>
            </w:r>
            <w:r w:rsidR="00B44672">
              <w:rPr>
                <w:noProof/>
                <w:webHidden/>
              </w:rPr>
            </w:r>
            <w:r w:rsidR="00B44672">
              <w:rPr>
                <w:noProof/>
                <w:webHidden/>
              </w:rPr>
              <w:fldChar w:fldCharType="separate"/>
            </w:r>
            <w:r w:rsidR="00A763B6">
              <w:rPr>
                <w:noProof/>
                <w:webHidden/>
              </w:rPr>
              <w:t>88</w:t>
            </w:r>
            <w:r w:rsidR="00B44672">
              <w:rPr>
                <w:noProof/>
                <w:webHidden/>
              </w:rPr>
              <w:fldChar w:fldCharType="end"/>
            </w:r>
          </w:hyperlink>
        </w:p>
        <w:p w14:paraId="44089180" w14:textId="77777777" w:rsidR="00B44672" w:rsidRDefault="00B44672">
          <w:r>
            <w:rPr>
              <w:b/>
              <w:bCs/>
              <w:noProof/>
            </w:rPr>
            <w:fldChar w:fldCharType="end"/>
          </w:r>
        </w:p>
      </w:sdtContent>
    </w:sdt>
    <w:p w14:paraId="17C2B677" w14:textId="77777777" w:rsidR="00B44672" w:rsidRDefault="00B44672">
      <w:pPr>
        <w:pStyle w:val="Heading1"/>
      </w:pPr>
      <w:bookmarkStart w:id="54" w:name="_Toc39241784"/>
      <w:bookmarkStart w:id="55" w:name="_Toc41941358"/>
      <w:r>
        <w:t>I. Introduction</w:t>
      </w:r>
      <w:bookmarkEnd w:id="54"/>
      <w:bookmarkEnd w:id="55"/>
      <w:bookmarkEnd w:id="53"/>
    </w:p>
    <w:p w14:paraId="23DEBA57" w14:textId="77777777" w:rsidR="00B44672" w:rsidRDefault="00B44672">
      <w:pPr>
        <w:pStyle w:val="FirstParagraph"/>
      </w:pPr>
      <w:r>
        <w:t>In 2012, the ACT Government began a 20-year program to broaden the tax base by replacing stamp duty with a general rates system. To support the ACT government in its process of reviewing this program, this technical paper is a companion to our main report to answer two main research questions:</w:t>
      </w:r>
    </w:p>
    <w:p w14:paraId="329F5D8B" w14:textId="77777777" w:rsidR="00B44672" w:rsidRDefault="00B44672" w:rsidP="00B44672">
      <w:pPr>
        <w:numPr>
          <w:ilvl w:val="0"/>
          <w:numId w:val="1"/>
        </w:numPr>
        <w:tabs>
          <w:tab w:val="num" w:pos="0"/>
        </w:tabs>
        <w:ind w:left="480" w:hanging="480"/>
      </w:pPr>
      <w:r>
        <w:t>What has been the impact of tax reform on different household types and cohorts?</w:t>
      </w:r>
    </w:p>
    <w:p w14:paraId="26D47158" w14:textId="77777777" w:rsidR="00B44672" w:rsidRDefault="00B44672" w:rsidP="00B44672">
      <w:pPr>
        <w:numPr>
          <w:ilvl w:val="0"/>
          <w:numId w:val="1"/>
        </w:numPr>
        <w:tabs>
          <w:tab w:val="num" w:pos="0"/>
        </w:tabs>
        <w:ind w:left="480" w:hanging="480"/>
      </w:pPr>
      <w:r>
        <w:t xml:space="preserve">What has been the impact of tax reform on the progressivity and equity of the ACT tax system? How has tax reform affected the alignment of residential property taxation with </w:t>
      </w:r>
      <w:r>
        <w:lastRenderedPageBreak/>
        <w:t xml:space="preserve">ability to pay? Is there any evidence that higher annual general rates (in place of higher stamp duty) have impacted welfare or </w:t>
      </w:r>
      <w:proofErr w:type="spellStart"/>
      <w:r>
        <w:t>behaviour</w:t>
      </w:r>
      <w:proofErr w:type="spellEnd"/>
      <w:r>
        <w:t>?</w:t>
      </w:r>
    </w:p>
    <w:p w14:paraId="3F0CFA43" w14:textId="77777777" w:rsidR="00B44672" w:rsidRDefault="00B44672">
      <w:pPr>
        <w:pStyle w:val="FirstParagraph"/>
      </w:pPr>
      <w:r>
        <w:t>To answer these questions, we have adopted a microsimulation model to create the new tax policy scenario, where the current and complex ACT rules are applied, to compare with the old tax policy scenario where the regulations without the tax reform are employed. We use the 2009-10 and 2011-12 Surveys of Income and Housing (SIHs) to generate the synthetic population for the ACT before the reform. We then use data from the ACT government, the Australian Bureau of Statistics (ABS), and other sources to derive the projections of what the ACT would have looked like if reform had not happened.</w:t>
      </w:r>
    </w:p>
    <w:p w14:paraId="6FE9A624" w14:textId="77777777" w:rsidR="00B44672" w:rsidRDefault="00B44672">
      <w:pPr>
        <w:pStyle w:val="BodyText"/>
      </w:pPr>
      <w:r>
        <w:t>As a companion to our main report, this technical paper provides full information on the method; shows all the parameters and assumptions used in the model; and provides tables of distributional results at a greater level of detail compared to our main report, but no interpretation of these results. A discussion on main results can be found in the final report.</w:t>
      </w:r>
    </w:p>
    <w:p w14:paraId="7197B00E" w14:textId="77777777" w:rsidR="00B44672" w:rsidRDefault="00B44672">
      <w:pPr>
        <w:pStyle w:val="Heading1"/>
      </w:pPr>
      <w:bookmarkStart w:id="56" w:name="ii.-methodology"/>
      <w:bookmarkStart w:id="57" w:name="_Toc39241785"/>
      <w:bookmarkStart w:id="58" w:name="_Toc41941359"/>
      <w:r>
        <w:t>II. Methodology</w:t>
      </w:r>
      <w:bookmarkEnd w:id="56"/>
      <w:bookmarkEnd w:id="57"/>
      <w:bookmarkEnd w:id="58"/>
    </w:p>
    <w:p w14:paraId="634A0863" w14:textId="77777777" w:rsidR="00B44672" w:rsidRDefault="00B44672">
      <w:pPr>
        <w:pStyle w:val="Heading2"/>
      </w:pPr>
      <w:bookmarkStart w:id="59" w:name="definition"/>
      <w:bookmarkStart w:id="60" w:name="_Toc39241786"/>
      <w:bookmarkStart w:id="61" w:name="_Toc41941360"/>
      <w:r>
        <w:t>1. Definition</w:t>
      </w:r>
      <w:bookmarkEnd w:id="59"/>
      <w:bookmarkEnd w:id="60"/>
      <w:bookmarkEnd w:id="61"/>
      <w:r>
        <w:t>s</w:t>
      </w:r>
    </w:p>
    <w:p w14:paraId="2A30AF2F" w14:textId="77777777" w:rsidR="00B44672" w:rsidRDefault="00B44672">
      <w:pPr>
        <w:pStyle w:val="FirstParagraph"/>
      </w:pPr>
      <w:r>
        <w:t xml:space="preserve">Our analysis uses data at the </w:t>
      </w:r>
      <w:r>
        <w:rPr>
          <w:i/>
        </w:rPr>
        <w:t>income unit</w:t>
      </w:r>
      <w:r>
        <w:t xml:space="preserve"> level. According to the ABS, the standard classification of ‘Income unit composition’ includes (</w:t>
      </w:r>
      <w:proofErr w:type="spellStart"/>
      <w:r>
        <w:t>i</w:t>
      </w:r>
      <w:proofErr w:type="spellEnd"/>
      <w:r>
        <w:t>) Couple only; (ii) Couple with dependent children; (iii) One parent with dependent children; (iv) One person, which can include independent children of any age. One or more income units that have a blood relationship (such as parents with independent children or relatives) can form a family. One or more families who live together in a dwelling is called a household.</w:t>
      </w:r>
    </w:p>
    <w:p w14:paraId="28BD6329" w14:textId="77777777" w:rsidR="00B44672" w:rsidRDefault="00B44672">
      <w:pPr>
        <w:pStyle w:val="BodyText"/>
      </w:pPr>
      <w:r>
        <w:t xml:space="preserve">In our analysis, </w:t>
      </w:r>
      <w:r>
        <w:rPr>
          <w:i/>
        </w:rPr>
        <w:t>homeowners</w:t>
      </w:r>
      <w:r>
        <w:t xml:space="preserve"> are defined as income units who own at least one residential property. </w:t>
      </w:r>
      <w:r>
        <w:rPr>
          <w:i/>
        </w:rPr>
        <w:t>Renters</w:t>
      </w:r>
      <w:r>
        <w:t xml:space="preserve"> are defined as income units who do not own property but rent or share a dwelling with homeowners or other renters.</w:t>
      </w:r>
      <w:r>
        <w:rPr>
          <w:rStyle w:val="FootnoteReference"/>
        </w:rPr>
        <w:footnoteReference w:id="17"/>
      </w:r>
      <w:r>
        <w:t xml:space="preserve"> From our definition, independent children, who are identified as non-homeowner and living in their parents’ home, are considered as renters, even though they may not pay any rent. We use such a definition because any of them can become potential home buyers in our model.</w:t>
      </w:r>
    </w:p>
    <w:p w14:paraId="0491E182" w14:textId="77777777" w:rsidR="00B44672" w:rsidRDefault="00B44672">
      <w:pPr>
        <w:pStyle w:val="BodyText"/>
      </w:pPr>
      <w:r>
        <w:rPr>
          <w:i/>
        </w:rPr>
        <w:t>Potential home buyers</w:t>
      </w:r>
      <w:r>
        <w:t xml:space="preserve"> are defined as a group that includes:</w:t>
      </w:r>
    </w:p>
    <w:p w14:paraId="6B84E1E2" w14:textId="77777777" w:rsidR="00B44672" w:rsidRDefault="00B44672" w:rsidP="00B44672">
      <w:pPr>
        <w:pStyle w:val="BodyText"/>
        <w:numPr>
          <w:ilvl w:val="0"/>
          <w:numId w:val="22"/>
        </w:numPr>
      </w:pPr>
      <w:r>
        <w:t>renters; and</w:t>
      </w:r>
    </w:p>
    <w:p w14:paraId="63DA9B01" w14:textId="77777777" w:rsidR="00B44672" w:rsidRDefault="00B44672" w:rsidP="00B44672">
      <w:pPr>
        <w:pStyle w:val="BodyText"/>
        <w:numPr>
          <w:ilvl w:val="0"/>
          <w:numId w:val="22"/>
        </w:numPr>
      </w:pPr>
      <w:r>
        <w:t xml:space="preserve">homeowners who may want to buy investment properties or change their residential home. </w:t>
      </w:r>
    </w:p>
    <w:p w14:paraId="54795199" w14:textId="77777777" w:rsidR="00B44672" w:rsidRDefault="00B44672" w:rsidP="00CE44C2">
      <w:pPr>
        <w:pStyle w:val="BodyText"/>
      </w:pPr>
      <w:r>
        <w:rPr>
          <w:i/>
        </w:rPr>
        <w:t>Home buyers</w:t>
      </w:r>
      <w:r>
        <w:t xml:space="preserve"> will be a subset of this group, being those who can afford to buy a property without a </w:t>
      </w:r>
      <w:proofErr w:type="gramStart"/>
      <w:r>
        <w:t>loan, or</w:t>
      </w:r>
      <w:proofErr w:type="gramEnd"/>
      <w:r>
        <w:t xml:space="preserve"> meet the borrowing constraints (income and assets) to get a loan.</w:t>
      </w:r>
    </w:p>
    <w:p w14:paraId="4D3C4B6C" w14:textId="77777777" w:rsidR="00B44672" w:rsidRDefault="00B44672">
      <w:pPr>
        <w:pStyle w:val="BodyText"/>
      </w:pPr>
      <w:r>
        <w:t xml:space="preserve">We separate income units into quintiles or low- and middle-income groups based on the </w:t>
      </w:r>
      <w:proofErr w:type="spellStart"/>
      <w:r>
        <w:t>equivalised</w:t>
      </w:r>
      <w:proofErr w:type="spellEnd"/>
      <w:r>
        <w:t xml:space="preserve"> disposable income per capita. This variable is calculated based on the OECD-modified equivalence scale which assigns a value of one to the first adult in the income unit, 0.5 to the second and each subsequent person aged 15 and over, and 0.3 to each child aged </w:t>
      </w:r>
      <w:r>
        <w:lastRenderedPageBreak/>
        <w:t xml:space="preserve">14 or below. With this variable, </w:t>
      </w:r>
      <w:r>
        <w:rPr>
          <w:i/>
        </w:rPr>
        <w:t>low-income homeowners</w:t>
      </w:r>
      <w:r>
        <w:t xml:space="preserve"> and </w:t>
      </w:r>
      <w:r>
        <w:rPr>
          <w:i/>
        </w:rPr>
        <w:t>low-income renters</w:t>
      </w:r>
      <w:r>
        <w:t xml:space="preserve"> are defined as income units in the lowest 40% income group in the ACT. </w:t>
      </w:r>
      <w:r>
        <w:rPr>
          <w:i/>
        </w:rPr>
        <w:t>Middle-income homeowners</w:t>
      </w:r>
      <w:r>
        <w:t xml:space="preserve"> and </w:t>
      </w:r>
      <w:r>
        <w:rPr>
          <w:i/>
        </w:rPr>
        <w:t>middle-income renters</w:t>
      </w:r>
      <w:r>
        <w:t xml:space="preserve"> are units with incomes in the middle 41-60% income group in the ACT.</w:t>
      </w:r>
    </w:p>
    <w:p w14:paraId="1D265D35" w14:textId="77777777" w:rsidR="00B44672" w:rsidRDefault="00B44672">
      <w:pPr>
        <w:pStyle w:val="BodyText"/>
      </w:pPr>
      <w:r>
        <w:t xml:space="preserve">We also classify income units by </w:t>
      </w:r>
      <w:r>
        <w:rPr>
          <w:i/>
        </w:rPr>
        <w:t>net wealth level</w:t>
      </w:r>
      <w:r>
        <w:t xml:space="preserve">. According to the ABS definition, the net wealth includes financial assets (savings, offset, superannuation accounts, value of shares and trusts, business value, loans to other people), non-financial assets (property values, value of vehicles) and net of liabilities (mortgage, investment, personal and study loans, loan from other people, credit card debt). While financial asset variables are available to be aggregated at the income unit level, the information on financial assets and liabilities are only available at the household level. For households that have more than one income unit, except for property values and mortgage loans assigned to homeowners, other variables are allocated to each income unit, weighted by the ratio of the number of adults in the income unit to the number of adults in the household. </w:t>
      </w:r>
      <w:proofErr w:type="gramStart"/>
      <w:r>
        <w:t>Similar to</w:t>
      </w:r>
      <w:proofErr w:type="gramEnd"/>
      <w:r>
        <w:t xml:space="preserve"> income groups, we then separate income units into quintiles based on the </w:t>
      </w:r>
      <w:proofErr w:type="spellStart"/>
      <w:r>
        <w:t>equivalised</w:t>
      </w:r>
      <w:proofErr w:type="spellEnd"/>
      <w:r>
        <w:t xml:space="preserve"> net wealth per capita using the OECD-modified scale.</w:t>
      </w:r>
    </w:p>
    <w:p w14:paraId="63D26E1A" w14:textId="77777777" w:rsidR="00B44672" w:rsidRDefault="00B44672">
      <w:pPr>
        <w:pStyle w:val="BodyText"/>
      </w:pPr>
      <w:r>
        <w:rPr>
          <w:i/>
        </w:rPr>
        <w:t>Pensioners and fixed-income retirees</w:t>
      </w:r>
      <w:r>
        <w:t xml:space="preserve"> are defined as income units who have at least one person aged from 65 years old or receiving age pension. </w:t>
      </w:r>
      <w:r>
        <w:rPr>
          <w:i/>
        </w:rPr>
        <w:t>Female-headed income units</w:t>
      </w:r>
      <w:r>
        <w:t xml:space="preserve"> include those where the reference person (or the oldest person in the income unit) is female.</w:t>
      </w:r>
    </w:p>
    <w:p w14:paraId="1AD6CFF6" w14:textId="77777777" w:rsidR="00B44672" w:rsidRDefault="00B44672">
      <w:pPr>
        <w:pStyle w:val="Heading2"/>
      </w:pPr>
      <w:bookmarkStart w:id="62" w:name="assumptions"/>
      <w:bookmarkStart w:id="63" w:name="_Toc39241787"/>
      <w:bookmarkStart w:id="64" w:name="_Toc41941361"/>
      <w:r>
        <w:t>2. Assumptions</w:t>
      </w:r>
      <w:bookmarkEnd w:id="62"/>
      <w:bookmarkEnd w:id="63"/>
      <w:bookmarkEnd w:id="64"/>
    </w:p>
    <w:p w14:paraId="3DF4D527" w14:textId="77777777" w:rsidR="00B44672" w:rsidRDefault="00B44672">
      <w:pPr>
        <w:pStyle w:val="FirstParagraph"/>
      </w:pPr>
      <w:r>
        <w:t>Our model is implemented based on the following assumptions:</w:t>
      </w:r>
    </w:p>
    <w:p w14:paraId="74A20943" w14:textId="77777777" w:rsidR="00B44672" w:rsidRDefault="00B44672" w:rsidP="00B44672">
      <w:pPr>
        <w:numPr>
          <w:ilvl w:val="0"/>
          <w:numId w:val="1"/>
        </w:numPr>
        <w:tabs>
          <w:tab w:val="num" w:pos="0"/>
        </w:tabs>
        <w:ind w:left="480" w:hanging="480"/>
      </w:pPr>
      <w:r>
        <w:t xml:space="preserve">Renters will decide to buy an appropriate dwelling for their families instead of renting if all borrowing constraints are met based on their savings and income. We assume that all renters purchasing are first home buyers. Although this assumption increases the probability of receiving the First Home Owner Grant (FHOG) among renters and the chance of benefiting from the concession, it is rebalanced by our random assignment of newly constructed homes to home buyers and by the fact that it tends to be harder for renters, who rely solely on their savings, to meet the deposit requirement. As a result, only some renters will be purchasing new properties and will be eligible for FHOG and reduced stamp duty. Testing this assumption, we found that about 39% of buyers in our model are first home buyers. This proportion is </w:t>
      </w:r>
      <w:proofErr w:type="gramStart"/>
      <w:r>
        <w:t>similar to</w:t>
      </w:r>
      <w:proofErr w:type="gramEnd"/>
      <w:r>
        <w:t xml:space="preserve"> the proportion of first home buyers amongst recent buyers found in the SIH.</w:t>
      </w:r>
    </w:p>
    <w:p w14:paraId="074A5637" w14:textId="77777777" w:rsidR="00B44672" w:rsidRDefault="00B44672" w:rsidP="00B44672">
      <w:pPr>
        <w:numPr>
          <w:ilvl w:val="0"/>
          <w:numId w:val="1"/>
        </w:numPr>
        <w:tabs>
          <w:tab w:val="num" w:pos="0"/>
        </w:tabs>
        <w:ind w:left="480" w:hanging="480"/>
      </w:pPr>
      <w:r>
        <w:t>Homeowners, who may decide to purchase an investment property or change their residential home (downsizing or upsizing), can also become home buyers if they want and can afford to buy a property without a loan or meet the borrowing requirements. We randomly assign a probability on the decision of purchasing a property to all eligible homeowners based on the borrowing constraints until the ACT Government’s list of sales in each year is reached, and the proportion of homebuyers who are investors across the territory is met.</w:t>
      </w:r>
    </w:p>
    <w:p w14:paraId="49DA2DA8" w14:textId="77777777" w:rsidR="00B44672" w:rsidRDefault="00B44672" w:rsidP="00B44672">
      <w:pPr>
        <w:numPr>
          <w:ilvl w:val="0"/>
          <w:numId w:val="1"/>
        </w:numPr>
        <w:tabs>
          <w:tab w:val="num" w:pos="0"/>
        </w:tabs>
        <w:ind w:left="480" w:hanging="480"/>
      </w:pPr>
      <w:r>
        <w:t>Not all home buyers (i.e. those mentioned in the first two assumptions) purchase a new property. The chances of buying a new property are randomly assigned to the group of potential home buyers based on their age and the probability of recent home buyers buying a new home in SIH.</w:t>
      </w:r>
    </w:p>
    <w:p w14:paraId="52167047" w14:textId="77777777" w:rsidR="00B44672" w:rsidRDefault="00B44672" w:rsidP="00B44672">
      <w:pPr>
        <w:numPr>
          <w:ilvl w:val="0"/>
          <w:numId w:val="1"/>
        </w:numPr>
        <w:tabs>
          <w:tab w:val="num" w:pos="0"/>
        </w:tabs>
        <w:ind w:left="480" w:hanging="480"/>
      </w:pPr>
      <w:r>
        <w:lastRenderedPageBreak/>
        <w:t xml:space="preserve">Home buyers who meet the borrowing constraints may benefit from first </w:t>
      </w:r>
      <w:proofErr w:type="gramStart"/>
      <w:r>
        <w:t>home owner</w:t>
      </w:r>
      <w:proofErr w:type="gramEnd"/>
      <w:r>
        <w:t xml:space="preserve"> grant (FHOG), home buyer concession scheme (HBCS) or pensioner duty concession scheme (PDCS)</w:t>
      </w:r>
      <w:r>
        <w:rPr>
          <w:rStyle w:val="FootnoteReference"/>
        </w:rPr>
        <w:footnoteReference w:id="18"/>
      </w:r>
      <w:r>
        <w:t xml:space="preserve"> if they meet eligibility requirements (e.g. property value, income, </w:t>
      </w:r>
      <w:proofErr w:type="spellStart"/>
      <w:r>
        <w:t>etc</w:t>
      </w:r>
      <w:proofErr w:type="spellEnd"/>
      <w:r>
        <w:t xml:space="preserve">). They can also receive rate rebates if they are eligible. We have not </w:t>
      </w:r>
      <w:proofErr w:type="gramStart"/>
      <w:r>
        <w:t>taken into account</w:t>
      </w:r>
      <w:proofErr w:type="gramEnd"/>
      <w:r>
        <w:t xml:space="preserve"> the pensioner duty deferral scheme in our model due to the fact that it was introduced on 1 July 2019, so wasn’t operating under the old policy.</w:t>
      </w:r>
    </w:p>
    <w:p w14:paraId="41DE435D" w14:textId="77777777" w:rsidR="00B44672" w:rsidRDefault="00B44672" w:rsidP="00B44672">
      <w:pPr>
        <w:numPr>
          <w:ilvl w:val="0"/>
          <w:numId w:val="1"/>
        </w:numPr>
        <w:tabs>
          <w:tab w:val="num" w:pos="0"/>
        </w:tabs>
        <w:ind w:left="480" w:hanging="480"/>
      </w:pPr>
      <w:r>
        <w:t>There are no differences in the current and new tax policies regarding:</w:t>
      </w:r>
    </w:p>
    <w:p w14:paraId="06CB0C06" w14:textId="77777777" w:rsidR="00B44672" w:rsidRDefault="00B44672" w:rsidP="00B44672">
      <w:pPr>
        <w:numPr>
          <w:ilvl w:val="1"/>
          <w:numId w:val="1"/>
        </w:numPr>
      </w:pPr>
      <w:r>
        <w:t>Consumer price index (CPI), wage price index (WPI), and average weekly earnings (AWE) index</w:t>
      </w:r>
    </w:p>
    <w:p w14:paraId="3698EF5D" w14:textId="77777777" w:rsidR="00B44672" w:rsidRDefault="00B44672" w:rsidP="00B44672">
      <w:pPr>
        <w:numPr>
          <w:ilvl w:val="1"/>
          <w:numId w:val="1"/>
        </w:numPr>
      </w:pPr>
      <w:r>
        <w:t>Lender mortgage insurance (LMI) premium, annual home loan package fee and interest rate</w:t>
      </w:r>
    </w:p>
    <w:p w14:paraId="24238A92" w14:textId="77777777" w:rsidR="00B44672" w:rsidRDefault="00B44672" w:rsidP="00B44672">
      <w:pPr>
        <w:numPr>
          <w:ilvl w:val="0"/>
          <w:numId w:val="1"/>
        </w:numPr>
        <w:tabs>
          <w:tab w:val="num" w:pos="0"/>
        </w:tabs>
        <w:ind w:left="480" w:hanging="480"/>
      </w:pPr>
      <w:r>
        <w:t xml:space="preserve">Under the new tax policy, the base property price increase was the ABS </w:t>
      </w:r>
      <w:proofErr w:type="spellStart"/>
      <w:r>
        <w:t>Residental</w:t>
      </w:r>
      <w:proofErr w:type="spellEnd"/>
      <w:r>
        <w:t xml:space="preserve"> Property Price Index (RPPI). To model what would have happened under the old tax policy, we consider three scenarios for the effect of the reform on property prices: </w:t>
      </w:r>
    </w:p>
    <w:p w14:paraId="0287B6F8" w14:textId="77777777" w:rsidR="00B44672" w:rsidRDefault="00B44672" w:rsidP="00B44672">
      <w:pPr>
        <w:pStyle w:val="ListParagraph"/>
        <w:numPr>
          <w:ilvl w:val="1"/>
          <w:numId w:val="1"/>
        </w:numPr>
        <w:spacing w:after="160" w:line="259" w:lineRule="auto"/>
      </w:pPr>
      <w:r>
        <w:t>(</w:t>
      </w:r>
      <w:proofErr w:type="spellStart"/>
      <w:r>
        <w:t>i</w:t>
      </w:r>
      <w:proofErr w:type="spellEnd"/>
      <w:r>
        <w:t xml:space="preserve">) </w:t>
      </w:r>
      <w:r w:rsidRPr="0082766D">
        <w:t>assumes tax reform has had no significant impact on property prices, and therefore, property prices are inflated by RPPI every year in the old policy scenario;</w:t>
      </w:r>
    </w:p>
    <w:p w14:paraId="2B82F6DA" w14:textId="77777777" w:rsidR="00B44672" w:rsidRDefault="00B44672" w:rsidP="00B44672">
      <w:pPr>
        <w:pStyle w:val="ListParagraph"/>
        <w:numPr>
          <w:ilvl w:val="1"/>
          <w:numId w:val="1"/>
        </w:numPr>
        <w:spacing w:after="160" w:line="259" w:lineRule="auto"/>
      </w:pPr>
      <w:r>
        <w:t xml:space="preserve">(ii) </w:t>
      </w:r>
      <w:r w:rsidRPr="00234837">
        <w:t xml:space="preserve">assume that the reduction in stamp duty has been fully absorbed by higher </w:t>
      </w:r>
      <w:r w:rsidRPr="005C1154">
        <w:t>property</w:t>
      </w:r>
      <w:r w:rsidRPr="000B4925">
        <w:t xml:space="preserve"> prices in the new policy scenario</w:t>
      </w:r>
      <w:r>
        <w:t>. T</w:t>
      </w:r>
      <w:r w:rsidRPr="000B4925">
        <w:t xml:space="preserve">he average reduction in stamp duty as a ratio of the average </w:t>
      </w:r>
      <w:r w:rsidRPr="00816530">
        <w:t>property</w:t>
      </w:r>
      <w:r w:rsidRPr="000B4925">
        <w:t xml:space="preserve"> price </w:t>
      </w:r>
      <w:r>
        <w:t>is</w:t>
      </w:r>
      <w:r w:rsidRPr="000B4925">
        <w:t xml:space="preserve"> 0</w:t>
      </w:r>
      <w:r w:rsidRPr="00234837">
        <w:t>.35% in 2012</w:t>
      </w:r>
      <w:r>
        <w:t>,</w:t>
      </w:r>
      <w:r w:rsidRPr="00234837">
        <w:t xml:space="preserve"> 0.50% in 2013, 0.61% in 2014, 0.77% in 2015, 0.98% in 2016, 1.15% in 2017, and 1.30% in 2018</w:t>
      </w:r>
      <w:r>
        <w:t xml:space="preserve">. These resulted in </w:t>
      </w:r>
      <w:r w:rsidRPr="005C1154">
        <w:t>property</w:t>
      </w:r>
      <w:r w:rsidRPr="000B4925">
        <w:t xml:space="preserve"> prices </w:t>
      </w:r>
      <w:r>
        <w:t>for the old policy being</w:t>
      </w:r>
      <w:r w:rsidRPr="000B4925">
        <w:t xml:space="preserve"> inflated by between 99.65% </w:t>
      </w:r>
      <w:r>
        <w:t xml:space="preserve">(2012) </w:t>
      </w:r>
      <w:r w:rsidRPr="000B4925">
        <w:t>and 98.7%</w:t>
      </w:r>
      <w:r>
        <w:t xml:space="preserve"> (2018)</w:t>
      </w:r>
      <w:r w:rsidRPr="000B4925">
        <w:t xml:space="preserve"> of the RPPI</w:t>
      </w:r>
      <w:r>
        <w:t>, an average of 0.8% over the 5 years</w:t>
      </w:r>
      <w:r w:rsidRPr="0082766D">
        <w:t>; and</w:t>
      </w:r>
    </w:p>
    <w:p w14:paraId="5A44C9DC" w14:textId="77777777" w:rsidR="00B44672" w:rsidRDefault="00B44672" w:rsidP="00B44672">
      <w:pPr>
        <w:pStyle w:val="ListParagraph"/>
        <w:numPr>
          <w:ilvl w:val="1"/>
          <w:numId w:val="1"/>
        </w:numPr>
        <w:spacing w:after="160" w:line="259" w:lineRule="auto"/>
      </w:pPr>
      <w:r>
        <w:t xml:space="preserve">(iii) </w:t>
      </w:r>
      <w:r w:rsidRPr="0082766D">
        <w:t xml:space="preserve">takes the findings from </w:t>
      </w:r>
      <w:r>
        <w:t>section 4 “</w:t>
      </w:r>
      <w:r w:rsidRPr="000C1E88">
        <w:t>Results for economic and affordability impacts of the ACT tax reform (Part 2)</w:t>
      </w:r>
      <w:r>
        <w:t>”</w:t>
      </w:r>
      <w:r w:rsidRPr="000B4925">
        <w:t xml:space="preserve"> </w:t>
      </w:r>
      <w:r w:rsidRPr="0082766D">
        <w:t xml:space="preserve">of the </w:t>
      </w:r>
      <w:r>
        <w:t>report</w:t>
      </w:r>
      <w:r w:rsidRPr="0082766D">
        <w:t>, where tax reform is estimated to have increased property prices by 1.7% overall under the alternative/preferred specification and assumes that the gradual change in property prices in this case is similar to the change in the second case (i.e. 1.24% in 2012, 1.39% in 2013, 1.50% in 2014, 1.66% in 2015, 1.87% in 2016, 2.04% in 2017, 2.19% in 2018), and therefore, property prices from the initial year are inflated by between 98.76% and 97.81% of the RPPI for the relevant year in the old policy scenario.</w:t>
      </w:r>
      <w:r>
        <w:t xml:space="preserve"> This scenario is called a 1.7% average increase scenario.</w:t>
      </w:r>
    </w:p>
    <w:p w14:paraId="1C00E466" w14:textId="77777777" w:rsidR="00B44672" w:rsidRDefault="00B44672">
      <w:pPr>
        <w:pStyle w:val="FirstParagraph"/>
      </w:pPr>
      <w:proofErr w:type="gramStart"/>
      <w:r>
        <w:t>Taking into account</w:t>
      </w:r>
      <w:proofErr w:type="gramEnd"/>
      <w:r>
        <w:t xml:space="preserve"> all these assumptions, our model is conducted with the following steps:</w:t>
      </w:r>
    </w:p>
    <w:p w14:paraId="6946F0F9" w14:textId="77777777" w:rsidR="00B44672" w:rsidRDefault="00B44672" w:rsidP="00B44672">
      <w:pPr>
        <w:numPr>
          <w:ilvl w:val="0"/>
          <w:numId w:val="1"/>
        </w:numPr>
        <w:tabs>
          <w:tab w:val="num" w:pos="0"/>
        </w:tabs>
        <w:ind w:left="480" w:hanging="480"/>
      </w:pPr>
      <w:r>
        <w:rPr>
          <w:i/>
        </w:rPr>
        <w:t>Step 1:</w:t>
      </w:r>
      <w:r>
        <w:t xml:space="preserve"> Create the synthetic population for the ACT. We allow the ACT population to change by age-sex groups over the period from 2012-13 to 2018-19.</w:t>
      </w:r>
    </w:p>
    <w:p w14:paraId="61976B14" w14:textId="77777777" w:rsidR="00B44672" w:rsidRDefault="00B44672" w:rsidP="00B44672">
      <w:pPr>
        <w:numPr>
          <w:ilvl w:val="0"/>
          <w:numId w:val="1"/>
        </w:numPr>
        <w:tabs>
          <w:tab w:val="num" w:pos="0"/>
        </w:tabs>
        <w:ind w:left="480" w:hanging="480"/>
      </w:pPr>
      <w:r>
        <w:rPr>
          <w:i/>
        </w:rPr>
        <w:lastRenderedPageBreak/>
        <w:t>Step 2:</w:t>
      </w:r>
      <w:r>
        <w:t xml:space="preserve"> Calculate the rates and rate rebates, stamp duties and their concession (HBCS, PDCS) for the new tax policy (the tax reform) and the old tax policy (no-tax reform). We also calculate the land tax and FHOG where they are needed.</w:t>
      </w:r>
    </w:p>
    <w:p w14:paraId="08F3CA51" w14:textId="77777777" w:rsidR="00B44672" w:rsidRDefault="00B44672" w:rsidP="00B44672">
      <w:pPr>
        <w:numPr>
          <w:ilvl w:val="0"/>
          <w:numId w:val="1"/>
        </w:numPr>
        <w:tabs>
          <w:tab w:val="num" w:pos="0"/>
        </w:tabs>
        <w:ind w:left="480" w:hanging="480"/>
      </w:pPr>
      <w:r>
        <w:rPr>
          <w:i/>
        </w:rPr>
        <w:t>Step 3:</w:t>
      </w:r>
      <w:r>
        <w:t xml:space="preserve"> Identify whether renters and/or homeowners can afford to purchase an appropriate property (with or without a loan) and assign them as home buyers. When checking whether an income unit meets the income requirement, we </w:t>
      </w:r>
      <w:proofErr w:type="gramStart"/>
      <w:r>
        <w:t>take into account</w:t>
      </w:r>
      <w:proofErr w:type="gramEnd"/>
      <w:r>
        <w:t xml:space="preserve"> the Federal government regulations on income tax, </w:t>
      </w:r>
      <w:proofErr w:type="spellStart"/>
      <w:r>
        <w:t>medicare</w:t>
      </w:r>
      <w:proofErr w:type="spellEnd"/>
      <w:r>
        <w:t xml:space="preserve"> levy, low-income tax offset (LITO) and low- and middle-income tax offset (LAMITO) to calculation the loan repayment capacity in our model.</w:t>
      </w:r>
    </w:p>
    <w:p w14:paraId="0BA5360F" w14:textId="77777777" w:rsidR="00B44672" w:rsidRDefault="00B44672" w:rsidP="00B44672">
      <w:pPr>
        <w:numPr>
          <w:ilvl w:val="0"/>
          <w:numId w:val="1"/>
        </w:numPr>
        <w:tabs>
          <w:tab w:val="num" w:pos="0"/>
        </w:tabs>
        <w:ind w:left="480" w:hanging="480"/>
      </w:pPr>
      <w:r>
        <w:rPr>
          <w:i/>
        </w:rPr>
        <w:t>Step 4:</w:t>
      </w:r>
      <w:r>
        <w:t xml:space="preserve"> Inflate income, savings, land and property values to the next year and repeat Steps 1 to 3 until the financial year of 2018-19 is reached.</w:t>
      </w:r>
    </w:p>
    <w:p w14:paraId="5C178C81" w14:textId="77777777" w:rsidR="00B44672" w:rsidRDefault="00B44672" w:rsidP="00B44672">
      <w:pPr>
        <w:numPr>
          <w:ilvl w:val="0"/>
          <w:numId w:val="1"/>
        </w:numPr>
        <w:tabs>
          <w:tab w:val="num" w:pos="0"/>
        </w:tabs>
        <w:ind w:left="480" w:hanging="480"/>
      </w:pPr>
      <w:r>
        <w:rPr>
          <w:i/>
        </w:rPr>
        <w:t>Step 5:</w:t>
      </w:r>
      <w:r>
        <w:t xml:space="preserve"> Calculate what would have happened without tax reform </w:t>
      </w:r>
      <w:r w:rsidRPr="00A91A9C">
        <w:t>using stamp duty and rates settings that would have prevailed without tax reform</w:t>
      </w:r>
      <w:r>
        <w:t>.</w:t>
      </w:r>
    </w:p>
    <w:p w14:paraId="0E760D67" w14:textId="77777777" w:rsidR="00B44672" w:rsidRDefault="00B44672" w:rsidP="00016BEC">
      <w:pPr>
        <w:pStyle w:val="CaptionedFigure"/>
        <w:jc w:val="both"/>
        <w:rPr>
          <w:b w:val="0"/>
          <w:i w:val="0"/>
          <w:color w:val="auto"/>
        </w:rPr>
      </w:pPr>
      <w:r w:rsidRPr="00055E20">
        <w:rPr>
          <w:b w:val="0"/>
          <w:i w:val="0"/>
          <w:color w:val="auto"/>
        </w:rPr>
        <w:t>These complex steps can be described using a flowchart below.</w:t>
      </w:r>
    </w:p>
    <w:p w14:paraId="61ECE868" w14:textId="77777777" w:rsidR="00B44672" w:rsidRDefault="00B44672">
      <w:pPr>
        <w:pStyle w:val="CaptionedFigure"/>
      </w:pPr>
      <w:r>
        <w:rPr>
          <w:noProof/>
        </w:rPr>
        <w:drawing>
          <wp:inline distT="0" distB="0" distL="0" distR="0" wp14:anchorId="2BF1B166" wp14:editId="722F51C5">
            <wp:extent cx="5295900" cy="3524250"/>
            <wp:effectExtent l="0" t="0" r="8890" b="0"/>
            <wp:docPr id="1" name="Picture" descr="Figure 1 - A flowchart of NATSEM microsimulation model"/>
            <wp:cNvGraphicFramePr/>
            <a:graphic xmlns:a="http://schemas.openxmlformats.org/drawingml/2006/main">
              <a:graphicData uri="http://schemas.openxmlformats.org/drawingml/2006/picture">
                <pic:pic xmlns:pic="http://schemas.openxmlformats.org/drawingml/2006/picture">
                  <pic:nvPicPr>
                    <pic:cNvPr id="0" name="Picture" descr="graph\graph_0_0\fig1.png"/>
                    <pic:cNvPicPr>
                      <a:picLocks noChangeAspect="1" noChangeArrowheads="1"/>
                    </pic:cNvPicPr>
                  </pic:nvPicPr>
                  <pic:blipFill>
                    <a:blip r:embed="rId11"/>
                    <a:stretch>
                      <a:fillRect/>
                    </a:stretch>
                  </pic:blipFill>
                  <pic:spPr bwMode="auto">
                    <a:xfrm>
                      <a:off x="0" y="0"/>
                      <a:ext cx="5295900" cy="3524250"/>
                    </a:xfrm>
                    <a:prstGeom prst="rect">
                      <a:avLst/>
                    </a:prstGeom>
                    <a:noFill/>
                    <a:ln w="9525">
                      <a:noFill/>
                      <a:headEnd/>
                      <a:tailEnd/>
                    </a:ln>
                  </pic:spPr>
                </pic:pic>
              </a:graphicData>
            </a:graphic>
          </wp:inline>
        </w:drawing>
      </w:r>
    </w:p>
    <w:p w14:paraId="589CBC44" w14:textId="77777777" w:rsidR="00B44672" w:rsidRDefault="00B44672">
      <w:pPr>
        <w:pStyle w:val="ImageCaption"/>
      </w:pPr>
      <w:r>
        <w:t>Figure 1 - A flowchart of NATSEM microsimulation model</w:t>
      </w:r>
    </w:p>
    <w:p w14:paraId="0FEF586B" w14:textId="77777777" w:rsidR="00B44672" w:rsidRDefault="00B44672">
      <w:pPr>
        <w:pStyle w:val="Heading2"/>
      </w:pPr>
      <w:bookmarkStart w:id="65" w:name="the-synthetic-population-for-the-act"/>
      <w:bookmarkStart w:id="66" w:name="_Toc39241788"/>
      <w:bookmarkStart w:id="67" w:name="_Toc41941362"/>
      <w:r>
        <w:t>3. The synthetic population for the ACT</w:t>
      </w:r>
      <w:bookmarkEnd w:id="65"/>
      <w:bookmarkEnd w:id="66"/>
      <w:bookmarkEnd w:id="67"/>
    </w:p>
    <w:p w14:paraId="6C1FC0EF" w14:textId="77777777" w:rsidR="00B44672" w:rsidRDefault="00B44672">
      <w:pPr>
        <w:pStyle w:val="FirstParagraph"/>
      </w:pPr>
      <w:r>
        <w:t>The synthetic ACT population in our model is constructed based on a spatial microsimulation method (</w:t>
      </w:r>
      <w:proofErr w:type="spellStart"/>
      <w:r>
        <w:t>Tanton</w:t>
      </w:r>
      <w:proofErr w:type="spellEnd"/>
      <w:r>
        <w:t xml:space="preserve"> </w:t>
      </w:r>
      <w:r>
        <w:rPr>
          <w:i/>
        </w:rPr>
        <w:t>et al.</w:t>
      </w:r>
      <w:r>
        <w:t xml:space="preserve"> 2011). Because the ACT tax reform started in 2012, we collect a pre-tax reform sample of all households living in the ACT and Northern Territory (NT) from the 2009-10 and 2011-12 SIHs. The choice of two years of SIH is to have enough observations (a total of 3,213 income units) to do our analysis. We cannot separate income units in the ACT from income units in the NT because of the lack of information in the survey. This, however, does </w:t>
      </w:r>
      <w:r>
        <w:lastRenderedPageBreak/>
        <w:t>not cause a major problem because our reweighting technique ensures that the sample is representative of the ACT population.</w:t>
      </w:r>
    </w:p>
    <w:p w14:paraId="19397648" w14:textId="77777777" w:rsidR="00B44672" w:rsidRDefault="00B44672">
      <w:pPr>
        <w:pStyle w:val="BodyText"/>
      </w:pPr>
      <w:r>
        <w:t>In 2011-12, out of 193,495 income units in the ACT, nearly one half were renters, of whom 50% shared their dwellings with other income units (see Table A1 in the Appendix for more details). Our groups of interest are then constructed from this population, including (not exclusively): renters, first homeowners, low-income homeowners, middle-income homeowners, pensioners and fixed-income retirees, and female-headed income units. It is worth noting that there is crossover between these sub-groups. For example, a half of low-income homeowners and a third of middle-income homeowners were headed by females. Pensioners accounted for nearly 20% and above 40% of low- and middle-income homeowners, respectively, but only 8% among renters. One fifth of females who headed the income units were pensioners and 76% of pensioners owned properties.</w:t>
      </w:r>
    </w:p>
    <w:p w14:paraId="4C7B5989" w14:textId="77777777" w:rsidR="00B44672" w:rsidRDefault="00B44672">
      <w:pPr>
        <w:pStyle w:val="Heading2"/>
      </w:pPr>
      <w:bookmarkStart w:id="68" w:name="X0e31e1191da55913eedb250ce12d7fc87056b8b"/>
      <w:bookmarkStart w:id="69" w:name="_Toc39241789"/>
      <w:bookmarkStart w:id="70" w:name="_Toc41941363"/>
      <w:r>
        <w:t>4. Rates and stamp duties for the new and old policies</w:t>
      </w:r>
      <w:bookmarkEnd w:id="68"/>
      <w:bookmarkEnd w:id="69"/>
      <w:bookmarkEnd w:id="70"/>
    </w:p>
    <w:p w14:paraId="3326AB25" w14:textId="77777777" w:rsidR="00B44672" w:rsidRDefault="00B44672">
      <w:pPr>
        <w:pStyle w:val="FirstParagraph"/>
      </w:pPr>
      <w:r>
        <w:t>The next step is to apply the rates and stamp duty rules for the old and new tax policies to the synthetic population. This means getting an in depth understanding of all the rates and stamp duty rules, as well as any concessions.</w:t>
      </w:r>
    </w:p>
    <w:p w14:paraId="6D808421" w14:textId="77777777" w:rsidR="00B44672" w:rsidRDefault="00B44672">
      <w:pPr>
        <w:pStyle w:val="Heading3"/>
      </w:pPr>
      <w:bookmarkStart w:id="71" w:name="rate-rules"/>
      <w:bookmarkStart w:id="72" w:name="rates"/>
      <w:bookmarkStart w:id="73" w:name="_Toc39241790"/>
      <w:bookmarkStart w:id="74" w:name="_Toc41941364"/>
      <w:r>
        <w:t>4.1. Rate rules</w:t>
      </w:r>
      <w:bookmarkEnd w:id="71"/>
      <w:bookmarkEnd w:id="72"/>
      <w:bookmarkEnd w:id="73"/>
      <w:bookmarkEnd w:id="74"/>
    </w:p>
    <w:p w14:paraId="7659D015" w14:textId="77777777" w:rsidR="00B44672" w:rsidRDefault="00B44672">
      <w:pPr>
        <w:pStyle w:val="Heading4"/>
      </w:pPr>
      <w:bookmarkStart w:id="75" w:name="a.-the-new-policy"/>
      <w:r>
        <w:t>a. The new policy</w:t>
      </w:r>
      <w:bookmarkEnd w:id="75"/>
    </w:p>
    <w:p w14:paraId="6E90BD9F" w14:textId="77777777" w:rsidR="00B44672" w:rsidRDefault="00B44672">
      <w:pPr>
        <w:pStyle w:val="FirstParagraph"/>
      </w:pPr>
      <w:r>
        <w:t xml:space="preserve">General rates are levied on property owners to provide funding for various services in the ACT. According to the ACT government’s Rates Act 2004, rates are imposed for a parcel of </w:t>
      </w:r>
      <w:proofErr w:type="spellStart"/>
      <w:r>
        <w:t>rateable</w:t>
      </w:r>
      <w:proofErr w:type="spellEnd"/>
      <w:r>
        <w:t xml:space="preserve"> land using the following formula:</w:t>
      </w:r>
    </w:p>
    <w:p w14:paraId="41C770AD" w14:textId="77777777" w:rsidR="00B44672" w:rsidRDefault="00B44672">
      <w:pPr>
        <w:pStyle w:val="BodyText"/>
      </w:pPr>
      <m:oMathPara>
        <m:oMathParaPr>
          <m:jc m:val="center"/>
        </m:oMathParaPr>
        <m:oMath>
          <m:r>
            <w:rPr>
              <w:rFonts w:ascii="Cambria Math" w:hAnsi="Cambria Math"/>
            </w:rPr>
            <m:t>FC+AUV×P</m:t>
          </m:r>
          <m:r>
            <m:rPr>
              <m:nor/>
            </m:rPr>
            <m:t xml:space="preserve"> (1)</m:t>
          </m:r>
        </m:oMath>
      </m:oMathPara>
    </w:p>
    <w:p w14:paraId="1B3A76B0" w14:textId="77777777" w:rsidR="00B44672" w:rsidRDefault="00B44672">
      <w:pPr>
        <w:pStyle w:val="FirstParagraph"/>
      </w:pPr>
      <w:r>
        <w:t>where</w:t>
      </w:r>
    </w:p>
    <w:p w14:paraId="2CE80F9C" w14:textId="77777777" w:rsidR="00B44672" w:rsidRDefault="00B44672" w:rsidP="00B44672">
      <w:pPr>
        <w:numPr>
          <w:ilvl w:val="0"/>
          <w:numId w:val="1"/>
        </w:numPr>
        <w:tabs>
          <w:tab w:val="num" w:pos="0"/>
        </w:tabs>
        <w:ind w:left="480" w:hanging="480"/>
      </w:pPr>
      <m:oMath>
        <m:r>
          <w:rPr>
            <w:rFonts w:ascii="Cambria Math" w:hAnsi="Cambria Math"/>
          </w:rPr>
          <m:t>FC</m:t>
        </m:r>
      </m:oMath>
      <w:r>
        <w:t xml:space="preserve"> is the fixed charge;</w:t>
      </w:r>
    </w:p>
    <w:p w14:paraId="5DABAD0F" w14:textId="77777777" w:rsidR="00B44672" w:rsidRDefault="00B44672" w:rsidP="00B44672">
      <w:pPr>
        <w:numPr>
          <w:ilvl w:val="0"/>
          <w:numId w:val="1"/>
        </w:numPr>
        <w:tabs>
          <w:tab w:val="num" w:pos="0"/>
        </w:tabs>
        <w:ind w:left="480" w:hanging="480"/>
      </w:pPr>
      <m:oMath>
        <m:r>
          <w:rPr>
            <w:rFonts w:ascii="Cambria Math" w:hAnsi="Cambria Math"/>
          </w:rPr>
          <m:t>P</m:t>
        </m:r>
      </m:oMath>
      <w:r>
        <w:t xml:space="preserve"> is the percentage rate.</w:t>
      </w:r>
    </w:p>
    <w:p w14:paraId="1E1B0D0A" w14:textId="77777777" w:rsidR="00B44672" w:rsidRDefault="00B44672" w:rsidP="00B44672">
      <w:pPr>
        <w:numPr>
          <w:ilvl w:val="0"/>
          <w:numId w:val="1"/>
        </w:numPr>
        <w:tabs>
          <w:tab w:val="num" w:pos="0"/>
        </w:tabs>
        <w:ind w:left="480" w:hanging="480"/>
      </w:pPr>
      <m:oMath>
        <m:r>
          <w:rPr>
            <w:rFonts w:ascii="Cambria Math" w:hAnsi="Cambria Math"/>
          </w:rPr>
          <m:t>AUV</m:t>
        </m:r>
      </m:oMath>
      <w:r>
        <w:t xml:space="preserve"> is the latest 3-year average of unimproved value of the parcel for a house (unit) owner. It is worth noting that from 1st July 2017, the Government changed the general rates calculation for residential units to base it on the AUV of the parcel proport</w:t>
      </w:r>
      <w:proofErr w:type="spellStart"/>
      <w:r>
        <w:t>ionate</w:t>
      </w:r>
      <w:proofErr w:type="spellEnd"/>
      <w:r>
        <w:t xml:space="preserve"> to the number of residential units in the parcel (AUVRP) rather than the individual AUV of the unit. It means that before 1 July 2017, rates for residential units are calculated using the following formula: </w:t>
      </w:r>
      <m:oMath>
        <m:r>
          <w:rPr>
            <w:rFonts w:ascii="Cambria Math" w:hAnsi="Cambria Math"/>
          </w:rPr>
          <m:t>FC+[(AUVRP×UE)×P]</m:t>
        </m:r>
      </m:oMath>
      <w:r>
        <w:t xml:space="preserve"> where </w:t>
      </w:r>
      <m:oMath>
        <m:r>
          <w:rPr>
            <w:rFonts w:ascii="Cambria Math" w:hAnsi="Cambria Math"/>
          </w:rPr>
          <m:t>UE</m:t>
        </m:r>
      </m:oMath>
      <w:r>
        <w:t xml:space="preserve"> is the unit entitlement of the property relative to the total unit entitlement of all the residential units in the units plan. From 1 July 2017 onwards, rates for residential units are calculated using the following formula: </w:t>
      </w:r>
      <m:oMath>
        <m:r>
          <w:rPr>
            <w:rFonts w:ascii="Cambria Math" w:hAnsi="Cambria Math"/>
          </w:rPr>
          <m:t>FC+[(AUVRP×P)×UE]</m:t>
        </m:r>
      </m:oMath>
      <w:r>
        <w:t>. Howev</w:t>
      </w:r>
      <w:proofErr w:type="spellStart"/>
      <w:r>
        <w:t>er</w:t>
      </w:r>
      <w:proofErr w:type="spellEnd"/>
      <w:r>
        <w:t xml:space="preserve">, because the data does not have information on the AUVRP and UE, and they cannot be imputed from the data available, we assume there was no change in the general rates calculation for residential units from this year onwards. This assumption can make the rates under the new tax policy lower than they should be for the households that are purchasing units. So, we have some households satisfying the income constraint under the new tax policy, when they should not be. Therefore, the increase in number of purchases due to new tax policy may be lower. </w:t>
      </w:r>
    </w:p>
    <w:p w14:paraId="0ED00463" w14:textId="77777777" w:rsidR="00B44672" w:rsidRDefault="00B44672">
      <w:pPr>
        <w:pStyle w:val="FirstParagraph"/>
      </w:pPr>
      <w:r>
        <w:lastRenderedPageBreak/>
        <w:t>In 2011-12, under the old policy, general rates for residential properties were a combination of (</w:t>
      </w:r>
      <w:proofErr w:type="spellStart"/>
      <w:r>
        <w:t>i</w:t>
      </w:r>
      <w:proofErr w:type="spellEnd"/>
      <w:r>
        <w:t>) a fixed charge (</w:t>
      </w:r>
      <m:oMath>
        <m:r>
          <w:rPr>
            <w:rFonts w:ascii="Cambria Math" w:hAnsi="Cambria Math"/>
          </w:rPr>
          <m:t>FC</m:t>
        </m:r>
      </m:oMath>
      <w:r>
        <w:t xml:space="preserve">) of $555; and (ii) a valuation-based charge (or variable charge) calculated based on the </w:t>
      </w:r>
      <m:oMath>
        <m:r>
          <w:rPr>
            <w:rFonts w:ascii="Cambria Math" w:hAnsi="Cambria Math"/>
          </w:rPr>
          <m:t>AUV</m:t>
        </m:r>
      </m:oMath>
      <w:r>
        <w:t xml:space="preserve"> of 2009, 2010 and 2011 unimproved values, a rate-free </w:t>
      </w:r>
      <m:oMath>
        <m:r>
          <w:rPr>
            <w:rFonts w:ascii="Cambria Math" w:hAnsi="Cambria Math"/>
          </w:rPr>
          <m:t>AUV</m:t>
        </m:r>
      </m:oMath>
      <w:r>
        <w:t xml:space="preserve"> threshold of $16,500 and the rate (</w:t>
      </w:r>
      <m:oMath>
        <m:r>
          <w:rPr>
            <w:rFonts w:ascii="Cambria Math" w:hAnsi="Cambria Math"/>
          </w:rPr>
          <m:t>P</m:t>
        </m:r>
      </m:oMath>
      <w:r>
        <w:t>) of 0.2727%. The equation (1) is, therefore, rewritten as:</w:t>
      </w:r>
    </w:p>
    <w:p w14:paraId="5D4515F1" w14:textId="77777777" w:rsidR="00B44672" w:rsidRDefault="00B44672">
      <w:pPr>
        <w:pStyle w:val="BodyText"/>
      </w:pPr>
      <m:oMathPara>
        <m:oMathParaPr>
          <m:jc m:val="center"/>
        </m:oMathParaPr>
        <m:oMath>
          <m:r>
            <w:rPr>
              <w:rFonts w:ascii="Cambria Math" w:hAnsi="Cambria Math"/>
            </w:rPr>
            <m:t>FC+</m:t>
          </m:r>
          <m:r>
            <m:rPr>
              <m:nor/>
            </m:rPr>
            <m:t>max</m:t>
          </m:r>
          <m:r>
            <w:rPr>
              <w:rFonts w:ascii="Cambria Math" w:hAnsi="Cambria Math"/>
            </w:rPr>
            <m:t>[(AUV-$16,500),0]×P</m:t>
          </m:r>
          <m:r>
            <m:rPr>
              <m:nor/>
            </m:rPr>
            <m:t xml:space="preserve"> (2)</m:t>
          </m:r>
        </m:oMath>
      </m:oMathPara>
    </w:p>
    <w:p w14:paraId="3E679F6F" w14:textId="77777777" w:rsidR="00B44672" w:rsidRDefault="00B44672">
      <w:pPr>
        <w:pStyle w:val="FirstParagraph"/>
      </w:pPr>
      <w:r>
        <w:t xml:space="preserve">From 2012, under the new policy, general rates become more progressive with the introduction of </w:t>
      </w:r>
      <w:proofErr w:type="gramStart"/>
      <w:r>
        <w:t>a number of</w:t>
      </w:r>
      <w:proofErr w:type="gramEnd"/>
      <w:r>
        <w:t xml:space="preserve"> tax brackets and increasing marginal tax rates. In 2012-13, the fixed charge (</w:t>
      </w:r>
      <m:oMath>
        <m:r>
          <w:rPr>
            <w:rFonts w:ascii="Cambria Math" w:hAnsi="Cambria Math"/>
          </w:rPr>
          <m:t>FC</m:t>
        </m:r>
      </m:oMath>
      <w:r>
        <w:t xml:space="preserve">) remained unchanged ($555). The </w:t>
      </w:r>
      <m:oMath>
        <m:r>
          <w:rPr>
            <w:rFonts w:ascii="Cambria Math" w:hAnsi="Cambria Math"/>
          </w:rPr>
          <m:t>AUV</m:t>
        </m:r>
      </m:oMath>
      <w:r>
        <w:t xml:space="preserve"> threshold of $16,500 was abolished. Instead of one, four tax brackets, along with increasing rates (</w:t>
      </w:r>
      <m:oMath>
        <m:r>
          <w:rPr>
            <w:rFonts w:ascii="Cambria Math" w:hAnsi="Cambria Math"/>
          </w:rPr>
          <m:t>P</m:t>
        </m:r>
      </m:oMath>
      <w:r>
        <w:t>) were implemented. Table 1 lists residential general rate rules that are applied under the new policy over the period 2012-2018.</w:t>
      </w:r>
    </w:p>
    <w:p w14:paraId="285C39D8" w14:textId="77777777" w:rsidR="00B44672" w:rsidRDefault="00B44672">
      <w:pPr>
        <w:pStyle w:val="TableCaption"/>
      </w:pPr>
      <w:r>
        <w:t>Table 1 - Residential general rate rules under the new policy in the ACT, 2012-18</w:t>
      </w:r>
    </w:p>
    <w:tbl>
      <w:tblPr>
        <w:tblStyle w:val="Table"/>
        <w:tblW w:w="5000" w:type="pct"/>
        <w:jc w:val="center"/>
        <w:tblCellMar>
          <w:left w:w="0" w:type="dxa"/>
          <w:right w:w="0" w:type="dxa"/>
        </w:tblCellMar>
        <w:tblLook w:val="07E0" w:firstRow="1" w:lastRow="1" w:firstColumn="1" w:lastColumn="1" w:noHBand="1" w:noVBand="1"/>
        <w:tblCaption w:val="Table 1 - Residential general rate rules under the new policy in the ACT, 2012-18"/>
      </w:tblPr>
      <w:tblGrid>
        <w:gridCol w:w="1442"/>
        <w:gridCol w:w="2073"/>
        <w:gridCol w:w="788"/>
        <w:gridCol w:w="788"/>
        <w:gridCol w:w="787"/>
        <w:gridCol w:w="787"/>
        <w:gridCol w:w="787"/>
        <w:gridCol w:w="787"/>
        <w:gridCol w:w="787"/>
      </w:tblGrid>
      <w:tr w:rsidR="00B44672" w14:paraId="33547BA1" w14:textId="77777777" w:rsidTr="00B977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8" w:type="pct"/>
            <w:tcBorders>
              <w:bottom w:val="single" w:sz="0" w:space="0" w:color="auto"/>
            </w:tcBorders>
            <w:vAlign w:val="bottom"/>
          </w:tcPr>
          <w:p w14:paraId="7523E91C" w14:textId="77777777" w:rsidR="00B44672" w:rsidRDefault="00B44672">
            <w:pPr>
              <w:pStyle w:val="Compact"/>
            </w:pPr>
            <w:r>
              <w:t>Category</w:t>
            </w:r>
          </w:p>
        </w:tc>
        <w:tc>
          <w:tcPr>
            <w:tcW w:w="1147" w:type="pct"/>
            <w:tcBorders>
              <w:bottom w:val="single" w:sz="0" w:space="0" w:color="auto"/>
            </w:tcBorders>
            <w:vAlign w:val="bottom"/>
          </w:tcPr>
          <w:p w14:paraId="7DB2C89C" w14:textId="77777777" w:rsidR="00B44672" w:rsidRDefault="00B44672">
            <w:pPr>
              <w:pStyle w:val="Compact"/>
              <w:cnfStyle w:val="100000000000" w:firstRow="1" w:lastRow="0" w:firstColumn="0" w:lastColumn="0" w:oddVBand="0" w:evenVBand="0" w:oddHBand="0" w:evenHBand="0" w:firstRowFirstColumn="0" w:firstRowLastColumn="0" w:lastRowFirstColumn="0" w:lastRowLastColumn="0"/>
            </w:pPr>
            <w:r>
              <w:t>AUV threshold ($)</w:t>
            </w:r>
          </w:p>
        </w:tc>
        <w:tc>
          <w:tcPr>
            <w:tcW w:w="436" w:type="pct"/>
            <w:tcBorders>
              <w:bottom w:val="single" w:sz="0" w:space="0" w:color="auto"/>
            </w:tcBorders>
            <w:vAlign w:val="bottom"/>
          </w:tcPr>
          <w:p w14:paraId="4EC7092C"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2012</w:t>
            </w:r>
          </w:p>
        </w:tc>
        <w:tc>
          <w:tcPr>
            <w:tcW w:w="436" w:type="pct"/>
            <w:tcBorders>
              <w:bottom w:val="single" w:sz="0" w:space="0" w:color="auto"/>
            </w:tcBorders>
            <w:vAlign w:val="bottom"/>
          </w:tcPr>
          <w:p w14:paraId="44B7CA9B"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2013</w:t>
            </w:r>
          </w:p>
        </w:tc>
        <w:tc>
          <w:tcPr>
            <w:tcW w:w="436" w:type="pct"/>
            <w:tcBorders>
              <w:bottom w:val="single" w:sz="0" w:space="0" w:color="auto"/>
            </w:tcBorders>
            <w:vAlign w:val="bottom"/>
          </w:tcPr>
          <w:p w14:paraId="59E46C2E"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2014</w:t>
            </w:r>
          </w:p>
        </w:tc>
        <w:tc>
          <w:tcPr>
            <w:tcW w:w="436" w:type="pct"/>
            <w:tcBorders>
              <w:bottom w:val="single" w:sz="0" w:space="0" w:color="auto"/>
            </w:tcBorders>
            <w:vAlign w:val="bottom"/>
          </w:tcPr>
          <w:p w14:paraId="2B1712AE"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2015</w:t>
            </w:r>
          </w:p>
        </w:tc>
        <w:tc>
          <w:tcPr>
            <w:tcW w:w="436" w:type="pct"/>
            <w:tcBorders>
              <w:bottom w:val="single" w:sz="0" w:space="0" w:color="auto"/>
            </w:tcBorders>
            <w:vAlign w:val="bottom"/>
          </w:tcPr>
          <w:p w14:paraId="2F345B41"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2016</w:t>
            </w:r>
          </w:p>
        </w:tc>
        <w:tc>
          <w:tcPr>
            <w:tcW w:w="436" w:type="pct"/>
            <w:tcBorders>
              <w:bottom w:val="single" w:sz="0" w:space="0" w:color="auto"/>
            </w:tcBorders>
            <w:vAlign w:val="bottom"/>
          </w:tcPr>
          <w:p w14:paraId="069D8F61"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2017</w:t>
            </w:r>
          </w:p>
        </w:tc>
        <w:tc>
          <w:tcPr>
            <w:cnfStyle w:val="000100000000" w:firstRow="0" w:lastRow="0" w:firstColumn="0" w:lastColumn="1" w:oddVBand="0" w:evenVBand="0" w:oddHBand="0" w:evenHBand="0" w:firstRowFirstColumn="0" w:firstRowLastColumn="0" w:lastRowFirstColumn="0" w:lastRowLastColumn="0"/>
            <w:tcW w:w="436" w:type="pct"/>
            <w:tcBorders>
              <w:bottom w:val="single" w:sz="0" w:space="0" w:color="auto"/>
            </w:tcBorders>
            <w:vAlign w:val="bottom"/>
          </w:tcPr>
          <w:p w14:paraId="659229A5" w14:textId="77777777" w:rsidR="00B44672" w:rsidRDefault="00B44672">
            <w:pPr>
              <w:pStyle w:val="Compact"/>
              <w:jc w:val="center"/>
            </w:pPr>
            <w:r>
              <w:t>2018</w:t>
            </w:r>
          </w:p>
        </w:tc>
      </w:tr>
      <w:tr w:rsidR="00B44672" w14:paraId="194DE31B"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798" w:type="pct"/>
          </w:tcPr>
          <w:p w14:paraId="4B179D6A" w14:textId="77777777" w:rsidR="00B44672" w:rsidRDefault="00B44672">
            <w:pPr>
              <w:pStyle w:val="Compact"/>
            </w:pPr>
            <w:r>
              <w:t>Fixed charge</w:t>
            </w:r>
          </w:p>
        </w:tc>
        <w:tc>
          <w:tcPr>
            <w:tcW w:w="1147" w:type="pct"/>
          </w:tcPr>
          <w:p w14:paraId="63FEC1C0"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36" w:type="pct"/>
          </w:tcPr>
          <w:p w14:paraId="3F5BBF3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555</w:t>
            </w:r>
          </w:p>
        </w:tc>
        <w:tc>
          <w:tcPr>
            <w:tcW w:w="436" w:type="pct"/>
          </w:tcPr>
          <w:p w14:paraId="3DC35A0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626</w:t>
            </w:r>
          </w:p>
        </w:tc>
        <w:tc>
          <w:tcPr>
            <w:tcW w:w="436" w:type="pct"/>
          </w:tcPr>
          <w:p w14:paraId="0A60949C"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675</w:t>
            </w:r>
          </w:p>
        </w:tc>
        <w:tc>
          <w:tcPr>
            <w:tcW w:w="436" w:type="pct"/>
          </w:tcPr>
          <w:p w14:paraId="3631D9A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730</w:t>
            </w:r>
          </w:p>
        </w:tc>
        <w:tc>
          <w:tcPr>
            <w:tcW w:w="436" w:type="pct"/>
          </w:tcPr>
          <w:p w14:paraId="317778E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765</w:t>
            </w:r>
          </w:p>
        </w:tc>
        <w:tc>
          <w:tcPr>
            <w:tcW w:w="436" w:type="pct"/>
          </w:tcPr>
          <w:p w14:paraId="4F65968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765</w:t>
            </w:r>
          </w:p>
        </w:tc>
        <w:tc>
          <w:tcPr>
            <w:cnfStyle w:val="000100000000" w:firstRow="0" w:lastRow="0" w:firstColumn="0" w:lastColumn="1" w:oddVBand="0" w:evenVBand="0" w:oddHBand="0" w:evenHBand="0" w:firstRowFirstColumn="0" w:firstRowLastColumn="0" w:lastRowFirstColumn="0" w:lastRowLastColumn="0"/>
            <w:tcW w:w="436" w:type="pct"/>
          </w:tcPr>
          <w:p w14:paraId="074C6867" w14:textId="77777777" w:rsidR="00B44672" w:rsidRDefault="00B44672">
            <w:pPr>
              <w:pStyle w:val="Compact"/>
              <w:jc w:val="center"/>
            </w:pPr>
            <w:r>
              <w:t>815</w:t>
            </w:r>
          </w:p>
        </w:tc>
      </w:tr>
      <w:tr w:rsidR="00B44672" w14:paraId="71ABD91F"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798" w:type="pct"/>
          </w:tcPr>
          <w:p w14:paraId="5C0E3250" w14:textId="77777777" w:rsidR="00B44672" w:rsidRDefault="00B44672">
            <w:pPr>
              <w:pStyle w:val="Compact"/>
            </w:pPr>
            <w:r>
              <w:t>Rate 1 (%)</w:t>
            </w:r>
          </w:p>
        </w:tc>
        <w:tc>
          <w:tcPr>
            <w:tcW w:w="1147" w:type="pct"/>
          </w:tcPr>
          <w:p w14:paraId="27AD070C" w14:textId="77777777" w:rsidR="00B44672" w:rsidRDefault="00B44672">
            <w:pPr>
              <w:pStyle w:val="Compact"/>
              <w:cnfStyle w:val="000000000000" w:firstRow="0" w:lastRow="0" w:firstColumn="0" w:lastColumn="0" w:oddVBand="0" w:evenVBand="0" w:oddHBand="0" w:evenHBand="0" w:firstRowFirstColumn="0" w:firstRowLastColumn="0" w:lastRowFirstColumn="0" w:lastRowLastColumn="0"/>
            </w:pPr>
            <w:r>
              <w:t>0 - 150,000</w:t>
            </w:r>
          </w:p>
        </w:tc>
        <w:tc>
          <w:tcPr>
            <w:tcW w:w="436" w:type="pct"/>
          </w:tcPr>
          <w:p w14:paraId="33F424FC"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0.2236</w:t>
            </w:r>
          </w:p>
        </w:tc>
        <w:tc>
          <w:tcPr>
            <w:tcW w:w="436" w:type="pct"/>
          </w:tcPr>
          <w:p w14:paraId="383BB848"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0.2306</w:t>
            </w:r>
          </w:p>
        </w:tc>
        <w:tc>
          <w:tcPr>
            <w:tcW w:w="436" w:type="pct"/>
          </w:tcPr>
          <w:p w14:paraId="661968B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0.2547</w:t>
            </w:r>
          </w:p>
        </w:tc>
        <w:tc>
          <w:tcPr>
            <w:tcW w:w="436" w:type="pct"/>
          </w:tcPr>
          <w:p w14:paraId="77D3F88B"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0.2746</w:t>
            </w:r>
          </w:p>
        </w:tc>
        <w:tc>
          <w:tcPr>
            <w:tcW w:w="436" w:type="pct"/>
          </w:tcPr>
          <w:p w14:paraId="19F2DD31"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0.2746</w:t>
            </w:r>
          </w:p>
        </w:tc>
        <w:tc>
          <w:tcPr>
            <w:tcW w:w="436" w:type="pct"/>
          </w:tcPr>
          <w:p w14:paraId="151C5B7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0.2960</w:t>
            </w:r>
          </w:p>
        </w:tc>
        <w:tc>
          <w:tcPr>
            <w:cnfStyle w:val="000100000000" w:firstRow="0" w:lastRow="0" w:firstColumn="0" w:lastColumn="1" w:oddVBand="0" w:evenVBand="0" w:oddHBand="0" w:evenHBand="0" w:firstRowFirstColumn="0" w:firstRowLastColumn="0" w:lastRowFirstColumn="0" w:lastRowLastColumn="0"/>
            <w:tcW w:w="436" w:type="pct"/>
          </w:tcPr>
          <w:p w14:paraId="7BEDED0C" w14:textId="77777777" w:rsidR="00B44672" w:rsidRDefault="00B44672">
            <w:pPr>
              <w:pStyle w:val="Compact"/>
              <w:jc w:val="center"/>
            </w:pPr>
            <w:r>
              <w:t>0.3130</w:t>
            </w:r>
          </w:p>
        </w:tc>
      </w:tr>
      <w:tr w:rsidR="00B44672" w14:paraId="35791E27"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798" w:type="pct"/>
          </w:tcPr>
          <w:p w14:paraId="68B56C86" w14:textId="77777777" w:rsidR="00B44672" w:rsidRDefault="00B44672">
            <w:pPr>
              <w:pStyle w:val="Compact"/>
            </w:pPr>
            <w:r>
              <w:t>Rate 2 (%)</w:t>
            </w:r>
          </w:p>
        </w:tc>
        <w:tc>
          <w:tcPr>
            <w:tcW w:w="1147" w:type="pct"/>
          </w:tcPr>
          <w:p w14:paraId="13115109" w14:textId="77777777" w:rsidR="00B44672" w:rsidRDefault="00B44672">
            <w:pPr>
              <w:pStyle w:val="Compact"/>
              <w:cnfStyle w:val="000000000000" w:firstRow="0" w:lastRow="0" w:firstColumn="0" w:lastColumn="0" w:oddVBand="0" w:evenVBand="0" w:oddHBand="0" w:evenHBand="0" w:firstRowFirstColumn="0" w:firstRowLastColumn="0" w:lastRowFirstColumn="0" w:lastRowLastColumn="0"/>
            </w:pPr>
            <w:r>
              <w:t>150,001 - 300,000</w:t>
            </w:r>
          </w:p>
        </w:tc>
        <w:tc>
          <w:tcPr>
            <w:tcW w:w="436" w:type="pct"/>
          </w:tcPr>
          <w:p w14:paraId="1A5E7F8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0.3136</w:t>
            </w:r>
          </w:p>
        </w:tc>
        <w:tc>
          <w:tcPr>
            <w:tcW w:w="436" w:type="pct"/>
          </w:tcPr>
          <w:p w14:paraId="364EBC1A"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0.3241</w:t>
            </w:r>
          </w:p>
        </w:tc>
        <w:tc>
          <w:tcPr>
            <w:tcW w:w="436" w:type="pct"/>
          </w:tcPr>
          <w:p w14:paraId="0593006C"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0.3571</w:t>
            </w:r>
          </w:p>
        </w:tc>
        <w:tc>
          <w:tcPr>
            <w:tcW w:w="436" w:type="pct"/>
          </w:tcPr>
          <w:p w14:paraId="7383F3F1"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0.3857</w:t>
            </w:r>
          </w:p>
        </w:tc>
        <w:tc>
          <w:tcPr>
            <w:tcW w:w="436" w:type="pct"/>
          </w:tcPr>
          <w:p w14:paraId="2832540C"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0.3900</w:t>
            </w:r>
          </w:p>
        </w:tc>
        <w:tc>
          <w:tcPr>
            <w:tcW w:w="436" w:type="pct"/>
          </w:tcPr>
          <w:p w14:paraId="2DCF0EA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0.4088</w:t>
            </w:r>
          </w:p>
        </w:tc>
        <w:tc>
          <w:tcPr>
            <w:cnfStyle w:val="000100000000" w:firstRow="0" w:lastRow="0" w:firstColumn="0" w:lastColumn="1" w:oddVBand="0" w:evenVBand="0" w:oddHBand="0" w:evenHBand="0" w:firstRowFirstColumn="0" w:firstRowLastColumn="0" w:lastRowFirstColumn="0" w:lastRowLastColumn="0"/>
            <w:tcW w:w="436" w:type="pct"/>
          </w:tcPr>
          <w:p w14:paraId="7B70E7CA" w14:textId="77777777" w:rsidR="00B44672" w:rsidRDefault="00B44672">
            <w:pPr>
              <w:pStyle w:val="Compact"/>
              <w:jc w:val="center"/>
            </w:pPr>
            <w:r>
              <w:t>0.4088</w:t>
            </w:r>
          </w:p>
        </w:tc>
      </w:tr>
      <w:tr w:rsidR="00B44672" w14:paraId="0F8AD982"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798" w:type="pct"/>
          </w:tcPr>
          <w:p w14:paraId="02869C0F" w14:textId="77777777" w:rsidR="00B44672" w:rsidRDefault="00B44672">
            <w:pPr>
              <w:pStyle w:val="Compact"/>
            </w:pPr>
            <w:r>
              <w:t>Rate 3 (%)</w:t>
            </w:r>
          </w:p>
        </w:tc>
        <w:tc>
          <w:tcPr>
            <w:tcW w:w="1147" w:type="pct"/>
          </w:tcPr>
          <w:p w14:paraId="011D8F6B" w14:textId="77777777" w:rsidR="00B44672" w:rsidRDefault="00B44672">
            <w:pPr>
              <w:pStyle w:val="Compact"/>
              <w:cnfStyle w:val="000000000000" w:firstRow="0" w:lastRow="0" w:firstColumn="0" w:lastColumn="0" w:oddVBand="0" w:evenVBand="0" w:oddHBand="0" w:evenHBand="0" w:firstRowFirstColumn="0" w:firstRowLastColumn="0" w:lastRowFirstColumn="0" w:lastRowLastColumn="0"/>
            </w:pPr>
            <w:r>
              <w:t>300,001 - 450,000</w:t>
            </w:r>
          </w:p>
        </w:tc>
        <w:tc>
          <w:tcPr>
            <w:tcW w:w="436" w:type="pct"/>
          </w:tcPr>
          <w:p w14:paraId="6613B68A"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0.3736</w:t>
            </w:r>
          </w:p>
        </w:tc>
        <w:tc>
          <w:tcPr>
            <w:tcW w:w="436" w:type="pct"/>
          </w:tcPr>
          <w:p w14:paraId="1D4EC59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0.3876</w:t>
            </w:r>
          </w:p>
        </w:tc>
        <w:tc>
          <w:tcPr>
            <w:tcW w:w="436" w:type="pct"/>
          </w:tcPr>
          <w:p w14:paraId="71FEE31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0.4287</w:t>
            </w:r>
          </w:p>
        </w:tc>
        <w:tc>
          <w:tcPr>
            <w:tcW w:w="436" w:type="pct"/>
          </w:tcPr>
          <w:p w14:paraId="5A5A836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0.4629</w:t>
            </w:r>
          </w:p>
        </w:tc>
        <w:tc>
          <w:tcPr>
            <w:tcW w:w="436" w:type="pct"/>
          </w:tcPr>
          <w:p w14:paraId="5D70F4E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0.4800</w:t>
            </w:r>
          </w:p>
        </w:tc>
        <w:tc>
          <w:tcPr>
            <w:tcW w:w="436" w:type="pct"/>
          </w:tcPr>
          <w:p w14:paraId="516FB82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0.5130</w:t>
            </w:r>
          </w:p>
        </w:tc>
        <w:tc>
          <w:tcPr>
            <w:cnfStyle w:val="000100000000" w:firstRow="0" w:lastRow="0" w:firstColumn="0" w:lastColumn="1" w:oddVBand="0" w:evenVBand="0" w:oddHBand="0" w:evenHBand="0" w:firstRowFirstColumn="0" w:firstRowLastColumn="0" w:lastRowFirstColumn="0" w:lastRowLastColumn="0"/>
            <w:tcW w:w="436" w:type="pct"/>
          </w:tcPr>
          <w:p w14:paraId="45F97F06" w14:textId="77777777" w:rsidR="00B44672" w:rsidRDefault="00B44672">
            <w:pPr>
              <w:pStyle w:val="Compact"/>
              <w:jc w:val="center"/>
            </w:pPr>
            <w:r>
              <w:t>0.5130</w:t>
            </w:r>
          </w:p>
        </w:tc>
      </w:tr>
      <w:tr w:rsidR="00B44672" w14:paraId="7D96FF1B"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798" w:type="pct"/>
          </w:tcPr>
          <w:p w14:paraId="5CC6F8E9" w14:textId="77777777" w:rsidR="00B44672" w:rsidRDefault="00B44672">
            <w:pPr>
              <w:pStyle w:val="Compact"/>
            </w:pPr>
            <w:r>
              <w:t>Rate 4 (%)</w:t>
            </w:r>
          </w:p>
        </w:tc>
        <w:tc>
          <w:tcPr>
            <w:tcW w:w="1147" w:type="pct"/>
          </w:tcPr>
          <w:p w14:paraId="5847F4AF" w14:textId="77777777" w:rsidR="00B44672" w:rsidRDefault="00B44672">
            <w:pPr>
              <w:pStyle w:val="Compact"/>
              <w:cnfStyle w:val="000000000000" w:firstRow="0" w:lastRow="0" w:firstColumn="0" w:lastColumn="0" w:oddVBand="0" w:evenVBand="0" w:oddHBand="0" w:evenHBand="0" w:firstRowFirstColumn="0" w:firstRowLastColumn="0" w:lastRowFirstColumn="0" w:lastRowLastColumn="0"/>
            </w:pPr>
            <w:r>
              <w:t>450,001 - 600,000</w:t>
            </w:r>
          </w:p>
        </w:tc>
        <w:tc>
          <w:tcPr>
            <w:tcW w:w="436" w:type="pct"/>
          </w:tcPr>
          <w:p w14:paraId="5B82C8F2"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0.4136</w:t>
            </w:r>
          </w:p>
        </w:tc>
        <w:tc>
          <w:tcPr>
            <w:tcW w:w="436" w:type="pct"/>
          </w:tcPr>
          <w:p w14:paraId="4363D0EB"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0.4312</w:t>
            </w:r>
          </w:p>
        </w:tc>
        <w:tc>
          <w:tcPr>
            <w:tcW w:w="436" w:type="pct"/>
          </w:tcPr>
          <w:p w14:paraId="67529B8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0.4873</w:t>
            </w:r>
          </w:p>
        </w:tc>
        <w:tc>
          <w:tcPr>
            <w:tcW w:w="436" w:type="pct"/>
          </w:tcPr>
          <w:p w14:paraId="6724F01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0.5339</w:t>
            </w:r>
          </w:p>
        </w:tc>
        <w:tc>
          <w:tcPr>
            <w:tcW w:w="436" w:type="pct"/>
          </w:tcPr>
          <w:p w14:paraId="0F1C8E9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0.5400</w:t>
            </w:r>
          </w:p>
        </w:tc>
        <w:tc>
          <w:tcPr>
            <w:tcW w:w="436" w:type="pct"/>
          </w:tcPr>
          <w:p w14:paraId="5596C23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0.5603</w:t>
            </w:r>
          </w:p>
        </w:tc>
        <w:tc>
          <w:tcPr>
            <w:cnfStyle w:val="000100000000" w:firstRow="0" w:lastRow="0" w:firstColumn="0" w:lastColumn="1" w:oddVBand="0" w:evenVBand="0" w:oddHBand="0" w:evenHBand="0" w:firstRowFirstColumn="0" w:firstRowLastColumn="0" w:lastRowFirstColumn="0" w:lastRowLastColumn="0"/>
            <w:tcW w:w="436" w:type="pct"/>
          </w:tcPr>
          <w:p w14:paraId="13A6B5BE" w14:textId="77777777" w:rsidR="00B44672" w:rsidRDefault="00B44672">
            <w:pPr>
              <w:pStyle w:val="Compact"/>
              <w:jc w:val="center"/>
            </w:pPr>
            <w:r>
              <w:t>0.5603</w:t>
            </w:r>
          </w:p>
        </w:tc>
      </w:tr>
      <w:tr w:rsidR="00B44672" w14:paraId="72277B5F" w14:textId="77777777" w:rsidTr="00B9775B">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8" w:type="pct"/>
          </w:tcPr>
          <w:p w14:paraId="24C59AC8" w14:textId="77777777" w:rsidR="00B44672" w:rsidRDefault="00B44672">
            <w:pPr>
              <w:pStyle w:val="Compact"/>
            </w:pPr>
            <w:r>
              <w:t>Rate 5 (%)</w:t>
            </w:r>
          </w:p>
        </w:tc>
        <w:tc>
          <w:tcPr>
            <w:tcW w:w="1147" w:type="pct"/>
          </w:tcPr>
          <w:p w14:paraId="4BCFBAC1" w14:textId="77777777" w:rsidR="00B44672" w:rsidRDefault="00B44672">
            <w:pPr>
              <w:pStyle w:val="Compact"/>
              <w:cnfStyle w:val="010000000000" w:firstRow="0" w:lastRow="1" w:firstColumn="0" w:lastColumn="0" w:oddVBand="0" w:evenVBand="0" w:oddHBand="0" w:evenHBand="0" w:firstRowFirstColumn="0" w:firstRowLastColumn="0" w:lastRowFirstColumn="0" w:lastRowLastColumn="0"/>
            </w:pPr>
            <w:r>
              <w:t>From 600,001</w:t>
            </w:r>
          </w:p>
        </w:tc>
        <w:tc>
          <w:tcPr>
            <w:tcW w:w="436" w:type="pct"/>
          </w:tcPr>
          <w:p w14:paraId="7B3C5E9E"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0.4136</w:t>
            </w:r>
          </w:p>
        </w:tc>
        <w:tc>
          <w:tcPr>
            <w:tcW w:w="436" w:type="pct"/>
          </w:tcPr>
          <w:p w14:paraId="5606D1CD"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0.4312</w:t>
            </w:r>
          </w:p>
        </w:tc>
        <w:tc>
          <w:tcPr>
            <w:tcW w:w="436" w:type="pct"/>
          </w:tcPr>
          <w:p w14:paraId="5EAB8FCB"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0.4873</w:t>
            </w:r>
          </w:p>
        </w:tc>
        <w:tc>
          <w:tcPr>
            <w:tcW w:w="436" w:type="pct"/>
          </w:tcPr>
          <w:p w14:paraId="76B85548"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0.5339</w:t>
            </w:r>
          </w:p>
        </w:tc>
        <w:tc>
          <w:tcPr>
            <w:tcW w:w="436" w:type="pct"/>
          </w:tcPr>
          <w:p w14:paraId="18AC92A3"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0.5750</w:t>
            </w:r>
          </w:p>
        </w:tc>
        <w:tc>
          <w:tcPr>
            <w:tcW w:w="436" w:type="pct"/>
          </w:tcPr>
          <w:p w14:paraId="2F8224D9"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0.6013</w:t>
            </w:r>
          </w:p>
        </w:tc>
        <w:tc>
          <w:tcPr>
            <w:cnfStyle w:val="000100000000" w:firstRow="0" w:lastRow="0" w:firstColumn="0" w:lastColumn="1" w:oddVBand="0" w:evenVBand="0" w:oddHBand="0" w:evenHBand="0" w:firstRowFirstColumn="0" w:firstRowLastColumn="0" w:lastRowFirstColumn="0" w:lastRowLastColumn="0"/>
            <w:tcW w:w="436" w:type="pct"/>
          </w:tcPr>
          <w:p w14:paraId="2ECC6410" w14:textId="77777777" w:rsidR="00B44672" w:rsidRDefault="00B44672">
            <w:pPr>
              <w:pStyle w:val="Compact"/>
              <w:jc w:val="center"/>
            </w:pPr>
            <w:r>
              <w:t>0.5700</w:t>
            </w:r>
          </w:p>
        </w:tc>
      </w:tr>
    </w:tbl>
    <w:p w14:paraId="6FB4E93D" w14:textId="77777777" w:rsidR="00B44672" w:rsidRDefault="00B44672">
      <w:pPr>
        <w:pStyle w:val="BlockText"/>
      </w:pPr>
      <w:r>
        <w:rPr>
          <w:i/>
        </w:rPr>
        <w:t>Source:</w:t>
      </w:r>
      <w:r>
        <w:t xml:space="preserve"> The ACT government Budget Papers No. 3 from 2012/13 to 2018/19. </w:t>
      </w:r>
    </w:p>
    <w:p w14:paraId="0A64C193" w14:textId="77777777" w:rsidR="00B44672" w:rsidRDefault="00B44672">
      <w:pPr>
        <w:pStyle w:val="Heading4"/>
      </w:pPr>
      <w:bookmarkStart w:id="76" w:name="b.-the-old-policy"/>
      <w:r>
        <w:t>b. The old policy</w:t>
      </w:r>
      <w:bookmarkEnd w:id="76"/>
    </w:p>
    <w:p w14:paraId="5662D3FB" w14:textId="77777777" w:rsidR="00B44672" w:rsidRDefault="00B44672">
      <w:pPr>
        <w:pStyle w:val="FirstParagraph"/>
      </w:pPr>
      <w:r>
        <w:t>To construct residential property rate rules for the old tax policy in 2012-13, we implement the following steps:</w:t>
      </w:r>
    </w:p>
    <w:p w14:paraId="286B2B23" w14:textId="77777777" w:rsidR="00B44672" w:rsidRDefault="00B44672">
      <w:pPr>
        <w:pStyle w:val="BodyText"/>
      </w:pPr>
      <w:r>
        <w:rPr>
          <w:i/>
        </w:rPr>
        <w:t>Step 1:</w:t>
      </w:r>
      <w:r>
        <w:t xml:space="preserve"> Under the old policy, the 2012-13 general rates revenue is calculated based on the revenue target for that year in the absence of tax reform. The revenue target uses 2012-13 residential </w:t>
      </w:r>
      <w:proofErr w:type="spellStart"/>
      <w:r>
        <w:t>rateable</w:t>
      </w:r>
      <w:proofErr w:type="spellEnd"/>
      <w:r>
        <w:t xml:space="preserve"> properties, which includes existing and new properties.</w:t>
      </w:r>
    </w:p>
    <w:p w14:paraId="3262A738" w14:textId="77777777" w:rsidR="00B44672" w:rsidRDefault="00B44672">
      <w:pPr>
        <w:pStyle w:val="BodyText"/>
      </w:pPr>
      <w:r>
        <w:rPr>
          <w:i/>
        </w:rPr>
        <w:t>Step 2:</w:t>
      </w:r>
      <w:r>
        <w:t xml:space="preserve"> Previous AUVs (2011 AUVs) and previous rating factors (2011-12 rating factors) are then used to calculate ‘hypothetical’ 2011-12 revenue for this new stock of properties.</w:t>
      </w:r>
    </w:p>
    <w:p w14:paraId="0DB5F074" w14:textId="77777777" w:rsidR="00B44672" w:rsidRDefault="00B44672">
      <w:pPr>
        <w:pStyle w:val="BodyText"/>
      </w:pPr>
      <w:r>
        <w:rPr>
          <w:i/>
        </w:rPr>
        <w:t>Step 3:</w:t>
      </w:r>
      <w:r>
        <w:t xml:space="preserve"> This ‘hypothetical’ 2011-12 revenue is then increased by WPI (December 2011 WPI) to obtain the revenue target (the general rates revenue under the old tax policy) for 2012-13.</w:t>
      </w:r>
      <w:r>
        <w:rPr>
          <w:rStyle w:val="FootnoteReference"/>
        </w:rPr>
        <w:footnoteReference w:id="19"/>
      </w:r>
    </w:p>
    <w:p w14:paraId="17D65534" w14:textId="77777777" w:rsidR="00B44672" w:rsidRDefault="00B44672">
      <w:pPr>
        <w:pStyle w:val="BodyText"/>
      </w:pPr>
      <w:r>
        <w:rPr>
          <w:i/>
        </w:rPr>
        <w:t>Step 4:</w:t>
      </w:r>
      <w:r>
        <w:t xml:space="preserve"> The residential rates revenue target is then used to calculate the fixed charge and rating factor that would have applied in 2012-13 for residential properties in the absence of tax reform, assuming a 50/50 revenue split between the fixed charge and rating factor elements. To calculate the old rate policy (</w:t>
      </w:r>
      <m:oMath>
        <m:sSup>
          <m:sSupPr>
            <m:ctrlPr>
              <w:rPr>
                <w:rFonts w:ascii="Cambria Math" w:hAnsi="Cambria Math"/>
              </w:rPr>
            </m:ctrlPr>
          </m:sSupPr>
          <m:e>
            <m:r>
              <w:rPr>
                <w:rFonts w:ascii="Cambria Math" w:hAnsi="Cambria Math"/>
              </w:rPr>
              <m:t>P</m:t>
            </m:r>
          </m:e>
          <m:sup>
            <m:r>
              <w:rPr>
                <w:rFonts w:ascii="Cambria Math" w:hAnsi="Cambria Math"/>
              </w:rPr>
              <m:t>c</m:t>
            </m:r>
          </m:sup>
        </m:sSup>
      </m:oMath>
      <w:r>
        <w:t>) in equation (2) under the condition that the rate-free threshold of $16,500 is applied</w:t>
      </w:r>
      <w:r>
        <w:rPr>
          <w:rStyle w:val="FootnoteReference"/>
        </w:rPr>
        <w:footnoteReference w:id="20"/>
      </w:r>
      <w:r>
        <w:t>, the following formula is used:</w:t>
      </w:r>
    </w:p>
    <w:p w14:paraId="148F752C" w14:textId="77777777" w:rsidR="00B44672" w:rsidRDefault="00A6304C">
      <w:pPr>
        <w:pStyle w:val="BodyText"/>
      </w:pPr>
      <m:oMathPara>
        <m:oMathParaPr>
          <m:jc m:val="center"/>
        </m:oMathParaPr>
        <m:oMath>
          <m:sSup>
            <m:sSupPr>
              <m:ctrlPr>
                <w:rPr>
                  <w:rFonts w:ascii="Cambria Math" w:hAnsi="Cambria Math"/>
                </w:rPr>
              </m:ctrlPr>
            </m:sSupPr>
            <m:e>
              <m:r>
                <w:rPr>
                  <w:rFonts w:ascii="Cambria Math" w:hAnsi="Cambria Math"/>
                </w:rPr>
                <m:t>P</m:t>
              </m:r>
            </m:e>
            <m:sup>
              <m:r>
                <w:rPr>
                  <w:rFonts w:ascii="Cambria Math" w:hAnsi="Cambria Math"/>
                </w:rPr>
                <m:t>c</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T</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F</m:t>
              </m:r>
              <m:sSup>
                <m:sSupPr>
                  <m:ctrlPr>
                    <w:rPr>
                      <w:rFonts w:ascii="Cambria Math" w:hAnsi="Cambria Math"/>
                    </w:rPr>
                  </m:ctrlPr>
                </m:sSupPr>
                <m:e>
                  <m:r>
                    <w:rPr>
                      <w:rFonts w:ascii="Cambria Math" w:hAnsi="Cambria Math"/>
                    </w:rPr>
                    <m:t>C</m:t>
                  </m:r>
                </m:e>
                <m:sup>
                  <m:r>
                    <w:rPr>
                      <w:rFonts w:ascii="Cambria Math" w:hAnsi="Cambria Math"/>
                    </w:rPr>
                    <m:t>c</m:t>
                  </m:r>
                </m:sup>
              </m:sSup>
            </m:sup>
          </m:sSup>
          <m:r>
            <w:rPr>
              <w:rFonts w:ascii="Cambria Math" w:hAnsi="Cambria Math"/>
            </w:rPr>
            <m:t>)/∑</m:t>
          </m:r>
          <m:r>
            <m:rPr>
              <m:nor/>
            </m:rPr>
            <m:t>max</m:t>
          </m:r>
          <m:r>
            <w:rPr>
              <w:rFonts w:ascii="Cambria Math" w:hAnsi="Cambria Math"/>
            </w:rPr>
            <m:t>(0,AUV-$16,500)</m:t>
          </m:r>
          <m:r>
            <m:rPr>
              <m:nor/>
            </m:rPr>
            <m:t xml:space="preserve"> (3)</m:t>
          </m:r>
        </m:oMath>
      </m:oMathPara>
    </w:p>
    <w:p w14:paraId="5E8EE52F" w14:textId="77777777" w:rsidR="00B44672" w:rsidRDefault="00B44672" w:rsidP="00DE57FF">
      <w:pPr>
        <w:pStyle w:val="FirstParagraph"/>
        <w:spacing w:after="0"/>
      </w:pPr>
      <w:r>
        <w:t>where</w:t>
      </w:r>
    </w:p>
    <w:p w14:paraId="2AFB31DD" w14:textId="77777777" w:rsidR="00B44672" w:rsidRDefault="00A6304C" w:rsidP="00B44672">
      <w:pPr>
        <w:numPr>
          <w:ilvl w:val="0"/>
          <w:numId w:val="1"/>
        </w:numPr>
        <w:tabs>
          <w:tab w:val="num" w:pos="0"/>
        </w:tabs>
        <w:spacing w:after="0"/>
        <w:ind w:left="480" w:hanging="480"/>
      </w:pPr>
      <m:oMath>
        <m:sSup>
          <m:sSupPr>
            <m:ctrlPr>
              <w:rPr>
                <w:rFonts w:ascii="Cambria Math" w:hAnsi="Cambria Math"/>
              </w:rPr>
            </m:ctrlPr>
          </m:sSupPr>
          <m:e>
            <m:r>
              <w:rPr>
                <w:rFonts w:ascii="Cambria Math" w:hAnsi="Cambria Math"/>
              </w:rPr>
              <m:t>R</m:t>
            </m:r>
          </m:e>
          <m:sup>
            <m:r>
              <w:rPr>
                <w:rFonts w:ascii="Cambria Math" w:hAnsi="Cambria Math"/>
              </w:rPr>
              <m:t>T</m:t>
            </m:r>
          </m:sup>
        </m:sSup>
      </m:oMath>
      <w:r w:rsidR="00B44672">
        <w:t>: total residential rate revenue target for 2012-13;</w:t>
      </w:r>
    </w:p>
    <w:p w14:paraId="01B4B372" w14:textId="77777777" w:rsidR="00B44672" w:rsidRDefault="00A6304C" w:rsidP="00B44672">
      <w:pPr>
        <w:numPr>
          <w:ilvl w:val="0"/>
          <w:numId w:val="1"/>
        </w:numPr>
        <w:tabs>
          <w:tab w:val="num" w:pos="0"/>
        </w:tabs>
        <w:spacing w:after="0"/>
        <w:ind w:left="480" w:hanging="480"/>
      </w:pPr>
      <m:oMath>
        <m:sSup>
          <m:sSupPr>
            <m:ctrlPr>
              <w:rPr>
                <w:rFonts w:ascii="Cambria Math" w:hAnsi="Cambria Math"/>
              </w:rPr>
            </m:ctrlPr>
          </m:sSupPr>
          <m:e>
            <m:r>
              <w:rPr>
                <w:rFonts w:ascii="Cambria Math" w:hAnsi="Cambria Math"/>
              </w:rPr>
              <m:t>R</m:t>
            </m:r>
          </m:e>
          <m:sup>
            <m:r>
              <w:rPr>
                <w:rFonts w:ascii="Cambria Math" w:hAnsi="Cambria Math"/>
              </w:rPr>
              <m:t>F</m:t>
            </m:r>
            <m:sSup>
              <m:sSupPr>
                <m:ctrlPr>
                  <w:rPr>
                    <w:rFonts w:ascii="Cambria Math" w:hAnsi="Cambria Math"/>
                  </w:rPr>
                </m:ctrlPr>
              </m:sSupPr>
              <m:e>
                <m:r>
                  <w:rPr>
                    <w:rFonts w:ascii="Cambria Math" w:hAnsi="Cambria Math"/>
                  </w:rPr>
                  <m:t>C</m:t>
                </m:r>
              </m:e>
              <m:sup>
                <m:r>
                  <w:rPr>
                    <w:rFonts w:ascii="Cambria Math" w:hAnsi="Cambria Math"/>
                  </w:rPr>
                  <m:t>c</m:t>
                </m:r>
              </m:sup>
            </m:sSup>
          </m:sup>
        </m:sSup>
      </m:oMath>
      <w:r w:rsidR="00B44672">
        <w:t xml:space="preserve">: the fixed charge revenue for 2012-13 under the old tax policy, which is 0.5 </w:t>
      </w:r>
      <m:oMath>
        <m:r>
          <w:rPr>
            <w:rFonts w:ascii="Cambria Math" w:hAnsi="Cambria Math"/>
          </w:rPr>
          <m:t>×</m:t>
        </m:r>
      </m:oMath>
      <w:r w:rsidR="00B44672">
        <w:t xml:space="preserve"> revenue target for residential properties for 2012-13;</w:t>
      </w:r>
    </w:p>
    <w:p w14:paraId="0C54CCD2" w14:textId="77777777" w:rsidR="00B44672" w:rsidRDefault="00B44672" w:rsidP="00B44672">
      <w:pPr>
        <w:numPr>
          <w:ilvl w:val="0"/>
          <w:numId w:val="1"/>
        </w:numPr>
        <w:tabs>
          <w:tab w:val="num" w:pos="0"/>
        </w:tabs>
        <w:spacing w:after="0"/>
        <w:ind w:left="480" w:hanging="480"/>
      </w:pPr>
      <m:oMath>
        <m:r>
          <w:rPr>
            <w:rFonts w:ascii="Cambria Math" w:hAnsi="Cambria Math"/>
          </w:rPr>
          <m:t>AUV</m:t>
        </m:r>
      </m:oMath>
      <w:r>
        <w:t>: the 2012-13 AUV;</w:t>
      </w:r>
    </w:p>
    <w:p w14:paraId="2C4254CE" w14:textId="77777777" w:rsidR="00B44672" w:rsidRDefault="00B44672" w:rsidP="00B44672">
      <w:pPr>
        <w:numPr>
          <w:ilvl w:val="0"/>
          <w:numId w:val="1"/>
        </w:numPr>
        <w:tabs>
          <w:tab w:val="num" w:pos="0"/>
        </w:tabs>
        <w:ind w:left="480" w:hanging="480"/>
      </w:pPr>
      <m:oMath>
        <m:r>
          <w:rPr>
            <w:rFonts w:ascii="Cambria Math" w:hAnsi="Cambria Math"/>
          </w:rPr>
          <m:t>∑</m:t>
        </m:r>
      </m:oMath>
      <w:r>
        <w:t>: cover all existing and new blocks for 2012-13.</w:t>
      </w:r>
    </w:p>
    <w:p w14:paraId="07BC3C5F" w14:textId="77777777" w:rsidR="00B44672" w:rsidRDefault="00B44672" w:rsidP="00732823">
      <w:pPr>
        <w:pStyle w:val="BodyText"/>
      </w:pPr>
      <w:r>
        <w:t>With this construction, there are differences between the new and old rate policies regarding the percentage rate and general rate amount along with changes in land value in 2012-13 (see Figure 2).</w:t>
      </w:r>
    </w:p>
    <w:p w14:paraId="5B64AF10" w14:textId="77777777" w:rsidR="00B44672" w:rsidRDefault="00B44672" w:rsidP="00732823">
      <w:pPr>
        <w:pStyle w:val="BodyText"/>
        <w:jc w:val="center"/>
      </w:pPr>
      <w:r>
        <w:rPr>
          <w:noProof/>
        </w:rPr>
        <w:drawing>
          <wp:inline distT="0" distB="0" distL="0" distR="0" wp14:anchorId="1C60E9DB" wp14:editId="4CF830A1">
            <wp:extent cx="6039059" cy="2723103"/>
            <wp:effectExtent l="0" t="0" r="0" b="1270"/>
            <wp:docPr id="2" name="Picture" descr="Figure 2 - The new and old rate policies in the ACT, 2012-13"/>
            <wp:cNvGraphicFramePr/>
            <a:graphic xmlns:a="http://schemas.openxmlformats.org/drawingml/2006/main">
              <a:graphicData uri="http://schemas.openxmlformats.org/drawingml/2006/picture">
                <pic:pic xmlns:pic="http://schemas.openxmlformats.org/drawingml/2006/picture">
                  <pic:nvPicPr>
                    <pic:cNvPr id="0" name="Picture" descr="graph\graph_0_0\fig2.png"/>
                    <pic:cNvPicPr>
                      <a:picLocks noChangeAspect="1" noChangeArrowheads="1"/>
                    </pic:cNvPicPr>
                  </pic:nvPicPr>
                  <pic:blipFill>
                    <a:blip r:embed="rId12"/>
                    <a:stretch>
                      <a:fillRect/>
                    </a:stretch>
                  </pic:blipFill>
                  <pic:spPr bwMode="auto">
                    <a:xfrm>
                      <a:off x="0" y="0"/>
                      <a:ext cx="6053475" cy="2729604"/>
                    </a:xfrm>
                    <a:prstGeom prst="rect">
                      <a:avLst/>
                    </a:prstGeom>
                    <a:noFill/>
                    <a:ln w="9525">
                      <a:noFill/>
                      <a:headEnd/>
                      <a:tailEnd/>
                    </a:ln>
                  </pic:spPr>
                </pic:pic>
              </a:graphicData>
            </a:graphic>
          </wp:inline>
        </w:drawing>
      </w:r>
    </w:p>
    <w:p w14:paraId="409CD0E4" w14:textId="77777777" w:rsidR="00B44672" w:rsidRDefault="00B44672">
      <w:pPr>
        <w:pStyle w:val="ImageCaption"/>
      </w:pPr>
      <w:r>
        <w:t>Figure 2 - The new and old rate policies in the ACT, 2012-13</w:t>
      </w:r>
    </w:p>
    <w:p w14:paraId="5B069557" w14:textId="77777777" w:rsidR="00B44672" w:rsidRDefault="00B44672">
      <w:pPr>
        <w:pStyle w:val="BodyText"/>
      </w:pPr>
      <w:r>
        <w:t>Then Steps 1 to 4 are repeated for the year of 2013-14 onwards to get general rate rules for the old tax policy over the period 2012-2018. See Table 2 for more details.</w:t>
      </w:r>
    </w:p>
    <w:p w14:paraId="269C14A2" w14:textId="77777777" w:rsidR="00B44672" w:rsidRDefault="00B44672">
      <w:pPr>
        <w:pStyle w:val="TableCaption"/>
      </w:pPr>
      <w:r>
        <w:t>Table 2 - Residential general rate rules under the old policy in the ACT, 2012-18</w:t>
      </w:r>
    </w:p>
    <w:tbl>
      <w:tblPr>
        <w:tblStyle w:val="Table"/>
        <w:tblW w:w="5000" w:type="pct"/>
        <w:jc w:val="center"/>
        <w:tblCellMar>
          <w:left w:w="0" w:type="dxa"/>
          <w:right w:w="0" w:type="dxa"/>
        </w:tblCellMar>
        <w:tblLook w:val="07E0" w:firstRow="1" w:lastRow="1" w:firstColumn="1" w:lastColumn="1" w:noHBand="1" w:noVBand="1"/>
        <w:tblCaption w:val="Table 2 - Residential general rate rules under the old policy in the ACT, 2012-18"/>
      </w:tblPr>
      <w:tblGrid>
        <w:gridCol w:w="1545"/>
        <w:gridCol w:w="4827"/>
        <w:gridCol w:w="2654"/>
      </w:tblGrid>
      <w:tr w:rsidR="00B44672" w14:paraId="7A738578" w14:textId="77777777" w:rsidTr="00B977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6" w:type="pct"/>
            <w:tcBorders>
              <w:bottom w:val="single" w:sz="0" w:space="0" w:color="auto"/>
            </w:tcBorders>
            <w:vAlign w:val="bottom"/>
          </w:tcPr>
          <w:p w14:paraId="4CD03F27" w14:textId="77777777" w:rsidR="00B44672" w:rsidRDefault="00B44672">
            <w:pPr>
              <w:pStyle w:val="Compact"/>
            </w:pPr>
            <w:r>
              <w:t>Year</w:t>
            </w:r>
          </w:p>
        </w:tc>
        <w:tc>
          <w:tcPr>
            <w:tcW w:w="2674" w:type="pct"/>
            <w:tcBorders>
              <w:bottom w:val="single" w:sz="0" w:space="0" w:color="auto"/>
            </w:tcBorders>
            <w:vAlign w:val="bottom"/>
          </w:tcPr>
          <w:p w14:paraId="6C138CC3"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Fixed charge ($)</w:t>
            </w:r>
          </w:p>
        </w:tc>
        <w:tc>
          <w:tcPr>
            <w:cnfStyle w:val="000100000000" w:firstRow="0" w:lastRow="0" w:firstColumn="0" w:lastColumn="1" w:oddVBand="0" w:evenVBand="0" w:oddHBand="0" w:evenHBand="0" w:firstRowFirstColumn="0" w:firstRowLastColumn="0" w:lastRowFirstColumn="0" w:lastRowLastColumn="0"/>
            <w:tcW w:w="1470" w:type="pct"/>
            <w:tcBorders>
              <w:bottom w:val="single" w:sz="0" w:space="0" w:color="auto"/>
            </w:tcBorders>
            <w:vAlign w:val="bottom"/>
          </w:tcPr>
          <w:p w14:paraId="450C0DA0" w14:textId="77777777" w:rsidR="00B44672" w:rsidRDefault="00B44672">
            <w:pPr>
              <w:pStyle w:val="Compact"/>
              <w:jc w:val="center"/>
            </w:pPr>
            <w:r>
              <w:t>Rate (%)</w:t>
            </w:r>
          </w:p>
        </w:tc>
      </w:tr>
      <w:tr w:rsidR="00B44672" w14:paraId="1E7A783C"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856" w:type="pct"/>
          </w:tcPr>
          <w:p w14:paraId="3CD43E56" w14:textId="77777777" w:rsidR="00B44672" w:rsidRDefault="00B44672">
            <w:pPr>
              <w:pStyle w:val="Compact"/>
            </w:pPr>
            <w:r>
              <w:t>2012</w:t>
            </w:r>
          </w:p>
        </w:tc>
        <w:tc>
          <w:tcPr>
            <w:tcW w:w="2674" w:type="pct"/>
          </w:tcPr>
          <w:p w14:paraId="356838E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647</w:t>
            </w:r>
          </w:p>
        </w:tc>
        <w:tc>
          <w:tcPr>
            <w:cnfStyle w:val="000100000000" w:firstRow="0" w:lastRow="0" w:firstColumn="0" w:lastColumn="1" w:oddVBand="0" w:evenVBand="0" w:oddHBand="0" w:evenHBand="0" w:firstRowFirstColumn="0" w:firstRowLastColumn="0" w:lastRowFirstColumn="0" w:lastRowLastColumn="0"/>
            <w:tcW w:w="1470" w:type="pct"/>
          </w:tcPr>
          <w:p w14:paraId="7A5B5FE3" w14:textId="77777777" w:rsidR="00B44672" w:rsidRDefault="00B44672">
            <w:pPr>
              <w:pStyle w:val="Compact"/>
              <w:jc w:val="center"/>
            </w:pPr>
            <w:r>
              <w:t>0.2326</w:t>
            </w:r>
          </w:p>
        </w:tc>
      </w:tr>
      <w:tr w:rsidR="00B44672" w14:paraId="4FB1E07E"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856" w:type="pct"/>
          </w:tcPr>
          <w:p w14:paraId="5B635782" w14:textId="77777777" w:rsidR="00B44672" w:rsidRDefault="00B44672">
            <w:pPr>
              <w:pStyle w:val="Compact"/>
            </w:pPr>
            <w:r>
              <w:t>2013</w:t>
            </w:r>
          </w:p>
        </w:tc>
        <w:tc>
          <w:tcPr>
            <w:tcW w:w="2674" w:type="pct"/>
          </w:tcPr>
          <w:p w14:paraId="0D20FB88"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669</w:t>
            </w:r>
          </w:p>
        </w:tc>
        <w:tc>
          <w:tcPr>
            <w:cnfStyle w:val="000100000000" w:firstRow="0" w:lastRow="0" w:firstColumn="0" w:lastColumn="1" w:oddVBand="0" w:evenVBand="0" w:oddHBand="0" w:evenHBand="0" w:firstRowFirstColumn="0" w:firstRowLastColumn="0" w:lastRowFirstColumn="0" w:lastRowLastColumn="0"/>
            <w:tcW w:w="1470" w:type="pct"/>
          </w:tcPr>
          <w:p w14:paraId="455E5A10" w14:textId="77777777" w:rsidR="00B44672" w:rsidRDefault="00B44672">
            <w:pPr>
              <w:pStyle w:val="Compact"/>
              <w:jc w:val="center"/>
            </w:pPr>
            <w:r>
              <w:t>0.2351</w:t>
            </w:r>
          </w:p>
        </w:tc>
      </w:tr>
      <w:tr w:rsidR="00B44672" w14:paraId="0B54218B"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856" w:type="pct"/>
          </w:tcPr>
          <w:p w14:paraId="75FE22F4" w14:textId="77777777" w:rsidR="00B44672" w:rsidRDefault="00B44672">
            <w:pPr>
              <w:pStyle w:val="Compact"/>
            </w:pPr>
            <w:r>
              <w:t>2014</w:t>
            </w:r>
          </w:p>
        </w:tc>
        <w:tc>
          <w:tcPr>
            <w:tcW w:w="2674" w:type="pct"/>
          </w:tcPr>
          <w:p w14:paraId="318FDB0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681</w:t>
            </w:r>
          </w:p>
        </w:tc>
        <w:tc>
          <w:tcPr>
            <w:cnfStyle w:val="000100000000" w:firstRow="0" w:lastRow="0" w:firstColumn="0" w:lastColumn="1" w:oddVBand="0" w:evenVBand="0" w:oddHBand="0" w:evenHBand="0" w:firstRowFirstColumn="0" w:firstRowLastColumn="0" w:lastRowFirstColumn="0" w:lastRowLastColumn="0"/>
            <w:tcW w:w="1470" w:type="pct"/>
          </w:tcPr>
          <w:p w14:paraId="76D2AD6D" w14:textId="77777777" w:rsidR="00B44672" w:rsidRDefault="00B44672">
            <w:pPr>
              <w:pStyle w:val="Compact"/>
              <w:jc w:val="center"/>
            </w:pPr>
            <w:r>
              <w:t>0.2407</w:t>
            </w:r>
          </w:p>
        </w:tc>
      </w:tr>
      <w:tr w:rsidR="00B44672" w14:paraId="2866B728"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856" w:type="pct"/>
          </w:tcPr>
          <w:p w14:paraId="35977730" w14:textId="77777777" w:rsidR="00B44672" w:rsidRDefault="00B44672">
            <w:pPr>
              <w:pStyle w:val="Compact"/>
            </w:pPr>
            <w:r>
              <w:t>2015</w:t>
            </w:r>
          </w:p>
        </w:tc>
        <w:tc>
          <w:tcPr>
            <w:tcW w:w="2674" w:type="pct"/>
          </w:tcPr>
          <w:p w14:paraId="0EC42DE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687</w:t>
            </w:r>
          </w:p>
        </w:tc>
        <w:tc>
          <w:tcPr>
            <w:cnfStyle w:val="000100000000" w:firstRow="0" w:lastRow="0" w:firstColumn="0" w:lastColumn="1" w:oddVBand="0" w:evenVBand="0" w:oddHBand="0" w:evenHBand="0" w:firstRowFirstColumn="0" w:firstRowLastColumn="0" w:lastRowFirstColumn="0" w:lastRowLastColumn="0"/>
            <w:tcW w:w="1470" w:type="pct"/>
          </w:tcPr>
          <w:p w14:paraId="1722AD80" w14:textId="77777777" w:rsidR="00B44672" w:rsidRDefault="00B44672">
            <w:pPr>
              <w:pStyle w:val="Compact"/>
              <w:jc w:val="center"/>
            </w:pPr>
            <w:r>
              <w:t>0.2437</w:t>
            </w:r>
          </w:p>
        </w:tc>
      </w:tr>
      <w:tr w:rsidR="00B44672" w14:paraId="6BA2A2FA"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856" w:type="pct"/>
          </w:tcPr>
          <w:p w14:paraId="078D4117" w14:textId="77777777" w:rsidR="00B44672" w:rsidRDefault="00B44672">
            <w:pPr>
              <w:pStyle w:val="Compact"/>
            </w:pPr>
            <w:r>
              <w:t>2016</w:t>
            </w:r>
          </w:p>
        </w:tc>
        <w:tc>
          <w:tcPr>
            <w:tcW w:w="2674" w:type="pct"/>
          </w:tcPr>
          <w:p w14:paraId="5106D4B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695</w:t>
            </w:r>
          </w:p>
        </w:tc>
        <w:tc>
          <w:tcPr>
            <w:cnfStyle w:val="000100000000" w:firstRow="0" w:lastRow="0" w:firstColumn="0" w:lastColumn="1" w:oddVBand="0" w:evenVBand="0" w:oddHBand="0" w:evenHBand="0" w:firstRowFirstColumn="0" w:firstRowLastColumn="0" w:lastRowFirstColumn="0" w:lastRowLastColumn="0"/>
            <w:tcW w:w="1470" w:type="pct"/>
          </w:tcPr>
          <w:p w14:paraId="0E1C3825" w14:textId="77777777" w:rsidR="00B44672" w:rsidRDefault="00B44672">
            <w:pPr>
              <w:pStyle w:val="Compact"/>
              <w:jc w:val="center"/>
            </w:pPr>
            <w:r>
              <w:t>0.2437</w:t>
            </w:r>
          </w:p>
        </w:tc>
      </w:tr>
      <w:tr w:rsidR="00B44672" w14:paraId="5F17EE00"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856" w:type="pct"/>
          </w:tcPr>
          <w:p w14:paraId="59535238" w14:textId="77777777" w:rsidR="00B44672" w:rsidRDefault="00B44672">
            <w:pPr>
              <w:pStyle w:val="Compact"/>
            </w:pPr>
            <w:r>
              <w:t>2017</w:t>
            </w:r>
          </w:p>
        </w:tc>
        <w:tc>
          <w:tcPr>
            <w:tcW w:w="2674" w:type="pct"/>
          </w:tcPr>
          <w:p w14:paraId="6C8622DB"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704</w:t>
            </w:r>
          </w:p>
        </w:tc>
        <w:tc>
          <w:tcPr>
            <w:cnfStyle w:val="000100000000" w:firstRow="0" w:lastRow="0" w:firstColumn="0" w:lastColumn="1" w:oddVBand="0" w:evenVBand="0" w:oddHBand="0" w:evenHBand="0" w:firstRowFirstColumn="0" w:firstRowLastColumn="0" w:lastRowFirstColumn="0" w:lastRowLastColumn="0"/>
            <w:tcW w:w="1470" w:type="pct"/>
          </w:tcPr>
          <w:p w14:paraId="70F416B4" w14:textId="77777777" w:rsidR="00B44672" w:rsidRDefault="00B44672">
            <w:pPr>
              <w:pStyle w:val="Compact"/>
              <w:jc w:val="center"/>
            </w:pPr>
            <w:r>
              <w:t>0.2405</w:t>
            </w:r>
          </w:p>
        </w:tc>
      </w:tr>
      <w:tr w:rsidR="00B44672" w14:paraId="19643AC4" w14:textId="77777777" w:rsidTr="00B9775B">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6" w:type="pct"/>
          </w:tcPr>
          <w:p w14:paraId="34126485" w14:textId="77777777" w:rsidR="00B44672" w:rsidRDefault="00B44672">
            <w:pPr>
              <w:pStyle w:val="Compact"/>
            </w:pPr>
            <w:r>
              <w:t>2018</w:t>
            </w:r>
          </w:p>
        </w:tc>
        <w:tc>
          <w:tcPr>
            <w:tcW w:w="2674" w:type="pct"/>
          </w:tcPr>
          <w:p w14:paraId="40A71915"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719</w:t>
            </w:r>
          </w:p>
        </w:tc>
        <w:tc>
          <w:tcPr>
            <w:cnfStyle w:val="000100000000" w:firstRow="0" w:lastRow="0" w:firstColumn="0" w:lastColumn="1" w:oddVBand="0" w:evenVBand="0" w:oddHBand="0" w:evenHBand="0" w:firstRowFirstColumn="0" w:firstRowLastColumn="0" w:lastRowFirstColumn="0" w:lastRowLastColumn="0"/>
            <w:tcW w:w="1470" w:type="pct"/>
          </w:tcPr>
          <w:p w14:paraId="657A2181" w14:textId="77777777" w:rsidR="00B44672" w:rsidRDefault="00B44672">
            <w:pPr>
              <w:pStyle w:val="Compact"/>
              <w:jc w:val="center"/>
            </w:pPr>
            <w:r>
              <w:t>0.2372</w:t>
            </w:r>
          </w:p>
        </w:tc>
      </w:tr>
    </w:tbl>
    <w:p w14:paraId="352F3012" w14:textId="77777777" w:rsidR="00B44672" w:rsidRDefault="00B44672">
      <w:pPr>
        <w:pStyle w:val="BodyText"/>
      </w:pPr>
      <w:r>
        <w:t>In general, general rates increased and became more progressive over the period between 2012-13 and 2018-19. Except for the properties with AUV under $250,000 in the financial year 2012-13 (Figure 2) and those with AUV under $200,000 in the financial year 2013-14, general rates are always higher in the new tax policy compared to the old tax policy. General rates rules in the new tax policy is much more progressive than those in the old tax policy (see Figure A1 in the Appendix for more details).</w:t>
      </w:r>
    </w:p>
    <w:p w14:paraId="6E53E539" w14:textId="77777777" w:rsidR="00B44672" w:rsidRDefault="00B44672">
      <w:pPr>
        <w:pStyle w:val="Heading3"/>
      </w:pPr>
      <w:bookmarkStart w:id="77" w:name="rate-rebate-rules"/>
      <w:bookmarkStart w:id="78" w:name="_Toc39241791"/>
      <w:bookmarkStart w:id="79" w:name="_Toc41941365"/>
      <w:r>
        <w:lastRenderedPageBreak/>
        <w:t>4.2. Rate rebate rules</w:t>
      </w:r>
      <w:bookmarkEnd w:id="77"/>
      <w:bookmarkEnd w:id="78"/>
      <w:bookmarkEnd w:id="79"/>
    </w:p>
    <w:p w14:paraId="238DAEE0" w14:textId="77777777" w:rsidR="00B44672" w:rsidRDefault="00B44672">
      <w:pPr>
        <w:pStyle w:val="Heading4"/>
      </w:pPr>
      <w:bookmarkStart w:id="80" w:name="a.-the-new-policy-1"/>
      <w:r>
        <w:t>a. The new policy</w:t>
      </w:r>
      <w:bookmarkEnd w:id="80"/>
    </w:p>
    <w:p w14:paraId="0D7A81E6" w14:textId="77777777" w:rsidR="00B44672" w:rsidRDefault="00B44672">
      <w:pPr>
        <w:pStyle w:val="FirstParagraph"/>
      </w:pPr>
      <w:r>
        <w:t xml:space="preserve">The owner of a land parcel can apply to the commissioner for a rate rebate if they are receiving a Commonwealth Government pension with entitlement to a Pensioner Concession Card, a Department of Veterans’ Affairs or a War Veteran’s pension. Each eligible person who has his/her name on the property title will receive the lesser of the rebate cap or 50% rebate of their rate payment (see the ACT government’s Rates Act 2004 - section 64). This means that if there are two property owners and they are both eligible for the pension, the family will receive the full rebate. If there is only one person eligible for the pension, 50 per cent of the rebate will be applied. The rebate cap was $481 in 2011/12 and increased to $565 in 2012/13 to cushion the impact of reform. This cap has continued increasing to $622 in 2013/14, $675 in 2014/15 and $700 from 2015-16 onwards. Note that the rate rebates are only applied to the principal place of residence. </w:t>
      </w:r>
    </w:p>
    <w:p w14:paraId="2FD602B6" w14:textId="77777777" w:rsidR="00B44672" w:rsidRDefault="00B44672">
      <w:pPr>
        <w:pStyle w:val="Heading4"/>
      </w:pPr>
      <w:bookmarkStart w:id="81" w:name="b.-the-old-policy-1"/>
      <w:r>
        <w:t>b. The old policy</w:t>
      </w:r>
      <w:bookmarkEnd w:id="81"/>
    </w:p>
    <w:p w14:paraId="4032D5C3" w14:textId="77777777" w:rsidR="00B44672" w:rsidRDefault="00B44672">
      <w:pPr>
        <w:pStyle w:val="FirstParagraph"/>
      </w:pPr>
      <w:r>
        <w:t xml:space="preserve">We have assumed that the same proportion of assistance would have applied with and without tax reform. To do this, for each </w:t>
      </w:r>
      <w:proofErr w:type="spellStart"/>
      <w:r>
        <w:t>rateable</w:t>
      </w:r>
      <w:proofErr w:type="spellEnd"/>
      <w:r>
        <w:t xml:space="preserve"> property, the ratio of rebate to general rates are kept constant between the actual and the old tax policy.</w:t>
      </w:r>
      <w:r>
        <w:rPr>
          <w:rStyle w:val="FootnoteReference"/>
        </w:rPr>
        <w:footnoteReference w:id="21"/>
      </w:r>
    </w:p>
    <w:p w14:paraId="793F64EA" w14:textId="77777777" w:rsidR="00B44672" w:rsidRDefault="00B44672">
      <w:pPr>
        <w:pStyle w:val="Heading3"/>
      </w:pPr>
      <w:bookmarkStart w:id="82" w:name="stamp-duty-rules"/>
      <w:bookmarkStart w:id="83" w:name="_Toc39241792"/>
      <w:bookmarkStart w:id="84" w:name="_Toc41941366"/>
      <w:r>
        <w:t>4.3. Stamp duty rules</w:t>
      </w:r>
      <w:bookmarkEnd w:id="82"/>
      <w:bookmarkEnd w:id="83"/>
      <w:bookmarkEnd w:id="84"/>
    </w:p>
    <w:p w14:paraId="100F655D" w14:textId="77777777" w:rsidR="00B44672" w:rsidRDefault="00B44672">
      <w:pPr>
        <w:pStyle w:val="Heading4"/>
      </w:pPr>
      <w:bookmarkStart w:id="85" w:name="a.-the-new-policy-2"/>
      <w:r>
        <w:t>a. The new policy</w:t>
      </w:r>
      <w:bookmarkEnd w:id="85"/>
    </w:p>
    <w:p w14:paraId="39B05A1B" w14:textId="77777777" w:rsidR="00B44672" w:rsidRDefault="00B44672">
      <w:pPr>
        <w:pStyle w:val="FirstParagraph"/>
      </w:pPr>
      <w:r>
        <w:t xml:space="preserve">Conveyance duty, which is commonly known as stamp duty, is a tax that people </w:t>
      </w:r>
      <w:proofErr w:type="gramStart"/>
      <w:r>
        <w:t>have to</w:t>
      </w:r>
      <w:proofErr w:type="gramEnd"/>
      <w:r>
        <w:t xml:space="preserve"> pay when they buy a property. Higher duty rates are applied to higher property values. The property value thresholds and duty rates were kept unchanged between July 2002 to June 2012. From July 2012, these thresholds and rates changed and reduced over time. Table 3 shows the stamp duty rules applied under the reform (new policy) over the period from 2012-13 to 2018-19.</w:t>
      </w:r>
    </w:p>
    <w:p w14:paraId="3D7D95ED" w14:textId="77777777" w:rsidR="00B44672" w:rsidRDefault="00B44672">
      <w:pPr>
        <w:pStyle w:val="TableCaption"/>
      </w:pPr>
      <w:r>
        <w:t>Table 3 - The stamp duty rules under the new policy in the ACT, 2011-18 (Unit: %)</w:t>
      </w:r>
    </w:p>
    <w:tbl>
      <w:tblPr>
        <w:tblStyle w:val="Table"/>
        <w:tblW w:w="5000" w:type="pct"/>
        <w:jc w:val="center"/>
        <w:tblCellMar>
          <w:left w:w="0" w:type="dxa"/>
          <w:right w:w="0" w:type="dxa"/>
        </w:tblCellMar>
        <w:tblLook w:val="07E0" w:firstRow="1" w:lastRow="1" w:firstColumn="1" w:lastColumn="1" w:noHBand="1" w:noVBand="1"/>
        <w:tblCaption w:val="Table 3 - The stamp duty rules under the new policy in the ACT, 2011-18 (Unit: %)"/>
      </w:tblPr>
      <w:tblGrid>
        <w:gridCol w:w="2980"/>
        <w:gridCol w:w="757"/>
        <w:gridCol w:w="756"/>
        <w:gridCol w:w="756"/>
        <w:gridCol w:w="756"/>
        <w:gridCol w:w="756"/>
        <w:gridCol w:w="756"/>
        <w:gridCol w:w="756"/>
        <w:gridCol w:w="753"/>
      </w:tblGrid>
      <w:tr w:rsidR="00B44672" w14:paraId="7B0C10C7" w14:textId="77777777" w:rsidTr="00B977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0" w:type="pct"/>
            <w:tcBorders>
              <w:bottom w:val="single" w:sz="0" w:space="0" w:color="auto"/>
            </w:tcBorders>
            <w:vAlign w:val="bottom"/>
          </w:tcPr>
          <w:p w14:paraId="15ED6FF4" w14:textId="77777777" w:rsidR="00B44672" w:rsidRDefault="00B44672">
            <w:pPr>
              <w:pStyle w:val="Compact"/>
            </w:pPr>
            <w:r>
              <w:rPr>
                <w:b/>
              </w:rPr>
              <w:t>House value ($)</w:t>
            </w:r>
          </w:p>
        </w:tc>
        <w:tc>
          <w:tcPr>
            <w:tcW w:w="419" w:type="pct"/>
            <w:tcBorders>
              <w:bottom w:val="single" w:sz="0" w:space="0" w:color="auto"/>
            </w:tcBorders>
            <w:vAlign w:val="bottom"/>
          </w:tcPr>
          <w:p w14:paraId="50ECA8B9"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rPr>
                <w:b/>
              </w:rPr>
              <w:t>2011</w:t>
            </w:r>
          </w:p>
        </w:tc>
        <w:tc>
          <w:tcPr>
            <w:tcW w:w="419" w:type="pct"/>
            <w:tcBorders>
              <w:bottom w:val="single" w:sz="0" w:space="0" w:color="auto"/>
            </w:tcBorders>
            <w:vAlign w:val="bottom"/>
          </w:tcPr>
          <w:p w14:paraId="2211AD2E"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rPr>
                <w:b/>
              </w:rPr>
              <w:t>2012</w:t>
            </w:r>
          </w:p>
        </w:tc>
        <w:tc>
          <w:tcPr>
            <w:tcW w:w="419" w:type="pct"/>
            <w:tcBorders>
              <w:bottom w:val="single" w:sz="0" w:space="0" w:color="auto"/>
            </w:tcBorders>
            <w:vAlign w:val="bottom"/>
          </w:tcPr>
          <w:p w14:paraId="1B2D8DBD"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rPr>
                <w:b/>
              </w:rPr>
              <w:t>2013</w:t>
            </w:r>
          </w:p>
        </w:tc>
        <w:tc>
          <w:tcPr>
            <w:tcW w:w="419" w:type="pct"/>
            <w:tcBorders>
              <w:bottom w:val="single" w:sz="0" w:space="0" w:color="auto"/>
            </w:tcBorders>
            <w:vAlign w:val="bottom"/>
          </w:tcPr>
          <w:p w14:paraId="3DA33ED6"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rPr>
                <w:b/>
              </w:rPr>
              <w:t>2014</w:t>
            </w:r>
          </w:p>
        </w:tc>
        <w:tc>
          <w:tcPr>
            <w:tcW w:w="419" w:type="pct"/>
            <w:tcBorders>
              <w:bottom w:val="single" w:sz="0" w:space="0" w:color="auto"/>
            </w:tcBorders>
            <w:vAlign w:val="bottom"/>
          </w:tcPr>
          <w:p w14:paraId="3AAE73E8"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rPr>
                <w:b/>
              </w:rPr>
              <w:t>2015</w:t>
            </w:r>
          </w:p>
        </w:tc>
        <w:tc>
          <w:tcPr>
            <w:tcW w:w="419" w:type="pct"/>
            <w:tcBorders>
              <w:bottom w:val="single" w:sz="0" w:space="0" w:color="auto"/>
            </w:tcBorders>
            <w:vAlign w:val="bottom"/>
          </w:tcPr>
          <w:p w14:paraId="51A14ECA"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rPr>
                <w:b/>
              </w:rPr>
              <w:t>2016</w:t>
            </w:r>
          </w:p>
        </w:tc>
        <w:tc>
          <w:tcPr>
            <w:tcW w:w="419" w:type="pct"/>
            <w:tcBorders>
              <w:bottom w:val="single" w:sz="0" w:space="0" w:color="auto"/>
            </w:tcBorders>
            <w:vAlign w:val="bottom"/>
          </w:tcPr>
          <w:p w14:paraId="34588E79"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rPr>
                <w:b/>
              </w:rPr>
              <w:t>2017</w:t>
            </w:r>
          </w:p>
        </w:tc>
        <w:tc>
          <w:tcPr>
            <w:cnfStyle w:val="000100000000" w:firstRow="0" w:lastRow="0" w:firstColumn="0" w:lastColumn="1" w:oddVBand="0" w:evenVBand="0" w:oddHBand="0" w:evenHBand="0" w:firstRowFirstColumn="0" w:firstRowLastColumn="0" w:lastRowFirstColumn="0" w:lastRowLastColumn="0"/>
            <w:tcW w:w="419" w:type="pct"/>
            <w:tcBorders>
              <w:bottom w:val="single" w:sz="0" w:space="0" w:color="auto"/>
            </w:tcBorders>
            <w:vAlign w:val="bottom"/>
          </w:tcPr>
          <w:p w14:paraId="445E91CC" w14:textId="77777777" w:rsidR="00B44672" w:rsidRDefault="00B44672">
            <w:pPr>
              <w:pStyle w:val="Compact"/>
              <w:jc w:val="center"/>
            </w:pPr>
            <w:r>
              <w:rPr>
                <w:b/>
              </w:rPr>
              <w:t>2018</w:t>
            </w:r>
          </w:p>
        </w:tc>
      </w:tr>
      <w:tr w:rsidR="00B44672" w14:paraId="08C2DACF"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1650" w:type="pct"/>
          </w:tcPr>
          <w:p w14:paraId="18ECA20C" w14:textId="77777777" w:rsidR="00B44672" w:rsidRDefault="00B44672">
            <w:pPr>
              <w:pStyle w:val="Compact"/>
            </w:pPr>
            <w:r>
              <w:t>0 - 100,000</w:t>
            </w:r>
          </w:p>
        </w:tc>
        <w:tc>
          <w:tcPr>
            <w:tcW w:w="419" w:type="pct"/>
          </w:tcPr>
          <w:p w14:paraId="491174A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w:t>
            </w:r>
          </w:p>
        </w:tc>
        <w:tc>
          <w:tcPr>
            <w:tcW w:w="419" w:type="pct"/>
          </w:tcPr>
          <w:p w14:paraId="3DB54A1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2.4</w:t>
            </w:r>
          </w:p>
        </w:tc>
        <w:tc>
          <w:tcPr>
            <w:tcW w:w="419" w:type="pct"/>
          </w:tcPr>
          <w:p w14:paraId="6EE928C1"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2.2</w:t>
            </w:r>
          </w:p>
        </w:tc>
        <w:tc>
          <w:tcPr>
            <w:tcW w:w="419" w:type="pct"/>
          </w:tcPr>
          <w:p w14:paraId="01CD556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w:t>
            </w:r>
          </w:p>
        </w:tc>
        <w:tc>
          <w:tcPr>
            <w:tcW w:w="419" w:type="pct"/>
          </w:tcPr>
          <w:p w14:paraId="3D50EEA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1.8</w:t>
            </w:r>
          </w:p>
        </w:tc>
        <w:tc>
          <w:tcPr>
            <w:tcW w:w="419" w:type="pct"/>
          </w:tcPr>
          <w:p w14:paraId="64E0985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1.48</w:t>
            </w:r>
          </w:p>
        </w:tc>
        <w:tc>
          <w:tcPr>
            <w:tcW w:w="419" w:type="pct"/>
          </w:tcPr>
          <w:p w14:paraId="1742503A"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1.4</w:t>
            </w:r>
          </w:p>
        </w:tc>
        <w:tc>
          <w:tcPr>
            <w:cnfStyle w:val="000100000000" w:firstRow="0" w:lastRow="0" w:firstColumn="0" w:lastColumn="1" w:oddVBand="0" w:evenVBand="0" w:oddHBand="0" w:evenHBand="0" w:firstRowFirstColumn="0" w:firstRowLastColumn="0" w:lastRowFirstColumn="0" w:lastRowLastColumn="0"/>
            <w:tcW w:w="419" w:type="pct"/>
          </w:tcPr>
          <w:p w14:paraId="660C8122" w14:textId="77777777" w:rsidR="00B44672" w:rsidRDefault="00B44672">
            <w:pPr>
              <w:pStyle w:val="Compact"/>
              <w:jc w:val="center"/>
            </w:pPr>
            <w:r>
              <w:t>1.3</w:t>
            </w:r>
          </w:p>
        </w:tc>
      </w:tr>
      <w:tr w:rsidR="00B44672" w14:paraId="2764ACE3"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1650" w:type="pct"/>
          </w:tcPr>
          <w:p w14:paraId="3650E86E" w14:textId="77777777" w:rsidR="00B44672" w:rsidRDefault="00B44672">
            <w:pPr>
              <w:pStyle w:val="Compact"/>
            </w:pPr>
            <w:r>
              <w:t>100,001 - 200,000</w:t>
            </w:r>
          </w:p>
        </w:tc>
        <w:tc>
          <w:tcPr>
            <w:tcW w:w="419" w:type="pct"/>
          </w:tcPr>
          <w:p w14:paraId="58F1846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3.5</w:t>
            </w:r>
          </w:p>
        </w:tc>
        <w:tc>
          <w:tcPr>
            <w:tcW w:w="419" w:type="pct"/>
          </w:tcPr>
          <w:p w14:paraId="44711EFC"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2.4</w:t>
            </w:r>
          </w:p>
        </w:tc>
        <w:tc>
          <w:tcPr>
            <w:tcW w:w="419" w:type="pct"/>
          </w:tcPr>
          <w:p w14:paraId="42BE92E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2.2</w:t>
            </w:r>
          </w:p>
        </w:tc>
        <w:tc>
          <w:tcPr>
            <w:tcW w:w="419" w:type="pct"/>
          </w:tcPr>
          <w:p w14:paraId="241643D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w:t>
            </w:r>
          </w:p>
        </w:tc>
        <w:tc>
          <w:tcPr>
            <w:tcW w:w="419" w:type="pct"/>
          </w:tcPr>
          <w:p w14:paraId="05366BFA"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1.8</w:t>
            </w:r>
          </w:p>
        </w:tc>
        <w:tc>
          <w:tcPr>
            <w:tcW w:w="419" w:type="pct"/>
          </w:tcPr>
          <w:p w14:paraId="13D8FE82"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1.48</w:t>
            </w:r>
          </w:p>
        </w:tc>
        <w:tc>
          <w:tcPr>
            <w:tcW w:w="419" w:type="pct"/>
          </w:tcPr>
          <w:p w14:paraId="06A88CE8"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1.4</w:t>
            </w:r>
          </w:p>
        </w:tc>
        <w:tc>
          <w:tcPr>
            <w:cnfStyle w:val="000100000000" w:firstRow="0" w:lastRow="0" w:firstColumn="0" w:lastColumn="1" w:oddVBand="0" w:evenVBand="0" w:oddHBand="0" w:evenHBand="0" w:firstRowFirstColumn="0" w:firstRowLastColumn="0" w:lastRowFirstColumn="0" w:lastRowLastColumn="0"/>
            <w:tcW w:w="419" w:type="pct"/>
          </w:tcPr>
          <w:p w14:paraId="0B32654B" w14:textId="77777777" w:rsidR="00B44672" w:rsidRDefault="00B44672">
            <w:pPr>
              <w:pStyle w:val="Compact"/>
              <w:jc w:val="center"/>
            </w:pPr>
            <w:r>
              <w:t>1.3</w:t>
            </w:r>
          </w:p>
        </w:tc>
      </w:tr>
      <w:tr w:rsidR="00B44672" w14:paraId="202708B5"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1650" w:type="pct"/>
          </w:tcPr>
          <w:p w14:paraId="5C49549C" w14:textId="77777777" w:rsidR="00B44672" w:rsidRDefault="00B44672">
            <w:pPr>
              <w:pStyle w:val="Compact"/>
            </w:pPr>
            <w:r>
              <w:t>200,001 - 300,000</w:t>
            </w:r>
          </w:p>
        </w:tc>
        <w:tc>
          <w:tcPr>
            <w:tcW w:w="419" w:type="pct"/>
          </w:tcPr>
          <w:p w14:paraId="043FBDD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419" w:type="pct"/>
          </w:tcPr>
          <w:p w14:paraId="1C629A6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3.75</w:t>
            </w:r>
          </w:p>
        </w:tc>
        <w:tc>
          <w:tcPr>
            <w:tcW w:w="419" w:type="pct"/>
          </w:tcPr>
          <w:p w14:paraId="0DCB1FB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19" w:type="pct"/>
          </w:tcPr>
          <w:p w14:paraId="448C7A5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3.5</w:t>
            </w:r>
          </w:p>
        </w:tc>
        <w:tc>
          <w:tcPr>
            <w:tcW w:w="419" w:type="pct"/>
          </w:tcPr>
          <w:p w14:paraId="5C3DFA5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3</w:t>
            </w:r>
          </w:p>
        </w:tc>
        <w:tc>
          <w:tcPr>
            <w:tcW w:w="419" w:type="pct"/>
          </w:tcPr>
          <w:p w14:paraId="50B92E2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2.5</w:t>
            </w:r>
          </w:p>
        </w:tc>
        <w:tc>
          <w:tcPr>
            <w:tcW w:w="419" w:type="pct"/>
          </w:tcPr>
          <w:p w14:paraId="6B2B51A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2.4</w:t>
            </w:r>
          </w:p>
        </w:tc>
        <w:tc>
          <w:tcPr>
            <w:cnfStyle w:val="000100000000" w:firstRow="0" w:lastRow="0" w:firstColumn="0" w:lastColumn="1" w:oddVBand="0" w:evenVBand="0" w:oddHBand="0" w:evenHBand="0" w:firstRowFirstColumn="0" w:firstRowLastColumn="0" w:lastRowFirstColumn="0" w:lastRowLastColumn="0"/>
            <w:tcW w:w="419" w:type="pct"/>
          </w:tcPr>
          <w:p w14:paraId="77E826D7" w14:textId="77777777" w:rsidR="00B44672" w:rsidRDefault="00B44672">
            <w:pPr>
              <w:pStyle w:val="Compact"/>
              <w:jc w:val="center"/>
            </w:pPr>
            <w:r>
              <w:t>2.3</w:t>
            </w:r>
          </w:p>
        </w:tc>
      </w:tr>
      <w:tr w:rsidR="00B44672" w14:paraId="54E58B10"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1650" w:type="pct"/>
          </w:tcPr>
          <w:p w14:paraId="1485D24F" w14:textId="77777777" w:rsidR="00B44672" w:rsidRDefault="00B44672">
            <w:pPr>
              <w:pStyle w:val="Compact"/>
            </w:pPr>
            <w:r>
              <w:t>300,001 - 500,000</w:t>
            </w:r>
          </w:p>
        </w:tc>
        <w:tc>
          <w:tcPr>
            <w:tcW w:w="419" w:type="pct"/>
          </w:tcPr>
          <w:p w14:paraId="6CE1F04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5.5</w:t>
            </w:r>
          </w:p>
        </w:tc>
        <w:tc>
          <w:tcPr>
            <w:tcW w:w="419" w:type="pct"/>
          </w:tcPr>
          <w:p w14:paraId="32CB838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4.75</w:t>
            </w:r>
          </w:p>
        </w:tc>
        <w:tc>
          <w:tcPr>
            <w:tcW w:w="419" w:type="pct"/>
          </w:tcPr>
          <w:p w14:paraId="44817A48"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4.5</w:t>
            </w:r>
          </w:p>
        </w:tc>
        <w:tc>
          <w:tcPr>
            <w:tcW w:w="419" w:type="pct"/>
          </w:tcPr>
          <w:p w14:paraId="363CE46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4.15</w:t>
            </w:r>
          </w:p>
        </w:tc>
        <w:tc>
          <w:tcPr>
            <w:tcW w:w="419" w:type="pct"/>
          </w:tcPr>
          <w:p w14:paraId="591287B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419" w:type="pct"/>
          </w:tcPr>
          <w:p w14:paraId="36ECC0C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419" w:type="pct"/>
          </w:tcPr>
          <w:p w14:paraId="33ACA1E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3.8</w:t>
            </w:r>
          </w:p>
        </w:tc>
        <w:tc>
          <w:tcPr>
            <w:cnfStyle w:val="000100000000" w:firstRow="0" w:lastRow="0" w:firstColumn="0" w:lastColumn="1" w:oddVBand="0" w:evenVBand="0" w:oddHBand="0" w:evenHBand="0" w:firstRowFirstColumn="0" w:firstRowLastColumn="0" w:lastRowFirstColumn="0" w:lastRowLastColumn="0"/>
            <w:tcW w:w="419" w:type="pct"/>
          </w:tcPr>
          <w:p w14:paraId="00CD092C" w14:textId="77777777" w:rsidR="00B44672" w:rsidRDefault="00B44672">
            <w:pPr>
              <w:pStyle w:val="Compact"/>
              <w:jc w:val="center"/>
            </w:pPr>
            <w:r>
              <w:t>3.6</w:t>
            </w:r>
          </w:p>
        </w:tc>
      </w:tr>
      <w:tr w:rsidR="00B44672" w14:paraId="400FDBDC"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1650" w:type="pct"/>
          </w:tcPr>
          <w:p w14:paraId="0514D9DB" w14:textId="77777777" w:rsidR="00B44672" w:rsidRDefault="00B44672">
            <w:pPr>
              <w:pStyle w:val="Compact"/>
            </w:pPr>
            <w:r>
              <w:t>500,001 - 750,000</w:t>
            </w:r>
          </w:p>
        </w:tc>
        <w:tc>
          <w:tcPr>
            <w:tcW w:w="419" w:type="pct"/>
          </w:tcPr>
          <w:p w14:paraId="0BF65AD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5.75</w:t>
            </w:r>
          </w:p>
        </w:tc>
        <w:tc>
          <w:tcPr>
            <w:tcW w:w="419" w:type="pct"/>
          </w:tcPr>
          <w:p w14:paraId="05087B8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5.5</w:t>
            </w:r>
          </w:p>
        </w:tc>
        <w:tc>
          <w:tcPr>
            <w:tcW w:w="419" w:type="pct"/>
          </w:tcPr>
          <w:p w14:paraId="31776FB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w:t>
            </w:r>
          </w:p>
        </w:tc>
        <w:tc>
          <w:tcPr>
            <w:tcW w:w="419" w:type="pct"/>
          </w:tcPr>
          <w:p w14:paraId="4E067801"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w:t>
            </w:r>
          </w:p>
        </w:tc>
        <w:tc>
          <w:tcPr>
            <w:tcW w:w="419" w:type="pct"/>
          </w:tcPr>
          <w:p w14:paraId="6936B01A"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w:t>
            </w:r>
          </w:p>
        </w:tc>
        <w:tc>
          <w:tcPr>
            <w:tcW w:w="419" w:type="pct"/>
          </w:tcPr>
          <w:p w14:paraId="720ECB4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w:t>
            </w:r>
          </w:p>
        </w:tc>
        <w:tc>
          <w:tcPr>
            <w:tcW w:w="419" w:type="pct"/>
          </w:tcPr>
          <w:p w14:paraId="3C9A64D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4.78</w:t>
            </w:r>
          </w:p>
        </w:tc>
        <w:tc>
          <w:tcPr>
            <w:cnfStyle w:val="000100000000" w:firstRow="0" w:lastRow="0" w:firstColumn="0" w:lastColumn="1" w:oddVBand="0" w:evenVBand="0" w:oddHBand="0" w:evenHBand="0" w:firstRowFirstColumn="0" w:firstRowLastColumn="0" w:lastRowFirstColumn="0" w:lastRowLastColumn="0"/>
            <w:tcW w:w="419" w:type="pct"/>
          </w:tcPr>
          <w:p w14:paraId="0A1AC54D" w14:textId="77777777" w:rsidR="00B44672" w:rsidRDefault="00B44672">
            <w:pPr>
              <w:pStyle w:val="Compact"/>
              <w:jc w:val="center"/>
            </w:pPr>
            <w:r>
              <w:t>4.56</w:t>
            </w:r>
          </w:p>
        </w:tc>
      </w:tr>
      <w:tr w:rsidR="00B44672" w14:paraId="56455D1A"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1650" w:type="pct"/>
          </w:tcPr>
          <w:p w14:paraId="3B726C4D" w14:textId="77777777" w:rsidR="00B44672" w:rsidRDefault="00B44672">
            <w:pPr>
              <w:pStyle w:val="Compact"/>
            </w:pPr>
            <w:r>
              <w:t>750,001 - 1,000,000</w:t>
            </w:r>
          </w:p>
        </w:tc>
        <w:tc>
          <w:tcPr>
            <w:tcW w:w="419" w:type="pct"/>
          </w:tcPr>
          <w:p w14:paraId="2FB1969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5.75</w:t>
            </w:r>
          </w:p>
        </w:tc>
        <w:tc>
          <w:tcPr>
            <w:tcW w:w="419" w:type="pct"/>
          </w:tcPr>
          <w:p w14:paraId="4AEB302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6.5</w:t>
            </w:r>
          </w:p>
        </w:tc>
        <w:tc>
          <w:tcPr>
            <w:tcW w:w="419" w:type="pct"/>
          </w:tcPr>
          <w:p w14:paraId="3BA2B6A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6.5</w:t>
            </w:r>
          </w:p>
        </w:tc>
        <w:tc>
          <w:tcPr>
            <w:tcW w:w="419" w:type="pct"/>
          </w:tcPr>
          <w:p w14:paraId="6C4551B8"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6.5</w:t>
            </w:r>
          </w:p>
        </w:tc>
        <w:tc>
          <w:tcPr>
            <w:tcW w:w="419" w:type="pct"/>
          </w:tcPr>
          <w:p w14:paraId="3A5CFD2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6.5</w:t>
            </w:r>
          </w:p>
        </w:tc>
        <w:tc>
          <w:tcPr>
            <w:tcW w:w="419" w:type="pct"/>
          </w:tcPr>
          <w:p w14:paraId="1C67831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6.5</w:t>
            </w:r>
          </w:p>
        </w:tc>
        <w:tc>
          <w:tcPr>
            <w:tcW w:w="419" w:type="pct"/>
          </w:tcPr>
          <w:p w14:paraId="4A1C508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6.3</w:t>
            </w:r>
          </w:p>
        </w:tc>
        <w:tc>
          <w:tcPr>
            <w:cnfStyle w:val="000100000000" w:firstRow="0" w:lastRow="0" w:firstColumn="0" w:lastColumn="1" w:oddVBand="0" w:evenVBand="0" w:oddHBand="0" w:evenHBand="0" w:firstRowFirstColumn="0" w:firstRowLastColumn="0" w:lastRowFirstColumn="0" w:lastRowLastColumn="0"/>
            <w:tcW w:w="419" w:type="pct"/>
          </w:tcPr>
          <w:p w14:paraId="3B4B63ED" w14:textId="77777777" w:rsidR="00B44672" w:rsidRDefault="00B44672">
            <w:pPr>
              <w:pStyle w:val="Compact"/>
              <w:jc w:val="center"/>
            </w:pPr>
            <w:r>
              <w:t>6.1</w:t>
            </w:r>
          </w:p>
        </w:tc>
      </w:tr>
      <w:tr w:rsidR="00B44672" w14:paraId="3E0FD6F2"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1650" w:type="pct"/>
          </w:tcPr>
          <w:p w14:paraId="3E119EC3" w14:textId="77777777" w:rsidR="00B44672" w:rsidRDefault="00B44672">
            <w:pPr>
              <w:pStyle w:val="Compact"/>
            </w:pPr>
            <w:r>
              <w:t>1,000,001 - 1,454,999</w:t>
            </w:r>
          </w:p>
        </w:tc>
        <w:tc>
          <w:tcPr>
            <w:tcW w:w="419" w:type="pct"/>
          </w:tcPr>
          <w:p w14:paraId="4504836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6.75</w:t>
            </w:r>
          </w:p>
        </w:tc>
        <w:tc>
          <w:tcPr>
            <w:tcW w:w="419" w:type="pct"/>
          </w:tcPr>
          <w:p w14:paraId="59318A6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7.25</w:t>
            </w:r>
          </w:p>
        </w:tc>
        <w:tc>
          <w:tcPr>
            <w:tcW w:w="419" w:type="pct"/>
          </w:tcPr>
          <w:p w14:paraId="5C96E9DB"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7</w:t>
            </w:r>
          </w:p>
        </w:tc>
        <w:tc>
          <w:tcPr>
            <w:tcW w:w="419" w:type="pct"/>
          </w:tcPr>
          <w:p w14:paraId="249653F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7</w:t>
            </w:r>
          </w:p>
        </w:tc>
        <w:tc>
          <w:tcPr>
            <w:tcW w:w="419" w:type="pct"/>
          </w:tcPr>
          <w:p w14:paraId="3621248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7</w:t>
            </w:r>
          </w:p>
        </w:tc>
        <w:tc>
          <w:tcPr>
            <w:tcW w:w="419" w:type="pct"/>
          </w:tcPr>
          <w:p w14:paraId="3082D5B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7</w:t>
            </w:r>
          </w:p>
        </w:tc>
        <w:tc>
          <w:tcPr>
            <w:tcW w:w="419" w:type="pct"/>
          </w:tcPr>
          <w:p w14:paraId="264D875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6.8</w:t>
            </w:r>
          </w:p>
        </w:tc>
        <w:tc>
          <w:tcPr>
            <w:cnfStyle w:val="000100000000" w:firstRow="0" w:lastRow="0" w:firstColumn="0" w:lastColumn="1" w:oddVBand="0" w:evenVBand="0" w:oddHBand="0" w:evenHBand="0" w:firstRowFirstColumn="0" w:firstRowLastColumn="0" w:lastRowFirstColumn="0" w:lastRowLastColumn="0"/>
            <w:tcW w:w="419" w:type="pct"/>
          </w:tcPr>
          <w:p w14:paraId="074D5DB0" w14:textId="77777777" w:rsidR="00B44672" w:rsidRDefault="00B44672">
            <w:pPr>
              <w:pStyle w:val="Compact"/>
              <w:jc w:val="center"/>
            </w:pPr>
            <w:r>
              <w:t>6.6</w:t>
            </w:r>
          </w:p>
        </w:tc>
      </w:tr>
      <w:tr w:rsidR="00B44672" w14:paraId="7351753B"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1650" w:type="pct"/>
          </w:tcPr>
          <w:p w14:paraId="00B5C9A0" w14:textId="77777777" w:rsidR="00B44672" w:rsidRDefault="00B44672">
            <w:pPr>
              <w:pStyle w:val="Compact"/>
            </w:pPr>
            <w:r>
              <w:t>1,455,000 - 1,649,999</w:t>
            </w:r>
          </w:p>
        </w:tc>
        <w:tc>
          <w:tcPr>
            <w:tcW w:w="419" w:type="pct"/>
          </w:tcPr>
          <w:p w14:paraId="5904AC1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6.75</w:t>
            </w:r>
          </w:p>
        </w:tc>
        <w:tc>
          <w:tcPr>
            <w:tcW w:w="419" w:type="pct"/>
          </w:tcPr>
          <w:p w14:paraId="234A7AD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7.25</w:t>
            </w:r>
          </w:p>
        </w:tc>
        <w:tc>
          <w:tcPr>
            <w:tcW w:w="419" w:type="pct"/>
          </w:tcPr>
          <w:p w14:paraId="7B5888C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7</w:t>
            </w:r>
          </w:p>
        </w:tc>
        <w:tc>
          <w:tcPr>
            <w:tcW w:w="419" w:type="pct"/>
          </w:tcPr>
          <w:p w14:paraId="0E83932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5.25*</w:t>
            </w:r>
          </w:p>
        </w:tc>
        <w:tc>
          <w:tcPr>
            <w:tcW w:w="419" w:type="pct"/>
          </w:tcPr>
          <w:p w14:paraId="68B22CB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5.17*</w:t>
            </w:r>
          </w:p>
        </w:tc>
        <w:tc>
          <w:tcPr>
            <w:tcW w:w="419" w:type="pct"/>
          </w:tcPr>
          <w:p w14:paraId="166B577B"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5.09*</w:t>
            </w:r>
          </w:p>
        </w:tc>
        <w:tc>
          <w:tcPr>
            <w:tcW w:w="419" w:type="pct"/>
          </w:tcPr>
          <w:p w14:paraId="2F07D71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4.91*</w:t>
            </w:r>
          </w:p>
        </w:tc>
        <w:tc>
          <w:tcPr>
            <w:cnfStyle w:val="000100000000" w:firstRow="0" w:lastRow="0" w:firstColumn="0" w:lastColumn="1" w:oddVBand="0" w:evenVBand="0" w:oddHBand="0" w:evenHBand="0" w:firstRowFirstColumn="0" w:firstRowLastColumn="0" w:lastRowFirstColumn="0" w:lastRowLastColumn="0"/>
            <w:tcW w:w="419" w:type="pct"/>
          </w:tcPr>
          <w:p w14:paraId="5AD332D1" w14:textId="77777777" w:rsidR="00B44672" w:rsidRDefault="00B44672">
            <w:pPr>
              <w:pStyle w:val="Compact"/>
              <w:jc w:val="center"/>
            </w:pPr>
            <w:r>
              <w:t>4.73*</w:t>
            </w:r>
          </w:p>
        </w:tc>
      </w:tr>
      <w:tr w:rsidR="00B44672" w14:paraId="2F26994F" w14:textId="77777777" w:rsidTr="00B9775B">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0" w:type="pct"/>
          </w:tcPr>
          <w:p w14:paraId="170B5B90" w14:textId="77777777" w:rsidR="00B44672" w:rsidRDefault="00B44672">
            <w:pPr>
              <w:pStyle w:val="Compact"/>
            </w:pPr>
            <w:r>
              <w:t>From 1,650,000</w:t>
            </w:r>
          </w:p>
        </w:tc>
        <w:tc>
          <w:tcPr>
            <w:tcW w:w="419" w:type="pct"/>
          </w:tcPr>
          <w:p w14:paraId="29C451FF"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6.75</w:t>
            </w:r>
          </w:p>
        </w:tc>
        <w:tc>
          <w:tcPr>
            <w:tcW w:w="419" w:type="pct"/>
          </w:tcPr>
          <w:p w14:paraId="6B8A5D54"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7.25</w:t>
            </w:r>
          </w:p>
        </w:tc>
        <w:tc>
          <w:tcPr>
            <w:tcW w:w="419" w:type="pct"/>
          </w:tcPr>
          <w:p w14:paraId="362B5A79"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5.50*</w:t>
            </w:r>
          </w:p>
        </w:tc>
        <w:tc>
          <w:tcPr>
            <w:tcW w:w="419" w:type="pct"/>
          </w:tcPr>
          <w:p w14:paraId="383AB0A5"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5.25*</w:t>
            </w:r>
          </w:p>
        </w:tc>
        <w:tc>
          <w:tcPr>
            <w:tcW w:w="419" w:type="pct"/>
          </w:tcPr>
          <w:p w14:paraId="3E9777DE"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5.17*</w:t>
            </w:r>
          </w:p>
        </w:tc>
        <w:tc>
          <w:tcPr>
            <w:tcW w:w="419" w:type="pct"/>
          </w:tcPr>
          <w:p w14:paraId="53DE55E4"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5.09*</w:t>
            </w:r>
          </w:p>
        </w:tc>
        <w:tc>
          <w:tcPr>
            <w:tcW w:w="419" w:type="pct"/>
          </w:tcPr>
          <w:p w14:paraId="1391E84B"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4.91*</w:t>
            </w:r>
          </w:p>
        </w:tc>
        <w:tc>
          <w:tcPr>
            <w:cnfStyle w:val="000100000000" w:firstRow="0" w:lastRow="0" w:firstColumn="0" w:lastColumn="1" w:oddVBand="0" w:evenVBand="0" w:oddHBand="0" w:evenHBand="0" w:firstRowFirstColumn="0" w:firstRowLastColumn="0" w:lastRowFirstColumn="0" w:lastRowLastColumn="0"/>
            <w:tcW w:w="419" w:type="pct"/>
          </w:tcPr>
          <w:p w14:paraId="5F893E44" w14:textId="77777777" w:rsidR="00B44672" w:rsidRDefault="00B44672">
            <w:pPr>
              <w:pStyle w:val="Compact"/>
              <w:jc w:val="center"/>
            </w:pPr>
            <w:r>
              <w:t>4.73*</w:t>
            </w:r>
          </w:p>
        </w:tc>
      </w:tr>
    </w:tbl>
    <w:p w14:paraId="76D44709" w14:textId="77777777" w:rsidR="00B44672" w:rsidRDefault="00B44672">
      <w:pPr>
        <w:pStyle w:val="BlockText"/>
      </w:pPr>
      <w:r>
        <w:rPr>
          <w:i/>
        </w:rPr>
        <w:lastRenderedPageBreak/>
        <w:t>Sources:</w:t>
      </w:r>
      <w:r>
        <w:t xml:space="preserve"> The ACT government Budget Papers No. 3.</w:t>
      </w:r>
      <w:r>
        <w:br/>
      </w:r>
      <w:r>
        <w:rPr>
          <w:i/>
        </w:rPr>
        <w:t>Note:</w:t>
      </w:r>
      <w:r>
        <w:t xml:space="preserve"> (</w:t>
      </w:r>
      <w:proofErr w:type="spellStart"/>
      <w:r>
        <w:t>i</w:t>
      </w:r>
      <w:proofErr w:type="spellEnd"/>
      <w:r>
        <w:t xml:space="preserve">) *A flat rate is applied; (ii) Stamp duty is identified as the greater of $20 or the amount imputed from the rates in the table. </w:t>
      </w:r>
    </w:p>
    <w:p w14:paraId="48B60E38" w14:textId="77777777" w:rsidR="00B44672" w:rsidRDefault="00B44672">
      <w:pPr>
        <w:pStyle w:val="Heading4"/>
      </w:pPr>
      <w:bookmarkStart w:id="86" w:name="b.-the-old-policy-2"/>
      <w:r>
        <w:t>b. The old policy</w:t>
      </w:r>
      <w:bookmarkEnd w:id="86"/>
    </w:p>
    <w:p w14:paraId="0B4C4E31" w14:textId="77777777" w:rsidR="00B44672" w:rsidRDefault="00B44672" w:rsidP="00C97244">
      <w:pPr>
        <w:pStyle w:val="FirstParagraph"/>
      </w:pPr>
      <w:r>
        <w:t>As mentioned before, because there were no changes in property value thresholds and duty rates since 2002 until the tax reform started, we use the 2011-12 stamp duty rules for the old tax policy over the period 2012-2018. Figure 3 shows the differences between the old and new tax policy in 2012-13 regarding changes in stamp duty rules and the stamp duty amount along with changes in property values. For the period between 2013-14 and 2018-19, Figure A2 in the Appendix gives more details. Generally, except for the financial year 2012-13 and the properties valued under $150,000 in 2013-14, stamp duties are higher under the old tax policy compared to the new tax policy at all property value levels.</w:t>
      </w:r>
    </w:p>
    <w:p w14:paraId="09606B19" w14:textId="77777777" w:rsidR="00B44672" w:rsidRDefault="00B44672">
      <w:pPr>
        <w:pStyle w:val="CaptionedFigure"/>
      </w:pPr>
      <w:r>
        <w:rPr>
          <w:noProof/>
        </w:rPr>
        <w:drawing>
          <wp:inline distT="0" distB="0" distL="0" distR="0" wp14:anchorId="686E618F" wp14:editId="6DA19951">
            <wp:extent cx="5943600" cy="2971800"/>
            <wp:effectExtent l="0" t="0" r="0" b="0"/>
            <wp:docPr id="3" name="Picture" descr="Figure 3 - The new and old stamp duty policies in the ACT, 2012-13"/>
            <wp:cNvGraphicFramePr/>
            <a:graphic xmlns:a="http://schemas.openxmlformats.org/drawingml/2006/main">
              <a:graphicData uri="http://schemas.openxmlformats.org/drawingml/2006/picture">
                <pic:pic xmlns:pic="http://schemas.openxmlformats.org/drawingml/2006/picture">
                  <pic:nvPicPr>
                    <pic:cNvPr id="0" name="Picture" descr="graph\graph_0_0\fig4.png"/>
                    <pic:cNvPicPr>
                      <a:picLocks noChangeAspect="1" noChangeArrowheads="1"/>
                    </pic:cNvPicPr>
                  </pic:nvPicPr>
                  <pic:blipFill>
                    <a:blip r:embed="rId13"/>
                    <a:stretch>
                      <a:fillRect/>
                    </a:stretch>
                  </pic:blipFill>
                  <pic:spPr bwMode="auto">
                    <a:xfrm>
                      <a:off x="0" y="0"/>
                      <a:ext cx="5943600" cy="2971800"/>
                    </a:xfrm>
                    <a:prstGeom prst="rect">
                      <a:avLst/>
                    </a:prstGeom>
                    <a:noFill/>
                    <a:ln w="9525">
                      <a:noFill/>
                      <a:headEnd/>
                      <a:tailEnd/>
                    </a:ln>
                  </pic:spPr>
                </pic:pic>
              </a:graphicData>
            </a:graphic>
          </wp:inline>
        </w:drawing>
      </w:r>
    </w:p>
    <w:p w14:paraId="52F94186" w14:textId="77777777" w:rsidR="00B44672" w:rsidRDefault="00B44672">
      <w:pPr>
        <w:pStyle w:val="ImageCaption"/>
      </w:pPr>
      <w:r>
        <w:t>Figure 3 - The new and old stamp duty policies in the ACT, 2012-13</w:t>
      </w:r>
    </w:p>
    <w:p w14:paraId="3F53884C" w14:textId="77777777" w:rsidR="00B44672" w:rsidRDefault="00B44672">
      <w:pPr>
        <w:pStyle w:val="Heading3"/>
      </w:pPr>
      <w:bookmarkStart w:id="87" w:name="home-buyers-concession-scheme-hbcs-rules"/>
      <w:bookmarkStart w:id="88" w:name="_Toc39241793"/>
      <w:bookmarkStart w:id="89" w:name="_Toc41941367"/>
      <w:r>
        <w:t>4.4. Home Buyers Concession Scheme (HBCS) rules</w:t>
      </w:r>
      <w:bookmarkEnd w:id="87"/>
      <w:bookmarkEnd w:id="88"/>
      <w:bookmarkEnd w:id="89"/>
    </w:p>
    <w:p w14:paraId="02A0A48E" w14:textId="77777777" w:rsidR="00B44672" w:rsidRDefault="00B44672">
      <w:pPr>
        <w:pStyle w:val="Heading4"/>
      </w:pPr>
      <w:bookmarkStart w:id="90" w:name="a.-the-new-policy-3"/>
      <w:r>
        <w:t>a. The new policy</w:t>
      </w:r>
      <w:bookmarkEnd w:id="90"/>
    </w:p>
    <w:p w14:paraId="67D58000" w14:textId="77777777" w:rsidR="00B44672" w:rsidRDefault="00B44672">
      <w:pPr>
        <w:pStyle w:val="FirstParagraph"/>
      </w:pPr>
      <w:r>
        <w:t>Home buyers can pay lower stamp duty if they are eligible for the Home Buyers Concession Scheme (HBCS). The HBCS applies to purchasers of a new home which has not been previously occupied and sold as a place of residence. Before 2014-15, this concession was also available for an established home. To be eligible for the HBCS, the following conditions are required:</w:t>
      </w:r>
    </w:p>
    <w:p w14:paraId="049C647C" w14:textId="77777777" w:rsidR="00B44672" w:rsidRDefault="00B44672" w:rsidP="00B44672">
      <w:pPr>
        <w:numPr>
          <w:ilvl w:val="0"/>
          <w:numId w:val="1"/>
        </w:numPr>
        <w:tabs>
          <w:tab w:val="num" w:pos="0"/>
        </w:tabs>
        <w:ind w:left="480" w:hanging="480"/>
      </w:pPr>
      <w:r>
        <w:t>The home value must be less than the upper-value threshold.</w:t>
      </w:r>
      <w:r>
        <w:rPr>
          <w:rStyle w:val="FootnoteReference"/>
        </w:rPr>
        <w:footnoteReference w:id="22"/>
      </w:r>
    </w:p>
    <w:p w14:paraId="7EC7A36A" w14:textId="77777777" w:rsidR="00B44672" w:rsidRDefault="00B44672" w:rsidP="00B44672">
      <w:pPr>
        <w:numPr>
          <w:ilvl w:val="0"/>
          <w:numId w:val="1"/>
        </w:numPr>
        <w:tabs>
          <w:tab w:val="num" w:pos="0"/>
        </w:tabs>
        <w:ind w:left="480" w:hanging="480"/>
      </w:pPr>
      <w:r>
        <w:t>Total gross income of all buyers, including their partners (if any), must not be greater than:</w:t>
      </w:r>
    </w:p>
    <w:p w14:paraId="4BD50674" w14:textId="77777777" w:rsidR="00B44672" w:rsidRDefault="00B44672">
      <w:pPr>
        <w:pStyle w:val="FirstParagraph"/>
      </w:pPr>
      <m:oMathPara>
        <m:oMathParaPr>
          <m:jc m:val="center"/>
        </m:oMathParaPr>
        <m:oMath>
          <m:r>
            <m:rPr>
              <m:nor/>
            </m:rPr>
            <m:t xml:space="preserve"> Income threshold</m:t>
          </m:r>
          <m:r>
            <w:rPr>
              <w:rFonts w:ascii="Cambria Math" w:hAnsi="Cambria Math"/>
            </w:rPr>
            <m:t>+$3,330×</m:t>
          </m:r>
          <m:r>
            <m:rPr>
              <m:nor/>
            </m:rPr>
            <m:t>min</m:t>
          </m:r>
          <m:r>
            <w:rPr>
              <w:rFonts w:ascii="Cambria Math" w:hAnsi="Cambria Math"/>
            </w:rPr>
            <m:t>(5,</m:t>
          </m:r>
          <m:r>
            <m:rPr>
              <m:nor/>
            </m:rPr>
            <m:t xml:space="preserve"> Number of dependent children) (4)</m:t>
          </m:r>
        </m:oMath>
      </m:oMathPara>
    </w:p>
    <w:p w14:paraId="46656E2D" w14:textId="77777777" w:rsidR="00B44672" w:rsidRDefault="00B44672" w:rsidP="00B44672">
      <w:pPr>
        <w:numPr>
          <w:ilvl w:val="0"/>
          <w:numId w:val="1"/>
        </w:numPr>
        <w:tabs>
          <w:tab w:val="num" w:pos="0"/>
        </w:tabs>
        <w:ind w:left="480" w:hanging="480"/>
      </w:pPr>
      <w:r>
        <w:lastRenderedPageBreak/>
        <w:t>Every buyer of the home must not have owned any other properties in the two years leading up to the transaction date.</w:t>
      </w:r>
    </w:p>
    <w:p w14:paraId="3C408C9D" w14:textId="77777777" w:rsidR="00B44672" w:rsidRDefault="00B44672" w:rsidP="00B44672">
      <w:pPr>
        <w:numPr>
          <w:ilvl w:val="0"/>
          <w:numId w:val="1"/>
        </w:numPr>
        <w:tabs>
          <w:tab w:val="num" w:pos="0"/>
        </w:tabs>
        <w:ind w:left="480" w:hanging="480"/>
      </w:pPr>
      <w:r>
        <w:t>At least one person who will own the home must live in the home continuously for at least one year from the settlement date.</w:t>
      </w:r>
    </w:p>
    <w:p w14:paraId="135F3BD4" w14:textId="77777777" w:rsidR="00B44672" w:rsidRDefault="00B44672">
      <w:pPr>
        <w:pStyle w:val="FirstParagraph"/>
      </w:pPr>
      <w:r>
        <w:t>In 2011-12, for home buyers who were eligible for the HBCS, they only had to pay $20 if the property value was lower than $375,000. If the property value was between $375,000 (the lower threshold) and $470,000 (the upper threshold), they had to pay the greater between $20 and the concessional duty amount which was calculated by:</w:t>
      </w:r>
    </w:p>
    <w:p w14:paraId="4786F0DB" w14:textId="77777777" w:rsidR="00B44672" w:rsidRDefault="00B44672">
      <w:pPr>
        <w:pStyle w:val="BodyText"/>
      </w:pPr>
      <m:oMathPara>
        <m:oMathParaPr>
          <m:jc m:val="center"/>
        </m:oMathParaPr>
        <m:oMath>
          <m:r>
            <m:rPr>
              <m:nor/>
            </m:rPr>
            <m:t>Concession duty rate</m:t>
          </m:r>
          <m:r>
            <w:rPr>
              <w:rFonts w:ascii="Cambria Math" w:hAnsi="Cambria Math"/>
            </w:rPr>
            <m:t>×(</m:t>
          </m:r>
          <m:r>
            <m:rPr>
              <m:nor/>
            </m:rPr>
            <m:t>Property Value - Lower value threshold) (5)</m:t>
          </m:r>
        </m:oMath>
      </m:oMathPara>
    </w:p>
    <w:p w14:paraId="1ED2EE48" w14:textId="77777777" w:rsidR="00B44672" w:rsidRDefault="00B44672">
      <w:pPr>
        <w:pStyle w:val="FirstParagraph"/>
      </w:pPr>
      <w:r>
        <w:t>where Concession duty rate = 0.1985 in 2011-12. If the property value was greater than the upper-value threshold, the home buyers had to pay the full duties.</w:t>
      </w:r>
    </w:p>
    <w:p w14:paraId="1D0C0924" w14:textId="77777777" w:rsidR="00B44672" w:rsidRDefault="00B44672">
      <w:pPr>
        <w:pStyle w:val="BodyText"/>
      </w:pPr>
      <w:r>
        <w:t>In 2012-13, the property value thresholds were $385,000 (the lower threshold), and $450,000 (the upper threshold) and the concession duty rate was 0.2410. While the property value thresholds continued increasing to reach $470,000 and $607,000, respectively, in the last two years of the period of interest, the concession duty rate reduced year by year to 0.1235 in 2018-19. In addition, to be eligible for the HBCS, the buyers need to meet the income requirement in equation (4) of which the income thresholds were $120,000 in 2011-12, $150,000 in 2012-13, and $160,000 from 2013-14 onwards. Tables 4 depict these changes under the new tax policy in details over the period 2012-2018.</w:t>
      </w:r>
    </w:p>
    <w:p w14:paraId="71C75A67" w14:textId="77777777" w:rsidR="00B44672" w:rsidRDefault="00B44672">
      <w:pPr>
        <w:pStyle w:val="TableCaption"/>
      </w:pPr>
      <w:r>
        <w:t>Table 4 - The HBCS rate rules under the new policy in the ACT, 2012-18 (Unit: %)</w:t>
      </w:r>
    </w:p>
    <w:tbl>
      <w:tblPr>
        <w:tblStyle w:val="Table"/>
        <w:tblW w:w="5000" w:type="pct"/>
        <w:jc w:val="center"/>
        <w:tblCellMar>
          <w:left w:w="0" w:type="dxa"/>
          <w:right w:w="0" w:type="dxa"/>
        </w:tblCellMar>
        <w:tblLook w:val="07E0" w:firstRow="1" w:lastRow="1" w:firstColumn="1" w:lastColumn="1" w:noHBand="1" w:noVBand="1"/>
        <w:tblCaption w:val="Table 4 - The HBCS rate rules under the new policy in the ACT, 2012-18 (Unit: %)"/>
      </w:tblPr>
      <w:tblGrid>
        <w:gridCol w:w="688"/>
        <w:gridCol w:w="2199"/>
        <w:gridCol w:w="2173"/>
        <w:gridCol w:w="2332"/>
        <w:gridCol w:w="1634"/>
      </w:tblGrid>
      <w:tr w:rsidR="00B44672" w14:paraId="55AD04A0" w14:textId="77777777" w:rsidTr="00B977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1" w:type="pct"/>
            <w:tcBorders>
              <w:bottom w:val="single" w:sz="0" w:space="0" w:color="auto"/>
            </w:tcBorders>
            <w:vAlign w:val="bottom"/>
          </w:tcPr>
          <w:p w14:paraId="07E427B1" w14:textId="77777777" w:rsidR="00B44672" w:rsidRDefault="00B44672"/>
        </w:tc>
        <w:tc>
          <w:tcPr>
            <w:tcW w:w="1218" w:type="pct"/>
            <w:tcBorders>
              <w:bottom w:val="single" w:sz="0" w:space="0" w:color="auto"/>
            </w:tcBorders>
            <w:vAlign w:val="bottom"/>
          </w:tcPr>
          <w:p w14:paraId="56D377F5"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Lower threshold</w:t>
            </w:r>
          </w:p>
        </w:tc>
        <w:tc>
          <w:tcPr>
            <w:tcW w:w="1204" w:type="pct"/>
            <w:tcBorders>
              <w:bottom w:val="single" w:sz="0" w:space="0" w:color="auto"/>
            </w:tcBorders>
            <w:vAlign w:val="bottom"/>
          </w:tcPr>
          <w:p w14:paraId="09ADD6DC"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Upper threshold</w:t>
            </w:r>
          </w:p>
        </w:tc>
        <w:tc>
          <w:tcPr>
            <w:tcW w:w="1292" w:type="pct"/>
            <w:tcBorders>
              <w:bottom w:val="single" w:sz="0" w:space="0" w:color="auto"/>
            </w:tcBorders>
            <w:vAlign w:val="bottom"/>
          </w:tcPr>
          <w:p w14:paraId="6D187C21"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Income threshold</w:t>
            </w:r>
          </w:p>
        </w:tc>
        <w:tc>
          <w:tcPr>
            <w:cnfStyle w:val="000100000000" w:firstRow="0" w:lastRow="0" w:firstColumn="0" w:lastColumn="1" w:oddVBand="0" w:evenVBand="0" w:oddHBand="0" w:evenHBand="0" w:firstRowFirstColumn="0" w:firstRowLastColumn="0" w:lastRowFirstColumn="0" w:lastRowLastColumn="0"/>
            <w:tcW w:w="906" w:type="pct"/>
            <w:tcBorders>
              <w:bottom w:val="single" w:sz="0" w:space="0" w:color="auto"/>
            </w:tcBorders>
            <w:vAlign w:val="bottom"/>
          </w:tcPr>
          <w:p w14:paraId="5F5EDF65" w14:textId="77777777" w:rsidR="00B44672" w:rsidRDefault="00B44672">
            <w:pPr>
              <w:pStyle w:val="Compact"/>
              <w:jc w:val="center"/>
            </w:pPr>
            <w:r>
              <w:t>Current rate</w:t>
            </w:r>
          </w:p>
        </w:tc>
      </w:tr>
      <w:tr w:rsidR="00B44672" w14:paraId="6C818707"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381" w:type="pct"/>
          </w:tcPr>
          <w:p w14:paraId="69974D48" w14:textId="77777777" w:rsidR="00B44672" w:rsidRDefault="00B44672">
            <w:pPr>
              <w:pStyle w:val="Compact"/>
              <w:jc w:val="center"/>
            </w:pPr>
            <w:r>
              <w:t>2012</w:t>
            </w:r>
          </w:p>
        </w:tc>
        <w:tc>
          <w:tcPr>
            <w:tcW w:w="1218" w:type="pct"/>
          </w:tcPr>
          <w:p w14:paraId="6C7CB738"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385,000</w:t>
            </w:r>
          </w:p>
        </w:tc>
        <w:tc>
          <w:tcPr>
            <w:tcW w:w="1204" w:type="pct"/>
          </w:tcPr>
          <w:p w14:paraId="078DC70C"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450,000</w:t>
            </w:r>
          </w:p>
        </w:tc>
        <w:tc>
          <w:tcPr>
            <w:tcW w:w="1292" w:type="pct"/>
          </w:tcPr>
          <w:p w14:paraId="6519D9D2"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150,000</w:t>
            </w:r>
          </w:p>
        </w:tc>
        <w:tc>
          <w:tcPr>
            <w:cnfStyle w:val="000100000000" w:firstRow="0" w:lastRow="0" w:firstColumn="0" w:lastColumn="1" w:oddVBand="0" w:evenVBand="0" w:oddHBand="0" w:evenHBand="0" w:firstRowFirstColumn="0" w:firstRowLastColumn="0" w:lastRowFirstColumn="0" w:lastRowLastColumn="0"/>
            <w:tcW w:w="906" w:type="pct"/>
          </w:tcPr>
          <w:p w14:paraId="2BC62B8D" w14:textId="77777777" w:rsidR="00B44672" w:rsidRDefault="00B44672">
            <w:pPr>
              <w:pStyle w:val="Compact"/>
              <w:jc w:val="center"/>
            </w:pPr>
            <w:r>
              <w:t>0.2410</w:t>
            </w:r>
          </w:p>
        </w:tc>
      </w:tr>
      <w:tr w:rsidR="00B44672" w14:paraId="3D616C94"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381" w:type="pct"/>
          </w:tcPr>
          <w:p w14:paraId="40260A55" w14:textId="77777777" w:rsidR="00B44672" w:rsidRDefault="00B44672">
            <w:pPr>
              <w:pStyle w:val="Compact"/>
              <w:jc w:val="center"/>
            </w:pPr>
            <w:r>
              <w:t>2013</w:t>
            </w:r>
          </w:p>
        </w:tc>
        <w:tc>
          <w:tcPr>
            <w:tcW w:w="1218" w:type="pct"/>
          </w:tcPr>
          <w:p w14:paraId="0E67433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435,000</w:t>
            </w:r>
          </w:p>
        </w:tc>
        <w:tc>
          <w:tcPr>
            <w:tcW w:w="1204" w:type="pct"/>
          </w:tcPr>
          <w:p w14:paraId="2A8A2A6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535,000</w:t>
            </w:r>
          </w:p>
        </w:tc>
        <w:tc>
          <w:tcPr>
            <w:tcW w:w="1292" w:type="pct"/>
          </w:tcPr>
          <w:p w14:paraId="1189D60A"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160,000</w:t>
            </w:r>
          </w:p>
        </w:tc>
        <w:tc>
          <w:tcPr>
            <w:cnfStyle w:val="000100000000" w:firstRow="0" w:lastRow="0" w:firstColumn="0" w:lastColumn="1" w:oddVBand="0" w:evenVBand="0" w:oddHBand="0" w:evenHBand="0" w:firstRowFirstColumn="0" w:firstRowLastColumn="0" w:lastRowFirstColumn="0" w:lastRowLastColumn="0"/>
            <w:tcW w:w="906" w:type="pct"/>
          </w:tcPr>
          <w:p w14:paraId="6FE4F394" w14:textId="77777777" w:rsidR="00B44672" w:rsidRDefault="00B44672">
            <w:pPr>
              <w:pStyle w:val="Compact"/>
              <w:jc w:val="center"/>
            </w:pPr>
            <w:r>
              <w:t>0.1885</w:t>
            </w:r>
          </w:p>
        </w:tc>
      </w:tr>
      <w:tr w:rsidR="00B44672" w14:paraId="2D8B2626"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381" w:type="pct"/>
          </w:tcPr>
          <w:p w14:paraId="5D8F2E53" w14:textId="77777777" w:rsidR="00B44672" w:rsidRDefault="00B44672">
            <w:pPr>
              <w:pStyle w:val="Compact"/>
              <w:jc w:val="center"/>
            </w:pPr>
            <w:r>
              <w:t>2014</w:t>
            </w:r>
          </w:p>
        </w:tc>
        <w:tc>
          <w:tcPr>
            <w:tcW w:w="1218" w:type="pct"/>
          </w:tcPr>
          <w:p w14:paraId="58F107B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446,000</w:t>
            </w:r>
          </w:p>
        </w:tc>
        <w:tc>
          <w:tcPr>
            <w:tcW w:w="1204" w:type="pct"/>
          </w:tcPr>
          <w:p w14:paraId="31C197A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550,000</w:t>
            </w:r>
          </w:p>
        </w:tc>
        <w:tc>
          <w:tcPr>
            <w:tcW w:w="1292" w:type="pct"/>
          </w:tcPr>
          <w:p w14:paraId="6AE2AC0A"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160,000</w:t>
            </w:r>
          </w:p>
        </w:tc>
        <w:tc>
          <w:tcPr>
            <w:cnfStyle w:val="000100000000" w:firstRow="0" w:lastRow="0" w:firstColumn="0" w:lastColumn="1" w:oddVBand="0" w:evenVBand="0" w:oddHBand="0" w:evenHBand="0" w:firstRowFirstColumn="0" w:firstRowLastColumn="0" w:lastRowFirstColumn="0" w:lastRowLastColumn="0"/>
            <w:tcW w:w="906" w:type="pct"/>
          </w:tcPr>
          <w:p w14:paraId="14EEF073" w14:textId="77777777" w:rsidR="00B44672" w:rsidRDefault="00B44672">
            <w:pPr>
              <w:pStyle w:val="Compact"/>
              <w:jc w:val="center"/>
            </w:pPr>
            <w:r>
              <w:t>0.1755</w:t>
            </w:r>
          </w:p>
        </w:tc>
      </w:tr>
      <w:tr w:rsidR="00B44672" w14:paraId="6C07F3CD"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381" w:type="pct"/>
          </w:tcPr>
          <w:p w14:paraId="4E434663" w14:textId="77777777" w:rsidR="00B44672" w:rsidRDefault="00B44672">
            <w:pPr>
              <w:pStyle w:val="Compact"/>
              <w:jc w:val="center"/>
            </w:pPr>
            <w:r>
              <w:t>2015</w:t>
            </w:r>
          </w:p>
        </w:tc>
        <w:tc>
          <w:tcPr>
            <w:tcW w:w="1218" w:type="pct"/>
          </w:tcPr>
          <w:p w14:paraId="05F021DB"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442,500</w:t>
            </w:r>
          </w:p>
        </w:tc>
        <w:tc>
          <w:tcPr>
            <w:tcW w:w="1204" w:type="pct"/>
          </w:tcPr>
          <w:p w14:paraId="684F728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562,000</w:t>
            </w:r>
          </w:p>
        </w:tc>
        <w:tc>
          <w:tcPr>
            <w:tcW w:w="1292" w:type="pct"/>
          </w:tcPr>
          <w:p w14:paraId="4AE95FB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160,000</w:t>
            </w:r>
          </w:p>
        </w:tc>
        <w:tc>
          <w:tcPr>
            <w:cnfStyle w:val="000100000000" w:firstRow="0" w:lastRow="0" w:firstColumn="0" w:lastColumn="1" w:oddVBand="0" w:evenVBand="0" w:oddHBand="0" w:evenHBand="0" w:firstRowFirstColumn="0" w:firstRowLastColumn="0" w:lastRowFirstColumn="0" w:lastRowLastColumn="0"/>
            <w:tcW w:w="906" w:type="pct"/>
          </w:tcPr>
          <w:p w14:paraId="7609AB92" w14:textId="77777777" w:rsidR="00B44672" w:rsidRDefault="00B44672">
            <w:pPr>
              <w:pStyle w:val="Compact"/>
              <w:jc w:val="center"/>
            </w:pPr>
            <w:r>
              <w:t>0.1480</w:t>
            </w:r>
          </w:p>
        </w:tc>
      </w:tr>
      <w:tr w:rsidR="00B44672" w14:paraId="4095EEF0"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381" w:type="pct"/>
          </w:tcPr>
          <w:p w14:paraId="0820F1BE" w14:textId="77777777" w:rsidR="00B44672" w:rsidRDefault="00B44672">
            <w:pPr>
              <w:pStyle w:val="Compact"/>
              <w:jc w:val="center"/>
            </w:pPr>
            <w:r>
              <w:t>2016</w:t>
            </w:r>
          </w:p>
        </w:tc>
        <w:tc>
          <w:tcPr>
            <w:tcW w:w="1218" w:type="pct"/>
          </w:tcPr>
          <w:p w14:paraId="72E6B9A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468,000</w:t>
            </w:r>
          </w:p>
        </w:tc>
        <w:tc>
          <w:tcPr>
            <w:tcW w:w="1204" w:type="pct"/>
          </w:tcPr>
          <w:p w14:paraId="186CF4EA"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590,000</w:t>
            </w:r>
          </w:p>
        </w:tc>
        <w:tc>
          <w:tcPr>
            <w:tcW w:w="1292" w:type="pct"/>
          </w:tcPr>
          <w:p w14:paraId="26FC8628"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160,000</w:t>
            </w:r>
          </w:p>
        </w:tc>
        <w:tc>
          <w:tcPr>
            <w:cnfStyle w:val="000100000000" w:firstRow="0" w:lastRow="0" w:firstColumn="0" w:lastColumn="1" w:oddVBand="0" w:evenVBand="0" w:oddHBand="0" w:evenHBand="0" w:firstRowFirstColumn="0" w:firstRowLastColumn="0" w:lastRowFirstColumn="0" w:lastRowLastColumn="0"/>
            <w:tcW w:w="906" w:type="pct"/>
          </w:tcPr>
          <w:p w14:paraId="40B37B82" w14:textId="77777777" w:rsidR="00B44672" w:rsidRDefault="00B44672">
            <w:pPr>
              <w:pStyle w:val="Compact"/>
              <w:jc w:val="center"/>
            </w:pPr>
            <w:r>
              <w:t>0.1470</w:t>
            </w:r>
          </w:p>
        </w:tc>
      </w:tr>
      <w:tr w:rsidR="00B44672" w14:paraId="71C09259"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381" w:type="pct"/>
          </w:tcPr>
          <w:p w14:paraId="52FC3651" w14:textId="77777777" w:rsidR="00B44672" w:rsidRDefault="00B44672">
            <w:pPr>
              <w:pStyle w:val="Compact"/>
              <w:jc w:val="center"/>
            </w:pPr>
            <w:r>
              <w:t>2017</w:t>
            </w:r>
          </w:p>
        </w:tc>
        <w:tc>
          <w:tcPr>
            <w:tcW w:w="1218" w:type="pct"/>
          </w:tcPr>
          <w:p w14:paraId="30BCA60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470,000</w:t>
            </w:r>
          </w:p>
        </w:tc>
        <w:tc>
          <w:tcPr>
            <w:tcW w:w="1204" w:type="pct"/>
          </w:tcPr>
          <w:p w14:paraId="503B3EC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607,000</w:t>
            </w:r>
          </w:p>
        </w:tc>
        <w:tc>
          <w:tcPr>
            <w:tcW w:w="1292" w:type="pct"/>
          </w:tcPr>
          <w:p w14:paraId="0BE3398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160,000</w:t>
            </w:r>
          </w:p>
        </w:tc>
        <w:tc>
          <w:tcPr>
            <w:cnfStyle w:val="000100000000" w:firstRow="0" w:lastRow="0" w:firstColumn="0" w:lastColumn="1" w:oddVBand="0" w:evenVBand="0" w:oddHBand="0" w:evenHBand="0" w:firstRowFirstColumn="0" w:firstRowLastColumn="0" w:lastRowFirstColumn="0" w:lastRowLastColumn="0"/>
            <w:tcW w:w="906" w:type="pct"/>
          </w:tcPr>
          <w:p w14:paraId="27228121" w14:textId="77777777" w:rsidR="00B44672" w:rsidRDefault="00B44672">
            <w:pPr>
              <w:pStyle w:val="Compact"/>
              <w:jc w:val="center"/>
            </w:pPr>
            <w:r>
              <w:t>0.1305</w:t>
            </w:r>
          </w:p>
        </w:tc>
      </w:tr>
      <w:tr w:rsidR="00B44672" w14:paraId="47E44559" w14:textId="77777777" w:rsidTr="00B9775B">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1" w:type="pct"/>
          </w:tcPr>
          <w:p w14:paraId="03BB457D" w14:textId="77777777" w:rsidR="00B44672" w:rsidRDefault="00B44672">
            <w:pPr>
              <w:pStyle w:val="Compact"/>
              <w:jc w:val="center"/>
            </w:pPr>
            <w:r>
              <w:t>2018</w:t>
            </w:r>
          </w:p>
        </w:tc>
        <w:tc>
          <w:tcPr>
            <w:tcW w:w="1218" w:type="pct"/>
          </w:tcPr>
          <w:p w14:paraId="42658847"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470,000</w:t>
            </w:r>
          </w:p>
        </w:tc>
        <w:tc>
          <w:tcPr>
            <w:tcW w:w="1204" w:type="pct"/>
          </w:tcPr>
          <w:p w14:paraId="4C29EAA7"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607,000</w:t>
            </w:r>
          </w:p>
        </w:tc>
        <w:tc>
          <w:tcPr>
            <w:tcW w:w="1292" w:type="pct"/>
          </w:tcPr>
          <w:p w14:paraId="7F1BE0DB"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160,000</w:t>
            </w:r>
          </w:p>
        </w:tc>
        <w:tc>
          <w:tcPr>
            <w:cnfStyle w:val="000100000000" w:firstRow="0" w:lastRow="0" w:firstColumn="0" w:lastColumn="1" w:oddVBand="0" w:evenVBand="0" w:oddHBand="0" w:evenHBand="0" w:firstRowFirstColumn="0" w:firstRowLastColumn="0" w:lastRowFirstColumn="0" w:lastRowLastColumn="0"/>
            <w:tcW w:w="906" w:type="pct"/>
          </w:tcPr>
          <w:p w14:paraId="6B8E29BE" w14:textId="77777777" w:rsidR="00B44672" w:rsidRDefault="00B44672">
            <w:pPr>
              <w:pStyle w:val="Compact"/>
              <w:jc w:val="center"/>
            </w:pPr>
            <w:r>
              <w:t>0.1235</w:t>
            </w:r>
          </w:p>
        </w:tc>
      </w:tr>
    </w:tbl>
    <w:p w14:paraId="1B4553C1" w14:textId="77777777" w:rsidR="00B44672" w:rsidRDefault="00B44672">
      <w:pPr>
        <w:pStyle w:val="BlockText"/>
      </w:pPr>
      <w:r>
        <w:rPr>
          <w:i/>
        </w:rPr>
        <w:t>Source</w:t>
      </w:r>
      <w:r>
        <w:t xml:space="preserve">: Our calculations from the ACT government Budget Papers No. 3. </w:t>
      </w:r>
    </w:p>
    <w:p w14:paraId="4DAAE695" w14:textId="77777777" w:rsidR="00B44672" w:rsidRDefault="00B44672">
      <w:pPr>
        <w:pStyle w:val="Heading4"/>
      </w:pPr>
      <w:bookmarkStart w:id="91" w:name="b.-the-old-policy-3"/>
      <w:r>
        <w:t>b. The old policy</w:t>
      </w:r>
      <w:bookmarkEnd w:id="91"/>
    </w:p>
    <w:p w14:paraId="305CC94E" w14:textId="77777777" w:rsidR="00B44672" w:rsidRDefault="00B44672">
      <w:pPr>
        <w:pStyle w:val="FirstParagraph"/>
      </w:pPr>
      <w:r>
        <w:t>In the old tax policy scenario, we have assumed that the same proportion of HBCS would have applied with and without tax reform, which allows the dollar amount of concessions and concessions policy to vary in the new and old tax policies, but keeps the proportion of assistance constant. To do this, for each property transaction, the concession in the actual is divided by the duty payable in the actual. This ratio is then multiplied by the duty payable in the old tax policy to infer the concession in the old tax policy.</w:t>
      </w:r>
    </w:p>
    <w:p w14:paraId="72A393BE" w14:textId="77777777" w:rsidR="00B44672" w:rsidRDefault="00B44672">
      <w:pPr>
        <w:pStyle w:val="Heading3"/>
      </w:pPr>
      <w:bookmarkStart w:id="92" w:name="Xf4fd4240389f0841cc195ace7ee7eda06fdcd49"/>
      <w:bookmarkStart w:id="93" w:name="_Toc39241794"/>
      <w:bookmarkStart w:id="94" w:name="_Toc41941368"/>
      <w:r>
        <w:t>4.5. Pensioner Duty Concession Scheme (PDCS) rules</w:t>
      </w:r>
      <w:bookmarkEnd w:id="92"/>
      <w:bookmarkEnd w:id="93"/>
      <w:bookmarkEnd w:id="94"/>
    </w:p>
    <w:p w14:paraId="0867DB22" w14:textId="77777777" w:rsidR="00B44672" w:rsidRDefault="00B44672">
      <w:pPr>
        <w:pStyle w:val="Heading4"/>
      </w:pPr>
      <w:bookmarkStart w:id="95" w:name="a.-the-new-policy-4"/>
      <w:r>
        <w:t>a. The new policy</w:t>
      </w:r>
      <w:bookmarkEnd w:id="95"/>
    </w:p>
    <w:p w14:paraId="134E6B9D" w14:textId="77777777" w:rsidR="00B44672" w:rsidRDefault="00B44672">
      <w:pPr>
        <w:pStyle w:val="FirstParagraph"/>
      </w:pPr>
      <w:r>
        <w:t>Home buyers can pay a lower stamp duty if they are eligible for the Pensioner Duty Concession Scheme (PDCS). The PDCS assists eligible pensioners who purchase a new or established home and meet the following requirements:</w:t>
      </w:r>
    </w:p>
    <w:p w14:paraId="42832BB8" w14:textId="77777777" w:rsidR="00B44672" w:rsidRDefault="00B44672" w:rsidP="00B44672">
      <w:pPr>
        <w:numPr>
          <w:ilvl w:val="0"/>
          <w:numId w:val="1"/>
        </w:numPr>
        <w:tabs>
          <w:tab w:val="num" w:pos="0"/>
        </w:tabs>
        <w:spacing w:after="120"/>
        <w:ind w:left="482" w:hanging="482"/>
      </w:pPr>
      <w:r>
        <w:lastRenderedPageBreak/>
        <w:t>The home value must be less than the upper-value threshold.</w:t>
      </w:r>
    </w:p>
    <w:p w14:paraId="3D3108D6" w14:textId="77777777" w:rsidR="00B44672" w:rsidRDefault="00B44672" w:rsidP="00B44672">
      <w:pPr>
        <w:numPr>
          <w:ilvl w:val="0"/>
          <w:numId w:val="1"/>
        </w:numPr>
        <w:tabs>
          <w:tab w:val="num" w:pos="0"/>
        </w:tabs>
        <w:spacing w:after="120"/>
        <w:ind w:left="482" w:hanging="482"/>
      </w:pPr>
      <w:r>
        <w:t>At least one buyer of the home must be an eligible pensioner who receives an Australian age pension from Centrelink or the Department of Veterans’ Affairs (DVA); or receive a disability support pension from Centrelink and are at least 50 years old.</w:t>
      </w:r>
    </w:p>
    <w:p w14:paraId="1D2CCF2A" w14:textId="77777777" w:rsidR="00B44672" w:rsidRDefault="00B44672" w:rsidP="00B44672">
      <w:pPr>
        <w:numPr>
          <w:ilvl w:val="0"/>
          <w:numId w:val="1"/>
        </w:numPr>
        <w:tabs>
          <w:tab w:val="num" w:pos="0"/>
        </w:tabs>
        <w:spacing w:after="120"/>
        <w:ind w:left="482" w:hanging="482"/>
      </w:pPr>
      <w:r>
        <w:t>The former property must be sold within one year before or after the registration date.</w:t>
      </w:r>
    </w:p>
    <w:p w14:paraId="5B14346E" w14:textId="77777777" w:rsidR="00B44672" w:rsidRDefault="00B44672" w:rsidP="00B44672">
      <w:pPr>
        <w:numPr>
          <w:ilvl w:val="0"/>
          <w:numId w:val="1"/>
        </w:numPr>
        <w:tabs>
          <w:tab w:val="num" w:pos="0"/>
        </w:tabs>
        <w:ind w:left="480" w:hanging="480"/>
      </w:pPr>
      <w:r>
        <w:t>At least one person who will own the home must live in the home continuously for at least one year from the settlement date.</w:t>
      </w:r>
    </w:p>
    <w:p w14:paraId="312C4650" w14:textId="77777777" w:rsidR="00B44672" w:rsidRDefault="00B44672">
      <w:pPr>
        <w:pStyle w:val="FirstParagraph"/>
      </w:pPr>
      <w:r>
        <w:t xml:space="preserve">In 2011-12, for the home buyers who are eligible for the PDCS, they only had to pay $20 if the property value was lower than $470,000. If the property value was between $470,000 (the lower threshold) and $595,000 (the upper threshold), they had to pay the greater between $20 and the concessional duty amount which was calculated by equation (5) where the concession duty rate is 0.2075. In 2012-13, the property value thresholds were $560,000 (the lower threshold), and $705,000 (the upper threshold) and the concession duty rate was 0.202. In both years, if the property value is higher than the upper threshold, the home buyers </w:t>
      </w:r>
      <w:proofErr w:type="gramStart"/>
      <w:r>
        <w:t>have to</w:t>
      </w:r>
      <w:proofErr w:type="gramEnd"/>
      <w:r>
        <w:t xml:space="preserve"> pay the full duties. The trends of increases in property value thresholds and reductions in duty rates continued until the end of the period of interest (see Table 5 for details)</w:t>
      </w:r>
    </w:p>
    <w:p w14:paraId="0A92498D" w14:textId="77777777" w:rsidR="00B44672" w:rsidRDefault="00B44672">
      <w:pPr>
        <w:pStyle w:val="TableCaption"/>
      </w:pPr>
      <w:r>
        <w:t>Table 5 - The PDCS rate rules under the new policy in the ACT, 2012-18 (Unit: %)</w:t>
      </w:r>
    </w:p>
    <w:tbl>
      <w:tblPr>
        <w:tblStyle w:val="Table"/>
        <w:tblW w:w="5000" w:type="pct"/>
        <w:jc w:val="center"/>
        <w:tblCellMar>
          <w:left w:w="0" w:type="dxa"/>
          <w:right w:w="0" w:type="dxa"/>
        </w:tblCellMar>
        <w:tblLook w:val="07E0" w:firstRow="1" w:lastRow="1" w:firstColumn="1" w:lastColumn="1" w:noHBand="1" w:noVBand="1"/>
        <w:tblCaption w:val="Table 5 - The PDCS rate rules under the new policy in the ACT, 2012-18 (Unit: %)"/>
      </w:tblPr>
      <w:tblGrid>
        <w:gridCol w:w="926"/>
        <w:gridCol w:w="2961"/>
        <w:gridCol w:w="2926"/>
        <w:gridCol w:w="2202"/>
        <w:gridCol w:w="11"/>
      </w:tblGrid>
      <w:tr w:rsidR="00B44672" w14:paraId="3B20FC62" w14:textId="77777777" w:rsidTr="00B977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 w:type="pct"/>
            <w:tcBorders>
              <w:bottom w:val="single" w:sz="0" w:space="0" w:color="auto"/>
            </w:tcBorders>
            <w:vAlign w:val="bottom"/>
          </w:tcPr>
          <w:p w14:paraId="291C5B93" w14:textId="77777777" w:rsidR="00B44672" w:rsidRDefault="00B44672"/>
        </w:tc>
        <w:tc>
          <w:tcPr>
            <w:tcW w:w="1640" w:type="pct"/>
            <w:tcBorders>
              <w:bottom w:val="single" w:sz="0" w:space="0" w:color="auto"/>
            </w:tcBorders>
            <w:vAlign w:val="bottom"/>
          </w:tcPr>
          <w:p w14:paraId="3FF1D677"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Lower threshold</w:t>
            </w:r>
          </w:p>
        </w:tc>
        <w:tc>
          <w:tcPr>
            <w:tcW w:w="1621" w:type="pct"/>
            <w:tcBorders>
              <w:bottom w:val="single" w:sz="0" w:space="0" w:color="auto"/>
            </w:tcBorders>
            <w:vAlign w:val="bottom"/>
          </w:tcPr>
          <w:p w14:paraId="3BBD78AF"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Upper threshold</w:t>
            </w:r>
          </w:p>
        </w:tc>
        <w:tc>
          <w:tcPr>
            <w:tcW w:w="1220" w:type="pct"/>
            <w:tcBorders>
              <w:bottom w:val="single" w:sz="0" w:space="0" w:color="auto"/>
            </w:tcBorders>
            <w:vAlign w:val="bottom"/>
          </w:tcPr>
          <w:p w14:paraId="6ECBA92A"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Current rate</w:t>
            </w:r>
          </w:p>
        </w:tc>
        <w:tc>
          <w:tcPr>
            <w:cnfStyle w:val="000100000000" w:firstRow="0" w:lastRow="0" w:firstColumn="0" w:lastColumn="1" w:oddVBand="0" w:evenVBand="0" w:oddHBand="0" w:evenHBand="0" w:firstRowFirstColumn="0" w:firstRowLastColumn="0" w:lastRowFirstColumn="0" w:lastRowLastColumn="0"/>
            <w:tcW w:w="6" w:type="pct"/>
            <w:tcBorders>
              <w:bottom w:val="single" w:sz="0" w:space="0" w:color="auto"/>
            </w:tcBorders>
            <w:vAlign w:val="bottom"/>
          </w:tcPr>
          <w:p w14:paraId="16259710" w14:textId="77777777" w:rsidR="00B44672" w:rsidRDefault="00B44672"/>
        </w:tc>
      </w:tr>
      <w:tr w:rsidR="00B44672" w14:paraId="0B06645C"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513" w:type="pct"/>
          </w:tcPr>
          <w:p w14:paraId="7B7EFE96" w14:textId="77777777" w:rsidR="00B44672" w:rsidRDefault="00B44672">
            <w:pPr>
              <w:pStyle w:val="Compact"/>
              <w:jc w:val="center"/>
            </w:pPr>
            <w:r>
              <w:t>2012</w:t>
            </w:r>
          </w:p>
        </w:tc>
        <w:tc>
          <w:tcPr>
            <w:tcW w:w="1640" w:type="pct"/>
          </w:tcPr>
          <w:p w14:paraId="51F9A92B"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560,000</w:t>
            </w:r>
          </w:p>
        </w:tc>
        <w:tc>
          <w:tcPr>
            <w:tcW w:w="1621" w:type="pct"/>
          </w:tcPr>
          <w:p w14:paraId="71DBA70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705,000</w:t>
            </w:r>
          </w:p>
        </w:tc>
        <w:tc>
          <w:tcPr>
            <w:tcW w:w="1220" w:type="pct"/>
          </w:tcPr>
          <w:p w14:paraId="12A340D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0.2020</w:t>
            </w:r>
          </w:p>
        </w:tc>
        <w:tc>
          <w:tcPr>
            <w:cnfStyle w:val="000100000000" w:firstRow="0" w:lastRow="0" w:firstColumn="0" w:lastColumn="1" w:oddVBand="0" w:evenVBand="0" w:oddHBand="0" w:evenHBand="0" w:firstRowFirstColumn="0" w:firstRowLastColumn="0" w:lastRowFirstColumn="0" w:lastRowLastColumn="0"/>
            <w:tcW w:w="6" w:type="pct"/>
          </w:tcPr>
          <w:p w14:paraId="1BFB194D" w14:textId="77777777" w:rsidR="00B44672" w:rsidRDefault="00B44672"/>
        </w:tc>
      </w:tr>
      <w:tr w:rsidR="00B44672" w14:paraId="448CEA64"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513" w:type="pct"/>
          </w:tcPr>
          <w:p w14:paraId="0F44D88B" w14:textId="77777777" w:rsidR="00B44672" w:rsidRDefault="00B44672">
            <w:pPr>
              <w:pStyle w:val="Compact"/>
              <w:jc w:val="center"/>
            </w:pPr>
            <w:r>
              <w:t>2013</w:t>
            </w:r>
          </w:p>
        </w:tc>
        <w:tc>
          <w:tcPr>
            <w:tcW w:w="1640" w:type="pct"/>
          </w:tcPr>
          <w:p w14:paraId="5F340C0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580,900</w:t>
            </w:r>
          </w:p>
        </w:tc>
        <w:tc>
          <w:tcPr>
            <w:tcW w:w="1621" w:type="pct"/>
          </w:tcPr>
          <w:p w14:paraId="6ABE904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742,000</w:t>
            </w:r>
          </w:p>
        </w:tc>
        <w:tc>
          <w:tcPr>
            <w:tcW w:w="1220" w:type="pct"/>
          </w:tcPr>
          <w:p w14:paraId="2BB2F4C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0.1810</w:t>
            </w:r>
          </w:p>
        </w:tc>
        <w:tc>
          <w:tcPr>
            <w:cnfStyle w:val="000100000000" w:firstRow="0" w:lastRow="0" w:firstColumn="0" w:lastColumn="1" w:oddVBand="0" w:evenVBand="0" w:oddHBand="0" w:evenHBand="0" w:firstRowFirstColumn="0" w:firstRowLastColumn="0" w:lastRowFirstColumn="0" w:lastRowLastColumn="0"/>
            <w:tcW w:w="6" w:type="pct"/>
          </w:tcPr>
          <w:p w14:paraId="0B65341D" w14:textId="77777777" w:rsidR="00B44672" w:rsidRDefault="00B44672"/>
        </w:tc>
      </w:tr>
      <w:tr w:rsidR="00B44672" w14:paraId="6DAC3D5B"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513" w:type="pct"/>
          </w:tcPr>
          <w:p w14:paraId="6D08DE75" w14:textId="77777777" w:rsidR="00B44672" w:rsidRDefault="00B44672">
            <w:pPr>
              <w:pStyle w:val="Compact"/>
              <w:jc w:val="center"/>
            </w:pPr>
            <w:r>
              <w:t>2014</w:t>
            </w:r>
          </w:p>
        </w:tc>
        <w:tc>
          <w:tcPr>
            <w:tcW w:w="1640" w:type="pct"/>
          </w:tcPr>
          <w:p w14:paraId="084B306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610,000</w:t>
            </w:r>
          </w:p>
        </w:tc>
        <w:tc>
          <w:tcPr>
            <w:tcW w:w="1621" w:type="pct"/>
          </w:tcPr>
          <w:p w14:paraId="478DC49A"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780,000</w:t>
            </w:r>
          </w:p>
        </w:tc>
        <w:tc>
          <w:tcPr>
            <w:tcW w:w="1220" w:type="pct"/>
          </w:tcPr>
          <w:p w14:paraId="24BC1D3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0.1775</w:t>
            </w:r>
          </w:p>
        </w:tc>
        <w:tc>
          <w:tcPr>
            <w:cnfStyle w:val="000100000000" w:firstRow="0" w:lastRow="0" w:firstColumn="0" w:lastColumn="1" w:oddVBand="0" w:evenVBand="0" w:oddHBand="0" w:evenHBand="0" w:firstRowFirstColumn="0" w:firstRowLastColumn="0" w:lastRowFirstColumn="0" w:lastRowLastColumn="0"/>
            <w:tcW w:w="6" w:type="pct"/>
          </w:tcPr>
          <w:p w14:paraId="5FB99594" w14:textId="77777777" w:rsidR="00B44672" w:rsidRDefault="00B44672"/>
        </w:tc>
      </w:tr>
      <w:tr w:rsidR="00B44672" w14:paraId="133CB18A"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513" w:type="pct"/>
          </w:tcPr>
          <w:p w14:paraId="03BAD029" w14:textId="77777777" w:rsidR="00B44672" w:rsidRDefault="00B44672">
            <w:pPr>
              <w:pStyle w:val="Compact"/>
              <w:jc w:val="center"/>
            </w:pPr>
            <w:r>
              <w:t>2015</w:t>
            </w:r>
          </w:p>
        </w:tc>
        <w:tc>
          <w:tcPr>
            <w:tcW w:w="1640" w:type="pct"/>
          </w:tcPr>
          <w:p w14:paraId="30D0715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625,000</w:t>
            </w:r>
          </w:p>
        </w:tc>
        <w:tc>
          <w:tcPr>
            <w:tcW w:w="1621" w:type="pct"/>
          </w:tcPr>
          <w:p w14:paraId="4799C6AA"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807,000</w:t>
            </w:r>
          </w:p>
        </w:tc>
        <w:tc>
          <w:tcPr>
            <w:tcW w:w="1220" w:type="pct"/>
          </w:tcPr>
          <w:p w14:paraId="7167455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0.1690</w:t>
            </w:r>
          </w:p>
        </w:tc>
        <w:tc>
          <w:tcPr>
            <w:cnfStyle w:val="000100000000" w:firstRow="0" w:lastRow="0" w:firstColumn="0" w:lastColumn="1" w:oddVBand="0" w:evenVBand="0" w:oddHBand="0" w:evenHBand="0" w:firstRowFirstColumn="0" w:firstRowLastColumn="0" w:lastRowFirstColumn="0" w:lastRowLastColumn="0"/>
            <w:tcW w:w="6" w:type="pct"/>
          </w:tcPr>
          <w:p w14:paraId="21DC15CA" w14:textId="77777777" w:rsidR="00B44672" w:rsidRDefault="00B44672"/>
        </w:tc>
      </w:tr>
      <w:tr w:rsidR="00B44672" w14:paraId="76A9FF89"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513" w:type="pct"/>
          </w:tcPr>
          <w:p w14:paraId="1A73B5BB" w14:textId="77777777" w:rsidR="00B44672" w:rsidRDefault="00B44672">
            <w:pPr>
              <w:pStyle w:val="Compact"/>
              <w:jc w:val="center"/>
            </w:pPr>
            <w:r>
              <w:t>2016</w:t>
            </w:r>
          </w:p>
        </w:tc>
        <w:tc>
          <w:tcPr>
            <w:tcW w:w="1640" w:type="pct"/>
          </w:tcPr>
          <w:p w14:paraId="640F7C0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661,000</w:t>
            </w:r>
          </w:p>
        </w:tc>
        <w:tc>
          <w:tcPr>
            <w:tcW w:w="1621" w:type="pct"/>
          </w:tcPr>
          <w:p w14:paraId="41171CF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860,000</w:t>
            </w:r>
          </w:p>
        </w:tc>
        <w:tc>
          <w:tcPr>
            <w:tcW w:w="1220" w:type="pct"/>
          </w:tcPr>
          <w:p w14:paraId="2EBF47E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0.1660</w:t>
            </w:r>
          </w:p>
        </w:tc>
        <w:tc>
          <w:tcPr>
            <w:cnfStyle w:val="000100000000" w:firstRow="0" w:lastRow="0" w:firstColumn="0" w:lastColumn="1" w:oddVBand="0" w:evenVBand="0" w:oddHBand="0" w:evenHBand="0" w:firstRowFirstColumn="0" w:firstRowLastColumn="0" w:lastRowFirstColumn="0" w:lastRowLastColumn="0"/>
            <w:tcW w:w="6" w:type="pct"/>
          </w:tcPr>
          <w:p w14:paraId="7B368C1C" w14:textId="77777777" w:rsidR="00B44672" w:rsidRDefault="00B44672"/>
        </w:tc>
      </w:tr>
      <w:tr w:rsidR="00B44672" w14:paraId="06433B85"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513" w:type="pct"/>
          </w:tcPr>
          <w:p w14:paraId="72BD243A" w14:textId="77777777" w:rsidR="00B44672" w:rsidRDefault="00B44672">
            <w:pPr>
              <w:pStyle w:val="Compact"/>
              <w:jc w:val="center"/>
            </w:pPr>
            <w:r>
              <w:t>2017</w:t>
            </w:r>
          </w:p>
        </w:tc>
        <w:tc>
          <w:tcPr>
            <w:tcW w:w="1640" w:type="pct"/>
          </w:tcPr>
          <w:p w14:paraId="5D23AFD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680,500</w:t>
            </w:r>
          </w:p>
        </w:tc>
        <w:tc>
          <w:tcPr>
            <w:tcW w:w="1621" w:type="pct"/>
          </w:tcPr>
          <w:p w14:paraId="3D1DC52A"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895,000</w:t>
            </w:r>
          </w:p>
        </w:tc>
        <w:tc>
          <w:tcPr>
            <w:tcW w:w="1220" w:type="pct"/>
          </w:tcPr>
          <w:p w14:paraId="3A21B1FA"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0.1575</w:t>
            </w:r>
          </w:p>
        </w:tc>
        <w:tc>
          <w:tcPr>
            <w:cnfStyle w:val="000100000000" w:firstRow="0" w:lastRow="0" w:firstColumn="0" w:lastColumn="1" w:oddVBand="0" w:evenVBand="0" w:oddHBand="0" w:evenHBand="0" w:firstRowFirstColumn="0" w:firstRowLastColumn="0" w:lastRowFirstColumn="0" w:lastRowLastColumn="0"/>
            <w:tcW w:w="6" w:type="pct"/>
          </w:tcPr>
          <w:p w14:paraId="39B595DE" w14:textId="77777777" w:rsidR="00B44672" w:rsidRDefault="00B44672"/>
        </w:tc>
      </w:tr>
      <w:tr w:rsidR="00B44672" w14:paraId="089F11A8" w14:textId="77777777" w:rsidTr="00B9775B">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 w:type="pct"/>
          </w:tcPr>
          <w:p w14:paraId="5C4F16EF" w14:textId="77777777" w:rsidR="00B44672" w:rsidRDefault="00B44672">
            <w:pPr>
              <w:pStyle w:val="Compact"/>
              <w:jc w:val="center"/>
            </w:pPr>
            <w:r>
              <w:t>2018</w:t>
            </w:r>
          </w:p>
        </w:tc>
        <w:tc>
          <w:tcPr>
            <w:tcW w:w="1640" w:type="pct"/>
          </w:tcPr>
          <w:p w14:paraId="612FC2D0"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680,500</w:t>
            </w:r>
          </w:p>
        </w:tc>
        <w:tc>
          <w:tcPr>
            <w:tcW w:w="1621" w:type="pct"/>
          </w:tcPr>
          <w:p w14:paraId="0051864D"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895,000</w:t>
            </w:r>
          </w:p>
        </w:tc>
        <w:tc>
          <w:tcPr>
            <w:tcW w:w="1220" w:type="pct"/>
          </w:tcPr>
          <w:p w14:paraId="5299D831"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0.1505</w:t>
            </w:r>
          </w:p>
        </w:tc>
        <w:tc>
          <w:tcPr>
            <w:cnfStyle w:val="000100000000" w:firstRow="0" w:lastRow="0" w:firstColumn="0" w:lastColumn="1" w:oddVBand="0" w:evenVBand="0" w:oddHBand="0" w:evenHBand="0" w:firstRowFirstColumn="0" w:firstRowLastColumn="0" w:lastRowFirstColumn="0" w:lastRowLastColumn="0"/>
            <w:tcW w:w="6" w:type="pct"/>
          </w:tcPr>
          <w:p w14:paraId="7307ADAF" w14:textId="77777777" w:rsidR="00B44672" w:rsidRDefault="00B44672"/>
        </w:tc>
      </w:tr>
    </w:tbl>
    <w:p w14:paraId="59750FE7" w14:textId="77777777" w:rsidR="00B44672" w:rsidRDefault="00B44672">
      <w:pPr>
        <w:pStyle w:val="BlockText"/>
      </w:pPr>
      <w:r>
        <w:rPr>
          <w:i/>
        </w:rPr>
        <w:t>Source</w:t>
      </w:r>
      <w:r>
        <w:t xml:space="preserve">: Our calculations from the ACT government Budget Papers No. 3. </w:t>
      </w:r>
    </w:p>
    <w:p w14:paraId="7AF001C2" w14:textId="77777777" w:rsidR="00B44672" w:rsidRDefault="00B44672">
      <w:pPr>
        <w:pStyle w:val="Heading4"/>
      </w:pPr>
      <w:bookmarkStart w:id="96" w:name="b.-the-old-policy-4"/>
      <w:r>
        <w:t>b. The old policy</w:t>
      </w:r>
      <w:bookmarkEnd w:id="96"/>
    </w:p>
    <w:p w14:paraId="64805E72" w14:textId="77777777" w:rsidR="00B44672" w:rsidRDefault="00B44672">
      <w:pPr>
        <w:pStyle w:val="FirstParagraph"/>
      </w:pPr>
      <w:proofErr w:type="gramStart"/>
      <w:r>
        <w:t>Similar to</w:t>
      </w:r>
      <w:proofErr w:type="gramEnd"/>
      <w:r>
        <w:t xml:space="preserve"> HBCS, to construct the old tax policy scenario, we have also assumed that similar proportion of PDCS would have applied with and without tax reform. To do this, again, for each property transaction, the concession in the new policy is divided by the duty payable under this policy and then multiplied by the duty payable under the old tax policy to compute the concession amount for the case that the reform did not happen.</w:t>
      </w:r>
    </w:p>
    <w:p w14:paraId="2BB415B4" w14:textId="77777777" w:rsidR="00B44672" w:rsidRDefault="00B44672">
      <w:pPr>
        <w:pStyle w:val="Heading3"/>
      </w:pPr>
      <w:bookmarkStart w:id="97" w:name="X0c9e998f6f740365c92522f951d12ef96296467"/>
      <w:bookmarkStart w:id="98" w:name="_Toc39241795"/>
      <w:bookmarkStart w:id="99" w:name="_Toc41941369"/>
      <w:r>
        <w:t xml:space="preserve">4.6. First </w:t>
      </w:r>
      <w:proofErr w:type="gramStart"/>
      <w:r>
        <w:t>Home Owner</w:t>
      </w:r>
      <w:proofErr w:type="gramEnd"/>
      <w:r>
        <w:t xml:space="preserve"> Grant (FHOG) and Land tax rules</w:t>
      </w:r>
      <w:bookmarkEnd w:id="97"/>
      <w:bookmarkEnd w:id="98"/>
      <w:bookmarkEnd w:id="99"/>
    </w:p>
    <w:p w14:paraId="36B16F83" w14:textId="77777777" w:rsidR="00B44672" w:rsidRDefault="00B44672">
      <w:pPr>
        <w:pStyle w:val="FirstParagraph"/>
      </w:pPr>
      <w:r>
        <w:t>Besides rates and stamp duties, another benefit (FHOG) and payment are also of our interest because they affect our identification of whether an income unit will meet the borrowing constraint or not. In this section, we review the FHOG rules and land tax rules which are incorporated in our model.</w:t>
      </w:r>
    </w:p>
    <w:p w14:paraId="500FB541" w14:textId="77777777" w:rsidR="00B44672" w:rsidRDefault="00B44672">
      <w:pPr>
        <w:pStyle w:val="Heading4"/>
      </w:pPr>
      <w:bookmarkStart w:id="100" w:name="a.-first-home-owner-grant-fhog-rules"/>
      <w:r>
        <w:t xml:space="preserve">a. First </w:t>
      </w:r>
      <w:proofErr w:type="gramStart"/>
      <w:r>
        <w:t>Home Owner</w:t>
      </w:r>
      <w:proofErr w:type="gramEnd"/>
      <w:r>
        <w:t xml:space="preserve"> Grant (FHOG) rules</w:t>
      </w:r>
      <w:bookmarkEnd w:id="100"/>
    </w:p>
    <w:p w14:paraId="05A94F17" w14:textId="77777777" w:rsidR="00B44672" w:rsidRDefault="00B44672">
      <w:pPr>
        <w:pStyle w:val="FirstParagraph"/>
      </w:pPr>
      <w:r>
        <w:t xml:space="preserve">The First </w:t>
      </w:r>
      <w:proofErr w:type="gramStart"/>
      <w:r>
        <w:t>Home Owner</w:t>
      </w:r>
      <w:proofErr w:type="gramEnd"/>
      <w:r>
        <w:t xml:space="preserve"> Grant (FHOG) provides financial assistance to eligible people who are buying their first new or substantially renovated home. Before September 2013, this grant was available for established homes.</w:t>
      </w:r>
    </w:p>
    <w:p w14:paraId="4B4BDBFA" w14:textId="77777777" w:rsidR="00B44672" w:rsidRDefault="00B44672">
      <w:pPr>
        <w:pStyle w:val="BodyText"/>
      </w:pPr>
      <w:r>
        <w:lastRenderedPageBreak/>
        <w:t>To be eligible for the FHOG, potential homeowners need to meet the following requirements:</w:t>
      </w:r>
    </w:p>
    <w:p w14:paraId="3842EF9F" w14:textId="77777777" w:rsidR="00B44672" w:rsidRDefault="00B44672" w:rsidP="00B44672">
      <w:pPr>
        <w:numPr>
          <w:ilvl w:val="0"/>
          <w:numId w:val="1"/>
        </w:numPr>
        <w:tabs>
          <w:tab w:val="num" w:pos="0"/>
        </w:tabs>
        <w:ind w:left="480" w:hanging="480"/>
      </w:pPr>
      <w:r>
        <w:t>The total value of the property (home plus land) must be $750,000 or less.</w:t>
      </w:r>
    </w:p>
    <w:p w14:paraId="7AEF6C84" w14:textId="77777777" w:rsidR="00B44672" w:rsidRDefault="00B44672" w:rsidP="00B44672">
      <w:pPr>
        <w:numPr>
          <w:ilvl w:val="0"/>
          <w:numId w:val="1"/>
        </w:numPr>
        <w:tabs>
          <w:tab w:val="num" w:pos="0"/>
        </w:tabs>
        <w:ind w:left="480" w:hanging="480"/>
      </w:pPr>
      <w:r>
        <w:t>They need to move into the home within 12 months of the settlement date and live in the home as a principal place of residence for a continuous period of at least one year.</w:t>
      </w:r>
    </w:p>
    <w:p w14:paraId="4E230847" w14:textId="77777777" w:rsidR="00B44672" w:rsidRDefault="00B44672" w:rsidP="00B44672">
      <w:pPr>
        <w:numPr>
          <w:ilvl w:val="0"/>
          <w:numId w:val="1"/>
        </w:numPr>
        <w:tabs>
          <w:tab w:val="num" w:pos="0"/>
        </w:tabs>
        <w:ind w:left="480" w:hanging="480"/>
      </w:pPr>
      <w:r>
        <w:t xml:space="preserve">They must not </w:t>
      </w:r>
      <w:proofErr w:type="spellStart"/>
      <w:proofErr w:type="gramStart"/>
      <w:r>
        <w:t>received</w:t>
      </w:r>
      <w:proofErr w:type="spellEnd"/>
      <w:proofErr w:type="gramEnd"/>
      <w:r>
        <w:t xml:space="preserve"> the FHOG anywhere in Australia.</w:t>
      </w:r>
    </w:p>
    <w:p w14:paraId="31015D3E" w14:textId="77777777" w:rsidR="00B44672" w:rsidRDefault="00B44672">
      <w:pPr>
        <w:pStyle w:val="FirstParagraph"/>
      </w:pPr>
      <w:r>
        <w:t>According to the ACT government’s FHOG Amendment Act 2009, 2013, 2016 and the ACT revenue office website, the amount of the FHOG reduced over the period of interest, with $21,000 in 2011-12 and 2012-13, $12,500 in 2013-14, 2014-15 and 2015-16, $10,000 in 2016-17 and $7,000 in 2017-18 for first homeowners who purchased a new home. Except for the recent abolition of the FHOG on 1 July 2019, changes that have been made to the FHOG before that are unrelated to the ACT Government’s tax reform policy. Therefore, no change in FHOG is applied under the old tax policy. The FHOG cap of $750,000 is kept constant for both the new and old tax policies.</w:t>
      </w:r>
    </w:p>
    <w:p w14:paraId="1C62D803" w14:textId="77777777" w:rsidR="00B44672" w:rsidRDefault="00B44672">
      <w:pPr>
        <w:pStyle w:val="Heading4"/>
      </w:pPr>
      <w:bookmarkStart w:id="101" w:name="b.-land-tax-rules"/>
      <w:r>
        <w:t>b. Land tax rules</w:t>
      </w:r>
      <w:bookmarkEnd w:id="101"/>
    </w:p>
    <w:p w14:paraId="17059F51" w14:textId="77777777" w:rsidR="00B44672" w:rsidRDefault="00B44672">
      <w:pPr>
        <w:pStyle w:val="FirstParagraph"/>
      </w:pPr>
      <w:r>
        <w:t>Land tax is charged on the residential property, which is not the principal place of residence. Like the rate rules, the amount of land tax is made up of two components: a fixed charge (</w:t>
      </w:r>
      <m:oMath>
        <m:r>
          <w:rPr>
            <w:rFonts w:ascii="Cambria Math" w:hAnsi="Cambria Math"/>
          </w:rPr>
          <m:t>FV</m:t>
        </m:r>
      </m:oMath>
      <w:r>
        <w:t>) and a valuation charge. According to the ACT government’s Taxation Administration (Land Tax) Determination, the fixed charge was not applied u</w:t>
      </w:r>
      <w:proofErr w:type="spellStart"/>
      <w:r>
        <w:t>ntil</w:t>
      </w:r>
      <w:proofErr w:type="spellEnd"/>
      <w:r>
        <w:t xml:space="preserve"> the financial year of 2014-15. For the valuation charge, the equation to calculate this charge is </w:t>
      </w:r>
      <w:proofErr w:type="gramStart"/>
      <w:r>
        <w:t>similar to</w:t>
      </w:r>
      <w:proofErr w:type="gramEnd"/>
      <w:r>
        <w:t xml:space="preserve"> the equation (1). The land tax rules were kept unchanged for the period from 2005-06 to 2011-12. Since 2012-13, the value thresholds (</w:t>
      </w:r>
      <m:oMath>
        <m:r>
          <w:rPr>
            <w:rFonts w:ascii="Cambria Math" w:hAnsi="Cambria Math"/>
          </w:rPr>
          <m:t>AUV</m:t>
        </m:r>
      </m:oMath>
      <w:r>
        <w:t>) and ratios (</w:t>
      </w:r>
      <m:oMath>
        <m:r>
          <w:rPr>
            <w:rFonts w:ascii="Cambria Math" w:hAnsi="Cambria Math"/>
          </w:rPr>
          <m:t>P</m:t>
        </m:r>
      </m:oMath>
      <w:r>
        <w:t>) change over time. The land tax rules for the new tax policy are shown in Table 6. Because residential land tax changes are not part of tax reform, residential land tax rules applied in the modelling are the same between the new and old tax policies.</w:t>
      </w:r>
    </w:p>
    <w:p w14:paraId="4DBDB10E" w14:textId="77777777" w:rsidR="00B44672" w:rsidRDefault="00B44672">
      <w:pPr>
        <w:pStyle w:val="TableCaption"/>
      </w:pPr>
      <w:r>
        <w:t>Table 6 - The land tax rules under the new and old tax policies in the ACT, 2011-18</w:t>
      </w:r>
    </w:p>
    <w:tbl>
      <w:tblPr>
        <w:tblStyle w:val="Table"/>
        <w:tblW w:w="5000" w:type="pct"/>
        <w:jc w:val="center"/>
        <w:tblCellMar>
          <w:left w:w="0" w:type="dxa"/>
          <w:right w:w="0" w:type="dxa"/>
        </w:tblCellMar>
        <w:tblLook w:val="07E0" w:firstRow="1" w:lastRow="1" w:firstColumn="1" w:lastColumn="1" w:noHBand="1" w:noVBand="1"/>
        <w:tblCaption w:val="Table 6 - The land tax rules under the new and old tax policies in the ACT, 2011-18"/>
      </w:tblPr>
      <w:tblGrid>
        <w:gridCol w:w="1481"/>
        <w:gridCol w:w="2338"/>
        <w:gridCol w:w="646"/>
        <w:gridCol w:w="646"/>
        <w:gridCol w:w="646"/>
        <w:gridCol w:w="646"/>
        <w:gridCol w:w="646"/>
        <w:gridCol w:w="659"/>
        <w:gridCol w:w="659"/>
        <w:gridCol w:w="659"/>
      </w:tblGrid>
      <w:tr w:rsidR="00B44672" w14:paraId="751C8701" w14:textId="77777777" w:rsidTr="00B977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 w:type="pct"/>
            <w:tcBorders>
              <w:bottom w:val="single" w:sz="0" w:space="0" w:color="auto"/>
            </w:tcBorders>
            <w:vAlign w:val="bottom"/>
          </w:tcPr>
          <w:p w14:paraId="013E3CA2" w14:textId="77777777" w:rsidR="00B44672" w:rsidRDefault="00B44672">
            <w:pPr>
              <w:pStyle w:val="Compact"/>
            </w:pPr>
            <w:r>
              <w:rPr>
                <w:b/>
              </w:rPr>
              <w:t>Category</w:t>
            </w:r>
          </w:p>
        </w:tc>
        <w:tc>
          <w:tcPr>
            <w:tcW w:w="1295" w:type="pct"/>
            <w:tcBorders>
              <w:bottom w:val="single" w:sz="0" w:space="0" w:color="auto"/>
            </w:tcBorders>
            <w:vAlign w:val="bottom"/>
          </w:tcPr>
          <w:p w14:paraId="4BA8BE76" w14:textId="77777777" w:rsidR="00B44672" w:rsidRDefault="00B44672">
            <w:pPr>
              <w:pStyle w:val="Compact"/>
              <w:cnfStyle w:val="100000000000" w:firstRow="1" w:lastRow="0" w:firstColumn="0" w:lastColumn="0" w:oddVBand="0" w:evenVBand="0" w:oddHBand="0" w:evenHBand="0" w:firstRowFirstColumn="0" w:firstRowLastColumn="0" w:lastRowFirstColumn="0" w:lastRowLastColumn="0"/>
            </w:pPr>
            <w:r>
              <w:rPr>
                <w:b/>
              </w:rPr>
              <w:t>AUV Threshold ($)</w:t>
            </w:r>
          </w:p>
        </w:tc>
        <w:tc>
          <w:tcPr>
            <w:tcW w:w="358" w:type="pct"/>
            <w:tcBorders>
              <w:bottom w:val="single" w:sz="0" w:space="0" w:color="auto"/>
            </w:tcBorders>
            <w:vAlign w:val="bottom"/>
          </w:tcPr>
          <w:p w14:paraId="239F83C5"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rPr>
                <w:b/>
              </w:rPr>
              <w:t>2011</w:t>
            </w:r>
          </w:p>
        </w:tc>
        <w:tc>
          <w:tcPr>
            <w:tcW w:w="358" w:type="pct"/>
            <w:tcBorders>
              <w:bottom w:val="single" w:sz="0" w:space="0" w:color="auto"/>
            </w:tcBorders>
            <w:vAlign w:val="bottom"/>
          </w:tcPr>
          <w:p w14:paraId="398EE5C6"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rPr>
                <w:b/>
              </w:rPr>
              <w:t>2012</w:t>
            </w:r>
          </w:p>
        </w:tc>
        <w:tc>
          <w:tcPr>
            <w:tcW w:w="358" w:type="pct"/>
            <w:tcBorders>
              <w:bottom w:val="single" w:sz="0" w:space="0" w:color="auto"/>
            </w:tcBorders>
            <w:vAlign w:val="bottom"/>
          </w:tcPr>
          <w:p w14:paraId="3A11A22A"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rPr>
                <w:b/>
              </w:rPr>
              <w:t>2013</w:t>
            </w:r>
          </w:p>
        </w:tc>
        <w:tc>
          <w:tcPr>
            <w:tcW w:w="358" w:type="pct"/>
            <w:tcBorders>
              <w:bottom w:val="single" w:sz="0" w:space="0" w:color="auto"/>
            </w:tcBorders>
            <w:vAlign w:val="bottom"/>
          </w:tcPr>
          <w:p w14:paraId="5186F8CD"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rPr>
                <w:b/>
              </w:rPr>
              <w:t>2014</w:t>
            </w:r>
          </w:p>
        </w:tc>
        <w:tc>
          <w:tcPr>
            <w:tcW w:w="358" w:type="pct"/>
            <w:tcBorders>
              <w:bottom w:val="single" w:sz="0" w:space="0" w:color="auto"/>
            </w:tcBorders>
            <w:vAlign w:val="bottom"/>
          </w:tcPr>
          <w:p w14:paraId="4203BE9E"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rPr>
                <w:b/>
              </w:rPr>
              <w:t>2015</w:t>
            </w:r>
          </w:p>
        </w:tc>
        <w:tc>
          <w:tcPr>
            <w:tcW w:w="365" w:type="pct"/>
            <w:tcBorders>
              <w:bottom w:val="single" w:sz="0" w:space="0" w:color="auto"/>
            </w:tcBorders>
            <w:vAlign w:val="bottom"/>
          </w:tcPr>
          <w:p w14:paraId="24B48DB0"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rPr>
                <w:b/>
              </w:rPr>
              <w:t>2016</w:t>
            </w:r>
          </w:p>
        </w:tc>
        <w:tc>
          <w:tcPr>
            <w:tcW w:w="365" w:type="pct"/>
            <w:tcBorders>
              <w:bottom w:val="single" w:sz="0" w:space="0" w:color="auto"/>
            </w:tcBorders>
            <w:vAlign w:val="bottom"/>
          </w:tcPr>
          <w:p w14:paraId="3DAC6E0E"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rPr>
                <w:b/>
              </w:rPr>
              <w:t>2017</w:t>
            </w:r>
          </w:p>
        </w:tc>
        <w:tc>
          <w:tcPr>
            <w:cnfStyle w:val="000100000000" w:firstRow="0" w:lastRow="0" w:firstColumn="0" w:lastColumn="1" w:oddVBand="0" w:evenVBand="0" w:oddHBand="0" w:evenHBand="0" w:firstRowFirstColumn="0" w:firstRowLastColumn="0" w:lastRowFirstColumn="0" w:lastRowLastColumn="0"/>
            <w:tcW w:w="365" w:type="pct"/>
            <w:tcBorders>
              <w:bottom w:val="single" w:sz="0" w:space="0" w:color="auto"/>
            </w:tcBorders>
            <w:vAlign w:val="bottom"/>
          </w:tcPr>
          <w:p w14:paraId="1B06F61D" w14:textId="77777777" w:rsidR="00B44672" w:rsidRDefault="00B44672">
            <w:pPr>
              <w:pStyle w:val="Compact"/>
              <w:jc w:val="center"/>
            </w:pPr>
            <w:r>
              <w:rPr>
                <w:b/>
              </w:rPr>
              <w:t>2018</w:t>
            </w:r>
          </w:p>
        </w:tc>
      </w:tr>
      <w:tr w:rsidR="00B44672" w14:paraId="3759806A"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820" w:type="pct"/>
          </w:tcPr>
          <w:p w14:paraId="627434B6" w14:textId="77777777" w:rsidR="00B44672" w:rsidRDefault="00B44672">
            <w:pPr>
              <w:pStyle w:val="Compact"/>
            </w:pPr>
            <w:r>
              <w:t>Fixed charge</w:t>
            </w:r>
          </w:p>
        </w:tc>
        <w:tc>
          <w:tcPr>
            <w:tcW w:w="1295" w:type="pct"/>
          </w:tcPr>
          <w:p w14:paraId="1F1713FE"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358" w:type="pct"/>
          </w:tcPr>
          <w:p w14:paraId="5366C40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358" w:type="pct"/>
          </w:tcPr>
          <w:p w14:paraId="287A0DD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358" w:type="pct"/>
          </w:tcPr>
          <w:p w14:paraId="6D71C2C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358" w:type="pct"/>
          </w:tcPr>
          <w:p w14:paraId="404A25A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900</w:t>
            </w:r>
          </w:p>
        </w:tc>
        <w:tc>
          <w:tcPr>
            <w:tcW w:w="358" w:type="pct"/>
          </w:tcPr>
          <w:p w14:paraId="779478D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945</w:t>
            </w:r>
          </w:p>
        </w:tc>
        <w:tc>
          <w:tcPr>
            <w:tcW w:w="365" w:type="pct"/>
          </w:tcPr>
          <w:p w14:paraId="15EDFC1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1,090</w:t>
            </w:r>
          </w:p>
        </w:tc>
        <w:tc>
          <w:tcPr>
            <w:tcW w:w="365" w:type="pct"/>
          </w:tcPr>
          <w:p w14:paraId="65ED12F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1,145</w:t>
            </w:r>
          </w:p>
        </w:tc>
        <w:tc>
          <w:tcPr>
            <w:cnfStyle w:val="000100000000" w:firstRow="0" w:lastRow="0" w:firstColumn="0" w:lastColumn="1" w:oddVBand="0" w:evenVBand="0" w:oddHBand="0" w:evenHBand="0" w:firstRowFirstColumn="0" w:firstRowLastColumn="0" w:lastRowFirstColumn="0" w:lastRowLastColumn="0"/>
            <w:tcW w:w="365" w:type="pct"/>
          </w:tcPr>
          <w:p w14:paraId="52FC6272" w14:textId="77777777" w:rsidR="00B44672" w:rsidRDefault="00B44672">
            <w:pPr>
              <w:pStyle w:val="Compact"/>
              <w:jc w:val="center"/>
            </w:pPr>
            <w:r>
              <w:t>1,203</w:t>
            </w:r>
          </w:p>
        </w:tc>
      </w:tr>
      <w:tr w:rsidR="00B44672" w14:paraId="08050AC3"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820" w:type="pct"/>
          </w:tcPr>
          <w:p w14:paraId="7FA0238B" w14:textId="77777777" w:rsidR="00B44672" w:rsidRDefault="00B44672">
            <w:pPr>
              <w:pStyle w:val="Compact"/>
            </w:pPr>
            <w:r>
              <w:t>Rate 1 (%)</w:t>
            </w:r>
          </w:p>
        </w:tc>
        <w:tc>
          <w:tcPr>
            <w:tcW w:w="1295" w:type="pct"/>
          </w:tcPr>
          <w:p w14:paraId="3D807ED0" w14:textId="77777777" w:rsidR="00B44672" w:rsidRDefault="00B44672">
            <w:pPr>
              <w:pStyle w:val="Compact"/>
              <w:cnfStyle w:val="000000000000" w:firstRow="0" w:lastRow="0" w:firstColumn="0" w:lastColumn="0" w:oddVBand="0" w:evenVBand="0" w:oddHBand="0" w:evenHBand="0" w:firstRowFirstColumn="0" w:firstRowLastColumn="0" w:lastRowFirstColumn="0" w:lastRowLastColumn="0"/>
            </w:pPr>
            <w:r>
              <w:t>0 - 75,000</w:t>
            </w:r>
          </w:p>
        </w:tc>
        <w:tc>
          <w:tcPr>
            <w:tcW w:w="358" w:type="pct"/>
          </w:tcPr>
          <w:p w14:paraId="058DBA0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0.6</w:t>
            </w:r>
          </w:p>
        </w:tc>
        <w:tc>
          <w:tcPr>
            <w:tcW w:w="358" w:type="pct"/>
          </w:tcPr>
          <w:p w14:paraId="29261E18"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0.6</w:t>
            </w:r>
          </w:p>
        </w:tc>
        <w:tc>
          <w:tcPr>
            <w:tcW w:w="358" w:type="pct"/>
          </w:tcPr>
          <w:p w14:paraId="365D551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0.6</w:t>
            </w:r>
          </w:p>
        </w:tc>
        <w:tc>
          <w:tcPr>
            <w:tcW w:w="358" w:type="pct"/>
          </w:tcPr>
          <w:p w14:paraId="3596FD92"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0.41</w:t>
            </w:r>
          </w:p>
        </w:tc>
        <w:tc>
          <w:tcPr>
            <w:tcW w:w="358" w:type="pct"/>
          </w:tcPr>
          <w:p w14:paraId="7C8AA12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0.41</w:t>
            </w:r>
          </w:p>
        </w:tc>
        <w:tc>
          <w:tcPr>
            <w:tcW w:w="365" w:type="pct"/>
          </w:tcPr>
          <w:p w14:paraId="6D56451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0.41</w:t>
            </w:r>
          </w:p>
        </w:tc>
        <w:tc>
          <w:tcPr>
            <w:tcW w:w="365" w:type="pct"/>
          </w:tcPr>
          <w:p w14:paraId="21A4719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0.5</w:t>
            </w:r>
          </w:p>
        </w:tc>
        <w:tc>
          <w:tcPr>
            <w:cnfStyle w:val="000100000000" w:firstRow="0" w:lastRow="0" w:firstColumn="0" w:lastColumn="1" w:oddVBand="0" w:evenVBand="0" w:oddHBand="0" w:evenHBand="0" w:firstRowFirstColumn="0" w:firstRowLastColumn="0" w:lastRowFirstColumn="0" w:lastRowLastColumn="0"/>
            <w:tcW w:w="365" w:type="pct"/>
          </w:tcPr>
          <w:p w14:paraId="3CA7AF83" w14:textId="77777777" w:rsidR="00B44672" w:rsidRDefault="00B44672">
            <w:pPr>
              <w:pStyle w:val="Compact"/>
              <w:jc w:val="center"/>
            </w:pPr>
            <w:r>
              <w:t>0.5</w:t>
            </w:r>
          </w:p>
        </w:tc>
      </w:tr>
      <w:tr w:rsidR="00B44672" w14:paraId="4D7462B4"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820" w:type="pct"/>
          </w:tcPr>
          <w:p w14:paraId="447A89F8" w14:textId="77777777" w:rsidR="00B44672" w:rsidRDefault="00B44672">
            <w:pPr>
              <w:pStyle w:val="Compact"/>
            </w:pPr>
            <w:r>
              <w:t>Rate 2 (%)</w:t>
            </w:r>
          </w:p>
        </w:tc>
        <w:tc>
          <w:tcPr>
            <w:tcW w:w="1295" w:type="pct"/>
          </w:tcPr>
          <w:p w14:paraId="2C0BD29A" w14:textId="77777777" w:rsidR="00B44672" w:rsidRDefault="00B44672">
            <w:pPr>
              <w:pStyle w:val="Compact"/>
              <w:cnfStyle w:val="000000000000" w:firstRow="0" w:lastRow="0" w:firstColumn="0" w:lastColumn="0" w:oddVBand="0" w:evenVBand="0" w:oddHBand="0" w:evenHBand="0" w:firstRowFirstColumn="0" w:firstRowLastColumn="0" w:lastRowFirstColumn="0" w:lastRowLastColumn="0"/>
            </w:pPr>
            <w:r>
              <w:t>75,001 - 150,000</w:t>
            </w:r>
          </w:p>
        </w:tc>
        <w:tc>
          <w:tcPr>
            <w:tcW w:w="358" w:type="pct"/>
          </w:tcPr>
          <w:p w14:paraId="5C9B19D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0.89</w:t>
            </w:r>
          </w:p>
        </w:tc>
        <w:tc>
          <w:tcPr>
            <w:tcW w:w="358" w:type="pct"/>
          </w:tcPr>
          <w:p w14:paraId="453A1F6C"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0.7</w:t>
            </w:r>
          </w:p>
        </w:tc>
        <w:tc>
          <w:tcPr>
            <w:tcW w:w="358" w:type="pct"/>
          </w:tcPr>
          <w:p w14:paraId="61D44A6C"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0.7</w:t>
            </w:r>
          </w:p>
        </w:tc>
        <w:tc>
          <w:tcPr>
            <w:tcW w:w="358" w:type="pct"/>
          </w:tcPr>
          <w:p w14:paraId="2838096C"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0.48</w:t>
            </w:r>
          </w:p>
        </w:tc>
        <w:tc>
          <w:tcPr>
            <w:tcW w:w="358" w:type="pct"/>
          </w:tcPr>
          <w:p w14:paraId="08CE353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0.48</w:t>
            </w:r>
          </w:p>
        </w:tc>
        <w:tc>
          <w:tcPr>
            <w:tcW w:w="365" w:type="pct"/>
          </w:tcPr>
          <w:p w14:paraId="69DBAB82"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0.48</w:t>
            </w:r>
          </w:p>
        </w:tc>
        <w:tc>
          <w:tcPr>
            <w:tcW w:w="365" w:type="pct"/>
          </w:tcPr>
          <w:p w14:paraId="2B4F8D18"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0.5</w:t>
            </w:r>
          </w:p>
        </w:tc>
        <w:tc>
          <w:tcPr>
            <w:cnfStyle w:val="000100000000" w:firstRow="0" w:lastRow="0" w:firstColumn="0" w:lastColumn="1" w:oddVBand="0" w:evenVBand="0" w:oddHBand="0" w:evenHBand="0" w:firstRowFirstColumn="0" w:firstRowLastColumn="0" w:lastRowFirstColumn="0" w:lastRowLastColumn="0"/>
            <w:tcW w:w="365" w:type="pct"/>
          </w:tcPr>
          <w:p w14:paraId="25E496A8" w14:textId="77777777" w:rsidR="00B44672" w:rsidRDefault="00B44672">
            <w:pPr>
              <w:pStyle w:val="Compact"/>
              <w:jc w:val="center"/>
            </w:pPr>
            <w:r>
              <w:t>0.5</w:t>
            </w:r>
          </w:p>
        </w:tc>
      </w:tr>
      <w:tr w:rsidR="00B44672" w14:paraId="5C588C0F"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820" w:type="pct"/>
          </w:tcPr>
          <w:p w14:paraId="04FB6BA9" w14:textId="77777777" w:rsidR="00B44672" w:rsidRDefault="00B44672">
            <w:pPr>
              <w:pStyle w:val="Compact"/>
            </w:pPr>
            <w:r>
              <w:t>Rate 3 (%)</w:t>
            </w:r>
          </w:p>
        </w:tc>
        <w:tc>
          <w:tcPr>
            <w:tcW w:w="1295" w:type="pct"/>
          </w:tcPr>
          <w:p w14:paraId="3C5DE4D2" w14:textId="77777777" w:rsidR="00B44672" w:rsidRDefault="00B44672">
            <w:pPr>
              <w:pStyle w:val="Compact"/>
              <w:cnfStyle w:val="000000000000" w:firstRow="0" w:lastRow="0" w:firstColumn="0" w:lastColumn="0" w:oddVBand="0" w:evenVBand="0" w:oddHBand="0" w:evenHBand="0" w:firstRowFirstColumn="0" w:firstRowLastColumn="0" w:lastRowFirstColumn="0" w:lastRowLastColumn="0"/>
            </w:pPr>
            <w:r>
              <w:t>150,001 - 275,000</w:t>
            </w:r>
          </w:p>
        </w:tc>
        <w:tc>
          <w:tcPr>
            <w:tcW w:w="358" w:type="pct"/>
          </w:tcPr>
          <w:p w14:paraId="79202F7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1.15</w:t>
            </w:r>
          </w:p>
        </w:tc>
        <w:tc>
          <w:tcPr>
            <w:tcW w:w="358" w:type="pct"/>
          </w:tcPr>
          <w:p w14:paraId="62CAE17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0.89</w:t>
            </w:r>
          </w:p>
        </w:tc>
        <w:tc>
          <w:tcPr>
            <w:tcW w:w="358" w:type="pct"/>
          </w:tcPr>
          <w:p w14:paraId="1C398E32"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0.89</w:t>
            </w:r>
          </w:p>
        </w:tc>
        <w:tc>
          <w:tcPr>
            <w:tcW w:w="358" w:type="pct"/>
          </w:tcPr>
          <w:p w14:paraId="6710CB7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0.61</w:t>
            </w:r>
          </w:p>
        </w:tc>
        <w:tc>
          <w:tcPr>
            <w:tcW w:w="358" w:type="pct"/>
          </w:tcPr>
          <w:p w14:paraId="0A5A49A8"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0.61</w:t>
            </w:r>
          </w:p>
        </w:tc>
        <w:tc>
          <w:tcPr>
            <w:tcW w:w="365" w:type="pct"/>
          </w:tcPr>
          <w:p w14:paraId="44C8791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0.61</w:t>
            </w:r>
          </w:p>
        </w:tc>
        <w:tc>
          <w:tcPr>
            <w:tcW w:w="365" w:type="pct"/>
          </w:tcPr>
          <w:p w14:paraId="59D93C2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0.6</w:t>
            </w:r>
          </w:p>
        </w:tc>
        <w:tc>
          <w:tcPr>
            <w:cnfStyle w:val="000100000000" w:firstRow="0" w:lastRow="0" w:firstColumn="0" w:lastColumn="1" w:oddVBand="0" w:evenVBand="0" w:oddHBand="0" w:evenHBand="0" w:firstRowFirstColumn="0" w:firstRowLastColumn="0" w:lastRowFirstColumn="0" w:lastRowLastColumn="0"/>
            <w:tcW w:w="365" w:type="pct"/>
          </w:tcPr>
          <w:p w14:paraId="7DE52F67" w14:textId="77777777" w:rsidR="00B44672" w:rsidRDefault="00B44672">
            <w:pPr>
              <w:pStyle w:val="Compact"/>
              <w:jc w:val="center"/>
            </w:pPr>
            <w:r>
              <w:t>0.6</w:t>
            </w:r>
          </w:p>
        </w:tc>
      </w:tr>
      <w:tr w:rsidR="00B44672" w14:paraId="292C3388" w14:textId="77777777" w:rsidTr="00B9775B">
        <w:trPr>
          <w:jc w:val="center"/>
        </w:trPr>
        <w:tc>
          <w:tcPr>
            <w:cnfStyle w:val="001000000000" w:firstRow="0" w:lastRow="0" w:firstColumn="1" w:lastColumn="0" w:oddVBand="0" w:evenVBand="0" w:oddHBand="0" w:evenHBand="0" w:firstRowFirstColumn="0" w:firstRowLastColumn="0" w:lastRowFirstColumn="0" w:lastRowLastColumn="0"/>
            <w:tcW w:w="820" w:type="pct"/>
          </w:tcPr>
          <w:p w14:paraId="4C020F37" w14:textId="77777777" w:rsidR="00B44672" w:rsidRDefault="00B44672">
            <w:pPr>
              <w:pStyle w:val="Compact"/>
            </w:pPr>
            <w:r>
              <w:t>Rate 4 (%)</w:t>
            </w:r>
          </w:p>
        </w:tc>
        <w:tc>
          <w:tcPr>
            <w:tcW w:w="1295" w:type="pct"/>
          </w:tcPr>
          <w:p w14:paraId="060E7CD0" w14:textId="77777777" w:rsidR="00B44672" w:rsidRDefault="00B44672">
            <w:pPr>
              <w:pStyle w:val="Compact"/>
              <w:cnfStyle w:val="000000000000" w:firstRow="0" w:lastRow="0" w:firstColumn="0" w:lastColumn="0" w:oddVBand="0" w:evenVBand="0" w:oddHBand="0" w:evenHBand="0" w:firstRowFirstColumn="0" w:firstRowLastColumn="0" w:lastRowFirstColumn="0" w:lastRowLastColumn="0"/>
            </w:pPr>
            <w:r>
              <w:t>275,001 - 2,000,000</w:t>
            </w:r>
          </w:p>
        </w:tc>
        <w:tc>
          <w:tcPr>
            <w:tcW w:w="358" w:type="pct"/>
          </w:tcPr>
          <w:p w14:paraId="74D6E42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1.4</w:t>
            </w:r>
          </w:p>
        </w:tc>
        <w:tc>
          <w:tcPr>
            <w:tcW w:w="358" w:type="pct"/>
          </w:tcPr>
          <w:p w14:paraId="72FB3C3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1.8</w:t>
            </w:r>
          </w:p>
        </w:tc>
        <w:tc>
          <w:tcPr>
            <w:tcW w:w="358" w:type="pct"/>
          </w:tcPr>
          <w:p w14:paraId="2B416BF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1.8</w:t>
            </w:r>
          </w:p>
        </w:tc>
        <w:tc>
          <w:tcPr>
            <w:tcW w:w="358" w:type="pct"/>
          </w:tcPr>
          <w:p w14:paraId="07D68FF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1.23</w:t>
            </w:r>
          </w:p>
        </w:tc>
        <w:tc>
          <w:tcPr>
            <w:tcW w:w="358" w:type="pct"/>
          </w:tcPr>
          <w:p w14:paraId="4D5D8591"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1.23</w:t>
            </w:r>
          </w:p>
        </w:tc>
        <w:tc>
          <w:tcPr>
            <w:tcW w:w="365" w:type="pct"/>
          </w:tcPr>
          <w:p w14:paraId="17D9E42B"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1.23</w:t>
            </w:r>
          </w:p>
        </w:tc>
        <w:tc>
          <w:tcPr>
            <w:tcW w:w="365" w:type="pct"/>
          </w:tcPr>
          <w:p w14:paraId="1D130CF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1.08</w:t>
            </w:r>
          </w:p>
        </w:tc>
        <w:tc>
          <w:tcPr>
            <w:cnfStyle w:val="000100000000" w:firstRow="0" w:lastRow="0" w:firstColumn="0" w:lastColumn="1" w:oddVBand="0" w:evenVBand="0" w:oddHBand="0" w:evenHBand="0" w:firstRowFirstColumn="0" w:firstRowLastColumn="0" w:lastRowFirstColumn="0" w:lastRowLastColumn="0"/>
            <w:tcW w:w="365" w:type="pct"/>
          </w:tcPr>
          <w:p w14:paraId="7EE4C37B" w14:textId="77777777" w:rsidR="00B44672" w:rsidRDefault="00B44672">
            <w:pPr>
              <w:pStyle w:val="Compact"/>
              <w:jc w:val="center"/>
            </w:pPr>
            <w:r>
              <w:t>1.08</w:t>
            </w:r>
          </w:p>
        </w:tc>
      </w:tr>
      <w:tr w:rsidR="00B44672" w14:paraId="6FE33570" w14:textId="77777777" w:rsidTr="00B9775B">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 w:type="pct"/>
          </w:tcPr>
          <w:p w14:paraId="1FC1A6F9" w14:textId="77777777" w:rsidR="00B44672" w:rsidRDefault="00B44672">
            <w:pPr>
              <w:pStyle w:val="Compact"/>
            </w:pPr>
            <w:r>
              <w:t>Rate 5 (%)</w:t>
            </w:r>
          </w:p>
        </w:tc>
        <w:tc>
          <w:tcPr>
            <w:tcW w:w="1295" w:type="pct"/>
          </w:tcPr>
          <w:p w14:paraId="632F6BA2" w14:textId="77777777" w:rsidR="00B44672" w:rsidRDefault="00B44672">
            <w:pPr>
              <w:pStyle w:val="Compact"/>
              <w:cnfStyle w:val="010000000000" w:firstRow="0" w:lastRow="1" w:firstColumn="0" w:lastColumn="0" w:oddVBand="0" w:evenVBand="0" w:oddHBand="0" w:evenHBand="0" w:firstRowFirstColumn="0" w:firstRowLastColumn="0" w:lastRowFirstColumn="0" w:lastRowLastColumn="0"/>
            </w:pPr>
            <w:r>
              <w:t>From 2,000,001</w:t>
            </w:r>
          </w:p>
        </w:tc>
        <w:tc>
          <w:tcPr>
            <w:tcW w:w="358" w:type="pct"/>
          </w:tcPr>
          <w:p w14:paraId="2D410324"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1.4</w:t>
            </w:r>
          </w:p>
        </w:tc>
        <w:tc>
          <w:tcPr>
            <w:tcW w:w="358" w:type="pct"/>
          </w:tcPr>
          <w:p w14:paraId="32223506"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1.8</w:t>
            </w:r>
          </w:p>
        </w:tc>
        <w:tc>
          <w:tcPr>
            <w:tcW w:w="358" w:type="pct"/>
          </w:tcPr>
          <w:p w14:paraId="655902D1"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1.8</w:t>
            </w:r>
          </w:p>
        </w:tc>
        <w:tc>
          <w:tcPr>
            <w:tcW w:w="358" w:type="pct"/>
          </w:tcPr>
          <w:p w14:paraId="22CDEB63"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1.23</w:t>
            </w:r>
          </w:p>
        </w:tc>
        <w:tc>
          <w:tcPr>
            <w:tcW w:w="358" w:type="pct"/>
          </w:tcPr>
          <w:p w14:paraId="50CBF82D"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1.23</w:t>
            </w:r>
          </w:p>
        </w:tc>
        <w:tc>
          <w:tcPr>
            <w:tcW w:w="365" w:type="pct"/>
          </w:tcPr>
          <w:p w14:paraId="3BFCAD91"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1.23</w:t>
            </w:r>
          </w:p>
        </w:tc>
        <w:tc>
          <w:tcPr>
            <w:tcW w:w="365" w:type="pct"/>
          </w:tcPr>
          <w:p w14:paraId="679B57A2" w14:textId="77777777" w:rsidR="00B44672" w:rsidRDefault="00B44672">
            <w:pPr>
              <w:pStyle w:val="Compact"/>
              <w:jc w:val="center"/>
              <w:cnfStyle w:val="010000000000" w:firstRow="0" w:lastRow="1" w:firstColumn="0" w:lastColumn="0" w:oddVBand="0" w:evenVBand="0" w:oddHBand="0" w:evenHBand="0" w:firstRowFirstColumn="0" w:firstRowLastColumn="0" w:lastRowFirstColumn="0" w:lastRowLastColumn="0"/>
            </w:pPr>
            <w:r>
              <w:t>1.1</w:t>
            </w:r>
          </w:p>
        </w:tc>
        <w:tc>
          <w:tcPr>
            <w:cnfStyle w:val="000100000000" w:firstRow="0" w:lastRow="0" w:firstColumn="0" w:lastColumn="1" w:oddVBand="0" w:evenVBand="0" w:oddHBand="0" w:evenHBand="0" w:firstRowFirstColumn="0" w:firstRowLastColumn="0" w:lastRowFirstColumn="0" w:lastRowLastColumn="0"/>
            <w:tcW w:w="365" w:type="pct"/>
          </w:tcPr>
          <w:p w14:paraId="4D7DD863" w14:textId="77777777" w:rsidR="00B44672" w:rsidRDefault="00B44672">
            <w:pPr>
              <w:pStyle w:val="Compact"/>
              <w:jc w:val="center"/>
            </w:pPr>
            <w:r>
              <w:t>1.1</w:t>
            </w:r>
          </w:p>
        </w:tc>
      </w:tr>
    </w:tbl>
    <w:p w14:paraId="7A8603F8" w14:textId="77777777" w:rsidR="00B44672" w:rsidRDefault="00B44672">
      <w:pPr>
        <w:pStyle w:val="BlockText"/>
      </w:pPr>
      <w:r>
        <w:rPr>
          <w:i/>
        </w:rPr>
        <w:t>Source:</w:t>
      </w:r>
      <w:r>
        <w:t xml:space="preserve"> The ACT government’s Taxation Administration (Land Tax) Determinants from 2011-12 to 2018-19. </w:t>
      </w:r>
    </w:p>
    <w:p w14:paraId="02532BB9" w14:textId="77777777" w:rsidR="00B44672" w:rsidRDefault="00B44672">
      <w:pPr>
        <w:pStyle w:val="Heading2"/>
      </w:pPr>
      <w:bookmarkStart w:id="102" w:name="X44589b9cb77518004a8d615c6f5e107e849239b"/>
      <w:bookmarkStart w:id="103" w:name="_Toc39241796"/>
      <w:bookmarkStart w:id="104" w:name="_Toc41941370"/>
      <w:r>
        <w:t>5. Borrowing constraints - Home purchase assignment</w:t>
      </w:r>
      <w:bookmarkEnd w:id="102"/>
      <w:bookmarkEnd w:id="103"/>
      <w:bookmarkEnd w:id="104"/>
    </w:p>
    <w:p w14:paraId="4BC0F79A" w14:textId="77777777" w:rsidR="00B44672" w:rsidRDefault="00B44672">
      <w:pPr>
        <w:pStyle w:val="FirstParagraph"/>
      </w:pPr>
      <w:r>
        <w:t>For renters and those with rent-free housing (a very small proportion of the population) and homeowners who intend to buy properties for investment or moving purposes, both deposit and income requirements are applied to them.</w:t>
      </w:r>
    </w:p>
    <w:p w14:paraId="44E7ACE8" w14:textId="77777777" w:rsidR="00B44672" w:rsidRDefault="00B44672" w:rsidP="00B44672">
      <w:pPr>
        <w:numPr>
          <w:ilvl w:val="0"/>
          <w:numId w:val="1"/>
        </w:numPr>
        <w:tabs>
          <w:tab w:val="num" w:pos="0"/>
        </w:tabs>
        <w:ind w:left="480" w:hanging="480"/>
      </w:pPr>
      <w:r>
        <w:rPr>
          <w:i/>
        </w:rPr>
        <w:t>Deposit requirement</w:t>
      </w:r>
      <w:r>
        <w:t xml:space="preserve">: Potential home buyers should have </w:t>
      </w:r>
      <w:proofErr w:type="gramStart"/>
      <w:r>
        <w:t>sufficient</w:t>
      </w:r>
      <w:proofErr w:type="gramEnd"/>
      <w:r>
        <w:t xml:space="preserve"> asset (cash in the bank, other equity in housing, </w:t>
      </w:r>
      <w:proofErr w:type="spellStart"/>
      <w:r>
        <w:t>etc</w:t>
      </w:r>
      <w:proofErr w:type="spellEnd"/>
      <w:r>
        <w:t xml:space="preserve">) to pay for stamp duties (or duty concession), lender mortgage insurance premiums (if any) and at least 10% of their expected property prices. This amount takes into account any concessions or first </w:t>
      </w:r>
      <w:proofErr w:type="gramStart"/>
      <w:r>
        <w:t>home owners</w:t>
      </w:r>
      <w:proofErr w:type="gramEnd"/>
      <w:r>
        <w:t xml:space="preserve"> grant. In other </w:t>
      </w:r>
      <w:r>
        <w:lastRenderedPageBreak/>
        <w:t>words, potential home buyers can borrow up to 90% of their expected property prices, and banks will allow a 10% deposit with lender mortgage insurance. This percentage is reasonable because while homeowners can be able to use the equity from their current property as a deposit, our analysis of the SIHs 2011-12 to 2017-18 shows that more than one fifth of homeowners in the ACT borrowed above 80% of their property values. This ratio was even higher for recent homeowners (more than 40%) and recent first home buyers (more than 50%) over this period. See Table A2 in the Appendix for more details.</w:t>
      </w:r>
    </w:p>
    <w:p w14:paraId="06E12896" w14:textId="77777777" w:rsidR="00B44672" w:rsidRDefault="00B44672" w:rsidP="00B44672">
      <w:pPr>
        <w:numPr>
          <w:ilvl w:val="0"/>
          <w:numId w:val="1"/>
        </w:numPr>
        <w:tabs>
          <w:tab w:val="num" w:pos="0"/>
        </w:tabs>
        <w:ind w:left="480" w:hanging="480"/>
      </w:pPr>
      <w:r>
        <w:rPr>
          <w:i/>
        </w:rPr>
        <w:t>Income requirement</w:t>
      </w:r>
      <w:r>
        <w:t xml:space="preserve">: Given their gross income, deposit and expected property prices, banks need to ensure that potential home buyers can afford to pay for their income taxes (net of offsets), </w:t>
      </w:r>
      <w:proofErr w:type="spellStart"/>
      <w:r>
        <w:t>medicare</w:t>
      </w:r>
      <w:proofErr w:type="spellEnd"/>
      <w:r>
        <w:t xml:space="preserve"> levies, minimum expenditures on costs like food and clothing, the government’s general rates (net of rebates), loan interest, loan fees and principal repayments every year.</w:t>
      </w:r>
    </w:p>
    <w:p w14:paraId="06DEAFFA" w14:textId="77777777" w:rsidR="00B44672" w:rsidRDefault="00B44672">
      <w:pPr>
        <w:pStyle w:val="FirstParagraph"/>
      </w:pPr>
      <w:r>
        <w:t>Among homeowners who intend to buy a rental property or change their home, they can become a purchaser if they can afford to buy without a loan (so the value of their assets is greater than the property value that we estimate for them) or they can meet both the deposit and income requirements.</w:t>
      </w:r>
    </w:p>
    <w:p w14:paraId="2811C71D" w14:textId="77777777" w:rsidR="00B44672" w:rsidRDefault="00B44672">
      <w:pPr>
        <w:pStyle w:val="BodyText"/>
      </w:pPr>
      <w:r>
        <w:t>These two requirements are implemented by following steps:</w:t>
      </w:r>
    </w:p>
    <w:p w14:paraId="4D106D57" w14:textId="77777777" w:rsidR="00B44672" w:rsidRDefault="00B44672">
      <w:pPr>
        <w:pStyle w:val="BodyText"/>
      </w:pPr>
      <w:r>
        <w:rPr>
          <w:b/>
        </w:rPr>
        <w:t>Step 1</w:t>
      </w:r>
      <w:r>
        <w:t>: Estimate property prices (</w:t>
      </w:r>
      <m:oMath>
        <m:acc>
          <m:accPr>
            <m:ctrlPr>
              <w:rPr>
                <w:rFonts w:ascii="Cambria Math" w:hAnsi="Cambria Math"/>
              </w:rPr>
            </m:ctrlPr>
          </m:accPr>
          <m:e>
            <m:r>
              <w:rPr>
                <w:rFonts w:ascii="Cambria Math" w:hAnsi="Cambria Math"/>
              </w:rPr>
              <m:t>V</m:t>
            </m:r>
          </m:e>
        </m:acc>
      </m:oMath>
      <w:r>
        <w:t>) that potential home buyers expect to purchase.</w:t>
      </w:r>
    </w:p>
    <w:p w14:paraId="0A3F793A" w14:textId="77777777" w:rsidR="00B44672" w:rsidRDefault="00B44672">
      <w:pPr>
        <w:pStyle w:val="BodyText"/>
      </w:pPr>
      <w:r>
        <w:t>To do this, we first run an OLS regression of a sample of all homeowners:</w:t>
      </w:r>
    </w:p>
    <w:p w14:paraId="401A58A6" w14:textId="77777777" w:rsidR="00B44672" w:rsidRDefault="00B44672">
      <w:pPr>
        <w:pStyle w:val="BodyText"/>
      </w:pPr>
      <m:oMathPara>
        <m:oMathParaPr>
          <m:jc m:val="center"/>
        </m:oMathParaPr>
        <m:oMath>
          <m:r>
            <w:rPr>
              <w:rFonts w:ascii="Cambria Math" w:hAnsi="Cambria Math"/>
            </w:rPr>
            <m:t>V=α+</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r>
            <w:rPr>
              <w:rFonts w:ascii="Cambria Math" w:hAnsi="Cambria Math"/>
            </w:rPr>
            <m:t>+F'γ+ϵ</m:t>
          </m:r>
          <m:r>
            <m:rPr>
              <m:nor/>
            </m:rPr>
            <m:t xml:space="preserve"> (6)</m:t>
          </m:r>
        </m:oMath>
      </m:oMathPara>
    </w:p>
    <w:p w14:paraId="4DC7A315" w14:textId="77777777" w:rsidR="00B44672" w:rsidRDefault="00B44672">
      <w:pPr>
        <w:pStyle w:val="FirstParagraph"/>
      </w:pPr>
      <w:r>
        <w:t>where</w:t>
      </w:r>
    </w:p>
    <w:p w14:paraId="7EC8411B" w14:textId="77777777" w:rsidR="00B44672" w:rsidRDefault="00B44672" w:rsidP="00B44672">
      <w:pPr>
        <w:numPr>
          <w:ilvl w:val="0"/>
          <w:numId w:val="1"/>
        </w:numPr>
        <w:tabs>
          <w:tab w:val="num" w:pos="0"/>
        </w:tabs>
        <w:ind w:left="480" w:hanging="480"/>
      </w:pPr>
      <m:oMath>
        <m:r>
          <w:rPr>
            <w:rFonts w:ascii="Cambria Math" w:hAnsi="Cambria Math"/>
          </w:rPr>
          <m:t>V</m:t>
        </m:r>
      </m:oMath>
      <w:r>
        <w:t xml:space="preserve">: </w:t>
      </w:r>
      <w:proofErr w:type="gramStart"/>
      <w:r>
        <w:t>Ln(</w:t>
      </w:r>
      <w:proofErr w:type="gramEnd"/>
      <w:r>
        <w:t>property value);</w:t>
      </w:r>
    </w:p>
    <w:p w14:paraId="637698E6" w14:textId="77777777" w:rsidR="00B44672" w:rsidRDefault="00A6304C" w:rsidP="00B44672">
      <w:pPr>
        <w:numPr>
          <w:ilvl w:val="0"/>
          <w:numId w:val="1"/>
        </w:numPr>
        <w:tabs>
          <w:tab w:val="num" w:pos="0"/>
        </w:tabs>
        <w:ind w:left="480" w:hanging="480"/>
      </w:pPr>
      <m:oMath>
        <m:sSub>
          <m:sSubPr>
            <m:ctrlPr>
              <w:rPr>
                <w:rFonts w:ascii="Cambria Math" w:hAnsi="Cambria Math"/>
              </w:rPr>
            </m:ctrlPr>
          </m:sSubPr>
          <m:e>
            <m:r>
              <w:rPr>
                <w:rFonts w:ascii="Cambria Math" w:hAnsi="Cambria Math"/>
              </w:rPr>
              <m:t>X</m:t>
            </m:r>
          </m:e>
          <m:sub>
            <m:r>
              <w:rPr>
                <w:rFonts w:ascii="Cambria Math" w:hAnsi="Cambria Math"/>
              </w:rPr>
              <m:t>1</m:t>
            </m:r>
          </m:sub>
        </m:sSub>
      </m:oMath>
      <w:r w:rsidR="00B44672">
        <w:t>: the characteristics of the income unit reference person (age, gender, education, employment status);</w:t>
      </w:r>
    </w:p>
    <w:p w14:paraId="57D4A591" w14:textId="77777777" w:rsidR="00B44672" w:rsidRDefault="00A6304C" w:rsidP="00B44672">
      <w:pPr>
        <w:numPr>
          <w:ilvl w:val="0"/>
          <w:numId w:val="1"/>
        </w:numPr>
        <w:tabs>
          <w:tab w:val="num" w:pos="0"/>
        </w:tabs>
        <w:ind w:left="480" w:hanging="480"/>
      </w:pPr>
      <m:oMath>
        <m:sSub>
          <m:sSubPr>
            <m:ctrlPr>
              <w:rPr>
                <w:rFonts w:ascii="Cambria Math" w:hAnsi="Cambria Math"/>
              </w:rPr>
            </m:ctrlPr>
          </m:sSubPr>
          <m:e>
            <m:r>
              <w:rPr>
                <w:rFonts w:ascii="Cambria Math" w:hAnsi="Cambria Math"/>
              </w:rPr>
              <m:t>X</m:t>
            </m:r>
          </m:e>
          <m:sub>
            <m:r>
              <w:rPr>
                <w:rFonts w:ascii="Cambria Math" w:hAnsi="Cambria Math"/>
              </w:rPr>
              <m:t>2</m:t>
            </m:r>
          </m:sub>
        </m:sSub>
      </m:oMath>
      <w:r w:rsidR="00B44672">
        <w:t xml:space="preserve">: the characteristics of income unit (number of income earners, number of dependent children, </w:t>
      </w:r>
      <w:proofErr w:type="gramStart"/>
      <w:r w:rsidR="00B44672">
        <w:t>ln(</w:t>
      </w:r>
      <w:proofErr w:type="gramEnd"/>
      <w:r w:rsidR="00B44672">
        <w:t>gross income));</w:t>
      </w:r>
    </w:p>
    <w:p w14:paraId="13E088BD" w14:textId="77777777" w:rsidR="00B44672" w:rsidRDefault="00B44672" w:rsidP="00B44672">
      <w:pPr>
        <w:numPr>
          <w:ilvl w:val="0"/>
          <w:numId w:val="1"/>
        </w:numPr>
        <w:tabs>
          <w:tab w:val="num" w:pos="0"/>
        </w:tabs>
        <w:ind w:left="480" w:hanging="480"/>
      </w:pPr>
      <m:oMath>
        <m:r>
          <w:rPr>
            <w:rFonts w:ascii="Cambria Math" w:hAnsi="Cambria Math"/>
          </w:rPr>
          <m:t>F</m:t>
        </m:r>
      </m:oMath>
      <w:r>
        <w:t>: a dummy = 1 if the fir</w:t>
      </w:r>
      <w:proofErr w:type="spellStart"/>
      <w:r>
        <w:t>st</w:t>
      </w:r>
      <w:proofErr w:type="spellEnd"/>
      <w:r>
        <w:t xml:space="preserve"> homeowner and 0 otherwise and another dummy = 1 if newly constructed property and 0 otherwise. Both dummies refer to recent homeowners.</w:t>
      </w:r>
    </w:p>
    <w:p w14:paraId="27EA8511" w14:textId="77777777" w:rsidR="00B44672" w:rsidRDefault="00B44672">
      <w:pPr>
        <w:pStyle w:val="FirstParagraph"/>
      </w:pPr>
      <w:r>
        <w:t xml:space="preserve">We then use the estimated coefficients of </w:t>
      </w:r>
      <m:oMath>
        <m:r>
          <w:rPr>
            <w:rFonts w:ascii="Cambria Math" w:hAnsi="Cambria Math"/>
          </w:rPr>
          <m:t>α</m:t>
        </m:r>
      </m:oMath>
      <w:r>
        <w:t xml:space="preserve">, </w:t>
      </w:r>
      <m:oMath>
        <m:sSub>
          <m:sSubPr>
            <m:ctrlPr>
              <w:rPr>
                <w:rFonts w:ascii="Cambria Math" w:hAnsi="Cambria Math"/>
              </w:rPr>
            </m:ctrlPr>
          </m:sSubPr>
          <m:e>
            <m:r>
              <w:rPr>
                <w:rFonts w:ascii="Cambria Math" w:hAnsi="Cambria Math"/>
              </w:rPr>
              <m:t>β</m:t>
            </m:r>
          </m:e>
          <m:sub>
            <m:r>
              <w:rPr>
                <w:rFonts w:ascii="Cambria Math" w:hAnsi="Cambria Math"/>
              </w:rPr>
              <m:t>1</m:t>
            </m:r>
          </m:sub>
        </m:sSub>
      </m:oMath>
      <w:r>
        <w:t xml:space="preserve">, </w:t>
      </w:r>
      <m:oMath>
        <m:sSub>
          <m:sSubPr>
            <m:ctrlPr>
              <w:rPr>
                <w:rFonts w:ascii="Cambria Math" w:hAnsi="Cambria Math"/>
              </w:rPr>
            </m:ctrlPr>
          </m:sSubPr>
          <m:e>
            <m:r>
              <w:rPr>
                <w:rFonts w:ascii="Cambria Math" w:hAnsi="Cambria Math"/>
              </w:rPr>
              <m:t>β</m:t>
            </m:r>
          </m:e>
          <m:sub>
            <m:r>
              <w:rPr>
                <w:rFonts w:ascii="Cambria Math" w:hAnsi="Cambria Math"/>
              </w:rPr>
              <m:t>2</m:t>
            </m:r>
          </m:sub>
        </m:sSub>
      </m:oMath>
      <w:r>
        <w:t xml:space="preserve"> and </w:t>
      </w:r>
      <m:oMath>
        <m:r>
          <w:rPr>
            <w:rFonts w:ascii="Cambria Math" w:hAnsi="Cambria Math"/>
          </w:rPr>
          <m:t>γ</m:t>
        </m:r>
      </m:oMath>
      <w:r>
        <w:t xml:space="preserve"> to predict the expected property values (</w:t>
      </w:r>
      <m:oMath>
        <m:acc>
          <m:accPr>
            <m:ctrlPr>
              <w:rPr>
                <w:rFonts w:ascii="Cambria Math" w:hAnsi="Cambria Math"/>
              </w:rPr>
            </m:ctrlPr>
          </m:accPr>
          <m:e>
            <m:r>
              <w:rPr>
                <w:rFonts w:ascii="Cambria Math" w:hAnsi="Cambria Math"/>
              </w:rPr>
              <m:t>V</m:t>
            </m:r>
          </m:e>
        </m:acc>
      </m:oMath>
      <w:r>
        <w:t>) of all pot</w:t>
      </w:r>
      <w:proofErr w:type="spellStart"/>
      <w:r>
        <w:t>ential</w:t>
      </w:r>
      <w:proofErr w:type="spellEnd"/>
      <w:r>
        <w:t xml:space="preserve"> home buyers based on their characteristics, their income and their random assignment of purchasing a new property.</w:t>
      </w:r>
    </w:p>
    <w:p w14:paraId="6AFF9ED0" w14:textId="77777777" w:rsidR="00B44672" w:rsidRDefault="00B44672">
      <w:pPr>
        <w:pStyle w:val="BodyText"/>
      </w:pPr>
      <w:r>
        <w:rPr>
          <w:b/>
        </w:rPr>
        <w:t>Step 2</w:t>
      </w:r>
      <w:r>
        <w:t>: Check whether potential home buyers meet the deposit requirement given their property prices (</w:t>
      </w:r>
      <m:oMath>
        <m:acc>
          <m:accPr>
            <m:ctrlPr>
              <w:rPr>
                <w:rFonts w:ascii="Cambria Math" w:hAnsi="Cambria Math"/>
              </w:rPr>
            </m:ctrlPr>
          </m:accPr>
          <m:e>
            <m:r>
              <w:rPr>
                <w:rFonts w:ascii="Cambria Math" w:hAnsi="Cambria Math"/>
              </w:rPr>
              <m:t>V</m:t>
            </m:r>
          </m:e>
        </m:acc>
      </m:oMath>
      <w:r>
        <w:t>) predicted from equation (6) in Step 1. For those who need to borrow a loan to buy a property, they can borrow up to 90% of their property prices.</w:t>
      </w:r>
    </w:p>
    <w:p w14:paraId="6B7C6FE5" w14:textId="77777777" w:rsidR="00B44672" w:rsidRDefault="00B44672">
      <w:pPr>
        <w:pStyle w:val="BodyText"/>
      </w:pPr>
      <m:oMathPara>
        <m:oMathParaPr>
          <m:jc m:val="center"/>
        </m:oMathParaPr>
        <m:oMath>
          <m:r>
            <w:rPr>
              <w:rFonts w:ascii="Cambria Math" w:hAnsi="Cambria Math"/>
            </w:rPr>
            <m:t>d+w≥</m:t>
          </m:r>
          <m:sSub>
            <m:sSubPr>
              <m:ctrlPr>
                <w:rPr>
                  <w:rFonts w:ascii="Cambria Math" w:hAnsi="Cambria Math"/>
                </w:rPr>
              </m:ctrlPr>
            </m:sSubPr>
            <m:e>
              <m:r>
                <w:rPr>
                  <w:rFonts w:ascii="Cambria Math" w:hAnsi="Cambria Math"/>
                </w:rPr>
                <m:t>f</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o</m:t>
              </m:r>
            </m:sub>
          </m:sSub>
          <m:r>
            <w:rPr>
              <w:rFonts w:ascii="Cambria Math" w:hAnsi="Cambria Math"/>
            </w:rPr>
            <m:t>+0.1×(</m:t>
          </m:r>
          <m:acc>
            <m:accPr>
              <m:ctrlPr>
                <w:rPr>
                  <w:rFonts w:ascii="Cambria Math" w:hAnsi="Cambria Math"/>
                </w:rPr>
              </m:ctrlPr>
            </m:accPr>
            <m:e>
              <m:r>
                <w:rPr>
                  <w:rFonts w:ascii="Cambria Math" w:hAnsi="Cambria Math"/>
                </w:rPr>
                <m:t>V</m:t>
              </m:r>
            </m:e>
          </m:acc>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0</m:t>
              </m:r>
            </m:sub>
          </m:sSub>
          <m:r>
            <w:rPr>
              <w:rFonts w:ascii="Cambria Math" w:hAnsi="Cambria Math"/>
            </w:rPr>
            <m:t>)</m:t>
          </m:r>
          <m:r>
            <m:rPr>
              <m:nor/>
            </m:rPr>
            <m:t xml:space="preserve"> (7)</m:t>
          </m:r>
        </m:oMath>
      </m:oMathPara>
    </w:p>
    <w:p w14:paraId="1FDD9868" w14:textId="77777777" w:rsidR="00B44672" w:rsidRDefault="00B44672">
      <w:pPr>
        <w:pStyle w:val="FirstParagraph"/>
      </w:pPr>
      <w:r>
        <w:t>where</w:t>
      </w:r>
    </w:p>
    <w:p w14:paraId="132C9D22" w14:textId="77777777" w:rsidR="00B44672" w:rsidRDefault="00B44672" w:rsidP="00B44672">
      <w:pPr>
        <w:numPr>
          <w:ilvl w:val="0"/>
          <w:numId w:val="1"/>
        </w:numPr>
        <w:tabs>
          <w:tab w:val="num" w:pos="0"/>
        </w:tabs>
        <w:ind w:left="480" w:hanging="480"/>
      </w:pPr>
      <m:oMath>
        <m:r>
          <w:rPr>
            <w:rFonts w:ascii="Cambria Math" w:hAnsi="Cambria Math"/>
          </w:rPr>
          <m:t>d</m:t>
        </m:r>
      </m:oMath>
      <w:r>
        <w:t>: Deposit (or savings);</w:t>
      </w:r>
    </w:p>
    <w:p w14:paraId="3194E28A" w14:textId="77777777" w:rsidR="00B44672" w:rsidRDefault="00B44672" w:rsidP="00B44672">
      <w:pPr>
        <w:numPr>
          <w:ilvl w:val="0"/>
          <w:numId w:val="1"/>
        </w:numPr>
        <w:tabs>
          <w:tab w:val="num" w:pos="0"/>
        </w:tabs>
        <w:ind w:left="480" w:hanging="480"/>
      </w:pPr>
      <m:oMath>
        <m:r>
          <w:rPr>
            <w:rFonts w:ascii="Cambria Math" w:hAnsi="Cambria Math"/>
          </w:rPr>
          <w:lastRenderedPageBreak/>
          <m:t>w</m:t>
        </m:r>
      </m:oMath>
      <w:r>
        <w:t>: Total value of homeowner’s current property, net of mortgage loans;</w:t>
      </w:r>
    </w:p>
    <w:p w14:paraId="37C3A306" w14:textId="77777777" w:rsidR="00B44672" w:rsidRDefault="00A6304C" w:rsidP="00B44672">
      <w:pPr>
        <w:numPr>
          <w:ilvl w:val="0"/>
          <w:numId w:val="1"/>
        </w:numPr>
        <w:tabs>
          <w:tab w:val="num" w:pos="0"/>
        </w:tabs>
        <w:ind w:left="480" w:hanging="480"/>
      </w:pPr>
      <m:oMath>
        <m:sSub>
          <m:sSubPr>
            <m:ctrlPr>
              <w:rPr>
                <w:rFonts w:ascii="Cambria Math" w:hAnsi="Cambria Math"/>
              </w:rPr>
            </m:ctrlPr>
          </m:sSubPr>
          <m:e>
            <m:r>
              <w:rPr>
                <w:rFonts w:ascii="Cambria Math" w:hAnsi="Cambria Math"/>
              </w:rPr>
              <m:t>f</m:t>
            </m:r>
          </m:e>
          <m:sub>
            <m:r>
              <w:rPr>
                <w:rFonts w:ascii="Cambria Math" w:hAnsi="Cambria Math"/>
              </w:rPr>
              <m:t>s</m:t>
            </m:r>
          </m:sub>
        </m:sSub>
      </m:oMath>
      <w:r w:rsidR="00B44672">
        <w:t xml:space="preserve">: Stamp duty (with concession) on </w:t>
      </w:r>
      <m:oMath>
        <m:acc>
          <m:accPr>
            <m:ctrlPr>
              <w:rPr>
                <w:rFonts w:ascii="Cambria Math" w:hAnsi="Cambria Math"/>
              </w:rPr>
            </m:ctrlPr>
          </m:accPr>
          <m:e>
            <m:r>
              <w:rPr>
                <w:rFonts w:ascii="Cambria Math" w:hAnsi="Cambria Math"/>
              </w:rPr>
              <m:t>V</m:t>
            </m:r>
          </m:e>
        </m:acc>
      </m:oMath>
      <w:r w:rsidR="00B44672">
        <w:t>;</w:t>
      </w:r>
    </w:p>
    <w:p w14:paraId="6751DD51" w14:textId="77777777" w:rsidR="00B44672" w:rsidRDefault="00A6304C" w:rsidP="00B44672">
      <w:pPr>
        <w:numPr>
          <w:ilvl w:val="0"/>
          <w:numId w:val="1"/>
        </w:numPr>
        <w:tabs>
          <w:tab w:val="num" w:pos="0"/>
        </w:tabs>
        <w:ind w:left="480" w:hanging="480"/>
      </w:pPr>
      <m:oMath>
        <m:sSub>
          <m:sSubPr>
            <m:ctrlPr>
              <w:rPr>
                <w:rFonts w:ascii="Cambria Math" w:hAnsi="Cambria Math"/>
              </w:rPr>
            </m:ctrlPr>
          </m:sSubPr>
          <m:e>
            <m:r>
              <w:rPr>
                <w:rFonts w:ascii="Cambria Math" w:hAnsi="Cambria Math"/>
              </w:rPr>
              <m:t>f</m:t>
            </m:r>
          </m:e>
          <m:sub>
            <m:r>
              <w:rPr>
                <w:rFonts w:ascii="Cambria Math" w:hAnsi="Cambria Math"/>
              </w:rPr>
              <m:t>i</m:t>
            </m:r>
          </m:sub>
        </m:sSub>
      </m:oMath>
      <w:r w:rsidR="00B44672">
        <w:t>: Lender mortgage insurance premium for the maximum loan-to-value ratio of 0.9</w:t>
      </w:r>
    </w:p>
    <w:p w14:paraId="4AA458D9" w14:textId="77777777" w:rsidR="00B44672" w:rsidRDefault="00A6304C" w:rsidP="00B44672">
      <w:pPr>
        <w:numPr>
          <w:ilvl w:val="0"/>
          <w:numId w:val="1"/>
        </w:numPr>
        <w:tabs>
          <w:tab w:val="num" w:pos="0"/>
        </w:tabs>
        <w:ind w:left="480" w:hanging="480"/>
      </w:pPr>
      <m:oMath>
        <m:sSub>
          <m:sSubPr>
            <m:ctrlPr>
              <w:rPr>
                <w:rFonts w:ascii="Cambria Math" w:hAnsi="Cambria Math"/>
              </w:rPr>
            </m:ctrlPr>
          </m:sSubPr>
          <m:e>
            <m:r>
              <w:rPr>
                <w:rFonts w:ascii="Cambria Math" w:hAnsi="Cambria Math"/>
              </w:rPr>
              <m:t>f</m:t>
            </m:r>
          </m:e>
          <m:sub>
            <m:r>
              <w:rPr>
                <w:rFonts w:ascii="Cambria Math" w:hAnsi="Cambria Math"/>
              </w:rPr>
              <m:t>o</m:t>
            </m:r>
          </m:sub>
        </m:sSub>
      </m:oMath>
      <w:r w:rsidR="00B44672">
        <w:t>: First homeowner grant</w:t>
      </w:r>
    </w:p>
    <w:p w14:paraId="1DF1504E" w14:textId="77777777" w:rsidR="00B44672" w:rsidRDefault="00A6304C" w:rsidP="00B44672">
      <w:pPr>
        <w:numPr>
          <w:ilvl w:val="0"/>
          <w:numId w:val="1"/>
        </w:numPr>
        <w:tabs>
          <w:tab w:val="num" w:pos="0"/>
        </w:tabs>
        <w:ind w:left="480" w:hanging="480"/>
      </w:pPr>
      <m:oMath>
        <m:sSub>
          <m:sSubPr>
            <m:ctrlPr>
              <w:rPr>
                <w:rFonts w:ascii="Cambria Math" w:hAnsi="Cambria Math"/>
              </w:rPr>
            </m:ctrlPr>
          </m:sSubPr>
          <m:e>
            <m:r>
              <w:rPr>
                <w:rFonts w:ascii="Cambria Math" w:hAnsi="Cambria Math"/>
              </w:rPr>
              <m:t>V</m:t>
            </m:r>
          </m:e>
          <m:sub>
            <m:r>
              <w:rPr>
                <w:rFonts w:ascii="Cambria Math" w:hAnsi="Cambria Math"/>
              </w:rPr>
              <m:t>0</m:t>
            </m:r>
          </m:sub>
        </m:sSub>
      </m:oMath>
      <w:r w:rsidR="00B44672">
        <w:t>: Total value of current properties if homeowners want to buy a rental property; or 0 if they intend to change their home.</w:t>
      </w:r>
    </w:p>
    <w:p w14:paraId="4DA28126" w14:textId="77777777" w:rsidR="00B44672" w:rsidRDefault="00B44672">
      <w:pPr>
        <w:pStyle w:val="FirstParagraph"/>
      </w:pPr>
      <w:r>
        <w:t>From this step, if potential home buyers meet the deposit requirement, we can estimate the minimum loan amount (</w:t>
      </w:r>
      <m:oMath>
        <m:sSub>
          <m:sSubPr>
            <m:ctrlPr>
              <w:rPr>
                <w:rFonts w:ascii="Cambria Math" w:hAnsi="Cambria Math"/>
              </w:rPr>
            </m:ctrlPr>
          </m:sSubPr>
          <m:e>
            <m:r>
              <w:rPr>
                <w:rFonts w:ascii="Cambria Math" w:hAnsi="Cambria Math"/>
              </w:rPr>
              <m:t>L</m:t>
            </m:r>
          </m:e>
          <m:sub>
            <m:r>
              <w:rPr>
                <w:rFonts w:ascii="Cambria Math" w:hAnsi="Cambria Math"/>
              </w:rPr>
              <m:t>min</m:t>
            </m:r>
          </m:sub>
        </m:sSub>
      </m:oMath>
      <w:r>
        <w:t xml:space="preserve">) that they want to borrow: </w:t>
      </w:r>
      <m:oMath>
        <m:sSub>
          <m:sSubPr>
            <m:ctrlPr>
              <w:rPr>
                <w:rFonts w:ascii="Cambria Math" w:hAnsi="Cambria Math"/>
              </w:rPr>
            </m:ctrlPr>
          </m:sSubPr>
          <m:e>
            <m:r>
              <w:rPr>
                <w:rFonts w:ascii="Cambria Math" w:hAnsi="Cambria Math"/>
              </w:rPr>
              <m:t>L</m:t>
            </m:r>
          </m:e>
          <m:sub>
            <m:r>
              <w:rPr>
                <w:rFonts w:ascii="Cambria Math" w:hAnsi="Cambria Math"/>
              </w:rPr>
              <m:t>min</m:t>
            </m:r>
          </m:sub>
        </m:sSub>
        <m:r>
          <w:rPr>
            <w:rFonts w:ascii="Cambria Math" w:hAnsi="Cambria Math"/>
          </w:rPr>
          <m:t>=</m:t>
        </m:r>
        <m:r>
          <m:rPr>
            <m:nor/>
          </m:rPr>
          <m:t>max</m:t>
        </m:r>
        <m:r>
          <w:rPr>
            <w:rFonts w:ascii="Cambria Math" w:hAnsi="Cambria Math"/>
          </w:rPr>
          <m:t>(0,</m:t>
        </m:r>
        <m:acc>
          <m:accPr>
            <m:ctrlPr>
              <w:rPr>
                <w:rFonts w:ascii="Cambria Math" w:hAnsi="Cambria Math"/>
              </w:rPr>
            </m:ctrlPr>
          </m:accPr>
          <m:e>
            <m:r>
              <w:rPr>
                <w:rFonts w:ascii="Cambria Math" w:hAnsi="Cambria Math"/>
              </w:rPr>
              <m:t>V</m:t>
            </m:r>
          </m:e>
        </m:acc>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0</m:t>
            </m:r>
          </m:sub>
        </m:sSub>
        <m:r>
          <w:rPr>
            <w:rFonts w:ascii="Cambria Math" w:hAnsi="Cambria Math"/>
          </w:rPr>
          <m:t>-(d+w-</m:t>
        </m:r>
        <m:sSub>
          <m:sSubPr>
            <m:ctrlPr>
              <w:rPr>
                <w:rFonts w:ascii="Cambria Math" w:hAnsi="Cambria Math"/>
              </w:rPr>
            </m:ctrlPr>
          </m:sSubPr>
          <m:e>
            <m:r>
              <w:rPr>
                <w:rFonts w:ascii="Cambria Math" w:hAnsi="Cambria Math"/>
              </w:rPr>
              <m:t>f</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o</m:t>
            </m:r>
          </m:sub>
        </m:sSub>
        <m:r>
          <w:rPr>
            <w:rFonts w:ascii="Cambria Math" w:hAnsi="Cambria Math"/>
          </w:rPr>
          <m:t>))</m:t>
        </m:r>
      </m:oMath>
      <w:r>
        <w:t xml:space="preserve"> where </w:t>
      </w:r>
      <m:oMath>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=0</m:t>
        </m:r>
      </m:oMath>
      <w:r>
        <w:t xml:space="preserve"> if </w:t>
      </w:r>
      <m:oMath>
        <m:sSub>
          <m:sSubPr>
            <m:ctrlPr>
              <w:rPr>
                <w:rFonts w:ascii="Cambria Math" w:hAnsi="Cambria Math"/>
              </w:rPr>
            </m:ctrlPr>
          </m:sSubPr>
          <m:e>
            <m:r>
              <w:rPr>
                <w:rFonts w:ascii="Cambria Math" w:hAnsi="Cambria Math"/>
              </w:rPr>
              <m:t>L</m:t>
            </m:r>
          </m:e>
          <m:sub>
            <m:r>
              <w:rPr>
                <w:rFonts w:ascii="Cambria Math" w:hAnsi="Cambria Math"/>
              </w:rPr>
              <m:t>min</m:t>
            </m:r>
          </m:sub>
        </m:sSub>
        <m:r>
          <w:rPr>
            <w:rFonts w:ascii="Cambria Math" w:hAnsi="Cambria Math"/>
          </w:rPr>
          <m:t>/(</m:t>
        </m:r>
        <m:acc>
          <m:accPr>
            <m:ctrlPr>
              <w:rPr>
                <w:rFonts w:ascii="Cambria Math" w:hAnsi="Cambria Math"/>
              </w:rPr>
            </m:ctrlPr>
          </m:accPr>
          <m:e>
            <m:r>
              <w:rPr>
                <w:rFonts w:ascii="Cambria Math" w:hAnsi="Cambria Math"/>
              </w:rPr>
              <m:t>V</m:t>
            </m:r>
          </m:e>
        </m:acc>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0</m:t>
            </m:r>
          </m:sub>
        </m:sSub>
        <m:r>
          <w:rPr>
            <w:rFonts w:ascii="Cambria Math" w:hAnsi="Cambria Math"/>
          </w:rPr>
          <m:t>)≤0.8</m:t>
        </m:r>
      </m:oMath>
      <w:r>
        <w:t>.</w:t>
      </w:r>
    </w:p>
    <w:p w14:paraId="6E416D36" w14:textId="77777777" w:rsidR="00B44672" w:rsidRDefault="00B44672">
      <w:pPr>
        <w:pStyle w:val="BodyText"/>
      </w:pPr>
      <w:r>
        <w:rPr>
          <w:b/>
        </w:rPr>
        <w:t>Step 3</w:t>
      </w:r>
      <w:r>
        <w:t>: Check whether potential home buyers can afford to make regular repayment given their income and their minimum positive loan amount (</w:t>
      </w:r>
      <m:oMath>
        <m:sSub>
          <m:sSubPr>
            <m:ctrlPr>
              <w:rPr>
                <w:rFonts w:ascii="Cambria Math" w:hAnsi="Cambria Math"/>
              </w:rPr>
            </m:ctrlPr>
          </m:sSubPr>
          <m:e>
            <m:r>
              <w:rPr>
                <w:rFonts w:ascii="Cambria Math" w:hAnsi="Cambria Math"/>
              </w:rPr>
              <m:t>L</m:t>
            </m:r>
          </m:e>
          <m:sub>
            <m:r>
              <w:rPr>
                <w:rFonts w:ascii="Cambria Math" w:hAnsi="Cambria Math"/>
              </w:rPr>
              <m:t>min</m:t>
            </m:r>
          </m:sub>
        </m:sSub>
        <m:r>
          <w:rPr>
            <w:rFonts w:ascii="Cambria Math" w:hAnsi="Cambria Math"/>
          </w:rPr>
          <m:t>&gt;0</m:t>
        </m:r>
      </m:oMath>
      <w:r>
        <w:t>) estimated in Step 2.</w:t>
      </w:r>
    </w:p>
    <w:p w14:paraId="5F07ABB9" w14:textId="77777777" w:rsidR="00B44672" w:rsidRDefault="00A6304C">
      <w:pPr>
        <w:pStyle w:val="BodyText"/>
      </w:pPr>
      <m:oMathPara>
        <m:oMathParaPr>
          <m:jc m:val="center"/>
        </m:oMathParaPr>
        <m:oMath>
          <m:f>
            <m:fPr>
              <m:ctrlPr>
                <w:rPr>
                  <w:rFonts w:ascii="Cambria Math" w:hAnsi="Cambria Math"/>
                </w:rPr>
              </m:ctrlPr>
            </m:fPr>
            <m:num>
              <m:r>
                <w:rPr>
                  <w:rFonts w:ascii="Cambria Math" w:hAnsi="Cambria Math"/>
                </w:rPr>
                <m:t>y-</m:t>
              </m:r>
              <m:sSub>
                <m:sSubPr>
                  <m:ctrlPr>
                    <w:rPr>
                      <w:rFonts w:ascii="Cambria Math" w:hAnsi="Cambria Math"/>
                    </w:rPr>
                  </m:ctrlPr>
                </m:sSubPr>
                <m:e>
                  <m:r>
                    <w:rPr>
                      <w:rFonts w:ascii="Cambria Math" w:hAnsi="Cambria Math"/>
                    </w:rPr>
                    <m:t>c</m:t>
                  </m:r>
                </m:e>
                <m:sub>
                  <m:r>
                    <w:rPr>
                      <w:rFonts w:ascii="Cambria Math" w:hAnsi="Cambria Math"/>
                    </w:rPr>
                    <m:t>min</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sub>
              </m:sSub>
            </m:num>
            <m:den>
              <m:r>
                <w:rPr>
                  <w:rFonts w:ascii="Cambria Math" w:hAnsi="Cambria Math"/>
                </w:rPr>
                <m:t>12</m:t>
              </m:r>
            </m:den>
          </m:f>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min</m:t>
              </m:r>
            </m:sub>
          </m:sSub>
          <m:f>
            <m:fPr>
              <m:ctrlPr>
                <w:rPr>
                  <w:rFonts w:ascii="Cambria Math" w:hAnsi="Cambria Math"/>
                </w:rPr>
              </m:ctrlPr>
            </m:fPr>
            <m:num>
              <m:r>
                <w:rPr>
                  <w:rFonts w:ascii="Cambria Math" w:hAnsi="Cambria Math"/>
                </w:rPr>
                <m:t>r</m:t>
              </m:r>
            </m:num>
            <m:den>
              <m:r>
                <w:rPr>
                  <w:rFonts w:ascii="Cambria Math" w:hAnsi="Cambria Math"/>
                </w:rPr>
                <m:t>1-(1+r</m:t>
              </m:r>
              <m:sSup>
                <m:sSupPr>
                  <m:ctrlPr>
                    <w:rPr>
                      <w:rFonts w:ascii="Cambria Math" w:hAnsi="Cambria Math"/>
                    </w:rPr>
                  </m:ctrlPr>
                </m:sSupPr>
                <m:e>
                  <m:r>
                    <w:rPr>
                      <w:rFonts w:ascii="Cambria Math" w:hAnsi="Cambria Math"/>
                    </w:rPr>
                    <m:t>)</m:t>
                  </m:r>
                </m:e>
                <m:sup>
                  <m:r>
                    <w:rPr>
                      <w:rFonts w:ascii="Cambria Math" w:hAnsi="Cambria Math"/>
                    </w:rPr>
                    <m:t>-n</m:t>
                  </m:r>
                </m:sup>
              </m:sSup>
            </m:den>
          </m:f>
          <m:r>
            <m:rPr>
              <m:nor/>
            </m:rPr>
            <m:t xml:space="preserve"> (8)</m:t>
          </m:r>
        </m:oMath>
      </m:oMathPara>
    </w:p>
    <w:p w14:paraId="4453C2D4" w14:textId="77777777" w:rsidR="00B44672" w:rsidRDefault="00B44672">
      <w:pPr>
        <w:pStyle w:val="FirstParagraph"/>
      </w:pPr>
    </w:p>
    <w:p w14:paraId="5C662B10" w14:textId="77777777" w:rsidR="00B44672" w:rsidRDefault="00B44672">
      <w:pPr>
        <w:pStyle w:val="FirstParagraph"/>
      </w:pPr>
      <w:r>
        <w:t>where</w:t>
      </w:r>
    </w:p>
    <w:p w14:paraId="568EDBCE" w14:textId="77777777" w:rsidR="00B44672" w:rsidRDefault="00B44672" w:rsidP="00B44672">
      <w:pPr>
        <w:numPr>
          <w:ilvl w:val="0"/>
          <w:numId w:val="1"/>
        </w:numPr>
        <w:tabs>
          <w:tab w:val="num" w:pos="0"/>
        </w:tabs>
        <w:ind w:left="480" w:hanging="480"/>
      </w:pPr>
      <m:oMath>
        <m:r>
          <w:rPr>
            <w:rFonts w:ascii="Cambria Math" w:hAnsi="Cambria Math"/>
          </w:rPr>
          <m:t>y</m:t>
        </m:r>
      </m:oMath>
      <w:r>
        <w:t>: gross an</w:t>
      </w:r>
      <w:proofErr w:type="spellStart"/>
      <w:r>
        <w:t>nual</w:t>
      </w:r>
      <w:proofErr w:type="spellEnd"/>
      <w:r>
        <w:t xml:space="preserve"> income and expected rental income (if any);</w:t>
      </w:r>
    </w:p>
    <w:p w14:paraId="41934341" w14:textId="77777777" w:rsidR="00B44672" w:rsidRDefault="00A6304C" w:rsidP="00B44672">
      <w:pPr>
        <w:numPr>
          <w:ilvl w:val="0"/>
          <w:numId w:val="1"/>
        </w:numPr>
        <w:tabs>
          <w:tab w:val="num" w:pos="0"/>
        </w:tabs>
        <w:ind w:left="480" w:hanging="480"/>
      </w:pPr>
      <m:oMath>
        <m:sSub>
          <m:sSubPr>
            <m:ctrlPr>
              <w:rPr>
                <w:rFonts w:ascii="Cambria Math" w:hAnsi="Cambria Math"/>
              </w:rPr>
            </m:ctrlPr>
          </m:sSubPr>
          <m:e>
            <m:r>
              <w:rPr>
                <w:rFonts w:ascii="Cambria Math" w:hAnsi="Cambria Math"/>
              </w:rPr>
              <m:t>c</m:t>
            </m:r>
          </m:e>
          <m:sub>
            <m:r>
              <w:rPr>
                <w:rFonts w:ascii="Cambria Math" w:hAnsi="Cambria Math"/>
              </w:rPr>
              <m:t>min</m:t>
            </m:r>
          </m:sub>
        </m:sSub>
      </m:oMath>
      <w:r w:rsidR="00B44672">
        <w:t>: minimum annual expenditure;</w:t>
      </w:r>
    </w:p>
    <w:p w14:paraId="4987F126" w14:textId="77777777" w:rsidR="00B44672" w:rsidRDefault="00A6304C" w:rsidP="00B44672">
      <w:pPr>
        <w:numPr>
          <w:ilvl w:val="0"/>
          <w:numId w:val="1"/>
        </w:numPr>
        <w:tabs>
          <w:tab w:val="num" w:pos="0"/>
        </w:tabs>
        <w:ind w:left="480" w:hanging="480"/>
      </w:pPr>
      <m:oMath>
        <m:sSub>
          <m:sSubPr>
            <m:ctrlPr>
              <w:rPr>
                <w:rFonts w:ascii="Cambria Math" w:hAnsi="Cambria Math"/>
              </w:rPr>
            </m:ctrlPr>
          </m:sSubPr>
          <m:e>
            <m:r>
              <w:rPr>
                <w:rFonts w:ascii="Cambria Math" w:hAnsi="Cambria Math"/>
              </w:rPr>
              <m:t>f</m:t>
            </m:r>
          </m:e>
          <m:sub>
            <m:r>
              <w:rPr>
                <w:rFonts w:ascii="Cambria Math" w:hAnsi="Cambria Math"/>
              </w:rPr>
              <m:t>t</m:t>
            </m:r>
          </m:sub>
        </m:sSub>
      </m:oMath>
      <w:r w:rsidR="00B44672">
        <w:t>: annual income tax (net of offsets, including Low-income tax offset (LITO) and Low- and middle-income tax offset (LAMITO));</w:t>
      </w:r>
    </w:p>
    <w:p w14:paraId="7F3B2527" w14:textId="77777777" w:rsidR="00B44672" w:rsidRDefault="00A6304C" w:rsidP="00B44672">
      <w:pPr>
        <w:numPr>
          <w:ilvl w:val="0"/>
          <w:numId w:val="1"/>
        </w:numPr>
        <w:tabs>
          <w:tab w:val="num" w:pos="0"/>
        </w:tabs>
        <w:ind w:left="480" w:hanging="480"/>
      </w:pPr>
      <m:oMath>
        <m:sSub>
          <m:sSubPr>
            <m:ctrlPr>
              <w:rPr>
                <w:rFonts w:ascii="Cambria Math" w:hAnsi="Cambria Math"/>
              </w:rPr>
            </m:ctrlPr>
          </m:sSubPr>
          <m:e>
            <m:r>
              <w:rPr>
                <w:rFonts w:ascii="Cambria Math" w:hAnsi="Cambria Math"/>
              </w:rPr>
              <m:t>f</m:t>
            </m:r>
          </m:e>
          <m:sub>
            <m:r>
              <w:rPr>
                <w:rFonts w:ascii="Cambria Math" w:hAnsi="Cambria Math"/>
              </w:rPr>
              <m:t>m</m:t>
            </m:r>
          </m:sub>
        </m:sSub>
      </m:oMath>
      <w:r w:rsidR="00B44672">
        <w:t>: annual medicare levy;</w:t>
      </w:r>
    </w:p>
    <w:p w14:paraId="1B0D4E05" w14:textId="77777777" w:rsidR="00B44672" w:rsidRDefault="00A6304C" w:rsidP="00B44672">
      <w:pPr>
        <w:numPr>
          <w:ilvl w:val="0"/>
          <w:numId w:val="1"/>
        </w:numPr>
        <w:tabs>
          <w:tab w:val="num" w:pos="0"/>
        </w:tabs>
        <w:ind w:left="480" w:hanging="480"/>
      </w:pPr>
      <m:oMath>
        <m:sSub>
          <m:sSubPr>
            <m:ctrlPr>
              <w:rPr>
                <w:rFonts w:ascii="Cambria Math" w:hAnsi="Cambria Math"/>
              </w:rPr>
            </m:ctrlPr>
          </m:sSubPr>
          <m:e>
            <m:r>
              <w:rPr>
                <w:rFonts w:ascii="Cambria Math" w:hAnsi="Cambria Math"/>
              </w:rPr>
              <m:t>f</m:t>
            </m:r>
          </m:e>
          <m:sub>
            <m:r>
              <w:rPr>
                <w:rFonts w:ascii="Cambria Math" w:hAnsi="Cambria Math"/>
              </w:rPr>
              <m:t>r</m:t>
            </m:r>
          </m:sub>
        </m:sSub>
      </m:oMath>
      <w:r w:rsidR="00B44672">
        <w:t>: general annual rate (net of rebate), which is calculated on all properties, and land tax (if any). Note that the rates rebate is not applied to i</w:t>
      </w:r>
      <w:r w:rsidR="00B44672" w:rsidRPr="00286368">
        <w:t>nvestment properties</w:t>
      </w:r>
      <w:r w:rsidR="00B44672">
        <w:t>;</w:t>
      </w:r>
    </w:p>
    <w:p w14:paraId="6876CB3D" w14:textId="77777777" w:rsidR="00B44672" w:rsidRDefault="00A6304C" w:rsidP="00B44672">
      <w:pPr>
        <w:numPr>
          <w:ilvl w:val="0"/>
          <w:numId w:val="1"/>
        </w:numPr>
        <w:tabs>
          <w:tab w:val="num" w:pos="0"/>
        </w:tabs>
        <w:ind w:left="480" w:hanging="480"/>
      </w:pPr>
      <m:oMath>
        <m:sSub>
          <m:sSubPr>
            <m:ctrlPr>
              <w:rPr>
                <w:rFonts w:ascii="Cambria Math" w:hAnsi="Cambria Math"/>
              </w:rPr>
            </m:ctrlPr>
          </m:sSubPr>
          <m:e>
            <m:r>
              <w:rPr>
                <w:rFonts w:ascii="Cambria Math" w:hAnsi="Cambria Math"/>
              </w:rPr>
              <m:t>f</m:t>
            </m:r>
          </m:e>
          <m:sub>
            <m:r>
              <w:rPr>
                <w:rFonts w:ascii="Cambria Math" w:hAnsi="Cambria Math"/>
              </w:rPr>
              <m:t>l</m:t>
            </m:r>
          </m:sub>
        </m:sSub>
      </m:oMath>
      <w:r w:rsidR="00B44672">
        <w:t>: annual loan fee;</w:t>
      </w:r>
    </w:p>
    <w:p w14:paraId="305FD08F" w14:textId="77777777" w:rsidR="00B44672" w:rsidRDefault="00B44672" w:rsidP="00B44672">
      <w:pPr>
        <w:numPr>
          <w:ilvl w:val="0"/>
          <w:numId w:val="1"/>
        </w:numPr>
        <w:tabs>
          <w:tab w:val="num" w:pos="0"/>
        </w:tabs>
        <w:ind w:left="480" w:hanging="480"/>
      </w:pPr>
      <m:oMath>
        <m:r>
          <w:rPr>
            <w:rFonts w:ascii="Cambria Math" w:hAnsi="Cambria Math"/>
          </w:rPr>
          <m:t>→</m:t>
        </m:r>
        <m:f>
          <m:fPr>
            <m:ctrlPr>
              <w:rPr>
                <w:rFonts w:ascii="Cambria Math" w:hAnsi="Cambria Math"/>
              </w:rPr>
            </m:ctrlPr>
          </m:fPr>
          <m:num>
            <m:r>
              <w:rPr>
                <w:rFonts w:ascii="Cambria Math" w:hAnsi="Cambria Math"/>
              </w:rPr>
              <m:t>y-</m:t>
            </m:r>
            <m:sSub>
              <m:sSubPr>
                <m:ctrlPr>
                  <w:rPr>
                    <w:rFonts w:ascii="Cambria Math" w:hAnsi="Cambria Math"/>
                  </w:rPr>
                </m:ctrlPr>
              </m:sSubPr>
              <m:e>
                <m:r>
                  <w:rPr>
                    <w:rFonts w:ascii="Cambria Math" w:hAnsi="Cambria Math"/>
                  </w:rPr>
                  <m:t>c</m:t>
                </m:r>
              </m:e>
              <m:sub>
                <m:r>
                  <w:rPr>
                    <w:rFonts w:ascii="Cambria Math" w:hAnsi="Cambria Math"/>
                  </w:rPr>
                  <m:t>min</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sub>
            </m:sSub>
          </m:num>
          <m:den>
            <m:r>
              <w:rPr>
                <w:rFonts w:ascii="Cambria Math" w:hAnsi="Cambria Math"/>
              </w:rPr>
              <m:t>12</m:t>
            </m:r>
          </m:den>
        </m:f>
      </m:oMath>
      <w:r>
        <w:t>: maximum monthly repayment amou</w:t>
      </w:r>
      <w:proofErr w:type="spellStart"/>
      <w:r>
        <w:t>nt</w:t>
      </w:r>
      <w:proofErr w:type="spellEnd"/>
      <w:r>
        <w:t>;</w:t>
      </w:r>
    </w:p>
    <w:p w14:paraId="66D0B8EA" w14:textId="77777777" w:rsidR="00B44672" w:rsidRDefault="00B44672" w:rsidP="00B44672">
      <w:pPr>
        <w:numPr>
          <w:ilvl w:val="0"/>
          <w:numId w:val="1"/>
        </w:numPr>
        <w:tabs>
          <w:tab w:val="num" w:pos="0"/>
        </w:tabs>
        <w:ind w:left="480" w:hanging="480"/>
      </w:pPr>
      <m:oMath>
        <m:r>
          <w:rPr>
            <w:rFonts w:ascii="Cambria Math" w:hAnsi="Cambria Math"/>
          </w:rPr>
          <m:t>r</m:t>
        </m:r>
      </m:oMath>
      <w:r>
        <w:t>: monthly home loan interest rate;</w:t>
      </w:r>
    </w:p>
    <w:p w14:paraId="7052E756" w14:textId="77777777" w:rsidR="00B44672" w:rsidRDefault="00B44672" w:rsidP="00B44672">
      <w:pPr>
        <w:numPr>
          <w:ilvl w:val="0"/>
          <w:numId w:val="1"/>
        </w:numPr>
        <w:tabs>
          <w:tab w:val="num" w:pos="0"/>
        </w:tabs>
        <w:ind w:left="480" w:hanging="480"/>
      </w:pPr>
      <m:oMath>
        <m:r>
          <w:rPr>
            <w:rFonts w:ascii="Cambria Math" w:hAnsi="Cambria Math"/>
          </w:rPr>
          <m:t>n</m:t>
        </m:r>
      </m:oMath>
      <w:r>
        <w:t>: home loan duration (in months).</w:t>
      </w:r>
    </w:p>
    <w:p w14:paraId="3781B186" w14:textId="77777777" w:rsidR="00B44672" w:rsidRDefault="00B44672">
      <w:pPr>
        <w:pStyle w:val="FirstParagraph"/>
      </w:pPr>
      <w:r>
        <w:t>The renters will transit to homeownership, and the homeowners will buy a property if both conditions (7) and (8) are satisfied.</w:t>
      </w:r>
    </w:p>
    <w:p w14:paraId="05842F16" w14:textId="77777777" w:rsidR="00B44672" w:rsidRDefault="00B44672">
      <w:pPr>
        <w:pStyle w:val="BodyText"/>
      </w:pPr>
      <w:r>
        <w:t>See Figure 4 for a better explanation of our borrowing constraint model.</w:t>
      </w:r>
    </w:p>
    <w:p w14:paraId="3B0F0475" w14:textId="77777777" w:rsidR="00B44672" w:rsidRDefault="00B44672">
      <w:pPr>
        <w:pStyle w:val="CaptionedFigure"/>
      </w:pPr>
      <w:r>
        <w:rPr>
          <w:noProof/>
        </w:rPr>
        <w:lastRenderedPageBreak/>
        <w:drawing>
          <wp:inline distT="0" distB="0" distL="0" distR="0" wp14:anchorId="6B83A79E" wp14:editId="34C24785">
            <wp:extent cx="4360984" cy="7887956"/>
            <wp:effectExtent l="0" t="0" r="0" b="0"/>
            <wp:docPr id="4" name="Picture" descr="Figure 4 - A flowchart of our borrowing constraint model"/>
            <wp:cNvGraphicFramePr/>
            <a:graphic xmlns:a="http://schemas.openxmlformats.org/drawingml/2006/main">
              <a:graphicData uri="http://schemas.openxmlformats.org/drawingml/2006/picture">
                <pic:pic xmlns:pic="http://schemas.openxmlformats.org/drawingml/2006/picture">
                  <pic:nvPicPr>
                    <pic:cNvPr id="0" name="Picture" descr="graph\graph_0_0\fig1_1.png"/>
                    <pic:cNvPicPr>
                      <a:picLocks noChangeAspect="1" noChangeArrowheads="1"/>
                    </pic:cNvPicPr>
                  </pic:nvPicPr>
                  <pic:blipFill>
                    <a:blip r:embed="rId14"/>
                    <a:stretch>
                      <a:fillRect/>
                    </a:stretch>
                  </pic:blipFill>
                  <pic:spPr bwMode="auto">
                    <a:xfrm>
                      <a:off x="0" y="0"/>
                      <a:ext cx="4391712" cy="7943536"/>
                    </a:xfrm>
                    <a:prstGeom prst="rect">
                      <a:avLst/>
                    </a:prstGeom>
                    <a:noFill/>
                    <a:ln w="9525">
                      <a:noFill/>
                      <a:headEnd/>
                      <a:tailEnd/>
                    </a:ln>
                  </pic:spPr>
                </pic:pic>
              </a:graphicData>
            </a:graphic>
          </wp:inline>
        </w:drawing>
      </w:r>
    </w:p>
    <w:p w14:paraId="4A2ACF73" w14:textId="77777777" w:rsidR="00B44672" w:rsidRDefault="00B44672">
      <w:pPr>
        <w:pStyle w:val="ImageCaption"/>
      </w:pPr>
      <w:r>
        <w:t>Figure 4 - A flowchart of our borrowing constraint model</w:t>
      </w:r>
    </w:p>
    <w:p w14:paraId="67654B89" w14:textId="77777777" w:rsidR="00B44672" w:rsidRDefault="00B44672">
      <w:pPr>
        <w:pStyle w:val="Heading3"/>
      </w:pPr>
      <w:bookmarkStart w:id="105" w:name="property-price-estimation"/>
      <w:bookmarkStart w:id="106" w:name="_Toc39241797"/>
      <w:bookmarkStart w:id="107" w:name="_Toc41941371"/>
      <w:r>
        <w:lastRenderedPageBreak/>
        <w:t>5.1. Property price estimation</w:t>
      </w:r>
      <w:bookmarkEnd w:id="105"/>
      <w:bookmarkEnd w:id="106"/>
      <w:bookmarkEnd w:id="107"/>
    </w:p>
    <w:p w14:paraId="340FC207" w14:textId="77777777" w:rsidR="00B44672" w:rsidRDefault="00B44672">
      <w:pPr>
        <w:pStyle w:val="FirstParagraph"/>
      </w:pPr>
      <w:r>
        <w:t xml:space="preserve">The first step in modelling borrowing constraints is to estimate the property prices that potential homebuyers expect to purchase. Before doing that, we randomly assign potential homebuyers to </w:t>
      </w:r>
      <w:proofErr w:type="gramStart"/>
      <w:r>
        <w:t>newly-constructed</w:t>
      </w:r>
      <w:proofErr w:type="gramEnd"/>
      <w:r>
        <w:t xml:space="preserve"> property purchasers.</w:t>
      </w:r>
      <w:r>
        <w:rPr>
          <w:rStyle w:val="FootnoteReference"/>
        </w:rPr>
        <w:footnoteReference w:id="23"/>
      </w:r>
      <w:r>
        <w:t xml:space="preserve"> This assignment helps to not only estimate more properly the property values but also allows a proportion of homebuyers can be eligible to receive FHOG or pay reduced stamp duties.</w:t>
      </w:r>
    </w:p>
    <w:p w14:paraId="5B9358AA" w14:textId="77777777" w:rsidR="00B44672" w:rsidRDefault="00B44672">
      <w:pPr>
        <w:pStyle w:val="BodyText"/>
      </w:pPr>
      <w:r>
        <w:t>To do this, we calculate the proportion purchasing a new home among recent homeowners at different ages. These proportions are used as the probabilities to buy a new property among potential home buyers at similar ages.</w:t>
      </w:r>
      <w:r>
        <w:rPr>
          <w:rStyle w:val="FootnoteReference"/>
        </w:rPr>
        <w:footnoteReference w:id="24"/>
      </w:r>
      <w:r>
        <w:t xml:space="preserve"> Details of these proportions by age can be found in Table A3 in the Appendix. Among recent homeowners who purchased properties in the last three years before 2011-12, 39% bought their first home and 16% bought a new property, which suggests a proportion of first </w:t>
      </w:r>
      <w:proofErr w:type="gramStart"/>
      <w:r>
        <w:t>home owners</w:t>
      </w:r>
      <w:proofErr w:type="gramEnd"/>
      <w:r>
        <w:t xml:space="preserve"> did not eligible to meet the FHOG requirement.</w:t>
      </w:r>
    </w:p>
    <w:p w14:paraId="3EBD4E98" w14:textId="77777777" w:rsidR="00B44672" w:rsidRDefault="00B44672">
      <w:pPr>
        <w:pStyle w:val="BodyText"/>
      </w:pPr>
      <w:r>
        <w:t>With the assumption that home buyers tend to buy properties suitable to their family situations, we predict their expected property prices based on their family characteristics and the associated coefficients of the equation (6) estimated from a sample of homeowners. Because the information on the dwelling values among homeowners is only available at the household level and one dwelling can be shared by more than one income unit, to predict the property value that one income unit expects to purchase, we keep the sample of homeowners who have only one income units in their households. It is worth noting that in the equation (6), we do not add the dwelling characteristics because these characteristics are suitable for owners rather than renters, who are also potential home buyers, especially when these renters share residences with others.</w:t>
      </w:r>
    </w:p>
    <w:p w14:paraId="7F7CF914" w14:textId="77777777" w:rsidR="00B44672" w:rsidRDefault="00B44672">
      <w:pPr>
        <w:pStyle w:val="BodyText"/>
      </w:pPr>
      <w:r>
        <w:t xml:space="preserve">Details of family characteristics by sub-groups and property value regression results among homeowners are shown in Tables A4 and A5 in the Appendix. Generally, younger people and first homeowners tend to live in properties with cheaper price. Income units headed by males or pensioners, who are mostly not in the </w:t>
      </w:r>
      <w:proofErr w:type="spellStart"/>
      <w:r>
        <w:t>labour</w:t>
      </w:r>
      <w:proofErr w:type="spellEnd"/>
      <w:r>
        <w:t xml:space="preserve"> force, or those with higher income tend to reside in more expensive dwellings. New homes are also shown to be more expensive in our model. From this regression outcome, we can predict the property values among potential home buyers for the year 2011-12. We then inflate these values using the median property price index (RPPI) which is computed from the ACT government’s stamp duty data over the period of interest. See Table A8 in the Appendix for more details.</w:t>
      </w:r>
    </w:p>
    <w:p w14:paraId="786C68A0" w14:textId="77777777" w:rsidR="00B44672" w:rsidRDefault="00B44672">
      <w:pPr>
        <w:pStyle w:val="Heading3"/>
      </w:pPr>
      <w:bookmarkStart w:id="108" w:name="deposit-requirement"/>
      <w:bookmarkStart w:id="109" w:name="_Toc39241798"/>
      <w:bookmarkStart w:id="110" w:name="_Toc41941372"/>
      <w:r>
        <w:t>5.2. Deposit requirement</w:t>
      </w:r>
      <w:bookmarkEnd w:id="108"/>
      <w:bookmarkEnd w:id="109"/>
      <w:bookmarkEnd w:id="110"/>
    </w:p>
    <w:p w14:paraId="71F6C5C5" w14:textId="77777777" w:rsidR="00B44672" w:rsidRDefault="00B44672">
      <w:pPr>
        <w:pStyle w:val="FirstParagraph"/>
      </w:pPr>
      <w:r>
        <w:t>The expected property values of potential home buyers are used to construct their deposit constraints. As mentioned before, potential home buyers include all renters and some of homeowners who want to buy other properties. Not all homeowners want to purchase a property, therefore we randomly assign this housing demand to homeowners until the total residential property sales in the ACT are reached and a certain share of investors is met.</w:t>
      </w:r>
    </w:p>
    <w:p w14:paraId="230E1C51" w14:textId="77777777" w:rsidR="00B44672" w:rsidRDefault="00B44672">
      <w:pPr>
        <w:pStyle w:val="BodyText"/>
      </w:pPr>
      <w:r>
        <w:t xml:space="preserve">Identifying the housing investment rate is important because, as presented in equation (7), the deposit requirement is different between investor and non-investor groups. Based on the </w:t>
      </w:r>
      <w:r>
        <w:lastRenderedPageBreak/>
        <w:t>available data from SIHs, we find that among recent homebuyers who are not first homeowners and purchased properties in the ACT during the last three years, 42% of them had more than one property. Under the assumption that homeowners tend to live in one of their properties and rent out the other properties, the proportion of 42% implies the housing investment rate among homeowners.</w:t>
      </w:r>
      <w:r>
        <w:rPr>
          <w:rStyle w:val="FootnoteReference"/>
        </w:rPr>
        <w:footnoteReference w:id="25"/>
      </w:r>
    </w:p>
    <w:p w14:paraId="6F610BBE" w14:textId="77777777" w:rsidR="00B44672" w:rsidRDefault="00B44672">
      <w:pPr>
        <w:pStyle w:val="BodyText"/>
      </w:pPr>
      <w:r>
        <w:t xml:space="preserve">For homeowners, equity in their current home may allow them to buy a second property or change their home, even with no deposit. For renters, savings play an important role in meeting the deposit requirement. However, when looking at the amount of money that different sub-groups of potential home buyers are saving (Table A6 in the Appendix), renters tend to save less than homeowners, implying their much less opportunities to afford to buy a suitable property. Meanwhile, high-income </w:t>
      </w:r>
      <w:proofErr w:type="spellStart"/>
      <w:r>
        <w:t>eaners</w:t>
      </w:r>
      <w:proofErr w:type="spellEnd"/>
      <w:r>
        <w:t xml:space="preserve"> and pensioners tend to save more, which explain the higher expected prices of properties that these groups want to buy.</w:t>
      </w:r>
    </w:p>
    <w:p w14:paraId="790C5A54" w14:textId="77777777" w:rsidR="00B44672" w:rsidRDefault="00B44672">
      <w:pPr>
        <w:pStyle w:val="BodyText"/>
      </w:pPr>
      <w:r>
        <w:t xml:space="preserve">When potential home buyers have savings and equity in housing (net of other upfront costs) less than 20% but at least 10% of property values, we allow them to get home loans from banks with a charge on lender mortgage insurance. This is insurance for the possibility that borrowers will default on their loan. The lender mortgage insurance premium is higher for higher property values. See Table A7 in the Appendix for details. This insurance premium is usually a one-off charge and can be included either in upfront costs and paid immediately or added to the loan repayments so that it’s spread out over the term of the loan. To simplify our model, we have assumed that this insurance </w:t>
      </w:r>
      <w:proofErr w:type="gramStart"/>
      <w:r>
        <w:t>has to</w:t>
      </w:r>
      <w:proofErr w:type="gramEnd"/>
      <w:r>
        <w:t xml:space="preserve"> be paid on the settlement date and needs to be part of their savings.</w:t>
      </w:r>
    </w:p>
    <w:p w14:paraId="69F22E57" w14:textId="77777777" w:rsidR="00B44672" w:rsidRDefault="00B44672">
      <w:pPr>
        <w:pStyle w:val="BodyText"/>
      </w:pPr>
      <w:r>
        <w:t>Lender mortgage insurance and stamp duty (net of FHOG, if any) are considered as upfront costs that potential home buyers need to afford to pay. These costs are also incorporated in our deposit constraint model. The stamp duty amount paid is different between the new and old policies, therefore whether a potential home buyer meets the deposit requirement is different under these two policies. Reducing stamp duty under the new tax policy means that some of the stamp duty paid under the old tax system can now be used for a deposit under the new policy. This then has a positive impact on purchasing ability.</w:t>
      </w:r>
    </w:p>
    <w:p w14:paraId="0AE8BA1E" w14:textId="77777777" w:rsidR="00B44672" w:rsidRDefault="00B44672">
      <w:pPr>
        <w:pStyle w:val="Heading3"/>
      </w:pPr>
      <w:bookmarkStart w:id="111" w:name="income-requirement"/>
      <w:bookmarkStart w:id="112" w:name="_Toc39241799"/>
      <w:bookmarkStart w:id="113" w:name="_Toc41941373"/>
      <w:r>
        <w:t>5.3. Income requirement</w:t>
      </w:r>
      <w:bookmarkEnd w:id="111"/>
      <w:bookmarkEnd w:id="112"/>
      <w:bookmarkEnd w:id="113"/>
    </w:p>
    <w:p w14:paraId="1D38C3B4" w14:textId="77777777" w:rsidR="00B44672" w:rsidRDefault="00B44672">
      <w:pPr>
        <w:pStyle w:val="FirstParagraph"/>
      </w:pPr>
      <w:r>
        <w:t>As shown in the equation (8), if borrowers have enough regular after-tax income to pay regular expenditure, they meet the income requirement. Regular income includes employee income, profit/loss from business, net investment income and rental income (if any), government pensions and allowances, and private transfers. Rental income is the income that an investor can receive if they buy a property and rent it out. To estimate this income over the period 2012-18, we merge the ACT government rental bonds data with their stamp duty data and run a linear regression of rental income on property value by year. The rental income for the investment property is then obtained from fitted values of these regression results. This method allows the rental income varies based on investment property value.</w:t>
      </w:r>
    </w:p>
    <w:p w14:paraId="25B889B6" w14:textId="77777777" w:rsidR="00B44672" w:rsidRDefault="00B44672">
      <w:pPr>
        <w:pStyle w:val="BodyText"/>
      </w:pPr>
      <w:r>
        <w:t xml:space="preserve">For other income, we use the SIH baseline data and inflate this income using the average weekly earnings (AWE) index over the period of interest (also see Table A8). We also incorporate income tax, tax offset (including LITO, LAMITO) and Medicare levy rules in our </w:t>
      </w:r>
      <w:r>
        <w:lastRenderedPageBreak/>
        <w:t>calculations to estimate the regular after-tax income. These rules are demonstrated in Tables A9a, b, c and d in the Appendix. We allow these rules to change over time.</w:t>
      </w:r>
    </w:p>
    <w:p w14:paraId="3387E33C" w14:textId="77777777" w:rsidR="00B44672" w:rsidRDefault="00B44672">
      <w:pPr>
        <w:pStyle w:val="BodyText"/>
      </w:pPr>
      <w:r>
        <w:t>Regular expenditure in equation (8) includes essential family spending mostly on food and clothing; mortgage payment which includes principal, interest and annual loan fee; and general rate and land tax (if any). To measure essential family spending for different types of families, we use the Household Expenditure Measure (HEM) table which is adopted as a benchmark by lenders. This table was developed by the Melbourne Institute of Applied Economics and uses median spending on ‘basic’ expenses such as food purchased from a supermarket and children’s clothing, combined with 25% of the expenditure on ‘discretionary’ spending. The HEM benchmark is income-adjusted and allows higher-income consumers to have higher living expenses (See Tables A10a and A10b in the Appendix for more details). Because these tables are only available at the time of doing this analysis, we adjust the figures in the tables by the CPI (Table A8).</w:t>
      </w:r>
    </w:p>
    <w:p w14:paraId="7F253FA6" w14:textId="77777777" w:rsidR="00B44672" w:rsidRDefault="00B44672">
      <w:pPr>
        <w:pStyle w:val="BodyText"/>
      </w:pPr>
      <w:r>
        <w:t>Regarding mortgage payments, we use an annual package fee of $395 (which is currently used by Westpac and Commonwealth banks) for each home loan. This fee is assumed to be unchanged for the whole period of interest. Other mortgage payments are interest and principal repayments which are computed based on the loan amount, loan duration and interest rate. The loan amount is estimated from the deposit requirement equation. For loan duration, we assume that the maximum age of a borrower for a mortgage loan (i.e. the age at which the borrower needs to have paid it off) is 75 and the maximum loan duration is 30 years for borrowers aged 45 or below. Hence, the loan duration reduces when age increases. We select the age of the younger adult in the income unit to calculate this loan duration. For the interest rate, we use the median interest rates of the years 2011, 2013, 2015 and 2017, which are computed from SIHs, and extrapolate them for the other missing years (2012, 2014, 2016 and 2018). See Table A11 in the Appendix for more details.</w:t>
      </w:r>
    </w:p>
    <w:p w14:paraId="5307AEC0" w14:textId="77777777" w:rsidR="00B44672" w:rsidRDefault="00B44672">
      <w:pPr>
        <w:pStyle w:val="BodyText"/>
      </w:pPr>
      <w:r>
        <w:t xml:space="preserve">The other regular expenditure is general rates and land tax (if any). Both general rate and land tax change when the tax policy changes, therefore affecting the income constraint.  These fees are calculated based on the land value. In the SIHs, we do not have the land value information. To compute the land value for different years, we merge the ACT government rate data with their stamp duty data and calculate the average land-to-property value ratios by year, which range between 46.2% and 56.5%. Then these ratios are used to estimate the land value for properties expected to be purchased in each year. We keep land value to be unchanged between the old and new tax policies. It is worth noting that if tax reform has resulted in increased property prices, tax reform could theoretically result in increased UVs. In our model, having the same land value for the new and old tax policies when the prices increase in the new policies would mean that the land value in the old tax policies is overvalued, which means the rates is supposed to be lower in the old tax policy and this may allow more household to satisfy the income constraint in the old tax policies assumption. </w:t>
      </w:r>
    </w:p>
    <w:p w14:paraId="68C7E7DF" w14:textId="77777777" w:rsidR="00B44672" w:rsidRDefault="00B44672">
      <w:pPr>
        <w:pStyle w:val="Heading1"/>
      </w:pPr>
      <w:bookmarkStart w:id="114" w:name="iii.-detailed-results"/>
      <w:bookmarkStart w:id="115" w:name="_Toc39241800"/>
      <w:bookmarkStart w:id="116" w:name="_Toc41941374"/>
      <w:r>
        <w:t>III. Detailed Results</w:t>
      </w:r>
      <w:bookmarkEnd w:id="114"/>
      <w:bookmarkEnd w:id="115"/>
      <w:bookmarkEnd w:id="116"/>
    </w:p>
    <w:p w14:paraId="581733F8" w14:textId="77777777" w:rsidR="00B44672" w:rsidRDefault="00B44672">
      <w:pPr>
        <w:pStyle w:val="FirstParagraph"/>
      </w:pPr>
      <w:r>
        <w:t xml:space="preserve">The tax reform package not only affects stamp duty and rate payments, and therefore the borrowing constraints, but also property prices. Four main criteria are used to measure the impact of tax reform in the ACT, including differences between the new and old tax policies in terms of the number of properties purchased, the stamp duty payment distribution, the </w:t>
      </w:r>
      <w:r>
        <w:lastRenderedPageBreak/>
        <w:t xml:space="preserve">rate payment distribution and the rate and stamp duty payment distribution. We look at these differences as a whole and by sub-groups (including low- and middle-income homeowners or renters, first home buyers, pensioners and females), by income quintile and wealth </w:t>
      </w:r>
      <w:proofErr w:type="gramStart"/>
      <w:r>
        <w:t>quintile in particular</w:t>
      </w:r>
      <w:proofErr w:type="gramEnd"/>
      <w:r>
        <w:t>. In addition, we examine these differences over income quintiles and wealth quintiles. Three scenarios of the old tax policies are considered: (</w:t>
      </w:r>
      <w:proofErr w:type="spellStart"/>
      <w:r>
        <w:t>i</w:t>
      </w:r>
      <w:proofErr w:type="spellEnd"/>
      <w:r>
        <w:t xml:space="preserve">) no change in property prices relative to RPPI; (ii) an increase between 0.35% in 2012 and 1.30% in 2018 (or on average 0.8%) above RPPI; and (iii) an increase of between 1.24% in 2012 and 2.19% in 2018 (or on average 1.7%) above what it would have been under the old policy (RPPI). </w:t>
      </w:r>
    </w:p>
    <w:p w14:paraId="0D31A8C2" w14:textId="77777777" w:rsidR="00B44672" w:rsidRDefault="00B44672">
      <w:pPr>
        <w:pStyle w:val="BodyText"/>
      </w:pPr>
      <w:r>
        <w:t>This section only shows tables of distributional results from our model at a greater level of detail compared to our main report for information and use by the ACT Government in their analysis, but no interpretation or discussion of these tables. A discussion on main results can be found in the final report.</w:t>
      </w:r>
    </w:p>
    <w:p w14:paraId="4523D106" w14:textId="77777777" w:rsidR="00B44672" w:rsidRDefault="00B44672">
      <w:pPr>
        <w:jc w:val="left"/>
        <w:rPr>
          <w:rFonts w:eastAsiaTheme="majorEastAsia" w:cstheme="majorBidi"/>
          <w:b/>
          <w:bCs/>
          <w:color w:val="4F81BD" w:themeColor="accent1"/>
          <w:sz w:val="26"/>
          <w:szCs w:val="28"/>
        </w:rPr>
      </w:pPr>
      <w:bookmarkStart w:id="117" w:name="Xcc787992a823eda92e9b19a7f0fece0ba8c7cfd"/>
      <w:bookmarkStart w:id="118" w:name="total-results"/>
      <w:r>
        <w:br w:type="page"/>
      </w:r>
    </w:p>
    <w:p w14:paraId="0A16B604" w14:textId="77777777" w:rsidR="00B44672" w:rsidRDefault="00B44672">
      <w:pPr>
        <w:pStyle w:val="Heading3"/>
      </w:pPr>
      <w:bookmarkStart w:id="119" w:name="_Toc39241801"/>
      <w:bookmarkStart w:id="120" w:name="_Toc41941375"/>
      <w:r>
        <w:lastRenderedPageBreak/>
        <w:t xml:space="preserve">1. </w:t>
      </w:r>
      <w:bookmarkEnd w:id="117"/>
      <w:bookmarkEnd w:id="119"/>
      <w:r>
        <w:t>Total results</w:t>
      </w:r>
      <w:bookmarkEnd w:id="118"/>
      <w:bookmarkEnd w:id="120"/>
    </w:p>
    <w:p w14:paraId="24515AF9" w14:textId="77777777" w:rsidR="00B44672" w:rsidRDefault="00B44672">
      <w:pPr>
        <w:pStyle w:val="TableCaption"/>
      </w:pPr>
    </w:p>
    <w:p w14:paraId="601BB9AD" w14:textId="77777777" w:rsidR="00B44672" w:rsidRDefault="00B44672">
      <w:pPr>
        <w:pStyle w:val="TableCaption"/>
      </w:pPr>
      <w:r>
        <w:t xml:space="preserve">Table 7 - The impact of </w:t>
      </w:r>
      <w:r w:rsidRPr="00AF6491">
        <w:t xml:space="preserve">tax </w:t>
      </w:r>
      <w:r>
        <w:t>reform on the number of residential properties purchased by borrowing constraints, 2012 - 2018</w:t>
      </w:r>
    </w:p>
    <w:tbl>
      <w:tblPr>
        <w:tblStyle w:val="Table"/>
        <w:tblW w:w="5000" w:type="pct"/>
        <w:jc w:val="center"/>
        <w:tblCellMar>
          <w:left w:w="0" w:type="dxa"/>
          <w:right w:w="0" w:type="dxa"/>
        </w:tblCellMar>
        <w:tblLook w:val="07E0" w:firstRow="1" w:lastRow="1" w:firstColumn="1" w:lastColumn="1" w:noHBand="1" w:noVBand="1"/>
        <w:tblCaption w:val="Table 7 - The impact of tax reform on the number of residential properties purchased by borrowing constraints, 2012 - 2018"/>
      </w:tblPr>
      <w:tblGrid>
        <w:gridCol w:w="2759"/>
        <w:gridCol w:w="16"/>
        <w:gridCol w:w="758"/>
        <w:gridCol w:w="34"/>
        <w:gridCol w:w="727"/>
        <w:gridCol w:w="29"/>
        <w:gridCol w:w="733"/>
        <w:gridCol w:w="23"/>
        <w:gridCol w:w="738"/>
        <w:gridCol w:w="18"/>
        <w:gridCol w:w="744"/>
        <w:gridCol w:w="13"/>
        <w:gridCol w:w="749"/>
        <w:gridCol w:w="7"/>
        <w:gridCol w:w="760"/>
        <w:gridCol w:w="912"/>
        <w:gridCol w:w="6"/>
      </w:tblGrid>
      <w:tr w:rsidR="00B44672" w14:paraId="14124DC3" w14:textId="77777777" w:rsidTr="001132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7" w:type="pct"/>
            <w:gridSpan w:val="2"/>
            <w:tcBorders>
              <w:bottom w:val="single" w:sz="0" w:space="0" w:color="auto"/>
            </w:tcBorders>
            <w:vAlign w:val="bottom"/>
          </w:tcPr>
          <w:p w14:paraId="22AF1D08" w14:textId="77777777" w:rsidR="00B44672" w:rsidRDefault="00B44672"/>
        </w:tc>
        <w:tc>
          <w:tcPr>
            <w:tcW w:w="420" w:type="pct"/>
            <w:tcBorders>
              <w:bottom w:val="single" w:sz="0" w:space="0" w:color="auto"/>
            </w:tcBorders>
            <w:vAlign w:val="bottom"/>
          </w:tcPr>
          <w:p w14:paraId="32F9870F"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2012</w:t>
            </w:r>
          </w:p>
        </w:tc>
        <w:tc>
          <w:tcPr>
            <w:tcW w:w="422" w:type="pct"/>
            <w:gridSpan w:val="2"/>
            <w:tcBorders>
              <w:bottom w:val="single" w:sz="0" w:space="0" w:color="auto"/>
            </w:tcBorders>
            <w:vAlign w:val="bottom"/>
          </w:tcPr>
          <w:p w14:paraId="29BF2B68"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2013</w:t>
            </w:r>
          </w:p>
        </w:tc>
        <w:tc>
          <w:tcPr>
            <w:tcW w:w="422" w:type="pct"/>
            <w:gridSpan w:val="2"/>
            <w:tcBorders>
              <w:bottom w:val="single" w:sz="0" w:space="0" w:color="auto"/>
            </w:tcBorders>
            <w:vAlign w:val="bottom"/>
          </w:tcPr>
          <w:p w14:paraId="25F11045"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2014</w:t>
            </w:r>
          </w:p>
        </w:tc>
        <w:tc>
          <w:tcPr>
            <w:tcW w:w="422" w:type="pct"/>
            <w:gridSpan w:val="2"/>
            <w:tcBorders>
              <w:bottom w:val="single" w:sz="0" w:space="0" w:color="auto"/>
            </w:tcBorders>
            <w:vAlign w:val="bottom"/>
          </w:tcPr>
          <w:p w14:paraId="2C09F897"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2015</w:t>
            </w:r>
          </w:p>
        </w:tc>
        <w:tc>
          <w:tcPr>
            <w:tcW w:w="422" w:type="pct"/>
            <w:gridSpan w:val="2"/>
            <w:tcBorders>
              <w:bottom w:val="single" w:sz="0" w:space="0" w:color="auto"/>
            </w:tcBorders>
            <w:vAlign w:val="bottom"/>
          </w:tcPr>
          <w:p w14:paraId="15928450"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2016</w:t>
            </w:r>
          </w:p>
        </w:tc>
        <w:tc>
          <w:tcPr>
            <w:tcW w:w="422" w:type="pct"/>
            <w:gridSpan w:val="2"/>
            <w:tcBorders>
              <w:bottom w:val="single" w:sz="0" w:space="0" w:color="auto"/>
            </w:tcBorders>
            <w:vAlign w:val="bottom"/>
          </w:tcPr>
          <w:p w14:paraId="30EAA12B"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2017</w:t>
            </w:r>
          </w:p>
        </w:tc>
        <w:tc>
          <w:tcPr>
            <w:tcW w:w="425" w:type="pct"/>
            <w:gridSpan w:val="2"/>
            <w:tcBorders>
              <w:bottom w:val="single" w:sz="0" w:space="0" w:color="auto"/>
            </w:tcBorders>
            <w:vAlign w:val="bottom"/>
          </w:tcPr>
          <w:p w14:paraId="3435B9A0"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2018</w:t>
            </w:r>
          </w:p>
        </w:tc>
        <w:tc>
          <w:tcPr>
            <w:tcW w:w="505" w:type="pct"/>
            <w:tcBorders>
              <w:bottom w:val="single" w:sz="0" w:space="0" w:color="auto"/>
            </w:tcBorders>
            <w:vAlign w:val="bottom"/>
          </w:tcPr>
          <w:p w14:paraId="0C1F0226"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Total</w:t>
            </w:r>
          </w:p>
        </w:tc>
        <w:tc>
          <w:tcPr>
            <w:cnfStyle w:val="000100000000" w:firstRow="0" w:lastRow="0" w:firstColumn="0" w:lastColumn="1" w:oddVBand="0" w:evenVBand="0" w:oddHBand="0" w:evenHBand="0" w:firstRowFirstColumn="0" w:firstRowLastColumn="0" w:lastRowFirstColumn="0" w:lastRowLastColumn="0"/>
            <w:tcW w:w="3" w:type="pct"/>
            <w:tcBorders>
              <w:bottom w:val="single" w:sz="0" w:space="0" w:color="auto"/>
            </w:tcBorders>
            <w:vAlign w:val="bottom"/>
          </w:tcPr>
          <w:p w14:paraId="1CA2292C" w14:textId="77777777" w:rsidR="00B44672" w:rsidRDefault="00B44672"/>
        </w:tc>
      </w:tr>
      <w:tr w:rsidR="00B44672" w14:paraId="1F4BA9C5" w14:textId="77777777" w:rsidTr="001132D7">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1D3DDDFA" w14:textId="77777777" w:rsidR="00B44672" w:rsidRDefault="00B44672">
            <w:pPr>
              <w:pStyle w:val="Compact"/>
            </w:pPr>
            <w:r>
              <w:rPr>
                <w:b/>
              </w:rPr>
              <w:t>New tax policy</w:t>
            </w:r>
          </w:p>
        </w:tc>
        <w:tc>
          <w:tcPr>
            <w:tcW w:w="420" w:type="pct"/>
          </w:tcPr>
          <w:p w14:paraId="697972C5"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7334DD2F"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4E164A4F"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482DAAD1"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1AFEDFE8"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3EE081CD"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5" w:type="pct"/>
            <w:gridSpan w:val="2"/>
          </w:tcPr>
          <w:p w14:paraId="45E069FE"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505" w:type="pct"/>
          </w:tcPr>
          <w:p w14:paraId="4D4F0AEA"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6C62A472" w14:textId="77777777" w:rsidR="00B44672" w:rsidRDefault="00B44672"/>
        </w:tc>
      </w:tr>
      <w:tr w:rsidR="00B44672" w14:paraId="1198CE2D" w14:textId="77777777" w:rsidTr="001132D7">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34BCA3E3" w14:textId="77777777" w:rsidR="00B44672" w:rsidRDefault="00B44672">
            <w:pPr>
              <w:pStyle w:val="Compact"/>
            </w:pPr>
            <w:r>
              <w:t>Meet deposit constraint</w:t>
            </w:r>
          </w:p>
        </w:tc>
        <w:tc>
          <w:tcPr>
            <w:tcW w:w="420" w:type="pct"/>
          </w:tcPr>
          <w:p w14:paraId="43E8139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23,261</w:t>
            </w:r>
          </w:p>
        </w:tc>
        <w:tc>
          <w:tcPr>
            <w:tcW w:w="422" w:type="pct"/>
            <w:gridSpan w:val="2"/>
          </w:tcPr>
          <w:p w14:paraId="394405FC"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19,476</w:t>
            </w:r>
          </w:p>
        </w:tc>
        <w:tc>
          <w:tcPr>
            <w:tcW w:w="422" w:type="pct"/>
            <w:gridSpan w:val="2"/>
          </w:tcPr>
          <w:p w14:paraId="01A659A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20,574</w:t>
            </w:r>
          </w:p>
        </w:tc>
        <w:tc>
          <w:tcPr>
            <w:tcW w:w="422" w:type="pct"/>
            <w:gridSpan w:val="2"/>
          </w:tcPr>
          <w:p w14:paraId="65C9617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22,270</w:t>
            </w:r>
          </w:p>
        </w:tc>
        <w:tc>
          <w:tcPr>
            <w:tcW w:w="422" w:type="pct"/>
            <w:gridSpan w:val="2"/>
          </w:tcPr>
          <w:p w14:paraId="79ACBBE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24,376</w:t>
            </w:r>
          </w:p>
        </w:tc>
        <w:tc>
          <w:tcPr>
            <w:tcW w:w="422" w:type="pct"/>
            <w:gridSpan w:val="2"/>
          </w:tcPr>
          <w:p w14:paraId="72B0FED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19,391</w:t>
            </w:r>
          </w:p>
        </w:tc>
        <w:tc>
          <w:tcPr>
            <w:tcW w:w="425" w:type="pct"/>
            <w:gridSpan w:val="2"/>
          </w:tcPr>
          <w:p w14:paraId="0B2D058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15,029</w:t>
            </w:r>
          </w:p>
        </w:tc>
        <w:tc>
          <w:tcPr>
            <w:tcW w:w="505" w:type="pct"/>
          </w:tcPr>
          <w:p w14:paraId="5939BEEB"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144,377</w:t>
            </w:r>
          </w:p>
        </w:tc>
        <w:tc>
          <w:tcPr>
            <w:cnfStyle w:val="000100000000" w:firstRow="0" w:lastRow="0" w:firstColumn="0" w:lastColumn="1" w:oddVBand="0" w:evenVBand="0" w:oddHBand="0" w:evenHBand="0" w:firstRowFirstColumn="0" w:firstRowLastColumn="0" w:lastRowFirstColumn="0" w:lastRowLastColumn="0"/>
            <w:tcW w:w="3" w:type="pct"/>
          </w:tcPr>
          <w:p w14:paraId="175E2407" w14:textId="77777777" w:rsidR="00B44672" w:rsidRDefault="00B44672"/>
        </w:tc>
      </w:tr>
      <w:tr w:rsidR="00B44672" w14:paraId="73054053" w14:textId="77777777" w:rsidTr="001132D7">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2E2A5F94" w14:textId="77777777" w:rsidR="00B44672" w:rsidRDefault="00B44672">
            <w:pPr>
              <w:pStyle w:val="Compact"/>
            </w:pPr>
            <w:r>
              <w:t>(% of potential buyers)</w:t>
            </w:r>
          </w:p>
        </w:tc>
        <w:tc>
          <w:tcPr>
            <w:tcW w:w="420" w:type="pct"/>
          </w:tcPr>
          <w:p w14:paraId="2AA1725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21.7</w:t>
            </w:r>
          </w:p>
        </w:tc>
        <w:tc>
          <w:tcPr>
            <w:tcW w:w="422" w:type="pct"/>
            <w:gridSpan w:val="2"/>
          </w:tcPr>
          <w:p w14:paraId="0EABD7E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17.4</w:t>
            </w:r>
          </w:p>
        </w:tc>
        <w:tc>
          <w:tcPr>
            <w:tcW w:w="422" w:type="pct"/>
            <w:gridSpan w:val="2"/>
          </w:tcPr>
          <w:p w14:paraId="7185CAF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17.8</w:t>
            </w:r>
          </w:p>
        </w:tc>
        <w:tc>
          <w:tcPr>
            <w:tcW w:w="422" w:type="pct"/>
            <w:gridSpan w:val="2"/>
          </w:tcPr>
          <w:p w14:paraId="34C986E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18.7</w:t>
            </w:r>
          </w:p>
        </w:tc>
        <w:tc>
          <w:tcPr>
            <w:tcW w:w="422" w:type="pct"/>
            <w:gridSpan w:val="2"/>
          </w:tcPr>
          <w:p w14:paraId="324A40B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19.7</w:t>
            </w:r>
          </w:p>
        </w:tc>
        <w:tc>
          <w:tcPr>
            <w:tcW w:w="422" w:type="pct"/>
            <w:gridSpan w:val="2"/>
          </w:tcPr>
          <w:p w14:paraId="65A06CD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16.2</w:t>
            </w:r>
          </w:p>
        </w:tc>
        <w:tc>
          <w:tcPr>
            <w:tcW w:w="425" w:type="pct"/>
            <w:gridSpan w:val="2"/>
          </w:tcPr>
          <w:p w14:paraId="567B4F5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13.1</w:t>
            </w:r>
          </w:p>
        </w:tc>
        <w:tc>
          <w:tcPr>
            <w:tcW w:w="505" w:type="pct"/>
          </w:tcPr>
          <w:p w14:paraId="539F860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17.8</w:t>
            </w:r>
          </w:p>
        </w:tc>
        <w:tc>
          <w:tcPr>
            <w:cnfStyle w:val="000100000000" w:firstRow="0" w:lastRow="0" w:firstColumn="0" w:lastColumn="1" w:oddVBand="0" w:evenVBand="0" w:oddHBand="0" w:evenHBand="0" w:firstRowFirstColumn="0" w:firstRowLastColumn="0" w:lastRowFirstColumn="0" w:lastRowLastColumn="0"/>
            <w:tcW w:w="3" w:type="pct"/>
          </w:tcPr>
          <w:p w14:paraId="29E5E169" w14:textId="77777777" w:rsidR="00B44672" w:rsidRDefault="00B44672"/>
        </w:tc>
      </w:tr>
      <w:tr w:rsidR="00B44672" w14:paraId="1ACA3A40" w14:textId="77777777" w:rsidTr="001132D7">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2B819F6C" w14:textId="77777777" w:rsidR="00B44672" w:rsidRDefault="00B44672">
            <w:pPr>
              <w:pStyle w:val="Compact"/>
            </w:pPr>
            <w:r>
              <w:t>Meet income constraint</w:t>
            </w:r>
          </w:p>
        </w:tc>
        <w:tc>
          <w:tcPr>
            <w:tcW w:w="420" w:type="pct"/>
          </w:tcPr>
          <w:p w14:paraId="26CDC20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47,464</w:t>
            </w:r>
          </w:p>
        </w:tc>
        <w:tc>
          <w:tcPr>
            <w:tcW w:w="422" w:type="pct"/>
            <w:gridSpan w:val="2"/>
          </w:tcPr>
          <w:p w14:paraId="3E9997E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54,425</w:t>
            </w:r>
          </w:p>
        </w:tc>
        <w:tc>
          <w:tcPr>
            <w:tcW w:w="422" w:type="pct"/>
            <w:gridSpan w:val="2"/>
          </w:tcPr>
          <w:p w14:paraId="25656172"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56,185</w:t>
            </w:r>
          </w:p>
        </w:tc>
        <w:tc>
          <w:tcPr>
            <w:tcW w:w="422" w:type="pct"/>
            <w:gridSpan w:val="2"/>
          </w:tcPr>
          <w:p w14:paraId="3D5814C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57,270</w:t>
            </w:r>
          </w:p>
        </w:tc>
        <w:tc>
          <w:tcPr>
            <w:tcW w:w="422" w:type="pct"/>
            <w:gridSpan w:val="2"/>
          </w:tcPr>
          <w:p w14:paraId="7722D3C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58,338</w:t>
            </w:r>
          </w:p>
        </w:tc>
        <w:tc>
          <w:tcPr>
            <w:tcW w:w="422" w:type="pct"/>
            <w:gridSpan w:val="2"/>
          </w:tcPr>
          <w:p w14:paraId="0E22D12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53,297</w:t>
            </w:r>
          </w:p>
        </w:tc>
        <w:tc>
          <w:tcPr>
            <w:tcW w:w="425" w:type="pct"/>
            <w:gridSpan w:val="2"/>
          </w:tcPr>
          <w:p w14:paraId="68BDD16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55,047</w:t>
            </w:r>
          </w:p>
        </w:tc>
        <w:tc>
          <w:tcPr>
            <w:tcW w:w="505" w:type="pct"/>
          </w:tcPr>
          <w:p w14:paraId="5517444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382,026</w:t>
            </w:r>
          </w:p>
        </w:tc>
        <w:tc>
          <w:tcPr>
            <w:cnfStyle w:val="000100000000" w:firstRow="0" w:lastRow="0" w:firstColumn="0" w:lastColumn="1" w:oddVBand="0" w:evenVBand="0" w:oddHBand="0" w:evenHBand="0" w:firstRowFirstColumn="0" w:firstRowLastColumn="0" w:lastRowFirstColumn="0" w:lastRowLastColumn="0"/>
            <w:tcW w:w="3" w:type="pct"/>
          </w:tcPr>
          <w:p w14:paraId="78A2DB76" w14:textId="77777777" w:rsidR="00B44672" w:rsidRDefault="00B44672"/>
        </w:tc>
      </w:tr>
      <w:tr w:rsidR="00B44672" w14:paraId="11D00EED" w14:textId="77777777" w:rsidTr="001132D7">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5B2970CE" w14:textId="77777777" w:rsidR="00B44672" w:rsidRDefault="00B44672">
            <w:pPr>
              <w:pStyle w:val="Compact"/>
            </w:pPr>
            <w:r>
              <w:t>(% of potential buyers)</w:t>
            </w:r>
          </w:p>
        </w:tc>
        <w:tc>
          <w:tcPr>
            <w:tcW w:w="420" w:type="pct"/>
          </w:tcPr>
          <w:p w14:paraId="5FD97A9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44.3</w:t>
            </w:r>
          </w:p>
        </w:tc>
        <w:tc>
          <w:tcPr>
            <w:tcW w:w="422" w:type="pct"/>
            <w:gridSpan w:val="2"/>
          </w:tcPr>
          <w:p w14:paraId="3540879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48.6</w:t>
            </w:r>
          </w:p>
        </w:tc>
        <w:tc>
          <w:tcPr>
            <w:tcW w:w="422" w:type="pct"/>
            <w:gridSpan w:val="2"/>
          </w:tcPr>
          <w:p w14:paraId="079F519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48.7</w:t>
            </w:r>
          </w:p>
        </w:tc>
        <w:tc>
          <w:tcPr>
            <w:tcW w:w="422" w:type="pct"/>
            <w:gridSpan w:val="2"/>
          </w:tcPr>
          <w:p w14:paraId="06094F72"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48.2</w:t>
            </w:r>
          </w:p>
        </w:tc>
        <w:tc>
          <w:tcPr>
            <w:tcW w:w="422" w:type="pct"/>
            <w:gridSpan w:val="2"/>
          </w:tcPr>
          <w:p w14:paraId="2E397021"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47.2</w:t>
            </w:r>
          </w:p>
        </w:tc>
        <w:tc>
          <w:tcPr>
            <w:tcW w:w="422" w:type="pct"/>
            <w:gridSpan w:val="2"/>
          </w:tcPr>
          <w:p w14:paraId="6C8F5FC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44.6</w:t>
            </w:r>
          </w:p>
        </w:tc>
        <w:tc>
          <w:tcPr>
            <w:tcW w:w="425" w:type="pct"/>
            <w:gridSpan w:val="2"/>
          </w:tcPr>
          <w:p w14:paraId="535B360E"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48.0</w:t>
            </w:r>
          </w:p>
        </w:tc>
        <w:tc>
          <w:tcPr>
            <w:tcW w:w="505" w:type="pct"/>
          </w:tcPr>
          <w:p w14:paraId="6D35973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47.1</w:t>
            </w:r>
          </w:p>
        </w:tc>
        <w:tc>
          <w:tcPr>
            <w:cnfStyle w:val="000100000000" w:firstRow="0" w:lastRow="0" w:firstColumn="0" w:lastColumn="1" w:oddVBand="0" w:evenVBand="0" w:oddHBand="0" w:evenHBand="0" w:firstRowFirstColumn="0" w:firstRowLastColumn="0" w:lastRowFirstColumn="0" w:lastRowLastColumn="0"/>
            <w:tcW w:w="3" w:type="pct"/>
          </w:tcPr>
          <w:p w14:paraId="3BF71AE8" w14:textId="77777777" w:rsidR="00B44672" w:rsidRDefault="00B44672"/>
        </w:tc>
      </w:tr>
      <w:tr w:rsidR="00B44672" w14:paraId="25359876" w14:textId="77777777" w:rsidTr="001132D7">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75D94900" w14:textId="77777777" w:rsidR="00B44672" w:rsidRDefault="00B44672">
            <w:pPr>
              <w:pStyle w:val="Compact"/>
            </w:pPr>
            <w:r>
              <w:t>Meet both constraints</w:t>
            </w:r>
          </w:p>
        </w:tc>
        <w:tc>
          <w:tcPr>
            <w:tcW w:w="420" w:type="pct"/>
          </w:tcPr>
          <w:p w14:paraId="2BD279F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11,494</w:t>
            </w:r>
          </w:p>
        </w:tc>
        <w:tc>
          <w:tcPr>
            <w:tcW w:w="422" w:type="pct"/>
            <w:gridSpan w:val="2"/>
          </w:tcPr>
          <w:p w14:paraId="449DC10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12,569</w:t>
            </w:r>
          </w:p>
        </w:tc>
        <w:tc>
          <w:tcPr>
            <w:tcW w:w="422" w:type="pct"/>
            <w:gridSpan w:val="2"/>
          </w:tcPr>
          <w:p w14:paraId="73035AF8"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13,317</w:t>
            </w:r>
          </w:p>
        </w:tc>
        <w:tc>
          <w:tcPr>
            <w:tcW w:w="422" w:type="pct"/>
            <w:gridSpan w:val="2"/>
          </w:tcPr>
          <w:p w14:paraId="62C5E11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14,509</w:t>
            </w:r>
          </w:p>
        </w:tc>
        <w:tc>
          <w:tcPr>
            <w:tcW w:w="422" w:type="pct"/>
            <w:gridSpan w:val="2"/>
          </w:tcPr>
          <w:p w14:paraId="5C59191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15,822</w:t>
            </w:r>
          </w:p>
        </w:tc>
        <w:tc>
          <w:tcPr>
            <w:tcW w:w="422" w:type="pct"/>
            <w:gridSpan w:val="2"/>
          </w:tcPr>
          <w:p w14:paraId="6123F96B"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12,423</w:t>
            </w:r>
          </w:p>
        </w:tc>
        <w:tc>
          <w:tcPr>
            <w:tcW w:w="425" w:type="pct"/>
            <w:gridSpan w:val="2"/>
          </w:tcPr>
          <w:p w14:paraId="3C245FF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9,634</w:t>
            </w:r>
          </w:p>
        </w:tc>
        <w:tc>
          <w:tcPr>
            <w:tcW w:w="505" w:type="pct"/>
          </w:tcPr>
          <w:p w14:paraId="5A81E49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89,768</w:t>
            </w:r>
          </w:p>
        </w:tc>
        <w:tc>
          <w:tcPr>
            <w:cnfStyle w:val="000100000000" w:firstRow="0" w:lastRow="0" w:firstColumn="0" w:lastColumn="1" w:oddVBand="0" w:evenVBand="0" w:oddHBand="0" w:evenHBand="0" w:firstRowFirstColumn="0" w:firstRowLastColumn="0" w:lastRowFirstColumn="0" w:lastRowLastColumn="0"/>
            <w:tcW w:w="3" w:type="pct"/>
          </w:tcPr>
          <w:p w14:paraId="442A48BF" w14:textId="77777777" w:rsidR="00B44672" w:rsidRDefault="00B44672"/>
        </w:tc>
      </w:tr>
      <w:tr w:rsidR="00B44672" w14:paraId="462F649D" w14:textId="77777777" w:rsidTr="001132D7">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1426AEE0" w14:textId="77777777" w:rsidR="00B44672" w:rsidRDefault="00B44672">
            <w:pPr>
              <w:pStyle w:val="Compact"/>
            </w:pPr>
            <w:r>
              <w:t>(% of potential buyers)</w:t>
            </w:r>
          </w:p>
        </w:tc>
        <w:tc>
          <w:tcPr>
            <w:tcW w:w="420" w:type="pct"/>
          </w:tcPr>
          <w:p w14:paraId="2B0F903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10.7</w:t>
            </w:r>
          </w:p>
        </w:tc>
        <w:tc>
          <w:tcPr>
            <w:tcW w:w="422" w:type="pct"/>
            <w:gridSpan w:val="2"/>
          </w:tcPr>
          <w:p w14:paraId="0F1C0A0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11.2</w:t>
            </w:r>
          </w:p>
        </w:tc>
        <w:tc>
          <w:tcPr>
            <w:tcW w:w="422" w:type="pct"/>
            <w:gridSpan w:val="2"/>
          </w:tcPr>
          <w:p w14:paraId="41B8D6E1"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11.5</w:t>
            </w:r>
          </w:p>
        </w:tc>
        <w:tc>
          <w:tcPr>
            <w:tcW w:w="422" w:type="pct"/>
            <w:gridSpan w:val="2"/>
          </w:tcPr>
          <w:p w14:paraId="6B183BA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12.2</w:t>
            </w:r>
          </w:p>
        </w:tc>
        <w:tc>
          <w:tcPr>
            <w:tcW w:w="422" w:type="pct"/>
            <w:gridSpan w:val="2"/>
          </w:tcPr>
          <w:p w14:paraId="1BB514D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12.8</w:t>
            </w:r>
          </w:p>
        </w:tc>
        <w:tc>
          <w:tcPr>
            <w:tcW w:w="422" w:type="pct"/>
            <w:gridSpan w:val="2"/>
          </w:tcPr>
          <w:p w14:paraId="0CED452A"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10.4</w:t>
            </w:r>
          </w:p>
        </w:tc>
        <w:tc>
          <w:tcPr>
            <w:tcW w:w="425" w:type="pct"/>
            <w:gridSpan w:val="2"/>
          </w:tcPr>
          <w:p w14:paraId="0583138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8.39</w:t>
            </w:r>
          </w:p>
        </w:tc>
        <w:tc>
          <w:tcPr>
            <w:tcW w:w="505" w:type="pct"/>
          </w:tcPr>
          <w:p w14:paraId="10920A6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11.1</w:t>
            </w:r>
          </w:p>
        </w:tc>
        <w:tc>
          <w:tcPr>
            <w:cnfStyle w:val="000100000000" w:firstRow="0" w:lastRow="0" w:firstColumn="0" w:lastColumn="1" w:oddVBand="0" w:evenVBand="0" w:oddHBand="0" w:evenHBand="0" w:firstRowFirstColumn="0" w:firstRowLastColumn="0" w:lastRowFirstColumn="0" w:lastRowLastColumn="0"/>
            <w:tcW w:w="3" w:type="pct"/>
          </w:tcPr>
          <w:p w14:paraId="4DA4CBE8" w14:textId="77777777" w:rsidR="00B44672" w:rsidRDefault="00B44672"/>
        </w:tc>
      </w:tr>
      <w:tr w:rsidR="00B44672" w:rsidRPr="00AF6491" w14:paraId="12856990" w14:textId="77777777" w:rsidTr="001132D7">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2333B301" w14:textId="77777777" w:rsidR="00B44672" w:rsidRPr="00AF6491" w:rsidRDefault="00B44672">
            <w:pPr>
              <w:pStyle w:val="Compact"/>
              <w:rPr>
                <w:b/>
                <w:i/>
                <w:iCs/>
                <w:color w:val="365F91" w:themeColor="accent1" w:themeShade="BF"/>
              </w:rPr>
            </w:pPr>
            <w:r w:rsidRPr="00AF6491">
              <w:rPr>
                <w:b/>
                <w:i/>
                <w:iCs/>
                <w:color w:val="365F91" w:themeColor="accent1" w:themeShade="BF"/>
              </w:rPr>
              <w:t>No price change</w:t>
            </w:r>
          </w:p>
        </w:tc>
        <w:tc>
          <w:tcPr>
            <w:tcW w:w="420" w:type="pct"/>
          </w:tcPr>
          <w:p w14:paraId="1166EA48" w14:textId="77777777" w:rsidR="00B44672" w:rsidRPr="00AF6491" w:rsidRDefault="00B44672">
            <w:pPr>
              <w:cnfStyle w:val="000000000000" w:firstRow="0" w:lastRow="0" w:firstColumn="0" w:lastColumn="0" w:oddVBand="0" w:evenVBand="0" w:oddHBand="0" w:evenHBand="0" w:firstRowFirstColumn="0" w:firstRowLastColumn="0" w:lastRowFirstColumn="0" w:lastRowLastColumn="0"/>
              <w:rPr>
                <w:i/>
                <w:iCs/>
                <w:color w:val="365F91" w:themeColor="accent1" w:themeShade="BF"/>
              </w:rPr>
            </w:pPr>
          </w:p>
        </w:tc>
        <w:tc>
          <w:tcPr>
            <w:tcW w:w="422" w:type="pct"/>
            <w:gridSpan w:val="2"/>
          </w:tcPr>
          <w:p w14:paraId="3436997C" w14:textId="77777777" w:rsidR="00B44672" w:rsidRPr="00AF6491" w:rsidRDefault="00B44672">
            <w:pPr>
              <w:cnfStyle w:val="000000000000" w:firstRow="0" w:lastRow="0" w:firstColumn="0" w:lastColumn="0" w:oddVBand="0" w:evenVBand="0" w:oddHBand="0" w:evenHBand="0" w:firstRowFirstColumn="0" w:firstRowLastColumn="0" w:lastRowFirstColumn="0" w:lastRowLastColumn="0"/>
              <w:rPr>
                <w:i/>
                <w:iCs/>
                <w:color w:val="365F91" w:themeColor="accent1" w:themeShade="BF"/>
              </w:rPr>
            </w:pPr>
          </w:p>
        </w:tc>
        <w:tc>
          <w:tcPr>
            <w:tcW w:w="422" w:type="pct"/>
            <w:gridSpan w:val="2"/>
          </w:tcPr>
          <w:p w14:paraId="2DAAEEE8" w14:textId="77777777" w:rsidR="00B44672" w:rsidRPr="00AF6491" w:rsidRDefault="00B44672">
            <w:pPr>
              <w:cnfStyle w:val="000000000000" w:firstRow="0" w:lastRow="0" w:firstColumn="0" w:lastColumn="0" w:oddVBand="0" w:evenVBand="0" w:oddHBand="0" w:evenHBand="0" w:firstRowFirstColumn="0" w:firstRowLastColumn="0" w:lastRowFirstColumn="0" w:lastRowLastColumn="0"/>
              <w:rPr>
                <w:i/>
                <w:iCs/>
                <w:color w:val="365F91" w:themeColor="accent1" w:themeShade="BF"/>
              </w:rPr>
            </w:pPr>
          </w:p>
        </w:tc>
        <w:tc>
          <w:tcPr>
            <w:tcW w:w="422" w:type="pct"/>
            <w:gridSpan w:val="2"/>
          </w:tcPr>
          <w:p w14:paraId="119C115A" w14:textId="77777777" w:rsidR="00B44672" w:rsidRPr="00AF6491" w:rsidRDefault="00B44672">
            <w:pPr>
              <w:cnfStyle w:val="000000000000" w:firstRow="0" w:lastRow="0" w:firstColumn="0" w:lastColumn="0" w:oddVBand="0" w:evenVBand="0" w:oddHBand="0" w:evenHBand="0" w:firstRowFirstColumn="0" w:firstRowLastColumn="0" w:lastRowFirstColumn="0" w:lastRowLastColumn="0"/>
              <w:rPr>
                <w:i/>
                <w:iCs/>
                <w:color w:val="365F91" w:themeColor="accent1" w:themeShade="BF"/>
              </w:rPr>
            </w:pPr>
          </w:p>
        </w:tc>
        <w:tc>
          <w:tcPr>
            <w:tcW w:w="422" w:type="pct"/>
            <w:gridSpan w:val="2"/>
          </w:tcPr>
          <w:p w14:paraId="2B525FB8" w14:textId="77777777" w:rsidR="00B44672" w:rsidRPr="00AF6491" w:rsidRDefault="00B44672">
            <w:pPr>
              <w:cnfStyle w:val="000000000000" w:firstRow="0" w:lastRow="0" w:firstColumn="0" w:lastColumn="0" w:oddVBand="0" w:evenVBand="0" w:oddHBand="0" w:evenHBand="0" w:firstRowFirstColumn="0" w:firstRowLastColumn="0" w:lastRowFirstColumn="0" w:lastRowLastColumn="0"/>
              <w:rPr>
                <w:i/>
                <w:iCs/>
                <w:color w:val="365F91" w:themeColor="accent1" w:themeShade="BF"/>
              </w:rPr>
            </w:pPr>
          </w:p>
        </w:tc>
        <w:tc>
          <w:tcPr>
            <w:tcW w:w="422" w:type="pct"/>
            <w:gridSpan w:val="2"/>
          </w:tcPr>
          <w:p w14:paraId="122EEE43" w14:textId="77777777" w:rsidR="00B44672" w:rsidRPr="00AF6491" w:rsidRDefault="00B44672">
            <w:pPr>
              <w:cnfStyle w:val="000000000000" w:firstRow="0" w:lastRow="0" w:firstColumn="0" w:lastColumn="0" w:oddVBand="0" w:evenVBand="0" w:oddHBand="0" w:evenHBand="0" w:firstRowFirstColumn="0" w:firstRowLastColumn="0" w:lastRowFirstColumn="0" w:lastRowLastColumn="0"/>
              <w:rPr>
                <w:i/>
                <w:iCs/>
                <w:color w:val="365F91" w:themeColor="accent1" w:themeShade="BF"/>
              </w:rPr>
            </w:pPr>
          </w:p>
        </w:tc>
        <w:tc>
          <w:tcPr>
            <w:tcW w:w="425" w:type="pct"/>
            <w:gridSpan w:val="2"/>
          </w:tcPr>
          <w:p w14:paraId="2D7740B4" w14:textId="77777777" w:rsidR="00B44672" w:rsidRPr="00AF6491" w:rsidRDefault="00B44672">
            <w:pPr>
              <w:cnfStyle w:val="000000000000" w:firstRow="0" w:lastRow="0" w:firstColumn="0" w:lastColumn="0" w:oddVBand="0" w:evenVBand="0" w:oddHBand="0" w:evenHBand="0" w:firstRowFirstColumn="0" w:firstRowLastColumn="0" w:lastRowFirstColumn="0" w:lastRowLastColumn="0"/>
              <w:rPr>
                <w:i/>
                <w:iCs/>
                <w:color w:val="365F91" w:themeColor="accent1" w:themeShade="BF"/>
              </w:rPr>
            </w:pPr>
          </w:p>
        </w:tc>
        <w:tc>
          <w:tcPr>
            <w:tcW w:w="505" w:type="pct"/>
          </w:tcPr>
          <w:p w14:paraId="52FA145A" w14:textId="77777777" w:rsidR="00B44672" w:rsidRPr="00AF6491" w:rsidRDefault="00B44672">
            <w:pPr>
              <w:cnfStyle w:val="000000000000" w:firstRow="0" w:lastRow="0" w:firstColumn="0" w:lastColumn="0" w:oddVBand="0" w:evenVBand="0" w:oddHBand="0" w:evenHBand="0" w:firstRowFirstColumn="0" w:firstRowLastColumn="0" w:lastRowFirstColumn="0" w:lastRowLastColumn="0"/>
              <w:rPr>
                <w:i/>
                <w:iCs/>
                <w:color w:val="365F91" w:themeColor="accent1" w:themeShade="BF"/>
              </w:rPr>
            </w:pPr>
          </w:p>
        </w:tc>
        <w:tc>
          <w:tcPr>
            <w:cnfStyle w:val="000100000000" w:firstRow="0" w:lastRow="0" w:firstColumn="0" w:lastColumn="1" w:oddVBand="0" w:evenVBand="0" w:oddHBand="0" w:evenHBand="0" w:firstRowFirstColumn="0" w:firstRowLastColumn="0" w:lastRowFirstColumn="0" w:lastRowLastColumn="0"/>
            <w:tcW w:w="3" w:type="pct"/>
          </w:tcPr>
          <w:p w14:paraId="5EEBAE2A" w14:textId="77777777" w:rsidR="00B44672" w:rsidRPr="00AF6491" w:rsidRDefault="00B44672">
            <w:pPr>
              <w:rPr>
                <w:i/>
                <w:iCs/>
                <w:color w:val="365F91" w:themeColor="accent1" w:themeShade="BF"/>
              </w:rPr>
            </w:pPr>
          </w:p>
        </w:tc>
      </w:tr>
      <w:tr w:rsidR="00B44672" w14:paraId="584E841E" w14:textId="77777777" w:rsidTr="001132D7">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232F66CC" w14:textId="77777777" w:rsidR="00B44672" w:rsidRDefault="00B44672">
            <w:pPr>
              <w:pStyle w:val="Compact"/>
            </w:pPr>
            <w:r>
              <w:rPr>
                <w:b/>
              </w:rPr>
              <w:t>Old tax policy</w:t>
            </w:r>
          </w:p>
        </w:tc>
        <w:tc>
          <w:tcPr>
            <w:tcW w:w="420" w:type="pct"/>
          </w:tcPr>
          <w:p w14:paraId="6C875D66"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2017023A"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2DBD1B67"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4AD0F7F6"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4DC58563"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2D9B0BD2"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5" w:type="pct"/>
            <w:gridSpan w:val="2"/>
          </w:tcPr>
          <w:p w14:paraId="30213D80"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505" w:type="pct"/>
          </w:tcPr>
          <w:p w14:paraId="0641128C"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09713D6F" w14:textId="77777777" w:rsidR="00B44672" w:rsidRDefault="00B44672"/>
        </w:tc>
      </w:tr>
      <w:tr w:rsidR="00B44672" w14:paraId="41C2AC04" w14:textId="77777777" w:rsidTr="001132D7">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572F66F6" w14:textId="77777777" w:rsidR="00B44672" w:rsidRDefault="00B44672">
            <w:pPr>
              <w:pStyle w:val="Compact"/>
            </w:pPr>
            <w:r>
              <w:t>Meet both constraints</w:t>
            </w:r>
          </w:p>
        </w:tc>
        <w:tc>
          <w:tcPr>
            <w:tcW w:w="420" w:type="pct"/>
          </w:tcPr>
          <w:p w14:paraId="508DD311"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11,472</w:t>
            </w:r>
          </w:p>
        </w:tc>
        <w:tc>
          <w:tcPr>
            <w:tcW w:w="422" w:type="pct"/>
            <w:gridSpan w:val="2"/>
          </w:tcPr>
          <w:p w14:paraId="6BE71C0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12,408</w:t>
            </w:r>
          </w:p>
        </w:tc>
        <w:tc>
          <w:tcPr>
            <w:tcW w:w="422" w:type="pct"/>
            <w:gridSpan w:val="2"/>
          </w:tcPr>
          <w:p w14:paraId="1C2A0A4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13,039</w:t>
            </w:r>
          </w:p>
        </w:tc>
        <w:tc>
          <w:tcPr>
            <w:tcW w:w="422" w:type="pct"/>
            <w:gridSpan w:val="2"/>
          </w:tcPr>
          <w:p w14:paraId="13D8734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13,964</w:t>
            </w:r>
          </w:p>
        </w:tc>
        <w:tc>
          <w:tcPr>
            <w:tcW w:w="422" w:type="pct"/>
            <w:gridSpan w:val="2"/>
          </w:tcPr>
          <w:p w14:paraId="71CC04F8"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15,279</w:t>
            </w:r>
          </w:p>
        </w:tc>
        <w:tc>
          <w:tcPr>
            <w:tcW w:w="422" w:type="pct"/>
            <w:gridSpan w:val="2"/>
          </w:tcPr>
          <w:p w14:paraId="3AE7A08B"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12,098</w:t>
            </w:r>
          </w:p>
        </w:tc>
        <w:tc>
          <w:tcPr>
            <w:tcW w:w="425" w:type="pct"/>
            <w:gridSpan w:val="2"/>
          </w:tcPr>
          <w:p w14:paraId="6306D77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9,204</w:t>
            </w:r>
          </w:p>
        </w:tc>
        <w:tc>
          <w:tcPr>
            <w:tcW w:w="505" w:type="pct"/>
          </w:tcPr>
          <w:p w14:paraId="18853B2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87,464</w:t>
            </w:r>
          </w:p>
        </w:tc>
        <w:tc>
          <w:tcPr>
            <w:cnfStyle w:val="000100000000" w:firstRow="0" w:lastRow="0" w:firstColumn="0" w:lastColumn="1" w:oddVBand="0" w:evenVBand="0" w:oddHBand="0" w:evenHBand="0" w:firstRowFirstColumn="0" w:firstRowLastColumn="0" w:lastRowFirstColumn="0" w:lastRowLastColumn="0"/>
            <w:tcW w:w="3" w:type="pct"/>
          </w:tcPr>
          <w:p w14:paraId="4A3A830F" w14:textId="77777777" w:rsidR="00B44672" w:rsidRDefault="00B44672"/>
        </w:tc>
      </w:tr>
      <w:tr w:rsidR="00B44672" w14:paraId="2E1A212A" w14:textId="77777777" w:rsidTr="001132D7">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644DFFED" w14:textId="77777777" w:rsidR="00B44672" w:rsidRDefault="00B44672">
            <w:pPr>
              <w:pStyle w:val="Compact"/>
            </w:pPr>
            <w:r>
              <w:t>(% of potential buyers)</w:t>
            </w:r>
          </w:p>
        </w:tc>
        <w:tc>
          <w:tcPr>
            <w:tcW w:w="420" w:type="pct"/>
          </w:tcPr>
          <w:p w14:paraId="1F600536"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10.7</w:t>
            </w:r>
          </w:p>
        </w:tc>
        <w:tc>
          <w:tcPr>
            <w:tcW w:w="422" w:type="pct"/>
            <w:gridSpan w:val="2"/>
          </w:tcPr>
          <w:p w14:paraId="41B4A17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11.1</w:t>
            </w:r>
          </w:p>
        </w:tc>
        <w:tc>
          <w:tcPr>
            <w:tcW w:w="422" w:type="pct"/>
            <w:gridSpan w:val="2"/>
          </w:tcPr>
          <w:p w14:paraId="49A40D1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11.3</w:t>
            </w:r>
          </w:p>
        </w:tc>
        <w:tc>
          <w:tcPr>
            <w:tcW w:w="422" w:type="pct"/>
            <w:gridSpan w:val="2"/>
          </w:tcPr>
          <w:p w14:paraId="35969BD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11.7</w:t>
            </w:r>
          </w:p>
        </w:tc>
        <w:tc>
          <w:tcPr>
            <w:tcW w:w="422" w:type="pct"/>
            <w:gridSpan w:val="2"/>
          </w:tcPr>
          <w:p w14:paraId="6DE596AA"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12.4</w:t>
            </w:r>
          </w:p>
        </w:tc>
        <w:tc>
          <w:tcPr>
            <w:tcW w:w="422" w:type="pct"/>
            <w:gridSpan w:val="2"/>
          </w:tcPr>
          <w:p w14:paraId="1BD1F8D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10.1</w:t>
            </w:r>
          </w:p>
        </w:tc>
        <w:tc>
          <w:tcPr>
            <w:tcW w:w="425" w:type="pct"/>
            <w:gridSpan w:val="2"/>
          </w:tcPr>
          <w:p w14:paraId="6144E88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8.02</w:t>
            </w:r>
          </w:p>
        </w:tc>
        <w:tc>
          <w:tcPr>
            <w:tcW w:w="505" w:type="pct"/>
          </w:tcPr>
          <w:p w14:paraId="2B9AB195"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10.8</w:t>
            </w:r>
          </w:p>
        </w:tc>
        <w:tc>
          <w:tcPr>
            <w:cnfStyle w:val="000100000000" w:firstRow="0" w:lastRow="0" w:firstColumn="0" w:lastColumn="1" w:oddVBand="0" w:evenVBand="0" w:oddHBand="0" w:evenHBand="0" w:firstRowFirstColumn="0" w:firstRowLastColumn="0" w:lastRowFirstColumn="0" w:lastRowLastColumn="0"/>
            <w:tcW w:w="3" w:type="pct"/>
          </w:tcPr>
          <w:p w14:paraId="689B6FBA" w14:textId="77777777" w:rsidR="00B44672" w:rsidRDefault="00B44672"/>
        </w:tc>
      </w:tr>
      <w:tr w:rsidR="00B44672" w14:paraId="6A241668" w14:textId="77777777" w:rsidTr="001132D7">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3B7725FE" w14:textId="77777777" w:rsidR="00B44672" w:rsidRDefault="00B44672">
            <w:pPr>
              <w:pStyle w:val="Compact"/>
            </w:pPr>
            <w:r>
              <w:rPr>
                <w:b/>
              </w:rPr>
              <w:t>Diff</w:t>
            </w:r>
          </w:p>
        </w:tc>
        <w:tc>
          <w:tcPr>
            <w:tcW w:w="420" w:type="pct"/>
          </w:tcPr>
          <w:p w14:paraId="64F96407"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4E7F49D1"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043FB8A3"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1B9AF34C"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22747949"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695DB4B7"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425" w:type="pct"/>
            <w:gridSpan w:val="2"/>
          </w:tcPr>
          <w:p w14:paraId="4AEAD075"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tcW w:w="505" w:type="pct"/>
          </w:tcPr>
          <w:p w14:paraId="2D4BFBA3" w14:textId="77777777" w:rsidR="00B44672" w:rsidRDefault="00B44672">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57015B9A" w14:textId="77777777" w:rsidR="00B44672" w:rsidRDefault="00B44672"/>
        </w:tc>
      </w:tr>
      <w:tr w:rsidR="00B44672" w14:paraId="2C66D9FC" w14:textId="77777777" w:rsidTr="001132D7">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057C9077" w14:textId="77777777" w:rsidR="00B44672" w:rsidRDefault="00B44672">
            <w:pPr>
              <w:pStyle w:val="Compact"/>
            </w:pPr>
            <w:r>
              <w:t>Meet both constraints</w:t>
            </w:r>
          </w:p>
        </w:tc>
        <w:tc>
          <w:tcPr>
            <w:tcW w:w="420" w:type="pct"/>
          </w:tcPr>
          <w:p w14:paraId="16BEE24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22</w:t>
            </w:r>
          </w:p>
        </w:tc>
        <w:tc>
          <w:tcPr>
            <w:tcW w:w="422" w:type="pct"/>
            <w:gridSpan w:val="2"/>
          </w:tcPr>
          <w:p w14:paraId="33FC58E0"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161</w:t>
            </w:r>
          </w:p>
        </w:tc>
        <w:tc>
          <w:tcPr>
            <w:tcW w:w="422" w:type="pct"/>
            <w:gridSpan w:val="2"/>
          </w:tcPr>
          <w:p w14:paraId="72EA45FD"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278</w:t>
            </w:r>
          </w:p>
        </w:tc>
        <w:tc>
          <w:tcPr>
            <w:tcW w:w="422" w:type="pct"/>
            <w:gridSpan w:val="2"/>
          </w:tcPr>
          <w:p w14:paraId="208BF91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545</w:t>
            </w:r>
          </w:p>
        </w:tc>
        <w:tc>
          <w:tcPr>
            <w:tcW w:w="422" w:type="pct"/>
            <w:gridSpan w:val="2"/>
          </w:tcPr>
          <w:p w14:paraId="34DFBCB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543</w:t>
            </w:r>
          </w:p>
        </w:tc>
        <w:tc>
          <w:tcPr>
            <w:tcW w:w="422" w:type="pct"/>
            <w:gridSpan w:val="2"/>
          </w:tcPr>
          <w:p w14:paraId="0656F499"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325</w:t>
            </w:r>
          </w:p>
        </w:tc>
        <w:tc>
          <w:tcPr>
            <w:tcW w:w="425" w:type="pct"/>
            <w:gridSpan w:val="2"/>
          </w:tcPr>
          <w:p w14:paraId="50F255B1"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430</w:t>
            </w:r>
          </w:p>
        </w:tc>
        <w:tc>
          <w:tcPr>
            <w:tcW w:w="505" w:type="pct"/>
          </w:tcPr>
          <w:p w14:paraId="7BCE4568"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2,304</w:t>
            </w:r>
          </w:p>
        </w:tc>
        <w:tc>
          <w:tcPr>
            <w:cnfStyle w:val="000100000000" w:firstRow="0" w:lastRow="0" w:firstColumn="0" w:lastColumn="1" w:oddVBand="0" w:evenVBand="0" w:oddHBand="0" w:evenHBand="0" w:firstRowFirstColumn="0" w:firstRowLastColumn="0" w:lastRowFirstColumn="0" w:lastRowLastColumn="0"/>
            <w:tcW w:w="3" w:type="pct"/>
          </w:tcPr>
          <w:p w14:paraId="3349AC61" w14:textId="77777777" w:rsidR="00B44672" w:rsidRDefault="00B44672"/>
        </w:tc>
      </w:tr>
      <w:tr w:rsidR="00B44672" w14:paraId="0FCAB256" w14:textId="77777777" w:rsidTr="001132D7">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00C55CBC" w14:textId="77777777" w:rsidR="00B44672" w:rsidRDefault="00B44672">
            <w:pPr>
              <w:pStyle w:val="Compact"/>
            </w:pPr>
            <w:r>
              <w:t>(% of potential buyers)</w:t>
            </w:r>
          </w:p>
        </w:tc>
        <w:tc>
          <w:tcPr>
            <w:tcW w:w="420" w:type="pct"/>
          </w:tcPr>
          <w:p w14:paraId="2E83570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0.021</w:t>
            </w:r>
          </w:p>
        </w:tc>
        <w:tc>
          <w:tcPr>
            <w:tcW w:w="422" w:type="pct"/>
            <w:gridSpan w:val="2"/>
          </w:tcPr>
          <w:p w14:paraId="7FADE933"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0.14</w:t>
            </w:r>
          </w:p>
        </w:tc>
        <w:tc>
          <w:tcPr>
            <w:tcW w:w="422" w:type="pct"/>
            <w:gridSpan w:val="2"/>
          </w:tcPr>
          <w:p w14:paraId="4DD8506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0.24</w:t>
            </w:r>
          </w:p>
        </w:tc>
        <w:tc>
          <w:tcPr>
            <w:tcW w:w="422" w:type="pct"/>
            <w:gridSpan w:val="2"/>
          </w:tcPr>
          <w:p w14:paraId="7E92A124"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0.46</w:t>
            </w:r>
          </w:p>
        </w:tc>
        <w:tc>
          <w:tcPr>
            <w:tcW w:w="422" w:type="pct"/>
            <w:gridSpan w:val="2"/>
          </w:tcPr>
          <w:p w14:paraId="5A3CD4B8"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0.44</w:t>
            </w:r>
          </w:p>
        </w:tc>
        <w:tc>
          <w:tcPr>
            <w:tcW w:w="422" w:type="pct"/>
            <w:gridSpan w:val="2"/>
          </w:tcPr>
          <w:p w14:paraId="6AB96D62"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0.27</w:t>
            </w:r>
          </w:p>
        </w:tc>
        <w:tc>
          <w:tcPr>
            <w:tcW w:w="425" w:type="pct"/>
            <w:gridSpan w:val="2"/>
          </w:tcPr>
          <w:p w14:paraId="66A640EF"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0.37</w:t>
            </w:r>
          </w:p>
        </w:tc>
        <w:tc>
          <w:tcPr>
            <w:tcW w:w="505" w:type="pct"/>
          </w:tcPr>
          <w:p w14:paraId="13160617" w14:textId="77777777" w:rsidR="00B44672" w:rsidRDefault="00B44672">
            <w:pPr>
              <w:pStyle w:val="Compact"/>
              <w:jc w:val="center"/>
              <w:cnfStyle w:val="000000000000" w:firstRow="0" w:lastRow="0" w:firstColumn="0" w:lastColumn="0" w:oddVBand="0" w:evenVBand="0" w:oddHBand="0" w:evenHBand="0" w:firstRowFirstColumn="0" w:firstRowLastColumn="0" w:lastRowFirstColumn="0" w:lastRowLastColumn="0"/>
            </w:pPr>
            <w:r>
              <w:t>0.28</w:t>
            </w:r>
          </w:p>
        </w:tc>
        <w:tc>
          <w:tcPr>
            <w:cnfStyle w:val="000100000000" w:firstRow="0" w:lastRow="0" w:firstColumn="0" w:lastColumn="1" w:oddVBand="0" w:evenVBand="0" w:oddHBand="0" w:evenHBand="0" w:firstRowFirstColumn="0" w:firstRowLastColumn="0" w:lastRowFirstColumn="0" w:lastRowLastColumn="0"/>
            <w:tcW w:w="3" w:type="pct"/>
          </w:tcPr>
          <w:p w14:paraId="4EF45E19" w14:textId="77777777" w:rsidR="00B44672" w:rsidRDefault="00B44672"/>
        </w:tc>
      </w:tr>
      <w:tr w:rsidR="00B44672" w14:paraId="27A0B6E6" w14:textId="77777777" w:rsidTr="005D5CCC">
        <w:trPr>
          <w:jc w:val="center"/>
        </w:trPr>
        <w:tc>
          <w:tcPr>
            <w:cnfStyle w:val="001000000000" w:firstRow="0" w:lastRow="0" w:firstColumn="1" w:lastColumn="0" w:oddVBand="0" w:evenVBand="0" w:oddHBand="0" w:evenHBand="0" w:firstRowFirstColumn="0" w:firstRowLastColumn="0" w:lastRowFirstColumn="0" w:lastRowLastColumn="0"/>
            <w:tcW w:w="1528" w:type="pct"/>
          </w:tcPr>
          <w:p w14:paraId="6E284B21" w14:textId="77777777" w:rsidR="00B44672" w:rsidRDefault="00B44672" w:rsidP="005D5CCC">
            <w:pPr>
              <w:pStyle w:val="Compact"/>
              <w:rPr>
                <w:b/>
              </w:rPr>
            </w:pPr>
            <w:r>
              <w:rPr>
                <w:b/>
                <w:i/>
                <w:iCs/>
                <w:color w:val="365F91" w:themeColor="accent1" w:themeShade="BF"/>
              </w:rPr>
              <w:t>0.35 – 1.30%</w:t>
            </w:r>
            <w:r w:rsidRPr="00AF6491">
              <w:rPr>
                <w:b/>
                <w:i/>
                <w:iCs/>
                <w:color w:val="365F91" w:themeColor="accent1" w:themeShade="BF"/>
              </w:rPr>
              <w:t xml:space="preserve"> price change</w:t>
            </w:r>
          </w:p>
        </w:tc>
        <w:tc>
          <w:tcPr>
            <w:tcW w:w="448" w:type="pct"/>
            <w:gridSpan w:val="3"/>
          </w:tcPr>
          <w:p w14:paraId="1AD7328B"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4CBAB438"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31A0AB40"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7BD68718"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7009A38B"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3CD40734"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1" w:type="pct"/>
          </w:tcPr>
          <w:p w14:paraId="2D252B89"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505" w:type="pct"/>
          </w:tcPr>
          <w:p w14:paraId="0603F1DA"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6061EBD2" w14:textId="77777777" w:rsidR="00B44672" w:rsidRDefault="00B44672" w:rsidP="005D5CCC"/>
        </w:tc>
      </w:tr>
      <w:tr w:rsidR="00B44672" w14:paraId="285D68DD" w14:textId="77777777" w:rsidTr="005D5CCC">
        <w:trPr>
          <w:jc w:val="center"/>
        </w:trPr>
        <w:tc>
          <w:tcPr>
            <w:cnfStyle w:val="001000000000" w:firstRow="0" w:lastRow="0" w:firstColumn="1" w:lastColumn="0" w:oddVBand="0" w:evenVBand="0" w:oddHBand="0" w:evenHBand="0" w:firstRowFirstColumn="0" w:firstRowLastColumn="0" w:lastRowFirstColumn="0" w:lastRowLastColumn="0"/>
            <w:tcW w:w="1528" w:type="pct"/>
          </w:tcPr>
          <w:p w14:paraId="5B9566B3" w14:textId="77777777" w:rsidR="00B44672" w:rsidRDefault="00B44672" w:rsidP="005D5CCC">
            <w:pPr>
              <w:pStyle w:val="Compact"/>
            </w:pPr>
            <w:r>
              <w:rPr>
                <w:b/>
              </w:rPr>
              <w:t>Old tax policy</w:t>
            </w:r>
          </w:p>
        </w:tc>
        <w:tc>
          <w:tcPr>
            <w:tcW w:w="448" w:type="pct"/>
            <w:gridSpan w:val="3"/>
          </w:tcPr>
          <w:p w14:paraId="0D91D65E"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2ED998DC"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6CC9F90D"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1B644C5B"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71D1F06F"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1E01C711"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1" w:type="pct"/>
          </w:tcPr>
          <w:p w14:paraId="453E8AA7"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505" w:type="pct"/>
          </w:tcPr>
          <w:p w14:paraId="0B59FA58"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15E5B4FF" w14:textId="77777777" w:rsidR="00B44672" w:rsidRDefault="00B44672" w:rsidP="005D5CCC"/>
        </w:tc>
      </w:tr>
      <w:tr w:rsidR="00B44672" w14:paraId="4C071ACE" w14:textId="77777777" w:rsidTr="005D5CCC">
        <w:trPr>
          <w:jc w:val="center"/>
        </w:trPr>
        <w:tc>
          <w:tcPr>
            <w:cnfStyle w:val="001000000000" w:firstRow="0" w:lastRow="0" w:firstColumn="1" w:lastColumn="0" w:oddVBand="0" w:evenVBand="0" w:oddHBand="0" w:evenHBand="0" w:firstRowFirstColumn="0" w:firstRowLastColumn="0" w:lastRowFirstColumn="0" w:lastRowLastColumn="0"/>
            <w:tcW w:w="1528" w:type="pct"/>
          </w:tcPr>
          <w:p w14:paraId="228CB20A" w14:textId="77777777" w:rsidR="00B44672" w:rsidRDefault="00B44672" w:rsidP="005D5CCC">
            <w:pPr>
              <w:pStyle w:val="Compact"/>
            </w:pPr>
            <w:r>
              <w:t>Meet both constraints</w:t>
            </w:r>
          </w:p>
        </w:tc>
        <w:tc>
          <w:tcPr>
            <w:tcW w:w="448" w:type="pct"/>
            <w:gridSpan w:val="3"/>
          </w:tcPr>
          <w:p w14:paraId="0A96F59D"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11,484</w:t>
            </w:r>
          </w:p>
        </w:tc>
        <w:tc>
          <w:tcPr>
            <w:tcW w:w="419" w:type="pct"/>
            <w:gridSpan w:val="2"/>
          </w:tcPr>
          <w:p w14:paraId="5C59428E"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12,410</w:t>
            </w:r>
          </w:p>
        </w:tc>
        <w:tc>
          <w:tcPr>
            <w:tcW w:w="419" w:type="pct"/>
            <w:gridSpan w:val="2"/>
          </w:tcPr>
          <w:p w14:paraId="675B161A"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13,073</w:t>
            </w:r>
          </w:p>
        </w:tc>
        <w:tc>
          <w:tcPr>
            <w:tcW w:w="419" w:type="pct"/>
            <w:gridSpan w:val="2"/>
          </w:tcPr>
          <w:p w14:paraId="2C6BDF74"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14,054</w:t>
            </w:r>
          </w:p>
        </w:tc>
        <w:tc>
          <w:tcPr>
            <w:tcW w:w="419" w:type="pct"/>
            <w:gridSpan w:val="2"/>
          </w:tcPr>
          <w:p w14:paraId="41683038"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15,327</w:t>
            </w:r>
          </w:p>
        </w:tc>
        <w:tc>
          <w:tcPr>
            <w:tcW w:w="419" w:type="pct"/>
            <w:gridSpan w:val="2"/>
          </w:tcPr>
          <w:p w14:paraId="550EAE55"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12,131</w:t>
            </w:r>
          </w:p>
        </w:tc>
        <w:tc>
          <w:tcPr>
            <w:tcW w:w="421" w:type="pct"/>
          </w:tcPr>
          <w:p w14:paraId="2F42D27D"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9,247</w:t>
            </w:r>
          </w:p>
        </w:tc>
        <w:tc>
          <w:tcPr>
            <w:tcW w:w="505" w:type="pct"/>
          </w:tcPr>
          <w:p w14:paraId="3191D68F"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87,726</w:t>
            </w:r>
          </w:p>
        </w:tc>
        <w:tc>
          <w:tcPr>
            <w:cnfStyle w:val="000100000000" w:firstRow="0" w:lastRow="0" w:firstColumn="0" w:lastColumn="1" w:oddVBand="0" w:evenVBand="0" w:oddHBand="0" w:evenHBand="0" w:firstRowFirstColumn="0" w:firstRowLastColumn="0" w:lastRowFirstColumn="0" w:lastRowLastColumn="0"/>
            <w:tcW w:w="3" w:type="pct"/>
          </w:tcPr>
          <w:p w14:paraId="42E0FAEC" w14:textId="77777777" w:rsidR="00B44672" w:rsidRDefault="00B44672" w:rsidP="005D5CCC"/>
        </w:tc>
      </w:tr>
      <w:tr w:rsidR="00B44672" w14:paraId="6B8B08BF" w14:textId="77777777" w:rsidTr="005D5CCC">
        <w:trPr>
          <w:jc w:val="center"/>
        </w:trPr>
        <w:tc>
          <w:tcPr>
            <w:cnfStyle w:val="001000000000" w:firstRow="0" w:lastRow="0" w:firstColumn="1" w:lastColumn="0" w:oddVBand="0" w:evenVBand="0" w:oddHBand="0" w:evenHBand="0" w:firstRowFirstColumn="0" w:firstRowLastColumn="0" w:lastRowFirstColumn="0" w:lastRowLastColumn="0"/>
            <w:tcW w:w="1528" w:type="pct"/>
          </w:tcPr>
          <w:p w14:paraId="479C4054" w14:textId="77777777" w:rsidR="00B44672" w:rsidRDefault="00B44672" w:rsidP="005D5CCC">
            <w:pPr>
              <w:pStyle w:val="Compact"/>
            </w:pPr>
            <w:r>
              <w:t>(% of potential buyers)</w:t>
            </w:r>
          </w:p>
        </w:tc>
        <w:tc>
          <w:tcPr>
            <w:tcW w:w="448" w:type="pct"/>
            <w:gridSpan w:val="3"/>
          </w:tcPr>
          <w:p w14:paraId="505CBB25"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10.7</w:t>
            </w:r>
          </w:p>
        </w:tc>
        <w:tc>
          <w:tcPr>
            <w:tcW w:w="419" w:type="pct"/>
            <w:gridSpan w:val="2"/>
          </w:tcPr>
          <w:p w14:paraId="1084521C"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11.1</w:t>
            </w:r>
          </w:p>
        </w:tc>
        <w:tc>
          <w:tcPr>
            <w:tcW w:w="419" w:type="pct"/>
            <w:gridSpan w:val="2"/>
          </w:tcPr>
          <w:p w14:paraId="3F4EC394"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11.3</w:t>
            </w:r>
          </w:p>
        </w:tc>
        <w:tc>
          <w:tcPr>
            <w:tcW w:w="419" w:type="pct"/>
            <w:gridSpan w:val="2"/>
          </w:tcPr>
          <w:p w14:paraId="4BB1E293"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11.8</w:t>
            </w:r>
          </w:p>
        </w:tc>
        <w:tc>
          <w:tcPr>
            <w:tcW w:w="419" w:type="pct"/>
            <w:gridSpan w:val="2"/>
          </w:tcPr>
          <w:p w14:paraId="024E0B21"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12.4</w:t>
            </w:r>
          </w:p>
        </w:tc>
        <w:tc>
          <w:tcPr>
            <w:tcW w:w="419" w:type="pct"/>
            <w:gridSpan w:val="2"/>
          </w:tcPr>
          <w:p w14:paraId="070DAFC8"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10.1</w:t>
            </w:r>
          </w:p>
        </w:tc>
        <w:tc>
          <w:tcPr>
            <w:tcW w:w="421" w:type="pct"/>
          </w:tcPr>
          <w:p w14:paraId="331D4761"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8.06</w:t>
            </w:r>
          </w:p>
        </w:tc>
        <w:tc>
          <w:tcPr>
            <w:tcW w:w="505" w:type="pct"/>
          </w:tcPr>
          <w:p w14:paraId="054815CC"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10.8</w:t>
            </w:r>
          </w:p>
        </w:tc>
        <w:tc>
          <w:tcPr>
            <w:cnfStyle w:val="000100000000" w:firstRow="0" w:lastRow="0" w:firstColumn="0" w:lastColumn="1" w:oddVBand="0" w:evenVBand="0" w:oddHBand="0" w:evenHBand="0" w:firstRowFirstColumn="0" w:firstRowLastColumn="0" w:lastRowFirstColumn="0" w:lastRowLastColumn="0"/>
            <w:tcW w:w="3" w:type="pct"/>
          </w:tcPr>
          <w:p w14:paraId="3978D4DE" w14:textId="77777777" w:rsidR="00B44672" w:rsidRDefault="00B44672" w:rsidP="005D5CCC"/>
        </w:tc>
      </w:tr>
      <w:tr w:rsidR="00B44672" w14:paraId="0CA07D95" w14:textId="77777777" w:rsidTr="005D5CCC">
        <w:trPr>
          <w:jc w:val="center"/>
        </w:trPr>
        <w:tc>
          <w:tcPr>
            <w:cnfStyle w:val="001000000000" w:firstRow="0" w:lastRow="0" w:firstColumn="1" w:lastColumn="0" w:oddVBand="0" w:evenVBand="0" w:oddHBand="0" w:evenHBand="0" w:firstRowFirstColumn="0" w:firstRowLastColumn="0" w:lastRowFirstColumn="0" w:lastRowLastColumn="0"/>
            <w:tcW w:w="1528" w:type="pct"/>
          </w:tcPr>
          <w:p w14:paraId="4FDB8378" w14:textId="77777777" w:rsidR="00B44672" w:rsidRDefault="00B44672" w:rsidP="005D5CCC">
            <w:pPr>
              <w:pStyle w:val="Compact"/>
            </w:pPr>
            <w:r>
              <w:rPr>
                <w:b/>
              </w:rPr>
              <w:t>Diff</w:t>
            </w:r>
          </w:p>
        </w:tc>
        <w:tc>
          <w:tcPr>
            <w:tcW w:w="448" w:type="pct"/>
            <w:gridSpan w:val="3"/>
          </w:tcPr>
          <w:p w14:paraId="334F64A4"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07D4BD73"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07749E67"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1FED7CAF"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74D4FFF1"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19" w:type="pct"/>
            <w:gridSpan w:val="2"/>
          </w:tcPr>
          <w:p w14:paraId="2A6BAD80"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1" w:type="pct"/>
          </w:tcPr>
          <w:p w14:paraId="7FEBBF2B"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505" w:type="pct"/>
          </w:tcPr>
          <w:p w14:paraId="1211D341"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50E21730" w14:textId="77777777" w:rsidR="00B44672" w:rsidRDefault="00B44672" w:rsidP="005D5CCC"/>
        </w:tc>
      </w:tr>
      <w:tr w:rsidR="00B44672" w14:paraId="6FB80A39" w14:textId="77777777" w:rsidTr="005D5CCC">
        <w:trPr>
          <w:jc w:val="center"/>
        </w:trPr>
        <w:tc>
          <w:tcPr>
            <w:cnfStyle w:val="001000000000" w:firstRow="0" w:lastRow="0" w:firstColumn="1" w:lastColumn="0" w:oddVBand="0" w:evenVBand="0" w:oddHBand="0" w:evenHBand="0" w:firstRowFirstColumn="0" w:firstRowLastColumn="0" w:lastRowFirstColumn="0" w:lastRowLastColumn="0"/>
            <w:tcW w:w="1528" w:type="pct"/>
          </w:tcPr>
          <w:p w14:paraId="03FE7B40" w14:textId="77777777" w:rsidR="00B44672" w:rsidRDefault="00B44672" w:rsidP="005D5CCC">
            <w:pPr>
              <w:pStyle w:val="Compact"/>
            </w:pPr>
            <w:r>
              <w:t>Meet both constraints</w:t>
            </w:r>
          </w:p>
        </w:tc>
        <w:tc>
          <w:tcPr>
            <w:tcW w:w="448" w:type="pct"/>
            <w:gridSpan w:val="3"/>
          </w:tcPr>
          <w:p w14:paraId="54CAE99D"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10</w:t>
            </w:r>
          </w:p>
        </w:tc>
        <w:tc>
          <w:tcPr>
            <w:tcW w:w="419" w:type="pct"/>
            <w:gridSpan w:val="2"/>
          </w:tcPr>
          <w:p w14:paraId="0771220D"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159</w:t>
            </w:r>
          </w:p>
        </w:tc>
        <w:tc>
          <w:tcPr>
            <w:tcW w:w="419" w:type="pct"/>
            <w:gridSpan w:val="2"/>
          </w:tcPr>
          <w:p w14:paraId="1A34036C"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244</w:t>
            </w:r>
          </w:p>
        </w:tc>
        <w:tc>
          <w:tcPr>
            <w:tcW w:w="419" w:type="pct"/>
            <w:gridSpan w:val="2"/>
          </w:tcPr>
          <w:p w14:paraId="587410A3"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455</w:t>
            </w:r>
          </w:p>
        </w:tc>
        <w:tc>
          <w:tcPr>
            <w:tcW w:w="419" w:type="pct"/>
            <w:gridSpan w:val="2"/>
          </w:tcPr>
          <w:p w14:paraId="77AF2536"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495</w:t>
            </w:r>
          </w:p>
        </w:tc>
        <w:tc>
          <w:tcPr>
            <w:tcW w:w="419" w:type="pct"/>
            <w:gridSpan w:val="2"/>
          </w:tcPr>
          <w:p w14:paraId="15338D51"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292</w:t>
            </w:r>
          </w:p>
        </w:tc>
        <w:tc>
          <w:tcPr>
            <w:tcW w:w="421" w:type="pct"/>
          </w:tcPr>
          <w:p w14:paraId="75C12A46"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387</w:t>
            </w:r>
          </w:p>
        </w:tc>
        <w:tc>
          <w:tcPr>
            <w:tcW w:w="505" w:type="pct"/>
          </w:tcPr>
          <w:p w14:paraId="0E7FB512"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2,042</w:t>
            </w:r>
          </w:p>
        </w:tc>
        <w:tc>
          <w:tcPr>
            <w:cnfStyle w:val="000100000000" w:firstRow="0" w:lastRow="0" w:firstColumn="0" w:lastColumn="1" w:oddVBand="0" w:evenVBand="0" w:oddHBand="0" w:evenHBand="0" w:firstRowFirstColumn="0" w:firstRowLastColumn="0" w:lastRowFirstColumn="0" w:lastRowLastColumn="0"/>
            <w:tcW w:w="3" w:type="pct"/>
          </w:tcPr>
          <w:p w14:paraId="54522DE8" w14:textId="77777777" w:rsidR="00B44672" w:rsidRDefault="00B44672" w:rsidP="005D5CCC"/>
        </w:tc>
      </w:tr>
      <w:tr w:rsidR="00B44672" w14:paraId="22E0D39B" w14:textId="77777777" w:rsidTr="005D5CCC">
        <w:trPr>
          <w:jc w:val="center"/>
        </w:trPr>
        <w:tc>
          <w:tcPr>
            <w:cnfStyle w:val="001000000000" w:firstRow="0" w:lastRow="0" w:firstColumn="1" w:lastColumn="0" w:oddVBand="0" w:evenVBand="0" w:oddHBand="0" w:evenHBand="0" w:firstRowFirstColumn="0" w:firstRowLastColumn="0" w:lastRowFirstColumn="0" w:lastRowLastColumn="0"/>
            <w:tcW w:w="1528" w:type="pct"/>
          </w:tcPr>
          <w:p w14:paraId="026D30F6" w14:textId="77777777" w:rsidR="00B44672" w:rsidRDefault="00B44672" w:rsidP="005D5CCC">
            <w:pPr>
              <w:pStyle w:val="Compact"/>
            </w:pPr>
            <w:r>
              <w:t>(% of potential buyers)</w:t>
            </w:r>
          </w:p>
        </w:tc>
        <w:tc>
          <w:tcPr>
            <w:tcW w:w="448" w:type="pct"/>
            <w:gridSpan w:val="3"/>
          </w:tcPr>
          <w:p w14:paraId="31FBF169"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0.0093</w:t>
            </w:r>
          </w:p>
        </w:tc>
        <w:tc>
          <w:tcPr>
            <w:tcW w:w="419" w:type="pct"/>
            <w:gridSpan w:val="2"/>
          </w:tcPr>
          <w:p w14:paraId="29690AC9"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0.14</w:t>
            </w:r>
          </w:p>
        </w:tc>
        <w:tc>
          <w:tcPr>
            <w:tcW w:w="419" w:type="pct"/>
            <w:gridSpan w:val="2"/>
          </w:tcPr>
          <w:p w14:paraId="3DCF8FFF"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0.21</w:t>
            </w:r>
          </w:p>
        </w:tc>
        <w:tc>
          <w:tcPr>
            <w:tcW w:w="419" w:type="pct"/>
            <w:gridSpan w:val="2"/>
          </w:tcPr>
          <w:p w14:paraId="5ED3EE58"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0.38</w:t>
            </w:r>
          </w:p>
        </w:tc>
        <w:tc>
          <w:tcPr>
            <w:tcW w:w="419" w:type="pct"/>
            <w:gridSpan w:val="2"/>
          </w:tcPr>
          <w:p w14:paraId="036B9577"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0.40</w:t>
            </w:r>
          </w:p>
        </w:tc>
        <w:tc>
          <w:tcPr>
            <w:tcW w:w="419" w:type="pct"/>
            <w:gridSpan w:val="2"/>
          </w:tcPr>
          <w:p w14:paraId="5151B47F"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0.24</w:t>
            </w:r>
          </w:p>
        </w:tc>
        <w:tc>
          <w:tcPr>
            <w:tcW w:w="421" w:type="pct"/>
          </w:tcPr>
          <w:p w14:paraId="468643CE"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0.34</w:t>
            </w:r>
          </w:p>
        </w:tc>
        <w:tc>
          <w:tcPr>
            <w:tcW w:w="505" w:type="pct"/>
          </w:tcPr>
          <w:p w14:paraId="27E3FD3F"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0.25</w:t>
            </w:r>
          </w:p>
        </w:tc>
        <w:tc>
          <w:tcPr>
            <w:cnfStyle w:val="000100000000" w:firstRow="0" w:lastRow="0" w:firstColumn="0" w:lastColumn="1" w:oddVBand="0" w:evenVBand="0" w:oddHBand="0" w:evenHBand="0" w:firstRowFirstColumn="0" w:firstRowLastColumn="0" w:lastRowFirstColumn="0" w:lastRowLastColumn="0"/>
            <w:tcW w:w="3" w:type="pct"/>
          </w:tcPr>
          <w:p w14:paraId="70771155" w14:textId="77777777" w:rsidR="00B44672" w:rsidRDefault="00B44672" w:rsidP="005D5CCC"/>
        </w:tc>
      </w:tr>
      <w:tr w:rsidR="00B44672" w14:paraId="2E23A3F3" w14:textId="77777777" w:rsidTr="005D5CCC">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2622A02D" w14:textId="77777777" w:rsidR="00B44672" w:rsidRDefault="00B44672" w:rsidP="005D5CCC">
            <w:pPr>
              <w:pStyle w:val="Compact"/>
              <w:rPr>
                <w:b/>
              </w:rPr>
            </w:pPr>
            <w:r w:rsidRPr="00113FC1">
              <w:rPr>
                <w:b/>
                <w:i/>
                <w:iCs/>
                <w:color w:val="365F91" w:themeColor="accent1" w:themeShade="BF"/>
              </w:rPr>
              <w:t>1.24 – 2.19% price change</w:t>
            </w:r>
          </w:p>
        </w:tc>
        <w:tc>
          <w:tcPr>
            <w:tcW w:w="420" w:type="pct"/>
          </w:tcPr>
          <w:p w14:paraId="1967A109"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3799A312"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1C11CA59"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718C85E1"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36F908DE"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0AD5F781"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5" w:type="pct"/>
            <w:gridSpan w:val="2"/>
          </w:tcPr>
          <w:p w14:paraId="4D84D4F2"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505" w:type="pct"/>
          </w:tcPr>
          <w:p w14:paraId="7BEA33E2"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62D55B7D" w14:textId="77777777" w:rsidR="00B44672" w:rsidRDefault="00B44672" w:rsidP="005D5CCC"/>
        </w:tc>
      </w:tr>
      <w:tr w:rsidR="00B44672" w14:paraId="515B27B7" w14:textId="77777777" w:rsidTr="005D5CCC">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28557D71" w14:textId="77777777" w:rsidR="00B44672" w:rsidRDefault="00B44672" w:rsidP="005D5CCC">
            <w:pPr>
              <w:pStyle w:val="Compact"/>
            </w:pPr>
            <w:r>
              <w:rPr>
                <w:b/>
              </w:rPr>
              <w:t>Old tax policy</w:t>
            </w:r>
          </w:p>
        </w:tc>
        <w:tc>
          <w:tcPr>
            <w:tcW w:w="420" w:type="pct"/>
          </w:tcPr>
          <w:p w14:paraId="72BA1B8F"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68C03009"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2FFFC979"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02E0F8A2"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0BAF11E2"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564DB2F7"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5" w:type="pct"/>
            <w:gridSpan w:val="2"/>
          </w:tcPr>
          <w:p w14:paraId="7DD79079"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505" w:type="pct"/>
          </w:tcPr>
          <w:p w14:paraId="51CE724F"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78042061" w14:textId="77777777" w:rsidR="00B44672" w:rsidRDefault="00B44672" w:rsidP="005D5CCC"/>
        </w:tc>
      </w:tr>
      <w:tr w:rsidR="00B44672" w14:paraId="5F0FC41F" w14:textId="77777777" w:rsidTr="005D5CCC">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310F88B3" w14:textId="77777777" w:rsidR="00B44672" w:rsidRDefault="00B44672" w:rsidP="005D5CCC">
            <w:pPr>
              <w:pStyle w:val="Compact"/>
            </w:pPr>
            <w:r>
              <w:t>Meet both constraints</w:t>
            </w:r>
          </w:p>
        </w:tc>
        <w:tc>
          <w:tcPr>
            <w:tcW w:w="420" w:type="pct"/>
          </w:tcPr>
          <w:p w14:paraId="3BFC001D"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11,601</w:t>
            </w:r>
          </w:p>
        </w:tc>
        <w:tc>
          <w:tcPr>
            <w:tcW w:w="422" w:type="pct"/>
            <w:gridSpan w:val="2"/>
          </w:tcPr>
          <w:p w14:paraId="4D9D1E25"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12,550</w:t>
            </w:r>
          </w:p>
        </w:tc>
        <w:tc>
          <w:tcPr>
            <w:tcW w:w="422" w:type="pct"/>
            <w:gridSpan w:val="2"/>
          </w:tcPr>
          <w:p w14:paraId="1F9A4178"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13,166</w:t>
            </w:r>
          </w:p>
        </w:tc>
        <w:tc>
          <w:tcPr>
            <w:tcW w:w="422" w:type="pct"/>
            <w:gridSpan w:val="2"/>
          </w:tcPr>
          <w:p w14:paraId="7BCE4BC4"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14,281</w:t>
            </w:r>
          </w:p>
        </w:tc>
        <w:tc>
          <w:tcPr>
            <w:tcW w:w="422" w:type="pct"/>
            <w:gridSpan w:val="2"/>
          </w:tcPr>
          <w:p w14:paraId="343DA0BB"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15,367</w:t>
            </w:r>
          </w:p>
        </w:tc>
        <w:tc>
          <w:tcPr>
            <w:tcW w:w="422" w:type="pct"/>
            <w:gridSpan w:val="2"/>
          </w:tcPr>
          <w:p w14:paraId="3B4BE998"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12,176</w:t>
            </w:r>
          </w:p>
        </w:tc>
        <w:tc>
          <w:tcPr>
            <w:tcW w:w="425" w:type="pct"/>
            <w:gridSpan w:val="2"/>
          </w:tcPr>
          <w:p w14:paraId="6A4D46E1"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9,264</w:t>
            </w:r>
          </w:p>
        </w:tc>
        <w:tc>
          <w:tcPr>
            <w:tcW w:w="505" w:type="pct"/>
          </w:tcPr>
          <w:p w14:paraId="31A51DB3"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88,405</w:t>
            </w:r>
          </w:p>
        </w:tc>
        <w:tc>
          <w:tcPr>
            <w:cnfStyle w:val="000100000000" w:firstRow="0" w:lastRow="0" w:firstColumn="0" w:lastColumn="1" w:oddVBand="0" w:evenVBand="0" w:oddHBand="0" w:evenHBand="0" w:firstRowFirstColumn="0" w:firstRowLastColumn="0" w:lastRowFirstColumn="0" w:lastRowLastColumn="0"/>
            <w:tcW w:w="3" w:type="pct"/>
          </w:tcPr>
          <w:p w14:paraId="26712E73" w14:textId="77777777" w:rsidR="00B44672" w:rsidRDefault="00B44672" w:rsidP="005D5CCC"/>
        </w:tc>
      </w:tr>
      <w:tr w:rsidR="00B44672" w14:paraId="45D23D42" w14:textId="77777777" w:rsidTr="005D5CCC">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7AE3CB00" w14:textId="77777777" w:rsidR="00B44672" w:rsidRDefault="00B44672" w:rsidP="005D5CCC">
            <w:pPr>
              <w:pStyle w:val="Compact"/>
            </w:pPr>
            <w:r>
              <w:t>(% of potential buyers)</w:t>
            </w:r>
          </w:p>
        </w:tc>
        <w:tc>
          <w:tcPr>
            <w:tcW w:w="420" w:type="pct"/>
          </w:tcPr>
          <w:p w14:paraId="0FEFB4DE"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10.8</w:t>
            </w:r>
          </w:p>
        </w:tc>
        <w:tc>
          <w:tcPr>
            <w:tcW w:w="422" w:type="pct"/>
            <w:gridSpan w:val="2"/>
          </w:tcPr>
          <w:p w14:paraId="79FA517B"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11.2</w:t>
            </w:r>
          </w:p>
        </w:tc>
        <w:tc>
          <w:tcPr>
            <w:tcW w:w="422" w:type="pct"/>
            <w:gridSpan w:val="2"/>
          </w:tcPr>
          <w:p w14:paraId="1314DBAA"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11.4</w:t>
            </w:r>
          </w:p>
        </w:tc>
        <w:tc>
          <w:tcPr>
            <w:tcW w:w="422" w:type="pct"/>
            <w:gridSpan w:val="2"/>
          </w:tcPr>
          <w:p w14:paraId="223BC587"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12.0</w:t>
            </w:r>
          </w:p>
        </w:tc>
        <w:tc>
          <w:tcPr>
            <w:tcW w:w="422" w:type="pct"/>
            <w:gridSpan w:val="2"/>
          </w:tcPr>
          <w:p w14:paraId="6A158B6E"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12.4</w:t>
            </w:r>
          </w:p>
        </w:tc>
        <w:tc>
          <w:tcPr>
            <w:tcW w:w="422" w:type="pct"/>
            <w:gridSpan w:val="2"/>
          </w:tcPr>
          <w:p w14:paraId="5792EE6D"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10.2</w:t>
            </w:r>
          </w:p>
        </w:tc>
        <w:tc>
          <w:tcPr>
            <w:tcW w:w="425" w:type="pct"/>
            <w:gridSpan w:val="2"/>
          </w:tcPr>
          <w:p w14:paraId="3AD1A1EA"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8.07</w:t>
            </w:r>
          </w:p>
        </w:tc>
        <w:tc>
          <w:tcPr>
            <w:tcW w:w="505" w:type="pct"/>
          </w:tcPr>
          <w:p w14:paraId="173D7171"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10.9</w:t>
            </w:r>
          </w:p>
        </w:tc>
        <w:tc>
          <w:tcPr>
            <w:cnfStyle w:val="000100000000" w:firstRow="0" w:lastRow="0" w:firstColumn="0" w:lastColumn="1" w:oddVBand="0" w:evenVBand="0" w:oddHBand="0" w:evenHBand="0" w:firstRowFirstColumn="0" w:firstRowLastColumn="0" w:lastRowFirstColumn="0" w:lastRowLastColumn="0"/>
            <w:tcW w:w="3" w:type="pct"/>
          </w:tcPr>
          <w:p w14:paraId="2B35B0F4" w14:textId="77777777" w:rsidR="00B44672" w:rsidRDefault="00B44672" w:rsidP="005D5CCC"/>
        </w:tc>
      </w:tr>
      <w:tr w:rsidR="00B44672" w14:paraId="068496CD" w14:textId="77777777" w:rsidTr="005D5CCC">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2D84E4CB" w14:textId="77777777" w:rsidR="00B44672" w:rsidRDefault="00B44672" w:rsidP="005D5CCC">
            <w:pPr>
              <w:pStyle w:val="Compact"/>
            </w:pPr>
            <w:r>
              <w:rPr>
                <w:b/>
              </w:rPr>
              <w:t>Diff</w:t>
            </w:r>
          </w:p>
        </w:tc>
        <w:tc>
          <w:tcPr>
            <w:tcW w:w="420" w:type="pct"/>
          </w:tcPr>
          <w:p w14:paraId="5E4A1517"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5B17E8EC"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3F4F9035"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6A5C1F5D"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6B2C1204"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2" w:type="pct"/>
            <w:gridSpan w:val="2"/>
          </w:tcPr>
          <w:p w14:paraId="14BC1E7D"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425" w:type="pct"/>
            <w:gridSpan w:val="2"/>
          </w:tcPr>
          <w:p w14:paraId="0FEA5EC8"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tcW w:w="505" w:type="pct"/>
          </w:tcPr>
          <w:p w14:paraId="2D42C911" w14:textId="77777777" w:rsidR="00B44672" w:rsidRDefault="00B44672" w:rsidP="005D5CC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762863AB" w14:textId="77777777" w:rsidR="00B44672" w:rsidRDefault="00B44672" w:rsidP="005D5CCC"/>
        </w:tc>
      </w:tr>
      <w:tr w:rsidR="00B44672" w14:paraId="0D109571" w14:textId="77777777" w:rsidTr="005D5CCC">
        <w:trPr>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2799FDBB" w14:textId="77777777" w:rsidR="00B44672" w:rsidRDefault="00B44672" w:rsidP="005D5CCC">
            <w:pPr>
              <w:pStyle w:val="Compact"/>
            </w:pPr>
            <w:r>
              <w:t>Meet both constraints</w:t>
            </w:r>
          </w:p>
        </w:tc>
        <w:tc>
          <w:tcPr>
            <w:tcW w:w="420" w:type="pct"/>
          </w:tcPr>
          <w:p w14:paraId="59A7BECE"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-107</w:t>
            </w:r>
          </w:p>
        </w:tc>
        <w:tc>
          <w:tcPr>
            <w:tcW w:w="422" w:type="pct"/>
            <w:gridSpan w:val="2"/>
          </w:tcPr>
          <w:p w14:paraId="134FD6CE"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tcW w:w="422" w:type="pct"/>
            <w:gridSpan w:val="2"/>
          </w:tcPr>
          <w:p w14:paraId="78F05AE0"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151</w:t>
            </w:r>
          </w:p>
        </w:tc>
        <w:tc>
          <w:tcPr>
            <w:tcW w:w="422" w:type="pct"/>
            <w:gridSpan w:val="2"/>
          </w:tcPr>
          <w:p w14:paraId="37DB2C80"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228</w:t>
            </w:r>
          </w:p>
        </w:tc>
        <w:tc>
          <w:tcPr>
            <w:tcW w:w="422" w:type="pct"/>
            <w:gridSpan w:val="2"/>
          </w:tcPr>
          <w:p w14:paraId="6E46FE58"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455</w:t>
            </w:r>
          </w:p>
        </w:tc>
        <w:tc>
          <w:tcPr>
            <w:tcW w:w="422" w:type="pct"/>
            <w:gridSpan w:val="2"/>
          </w:tcPr>
          <w:p w14:paraId="349859A0"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247</w:t>
            </w:r>
          </w:p>
        </w:tc>
        <w:tc>
          <w:tcPr>
            <w:tcW w:w="425" w:type="pct"/>
            <w:gridSpan w:val="2"/>
          </w:tcPr>
          <w:p w14:paraId="53B31914"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370</w:t>
            </w:r>
          </w:p>
        </w:tc>
        <w:tc>
          <w:tcPr>
            <w:tcW w:w="505" w:type="pct"/>
          </w:tcPr>
          <w:p w14:paraId="18D5F8D2" w14:textId="77777777" w:rsidR="00B44672" w:rsidRDefault="00B44672" w:rsidP="005D5CCC">
            <w:pPr>
              <w:pStyle w:val="Compact"/>
              <w:jc w:val="center"/>
              <w:cnfStyle w:val="000000000000" w:firstRow="0" w:lastRow="0" w:firstColumn="0" w:lastColumn="0" w:oddVBand="0" w:evenVBand="0" w:oddHBand="0" w:evenHBand="0" w:firstRowFirstColumn="0" w:firstRowLastColumn="0" w:lastRowFirstColumn="0" w:lastRowLastColumn="0"/>
            </w:pPr>
            <w:r>
              <w:t>1,363</w:t>
            </w:r>
          </w:p>
        </w:tc>
        <w:tc>
          <w:tcPr>
            <w:cnfStyle w:val="000100000000" w:firstRow="0" w:lastRow="0" w:firstColumn="0" w:lastColumn="1" w:oddVBand="0" w:evenVBand="0" w:oddHBand="0" w:evenHBand="0" w:firstRowFirstColumn="0" w:firstRowLastColumn="0" w:lastRowFirstColumn="0" w:lastRowLastColumn="0"/>
            <w:tcW w:w="3" w:type="pct"/>
          </w:tcPr>
          <w:p w14:paraId="63B760FC" w14:textId="77777777" w:rsidR="00B44672" w:rsidRDefault="00B44672" w:rsidP="005D5CCC"/>
        </w:tc>
      </w:tr>
      <w:tr w:rsidR="00B44672" w14:paraId="26FE5281" w14:textId="77777777" w:rsidTr="005D5CC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7" w:type="pct"/>
            <w:gridSpan w:val="2"/>
          </w:tcPr>
          <w:p w14:paraId="5041C71F" w14:textId="77777777" w:rsidR="00B44672" w:rsidRDefault="00B44672" w:rsidP="005D5CCC">
            <w:pPr>
              <w:pStyle w:val="Compact"/>
            </w:pPr>
            <w:r>
              <w:t>(% of potential buyers)</w:t>
            </w:r>
          </w:p>
        </w:tc>
        <w:tc>
          <w:tcPr>
            <w:tcW w:w="420" w:type="pct"/>
          </w:tcPr>
          <w:p w14:paraId="0680DD83" w14:textId="77777777" w:rsidR="00B44672" w:rsidRDefault="00B44672" w:rsidP="005D5CCC">
            <w:pPr>
              <w:pStyle w:val="Compact"/>
              <w:jc w:val="center"/>
              <w:cnfStyle w:val="010000000000" w:firstRow="0" w:lastRow="1" w:firstColumn="0" w:lastColumn="0" w:oddVBand="0" w:evenVBand="0" w:oddHBand="0" w:evenHBand="0" w:firstRowFirstColumn="0" w:firstRowLastColumn="0" w:lastRowFirstColumn="0" w:lastRowLastColumn="0"/>
            </w:pPr>
            <w:r>
              <w:t>-0.100</w:t>
            </w:r>
          </w:p>
        </w:tc>
        <w:tc>
          <w:tcPr>
            <w:tcW w:w="422" w:type="pct"/>
            <w:gridSpan w:val="2"/>
          </w:tcPr>
          <w:p w14:paraId="18BE97A0" w14:textId="77777777" w:rsidR="00B44672" w:rsidRDefault="00B44672" w:rsidP="005D5CCC">
            <w:pPr>
              <w:pStyle w:val="Compact"/>
              <w:jc w:val="center"/>
              <w:cnfStyle w:val="010000000000" w:firstRow="0" w:lastRow="1" w:firstColumn="0" w:lastColumn="0" w:oddVBand="0" w:evenVBand="0" w:oddHBand="0" w:evenHBand="0" w:firstRowFirstColumn="0" w:firstRowLastColumn="0" w:lastRowFirstColumn="0" w:lastRowLastColumn="0"/>
            </w:pPr>
            <w:r>
              <w:t>0.017</w:t>
            </w:r>
          </w:p>
        </w:tc>
        <w:tc>
          <w:tcPr>
            <w:tcW w:w="422" w:type="pct"/>
            <w:gridSpan w:val="2"/>
          </w:tcPr>
          <w:p w14:paraId="62CB8EF8" w14:textId="77777777" w:rsidR="00B44672" w:rsidRDefault="00B44672" w:rsidP="005D5CCC">
            <w:pPr>
              <w:pStyle w:val="Compact"/>
              <w:jc w:val="center"/>
              <w:cnfStyle w:val="010000000000" w:firstRow="0" w:lastRow="1" w:firstColumn="0" w:lastColumn="0" w:oddVBand="0" w:evenVBand="0" w:oddHBand="0" w:evenHBand="0" w:firstRowFirstColumn="0" w:firstRowLastColumn="0" w:lastRowFirstColumn="0" w:lastRowLastColumn="0"/>
            </w:pPr>
            <w:r>
              <w:t>0.13</w:t>
            </w:r>
          </w:p>
        </w:tc>
        <w:tc>
          <w:tcPr>
            <w:tcW w:w="422" w:type="pct"/>
            <w:gridSpan w:val="2"/>
          </w:tcPr>
          <w:p w14:paraId="3638A2A0" w14:textId="77777777" w:rsidR="00B44672" w:rsidRDefault="00B44672" w:rsidP="005D5CCC">
            <w:pPr>
              <w:pStyle w:val="Compact"/>
              <w:jc w:val="center"/>
              <w:cnfStyle w:val="010000000000" w:firstRow="0" w:lastRow="1" w:firstColumn="0" w:lastColumn="0" w:oddVBand="0" w:evenVBand="0" w:oddHBand="0" w:evenHBand="0" w:firstRowFirstColumn="0" w:firstRowLastColumn="0" w:lastRowFirstColumn="0" w:lastRowLastColumn="0"/>
            </w:pPr>
            <w:r>
              <w:t>0.19</w:t>
            </w:r>
          </w:p>
        </w:tc>
        <w:tc>
          <w:tcPr>
            <w:tcW w:w="422" w:type="pct"/>
            <w:gridSpan w:val="2"/>
          </w:tcPr>
          <w:p w14:paraId="35C3A87F" w14:textId="77777777" w:rsidR="00B44672" w:rsidRDefault="00B44672" w:rsidP="005D5CCC">
            <w:pPr>
              <w:pStyle w:val="Compact"/>
              <w:jc w:val="center"/>
              <w:cnfStyle w:val="010000000000" w:firstRow="0" w:lastRow="1" w:firstColumn="0" w:lastColumn="0" w:oddVBand="0" w:evenVBand="0" w:oddHBand="0" w:evenHBand="0" w:firstRowFirstColumn="0" w:firstRowLastColumn="0" w:lastRowFirstColumn="0" w:lastRowLastColumn="0"/>
            </w:pPr>
            <w:r>
              <w:t>0.37</w:t>
            </w:r>
          </w:p>
        </w:tc>
        <w:tc>
          <w:tcPr>
            <w:tcW w:w="422" w:type="pct"/>
            <w:gridSpan w:val="2"/>
          </w:tcPr>
          <w:p w14:paraId="2E23D7D8" w14:textId="77777777" w:rsidR="00B44672" w:rsidRDefault="00B44672" w:rsidP="005D5CCC">
            <w:pPr>
              <w:pStyle w:val="Compact"/>
              <w:jc w:val="center"/>
              <w:cnfStyle w:val="010000000000" w:firstRow="0" w:lastRow="1" w:firstColumn="0" w:lastColumn="0" w:oddVBand="0" w:evenVBand="0" w:oddHBand="0" w:evenHBand="0" w:firstRowFirstColumn="0" w:firstRowLastColumn="0" w:lastRowFirstColumn="0" w:lastRowLastColumn="0"/>
            </w:pPr>
            <w:r>
              <w:t>0.21</w:t>
            </w:r>
          </w:p>
        </w:tc>
        <w:tc>
          <w:tcPr>
            <w:tcW w:w="425" w:type="pct"/>
            <w:gridSpan w:val="2"/>
          </w:tcPr>
          <w:p w14:paraId="301C4CCA" w14:textId="77777777" w:rsidR="00B44672" w:rsidRDefault="00B44672" w:rsidP="005D5CCC">
            <w:pPr>
              <w:pStyle w:val="Compact"/>
              <w:jc w:val="center"/>
              <w:cnfStyle w:val="010000000000" w:firstRow="0" w:lastRow="1" w:firstColumn="0" w:lastColumn="0" w:oddVBand="0" w:evenVBand="0" w:oddHBand="0" w:evenHBand="0" w:firstRowFirstColumn="0" w:firstRowLastColumn="0" w:lastRowFirstColumn="0" w:lastRowLastColumn="0"/>
            </w:pPr>
            <w:r>
              <w:t>0.32</w:t>
            </w:r>
          </w:p>
        </w:tc>
        <w:tc>
          <w:tcPr>
            <w:tcW w:w="505" w:type="pct"/>
          </w:tcPr>
          <w:p w14:paraId="48BABA9F" w14:textId="77777777" w:rsidR="00B44672" w:rsidRDefault="00B44672" w:rsidP="005D5CCC">
            <w:pPr>
              <w:pStyle w:val="Compact"/>
              <w:jc w:val="center"/>
              <w:cnfStyle w:val="010000000000" w:firstRow="0" w:lastRow="1" w:firstColumn="0" w:lastColumn="0" w:oddVBand="0" w:evenVBand="0" w:oddHBand="0" w:evenHBand="0" w:firstRowFirstColumn="0" w:firstRowLastColumn="0" w:lastRowFirstColumn="0" w:lastRowLastColumn="0"/>
            </w:pPr>
            <w:r>
              <w:t>0.17</w:t>
            </w:r>
          </w:p>
        </w:tc>
        <w:tc>
          <w:tcPr>
            <w:cnfStyle w:val="000100000000" w:firstRow="0" w:lastRow="0" w:firstColumn="0" w:lastColumn="1" w:oddVBand="0" w:evenVBand="0" w:oddHBand="0" w:evenHBand="0" w:firstRowFirstColumn="0" w:firstRowLastColumn="0" w:lastRowFirstColumn="0" w:lastRowLastColumn="0"/>
            <w:tcW w:w="3" w:type="pct"/>
          </w:tcPr>
          <w:p w14:paraId="3E964C6A" w14:textId="77777777" w:rsidR="00B44672" w:rsidRDefault="00B44672" w:rsidP="005D5CCC"/>
        </w:tc>
      </w:tr>
    </w:tbl>
    <w:p w14:paraId="05AFEA18" w14:textId="77777777" w:rsidR="00B44672" w:rsidRDefault="00B44672">
      <w:pPr>
        <w:pStyle w:val="BlockText"/>
      </w:pPr>
      <w:r>
        <w:rPr>
          <w:i/>
        </w:rPr>
        <w:t>Source:</w:t>
      </w:r>
      <w:r>
        <w:t xml:space="preserve"> Calculations from NATSEM microsimulation model. </w:t>
      </w:r>
    </w:p>
    <w:p w14:paraId="48B45C48" w14:textId="77777777" w:rsidR="00B44672" w:rsidRDefault="00B44672">
      <w:pPr>
        <w:jc w:val="left"/>
        <w:rPr>
          <w:rFonts w:eastAsiaTheme="majorEastAsia" w:cstheme="majorBidi"/>
          <w:b/>
          <w:bCs/>
          <w:color w:val="4F81BD" w:themeColor="accent1"/>
          <w:sz w:val="26"/>
          <w:szCs w:val="28"/>
        </w:rPr>
      </w:pPr>
      <w:bookmarkStart w:id="121" w:name="results-by-sub-groups"/>
      <w:r>
        <w:br w:type="page"/>
      </w:r>
    </w:p>
    <w:p w14:paraId="4A450D86" w14:textId="77777777" w:rsidR="00B44672" w:rsidRDefault="00B44672">
      <w:pPr>
        <w:pStyle w:val="Heading3"/>
      </w:pPr>
      <w:bookmarkStart w:id="122" w:name="_Toc41941376"/>
      <w:r>
        <w:lastRenderedPageBreak/>
        <w:t>2. Results by sub-groups</w:t>
      </w:r>
      <w:bookmarkEnd w:id="121"/>
      <w:bookmarkEnd w:id="122"/>
    </w:p>
    <w:p w14:paraId="56249F93" w14:textId="77777777" w:rsidR="00B44672" w:rsidRDefault="00B44672">
      <w:pPr>
        <w:pStyle w:val="FirstParagraph"/>
      </w:pPr>
      <w:r>
        <w:rPr>
          <w:b/>
        </w:rPr>
        <w:t>Number of residential properties purchased</w:t>
      </w:r>
    </w:p>
    <w:p w14:paraId="560AB8B2" w14:textId="77777777" w:rsidR="00B44672" w:rsidRDefault="00B44672">
      <w:pPr>
        <w:pStyle w:val="TableCaption"/>
      </w:pPr>
      <w:r>
        <w:t>Table 8 - The impact of tax reform on the number of residential properties purchased by sub-groups, 2012 - 2018</w:t>
      </w:r>
    </w:p>
    <w:tbl>
      <w:tblPr>
        <w:tblStyle w:val="Table"/>
        <w:tblW w:w="4998" w:type="pct"/>
        <w:jc w:val="center"/>
        <w:tblCellMar>
          <w:left w:w="0" w:type="dxa"/>
          <w:right w:w="0" w:type="dxa"/>
        </w:tblCellMar>
        <w:tblLook w:val="07E0" w:firstRow="1" w:lastRow="1" w:firstColumn="1" w:lastColumn="1" w:noHBand="1" w:noVBand="1"/>
        <w:tblCaption w:val="Table 8 - The impact of tax reform on the number of residential properties purchased by sub-groups, 2012 - 2018"/>
      </w:tblPr>
      <w:tblGrid>
        <w:gridCol w:w="2873"/>
        <w:gridCol w:w="2049"/>
        <w:gridCol w:w="2050"/>
        <w:gridCol w:w="1498"/>
        <w:gridCol w:w="540"/>
        <w:gridCol w:w="6"/>
        <w:gridCol w:w="6"/>
      </w:tblGrid>
      <w:tr w:rsidR="00B44672" w14:paraId="2CBBF40A" w14:textId="77777777" w:rsidTr="003E0A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3" w:type="pct"/>
            <w:tcBorders>
              <w:bottom w:val="single" w:sz="0" w:space="0" w:color="auto"/>
            </w:tcBorders>
            <w:vAlign w:val="bottom"/>
          </w:tcPr>
          <w:p w14:paraId="745C6CE3" w14:textId="77777777" w:rsidR="00B44672" w:rsidRDefault="00B44672"/>
        </w:tc>
        <w:tc>
          <w:tcPr>
            <w:tcW w:w="1136" w:type="pct"/>
            <w:tcBorders>
              <w:bottom w:val="single" w:sz="0" w:space="0" w:color="auto"/>
            </w:tcBorders>
            <w:vAlign w:val="bottom"/>
          </w:tcPr>
          <w:p w14:paraId="18CA33B5"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New tax policy - # purchases</w:t>
            </w:r>
          </w:p>
        </w:tc>
        <w:tc>
          <w:tcPr>
            <w:tcW w:w="1136" w:type="pct"/>
            <w:tcBorders>
              <w:bottom w:val="single" w:sz="0" w:space="0" w:color="auto"/>
            </w:tcBorders>
            <w:vAlign w:val="bottom"/>
          </w:tcPr>
          <w:p w14:paraId="202E6852"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Old tax policy - # purchases</w:t>
            </w:r>
          </w:p>
        </w:tc>
        <w:tc>
          <w:tcPr>
            <w:tcW w:w="830" w:type="pct"/>
            <w:tcBorders>
              <w:bottom w:val="single" w:sz="0" w:space="0" w:color="auto"/>
            </w:tcBorders>
            <w:vAlign w:val="bottom"/>
          </w:tcPr>
          <w:p w14:paraId="2F64C2CB"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Diff - # purchases</w:t>
            </w:r>
          </w:p>
        </w:tc>
        <w:tc>
          <w:tcPr>
            <w:tcW w:w="299" w:type="pct"/>
            <w:tcBorders>
              <w:bottom w:val="single" w:sz="0" w:space="0" w:color="auto"/>
            </w:tcBorders>
            <w:vAlign w:val="bottom"/>
          </w:tcPr>
          <w:p w14:paraId="4791B7A5"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Diff %</w:t>
            </w:r>
          </w:p>
        </w:tc>
        <w:tc>
          <w:tcPr>
            <w:tcW w:w="3" w:type="pct"/>
            <w:tcBorders>
              <w:bottom w:val="single" w:sz="0" w:space="0" w:color="auto"/>
            </w:tcBorders>
            <w:vAlign w:val="bottom"/>
          </w:tcPr>
          <w:p w14:paraId="3C3EFCE0" w14:textId="77777777" w:rsidR="00B44672" w:rsidRDefault="00B44672">
            <w:pP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Borders>
              <w:bottom w:val="single" w:sz="0" w:space="0" w:color="auto"/>
            </w:tcBorders>
            <w:vAlign w:val="bottom"/>
          </w:tcPr>
          <w:p w14:paraId="5777DF3C" w14:textId="77777777" w:rsidR="00B44672" w:rsidRDefault="00B44672"/>
        </w:tc>
      </w:tr>
      <w:tr w:rsidR="00B44672" w14:paraId="7685C58C"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418DE50C" w14:textId="77777777" w:rsidR="00B44672" w:rsidRDefault="00B44672" w:rsidP="003E0A7C">
            <w:pPr>
              <w:pStyle w:val="Compact"/>
            </w:pPr>
            <w:r w:rsidRPr="00AF6491">
              <w:rPr>
                <w:b/>
                <w:i/>
                <w:iCs/>
                <w:color w:val="365F91" w:themeColor="accent1" w:themeShade="BF"/>
              </w:rPr>
              <w:t>No price change</w:t>
            </w:r>
          </w:p>
        </w:tc>
        <w:tc>
          <w:tcPr>
            <w:tcW w:w="1136" w:type="pct"/>
          </w:tcPr>
          <w:p w14:paraId="7B98C6C9"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p>
        </w:tc>
        <w:tc>
          <w:tcPr>
            <w:tcW w:w="1136" w:type="pct"/>
          </w:tcPr>
          <w:p w14:paraId="2F0F0D86"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p>
        </w:tc>
        <w:tc>
          <w:tcPr>
            <w:tcW w:w="830" w:type="pct"/>
          </w:tcPr>
          <w:p w14:paraId="6F8694EF"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p>
        </w:tc>
        <w:tc>
          <w:tcPr>
            <w:tcW w:w="299" w:type="pct"/>
          </w:tcPr>
          <w:p w14:paraId="190C8B10"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p>
        </w:tc>
        <w:tc>
          <w:tcPr>
            <w:tcW w:w="3" w:type="pct"/>
          </w:tcPr>
          <w:p w14:paraId="113FB091"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536576A7" w14:textId="77777777" w:rsidR="00B44672" w:rsidRDefault="00B44672" w:rsidP="003E0A7C"/>
        </w:tc>
      </w:tr>
      <w:tr w:rsidR="00B44672" w14:paraId="3F7FF562"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04F886BF" w14:textId="77777777" w:rsidR="00B44672" w:rsidRDefault="00B44672" w:rsidP="003E0A7C">
            <w:pPr>
              <w:pStyle w:val="Compact"/>
            </w:pPr>
            <w:r>
              <w:t>First home buyers</w:t>
            </w:r>
          </w:p>
        </w:tc>
        <w:tc>
          <w:tcPr>
            <w:tcW w:w="1136" w:type="pct"/>
          </w:tcPr>
          <w:p w14:paraId="4D55FCAA"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29,281</w:t>
            </w:r>
          </w:p>
        </w:tc>
        <w:tc>
          <w:tcPr>
            <w:tcW w:w="1136" w:type="pct"/>
          </w:tcPr>
          <w:p w14:paraId="76CAF732"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27,682</w:t>
            </w:r>
          </w:p>
        </w:tc>
        <w:tc>
          <w:tcPr>
            <w:tcW w:w="830" w:type="pct"/>
          </w:tcPr>
          <w:p w14:paraId="637A3984"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1,599</w:t>
            </w:r>
          </w:p>
        </w:tc>
        <w:tc>
          <w:tcPr>
            <w:tcW w:w="299" w:type="pct"/>
          </w:tcPr>
          <w:p w14:paraId="62FD5CA2"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5.78</w:t>
            </w:r>
          </w:p>
        </w:tc>
        <w:tc>
          <w:tcPr>
            <w:tcW w:w="3" w:type="pct"/>
          </w:tcPr>
          <w:p w14:paraId="2CD7B155"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69BAD4BB" w14:textId="77777777" w:rsidR="00B44672" w:rsidRDefault="00B44672" w:rsidP="003E0A7C"/>
        </w:tc>
      </w:tr>
      <w:tr w:rsidR="00B44672" w14:paraId="3B0B7054"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2AF57636" w14:textId="77777777" w:rsidR="00B44672" w:rsidRDefault="00B44672" w:rsidP="003E0A7C">
            <w:pPr>
              <w:pStyle w:val="Compact"/>
            </w:pPr>
            <w:r>
              <w:t>Low-income homeowner</w:t>
            </w:r>
          </w:p>
        </w:tc>
        <w:tc>
          <w:tcPr>
            <w:tcW w:w="1136" w:type="pct"/>
          </w:tcPr>
          <w:p w14:paraId="25C4C5A4"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11,621</w:t>
            </w:r>
          </w:p>
        </w:tc>
        <w:tc>
          <w:tcPr>
            <w:tcW w:w="1136" w:type="pct"/>
          </w:tcPr>
          <w:p w14:paraId="08DEFE1F"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11,534</w:t>
            </w:r>
          </w:p>
        </w:tc>
        <w:tc>
          <w:tcPr>
            <w:tcW w:w="830" w:type="pct"/>
          </w:tcPr>
          <w:p w14:paraId="6DC7A10F"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87</w:t>
            </w:r>
          </w:p>
        </w:tc>
        <w:tc>
          <w:tcPr>
            <w:tcW w:w="299" w:type="pct"/>
          </w:tcPr>
          <w:p w14:paraId="1E7AA653"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0.75</w:t>
            </w:r>
          </w:p>
        </w:tc>
        <w:tc>
          <w:tcPr>
            <w:tcW w:w="3" w:type="pct"/>
          </w:tcPr>
          <w:p w14:paraId="624B8AF4"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071E9374" w14:textId="77777777" w:rsidR="00B44672" w:rsidRDefault="00B44672" w:rsidP="003E0A7C"/>
        </w:tc>
      </w:tr>
      <w:tr w:rsidR="00B44672" w14:paraId="1E208D27"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40E12048" w14:textId="77777777" w:rsidR="00B44672" w:rsidRDefault="00B44672" w:rsidP="003E0A7C">
            <w:pPr>
              <w:pStyle w:val="Compact"/>
            </w:pPr>
            <w:r>
              <w:t>Low-income renter</w:t>
            </w:r>
          </w:p>
        </w:tc>
        <w:tc>
          <w:tcPr>
            <w:tcW w:w="1136" w:type="pct"/>
          </w:tcPr>
          <w:p w14:paraId="17A034DD"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3,925</w:t>
            </w:r>
          </w:p>
        </w:tc>
        <w:tc>
          <w:tcPr>
            <w:tcW w:w="1136" w:type="pct"/>
          </w:tcPr>
          <w:p w14:paraId="7818B96E"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3,727</w:t>
            </w:r>
          </w:p>
        </w:tc>
        <w:tc>
          <w:tcPr>
            <w:tcW w:w="830" w:type="pct"/>
          </w:tcPr>
          <w:p w14:paraId="678EA52C"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198</w:t>
            </w:r>
          </w:p>
        </w:tc>
        <w:tc>
          <w:tcPr>
            <w:tcW w:w="299" w:type="pct"/>
          </w:tcPr>
          <w:p w14:paraId="66637EB2"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5.31</w:t>
            </w:r>
          </w:p>
        </w:tc>
        <w:tc>
          <w:tcPr>
            <w:tcW w:w="3" w:type="pct"/>
          </w:tcPr>
          <w:p w14:paraId="12005A38"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291CADF" w14:textId="77777777" w:rsidR="00B44672" w:rsidRDefault="00B44672" w:rsidP="003E0A7C"/>
        </w:tc>
      </w:tr>
      <w:tr w:rsidR="00B44672" w14:paraId="30B37E9D"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61D3D739" w14:textId="77777777" w:rsidR="00B44672" w:rsidRDefault="00B44672" w:rsidP="003E0A7C">
            <w:pPr>
              <w:pStyle w:val="Compact"/>
            </w:pPr>
            <w:r>
              <w:t>Middle-income homeowner</w:t>
            </w:r>
          </w:p>
        </w:tc>
        <w:tc>
          <w:tcPr>
            <w:tcW w:w="1136" w:type="pct"/>
          </w:tcPr>
          <w:p w14:paraId="16F49F8B"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12,883</w:t>
            </w:r>
          </w:p>
        </w:tc>
        <w:tc>
          <w:tcPr>
            <w:tcW w:w="1136" w:type="pct"/>
          </w:tcPr>
          <w:p w14:paraId="4199584F"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12,740</w:t>
            </w:r>
          </w:p>
        </w:tc>
        <w:tc>
          <w:tcPr>
            <w:tcW w:w="830" w:type="pct"/>
          </w:tcPr>
          <w:p w14:paraId="32DDAD1C"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143</w:t>
            </w:r>
          </w:p>
        </w:tc>
        <w:tc>
          <w:tcPr>
            <w:tcW w:w="299" w:type="pct"/>
          </w:tcPr>
          <w:p w14:paraId="7D46DFEA"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1.12</w:t>
            </w:r>
          </w:p>
        </w:tc>
        <w:tc>
          <w:tcPr>
            <w:tcW w:w="3" w:type="pct"/>
          </w:tcPr>
          <w:p w14:paraId="2308FE8F"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2B1A72D1" w14:textId="77777777" w:rsidR="00B44672" w:rsidRDefault="00B44672" w:rsidP="003E0A7C"/>
        </w:tc>
      </w:tr>
      <w:tr w:rsidR="00B44672" w14:paraId="7A5C009F"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710D19D6" w14:textId="77777777" w:rsidR="00B44672" w:rsidRDefault="00B44672" w:rsidP="003E0A7C">
            <w:pPr>
              <w:pStyle w:val="Compact"/>
            </w:pPr>
            <w:r>
              <w:t>Middle-income renter</w:t>
            </w:r>
          </w:p>
        </w:tc>
        <w:tc>
          <w:tcPr>
            <w:tcW w:w="1136" w:type="pct"/>
          </w:tcPr>
          <w:p w14:paraId="1EA5078D"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10,231</w:t>
            </w:r>
          </w:p>
        </w:tc>
        <w:tc>
          <w:tcPr>
            <w:tcW w:w="1136" w:type="pct"/>
          </w:tcPr>
          <w:p w14:paraId="3C1F79C6"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9,816</w:t>
            </w:r>
          </w:p>
        </w:tc>
        <w:tc>
          <w:tcPr>
            <w:tcW w:w="830" w:type="pct"/>
          </w:tcPr>
          <w:p w14:paraId="1E8F7AB2"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415</w:t>
            </w:r>
          </w:p>
        </w:tc>
        <w:tc>
          <w:tcPr>
            <w:tcW w:w="299" w:type="pct"/>
          </w:tcPr>
          <w:p w14:paraId="0162C95F"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4.23</w:t>
            </w:r>
          </w:p>
        </w:tc>
        <w:tc>
          <w:tcPr>
            <w:tcW w:w="3" w:type="pct"/>
          </w:tcPr>
          <w:p w14:paraId="45D3F8A9"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6FF7393E" w14:textId="77777777" w:rsidR="00B44672" w:rsidRDefault="00B44672" w:rsidP="003E0A7C"/>
        </w:tc>
      </w:tr>
      <w:tr w:rsidR="00B44672" w14:paraId="671669CA"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3690D2C4" w14:textId="77777777" w:rsidR="00B44672" w:rsidRDefault="00B44672" w:rsidP="003E0A7C">
            <w:pPr>
              <w:pStyle w:val="Compact"/>
            </w:pPr>
            <w:r>
              <w:t>Pensioner homeowner</w:t>
            </w:r>
          </w:p>
        </w:tc>
        <w:tc>
          <w:tcPr>
            <w:tcW w:w="1136" w:type="pct"/>
          </w:tcPr>
          <w:p w14:paraId="6CF27E8B"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7,340</w:t>
            </w:r>
          </w:p>
        </w:tc>
        <w:tc>
          <w:tcPr>
            <w:tcW w:w="1136" w:type="pct"/>
          </w:tcPr>
          <w:p w14:paraId="2DED966E"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7,218</w:t>
            </w:r>
          </w:p>
        </w:tc>
        <w:tc>
          <w:tcPr>
            <w:tcW w:w="830" w:type="pct"/>
          </w:tcPr>
          <w:p w14:paraId="0EB0BE39"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122</w:t>
            </w:r>
          </w:p>
        </w:tc>
        <w:tc>
          <w:tcPr>
            <w:tcW w:w="299" w:type="pct"/>
          </w:tcPr>
          <w:p w14:paraId="2D7E5664"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1.69</w:t>
            </w:r>
          </w:p>
        </w:tc>
        <w:tc>
          <w:tcPr>
            <w:tcW w:w="3" w:type="pct"/>
          </w:tcPr>
          <w:p w14:paraId="62C51151"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D364C35" w14:textId="77777777" w:rsidR="00B44672" w:rsidRDefault="00B44672" w:rsidP="003E0A7C"/>
        </w:tc>
      </w:tr>
      <w:tr w:rsidR="00B44672" w14:paraId="56862B3D"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61E550BC" w14:textId="77777777" w:rsidR="00B44672" w:rsidRDefault="00B44672" w:rsidP="003E0A7C">
            <w:pPr>
              <w:pStyle w:val="Compact"/>
            </w:pPr>
            <w:r>
              <w:t>Pensioner renter</w:t>
            </w:r>
          </w:p>
        </w:tc>
        <w:tc>
          <w:tcPr>
            <w:tcW w:w="1136" w:type="pct"/>
          </w:tcPr>
          <w:p w14:paraId="35571AC8"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2,397</w:t>
            </w:r>
          </w:p>
        </w:tc>
        <w:tc>
          <w:tcPr>
            <w:tcW w:w="1136" w:type="pct"/>
          </w:tcPr>
          <w:p w14:paraId="69AB465E"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2,397</w:t>
            </w:r>
          </w:p>
        </w:tc>
        <w:tc>
          <w:tcPr>
            <w:tcW w:w="830" w:type="pct"/>
          </w:tcPr>
          <w:p w14:paraId="6AB76A93"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299" w:type="pct"/>
          </w:tcPr>
          <w:p w14:paraId="19806EDC"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0.00</w:t>
            </w:r>
          </w:p>
        </w:tc>
        <w:tc>
          <w:tcPr>
            <w:tcW w:w="3" w:type="pct"/>
          </w:tcPr>
          <w:p w14:paraId="6F299F26"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2ACB5B9C" w14:textId="77777777" w:rsidR="00B44672" w:rsidRDefault="00B44672" w:rsidP="003E0A7C"/>
        </w:tc>
      </w:tr>
      <w:tr w:rsidR="00B44672" w14:paraId="67E1E422"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7435AC82" w14:textId="77777777" w:rsidR="00B44672" w:rsidRDefault="00B44672" w:rsidP="003E0A7C">
            <w:pPr>
              <w:pStyle w:val="Compact"/>
            </w:pPr>
            <w:r>
              <w:t>Female-headed homeowner</w:t>
            </w:r>
          </w:p>
        </w:tc>
        <w:tc>
          <w:tcPr>
            <w:tcW w:w="1136" w:type="pct"/>
          </w:tcPr>
          <w:p w14:paraId="4A27DFE7"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22,553</w:t>
            </w:r>
          </w:p>
        </w:tc>
        <w:tc>
          <w:tcPr>
            <w:tcW w:w="1136" w:type="pct"/>
          </w:tcPr>
          <w:p w14:paraId="76C57150"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22,337</w:t>
            </w:r>
          </w:p>
        </w:tc>
        <w:tc>
          <w:tcPr>
            <w:tcW w:w="830" w:type="pct"/>
          </w:tcPr>
          <w:p w14:paraId="0F990672"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216</w:t>
            </w:r>
          </w:p>
        </w:tc>
        <w:tc>
          <w:tcPr>
            <w:tcW w:w="299" w:type="pct"/>
          </w:tcPr>
          <w:p w14:paraId="7C990AF8"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0.97</w:t>
            </w:r>
          </w:p>
        </w:tc>
        <w:tc>
          <w:tcPr>
            <w:tcW w:w="3" w:type="pct"/>
          </w:tcPr>
          <w:p w14:paraId="1646B7D8"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20794BD" w14:textId="77777777" w:rsidR="00B44672" w:rsidRDefault="00B44672" w:rsidP="003E0A7C"/>
        </w:tc>
      </w:tr>
      <w:tr w:rsidR="00B44672" w14:paraId="554788B1"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5FF9E582" w14:textId="77777777" w:rsidR="00B44672" w:rsidRDefault="00B44672" w:rsidP="003E0A7C">
            <w:pPr>
              <w:pStyle w:val="Compact"/>
            </w:pPr>
            <w:r>
              <w:t>Female-headed renter</w:t>
            </w:r>
          </w:p>
        </w:tc>
        <w:tc>
          <w:tcPr>
            <w:tcW w:w="1136" w:type="pct"/>
          </w:tcPr>
          <w:p w14:paraId="10E6A16B"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11,321</w:t>
            </w:r>
          </w:p>
        </w:tc>
        <w:tc>
          <w:tcPr>
            <w:tcW w:w="1136" w:type="pct"/>
          </w:tcPr>
          <w:p w14:paraId="7ACB3CA4"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10,645</w:t>
            </w:r>
          </w:p>
        </w:tc>
        <w:tc>
          <w:tcPr>
            <w:tcW w:w="830" w:type="pct"/>
          </w:tcPr>
          <w:p w14:paraId="61E25750"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676</w:t>
            </w:r>
          </w:p>
        </w:tc>
        <w:tc>
          <w:tcPr>
            <w:tcW w:w="299" w:type="pct"/>
          </w:tcPr>
          <w:p w14:paraId="433C7C18"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6.35</w:t>
            </w:r>
          </w:p>
        </w:tc>
        <w:tc>
          <w:tcPr>
            <w:tcW w:w="3" w:type="pct"/>
          </w:tcPr>
          <w:p w14:paraId="02716B01"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5422C760" w14:textId="77777777" w:rsidR="00B44672" w:rsidRDefault="00B44672" w:rsidP="003E0A7C"/>
        </w:tc>
      </w:tr>
      <w:tr w:rsidR="00B44672" w14:paraId="02AC9148"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3453BE7A" w14:textId="77777777" w:rsidR="00B44672" w:rsidRDefault="00B44672" w:rsidP="003E0A7C">
            <w:pPr>
              <w:pStyle w:val="Compact"/>
            </w:pPr>
            <w:r>
              <w:rPr>
                <w:b/>
                <w:i/>
                <w:iCs/>
                <w:color w:val="365F91" w:themeColor="accent1" w:themeShade="BF"/>
              </w:rPr>
              <w:t>0.35 – 1.30%</w:t>
            </w:r>
            <w:r w:rsidRPr="00AF6491">
              <w:rPr>
                <w:b/>
                <w:i/>
                <w:iCs/>
                <w:color w:val="365F91" w:themeColor="accent1" w:themeShade="BF"/>
              </w:rPr>
              <w:t xml:space="preserve"> price change</w:t>
            </w:r>
          </w:p>
        </w:tc>
        <w:tc>
          <w:tcPr>
            <w:tcW w:w="1136" w:type="pct"/>
          </w:tcPr>
          <w:p w14:paraId="0BBF0F70"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p>
        </w:tc>
        <w:tc>
          <w:tcPr>
            <w:tcW w:w="1136" w:type="pct"/>
          </w:tcPr>
          <w:p w14:paraId="3BBFE93F"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p>
        </w:tc>
        <w:tc>
          <w:tcPr>
            <w:tcW w:w="830" w:type="pct"/>
          </w:tcPr>
          <w:p w14:paraId="4C63DA25"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p>
        </w:tc>
        <w:tc>
          <w:tcPr>
            <w:tcW w:w="299" w:type="pct"/>
          </w:tcPr>
          <w:p w14:paraId="2DB4A97D"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p>
        </w:tc>
        <w:tc>
          <w:tcPr>
            <w:tcW w:w="3" w:type="pct"/>
          </w:tcPr>
          <w:p w14:paraId="06D6F768"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7FDDFFD5" w14:textId="77777777" w:rsidR="00B44672" w:rsidRDefault="00B44672" w:rsidP="003E0A7C"/>
        </w:tc>
      </w:tr>
      <w:tr w:rsidR="00B44672" w14:paraId="5C6D620D"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314E3739" w14:textId="77777777" w:rsidR="00B44672" w:rsidRDefault="00B44672" w:rsidP="003E0A7C">
            <w:pPr>
              <w:pStyle w:val="Compact"/>
            </w:pPr>
            <w:r>
              <w:t>First home buyers</w:t>
            </w:r>
          </w:p>
        </w:tc>
        <w:tc>
          <w:tcPr>
            <w:tcW w:w="1136" w:type="pct"/>
          </w:tcPr>
          <w:p w14:paraId="20A944CD"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29,281</w:t>
            </w:r>
          </w:p>
        </w:tc>
        <w:tc>
          <w:tcPr>
            <w:tcW w:w="1136" w:type="pct"/>
          </w:tcPr>
          <w:p w14:paraId="18C134B5"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27,795</w:t>
            </w:r>
          </w:p>
        </w:tc>
        <w:tc>
          <w:tcPr>
            <w:tcW w:w="830" w:type="pct"/>
          </w:tcPr>
          <w:p w14:paraId="470FBB20"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1,486</w:t>
            </w:r>
          </w:p>
        </w:tc>
        <w:tc>
          <w:tcPr>
            <w:tcW w:w="299" w:type="pct"/>
          </w:tcPr>
          <w:p w14:paraId="418A9D61"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5.35</w:t>
            </w:r>
          </w:p>
        </w:tc>
        <w:tc>
          <w:tcPr>
            <w:tcW w:w="3" w:type="pct"/>
          </w:tcPr>
          <w:p w14:paraId="7DC47B82"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75C3324B" w14:textId="77777777" w:rsidR="00B44672" w:rsidRDefault="00B44672" w:rsidP="003E0A7C"/>
        </w:tc>
      </w:tr>
      <w:tr w:rsidR="00B44672" w14:paraId="43D86D0A"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6B5781D5" w14:textId="77777777" w:rsidR="00B44672" w:rsidRDefault="00B44672" w:rsidP="003E0A7C">
            <w:pPr>
              <w:pStyle w:val="Compact"/>
            </w:pPr>
            <w:r>
              <w:t>Low-income homeowner</w:t>
            </w:r>
          </w:p>
        </w:tc>
        <w:tc>
          <w:tcPr>
            <w:tcW w:w="1136" w:type="pct"/>
          </w:tcPr>
          <w:p w14:paraId="171CC4EA"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11,621</w:t>
            </w:r>
          </w:p>
        </w:tc>
        <w:tc>
          <w:tcPr>
            <w:tcW w:w="1136" w:type="pct"/>
          </w:tcPr>
          <w:p w14:paraId="45BAF44A"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11,596</w:t>
            </w:r>
          </w:p>
        </w:tc>
        <w:tc>
          <w:tcPr>
            <w:tcW w:w="830" w:type="pct"/>
          </w:tcPr>
          <w:p w14:paraId="303A85F6"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25</w:t>
            </w:r>
          </w:p>
        </w:tc>
        <w:tc>
          <w:tcPr>
            <w:tcW w:w="299" w:type="pct"/>
          </w:tcPr>
          <w:p w14:paraId="5032085B"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0.22</w:t>
            </w:r>
          </w:p>
        </w:tc>
        <w:tc>
          <w:tcPr>
            <w:tcW w:w="3" w:type="pct"/>
          </w:tcPr>
          <w:p w14:paraId="2A776AAB"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4243F345" w14:textId="77777777" w:rsidR="00B44672" w:rsidRDefault="00B44672" w:rsidP="003E0A7C"/>
        </w:tc>
      </w:tr>
      <w:tr w:rsidR="00B44672" w14:paraId="40049C04"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60DC03B4" w14:textId="77777777" w:rsidR="00B44672" w:rsidRDefault="00B44672" w:rsidP="003E0A7C">
            <w:pPr>
              <w:pStyle w:val="Compact"/>
            </w:pPr>
            <w:r>
              <w:t>Low-income renter</w:t>
            </w:r>
          </w:p>
        </w:tc>
        <w:tc>
          <w:tcPr>
            <w:tcW w:w="1136" w:type="pct"/>
          </w:tcPr>
          <w:p w14:paraId="7386FFE2"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3,925</w:t>
            </w:r>
          </w:p>
        </w:tc>
        <w:tc>
          <w:tcPr>
            <w:tcW w:w="1136" w:type="pct"/>
          </w:tcPr>
          <w:p w14:paraId="1D1365BC"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3,782</w:t>
            </w:r>
          </w:p>
        </w:tc>
        <w:tc>
          <w:tcPr>
            <w:tcW w:w="830" w:type="pct"/>
          </w:tcPr>
          <w:p w14:paraId="0C328EAE"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143</w:t>
            </w:r>
          </w:p>
        </w:tc>
        <w:tc>
          <w:tcPr>
            <w:tcW w:w="299" w:type="pct"/>
          </w:tcPr>
          <w:p w14:paraId="0A98513A"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3.78</w:t>
            </w:r>
          </w:p>
        </w:tc>
        <w:tc>
          <w:tcPr>
            <w:tcW w:w="3" w:type="pct"/>
          </w:tcPr>
          <w:p w14:paraId="1070D166"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531DF9CA" w14:textId="77777777" w:rsidR="00B44672" w:rsidRDefault="00B44672" w:rsidP="003E0A7C"/>
        </w:tc>
      </w:tr>
      <w:tr w:rsidR="00B44672" w14:paraId="628A6F3F"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0BE212EF" w14:textId="77777777" w:rsidR="00B44672" w:rsidRDefault="00B44672" w:rsidP="003E0A7C">
            <w:pPr>
              <w:pStyle w:val="Compact"/>
            </w:pPr>
            <w:r>
              <w:t>Middle-income homeowner</w:t>
            </w:r>
          </w:p>
        </w:tc>
        <w:tc>
          <w:tcPr>
            <w:tcW w:w="1136" w:type="pct"/>
          </w:tcPr>
          <w:p w14:paraId="7AFD0741"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12,883</w:t>
            </w:r>
          </w:p>
        </w:tc>
        <w:tc>
          <w:tcPr>
            <w:tcW w:w="1136" w:type="pct"/>
          </w:tcPr>
          <w:p w14:paraId="580C3DCD"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12,785</w:t>
            </w:r>
          </w:p>
        </w:tc>
        <w:tc>
          <w:tcPr>
            <w:tcW w:w="830" w:type="pct"/>
          </w:tcPr>
          <w:p w14:paraId="68ABBE9B"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98</w:t>
            </w:r>
          </w:p>
        </w:tc>
        <w:tc>
          <w:tcPr>
            <w:tcW w:w="299" w:type="pct"/>
          </w:tcPr>
          <w:p w14:paraId="1FBC380C"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0.77</w:t>
            </w:r>
          </w:p>
        </w:tc>
        <w:tc>
          <w:tcPr>
            <w:tcW w:w="3" w:type="pct"/>
          </w:tcPr>
          <w:p w14:paraId="12BEE1E1"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FEC2D16" w14:textId="77777777" w:rsidR="00B44672" w:rsidRDefault="00B44672" w:rsidP="003E0A7C"/>
        </w:tc>
      </w:tr>
      <w:tr w:rsidR="00B44672" w14:paraId="2220CD6B"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73DA9DF3" w14:textId="77777777" w:rsidR="00B44672" w:rsidRDefault="00B44672" w:rsidP="003E0A7C">
            <w:pPr>
              <w:pStyle w:val="Compact"/>
            </w:pPr>
            <w:r>
              <w:t>Middle-income renter</w:t>
            </w:r>
          </w:p>
        </w:tc>
        <w:tc>
          <w:tcPr>
            <w:tcW w:w="1136" w:type="pct"/>
          </w:tcPr>
          <w:p w14:paraId="24EA59DB"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10,231</w:t>
            </w:r>
          </w:p>
        </w:tc>
        <w:tc>
          <w:tcPr>
            <w:tcW w:w="1136" w:type="pct"/>
          </w:tcPr>
          <w:p w14:paraId="4D85F3A9"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9,816</w:t>
            </w:r>
          </w:p>
        </w:tc>
        <w:tc>
          <w:tcPr>
            <w:tcW w:w="830" w:type="pct"/>
          </w:tcPr>
          <w:p w14:paraId="26E170B7"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415</w:t>
            </w:r>
          </w:p>
        </w:tc>
        <w:tc>
          <w:tcPr>
            <w:tcW w:w="299" w:type="pct"/>
          </w:tcPr>
          <w:p w14:paraId="31ADD98C"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4.23</w:t>
            </w:r>
          </w:p>
        </w:tc>
        <w:tc>
          <w:tcPr>
            <w:tcW w:w="3" w:type="pct"/>
          </w:tcPr>
          <w:p w14:paraId="757FAB1E"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DD4A73E" w14:textId="77777777" w:rsidR="00B44672" w:rsidRDefault="00B44672" w:rsidP="003E0A7C"/>
        </w:tc>
      </w:tr>
      <w:tr w:rsidR="00B44672" w14:paraId="74894F2B"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5F7537D1" w14:textId="77777777" w:rsidR="00B44672" w:rsidRDefault="00B44672" w:rsidP="003E0A7C">
            <w:pPr>
              <w:pStyle w:val="Compact"/>
            </w:pPr>
            <w:r>
              <w:t>Pensioner homeowner</w:t>
            </w:r>
          </w:p>
        </w:tc>
        <w:tc>
          <w:tcPr>
            <w:tcW w:w="1136" w:type="pct"/>
          </w:tcPr>
          <w:p w14:paraId="2EEB44BD"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7,340</w:t>
            </w:r>
          </w:p>
        </w:tc>
        <w:tc>
          <w:tcPr>
            <w:tcW w:w="1136" w:type="pct"/>
          </w:tcPr>
          <w:p w14:paraId="12B8CB26"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7,280</w:t>
            </w:r>
          </w:p>
        </w:tc>
        <w:tc>
          <w:tcPr>
            <w:tcW w:w="830" w:type="pct"/>
          </w:tcPr>
          <w:p w14:paraId="56562507"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60</w:t>
            </w:r>
          </w:p>
        </w:tc>
        <w:tc>
          <w:tcPr>
            <w:tcW w:w="299" w:type="pct"/>
          </w:tcPr>
          <w:p w14:paraId="41D76E89"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0.82</w:t>
            </w:r>
          </w:p>
        </w:tc>
        <w:tc>
          <w:tcPr>
            <w:tcW w:w="3" w:type="pct"/>
          </w:tcPr>
          <w:p w14:paraId="00B85451"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A875309" w14:textId="77777777" w:rsidR="00B44672" w:rsidRDefault="00B44672" w:rsidP="003E0A7C"/>
        </w:tc>
      </w:tr>
      <w:tr w:rsidR="00B44672" w14:paraId="46A81AF1"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52AF1430" w14:textId="77777777" w:rsidR="00B44672" w:rsidRDefault="00B44672" w:rsidP="003E0A7C">
            <w:pPr>
              <w:pStyle w:val="Compact"/>
            </w:pPr>
            <w:r>
              <w:t>Pensioner renter</w:t>
            </w:r>
          </w:p>
        </w:tc>
        <w:tc>
          <w:tcPr>
            <w:tcW w:w="1136" w:type="pct"/>
          </w:tcPr>
          <w:p w14:paraId="21A6611D"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2,397</w:t>
            </w:r>
          </w:p>
        </w:tc>
        <w:tc>
          <w:tcPr>
            <w:tcW w:w="1136" w:type="pct"/>
          </w:tcPr>
          <w:p w14:paraId="06E849B0"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2,397</w:t>
            </w:r>
          </w:p>
        </w:tc>
        <w:tc>
          <w:tcPr>
            <w:tcW w:w="830" w:type="pct"/>
          </w:tcPr>
          <w:p w14:paraId="185FA89A"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299" w:type="pct"/>
          </w:tcPr>
          <w:p w14:paraId="28D3D03F"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0.00</w:t>
            </w:r>
          </w:p>
        </w:tc>
        <w:tc>
          <w:tcPr>
            <w:tcW w:w="3" w:type="pct"/>
          </w:tcPr>
          <w:p w14:paraId="60E8D27B"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5EDFB177" w14:textId="77777777" w:rsidR="00B44672" w:rsidRDefault="00B44672" w:rsidP="003E0A7C"/>
        </w:tc>
      </w:tr>
      <w:tr w:rsidR="00B44672" w14:paraId="20235074"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3A1E5AEE" w14:textId="77777777" w:rsidR="00B44672" w:rsidRDefault="00B44672" w:rsidP="003E0A7C">
            <w:pPr>
              <w:pStyle w:val="Compact"/>
            </w:pPr>
            <w:r>
              <w:t>Female-headed homeowner</w:t>
            </w:r>
          </w:p>
        </w:tc>
        <w:tc>
          <w:tcPr>
            <w:tcW w:w="1136" w:type="pct"/>
          </w:tcPr>
          <w:p w14:paraId="39932BF6"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22,553</w:t>
            </w:r>
          </w:p>
        </w:tc>
        <w:tc>
          <w:tcPr>
            <w:tcW w:w="1136" w:type="pct"/>
          </w:tcPr>
          <w:p w14:paraId="5E0A4B7D"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22,420</w:t>
            </w:r>
          </w:p>
        </w:tc>
        <w:tc>
          <w:tcPr>
            <w:tcW w:w="830" w:type="pct"/>
          </w:tcPr>
          <w:p w14:paraId="4BFEF36B"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133</w:t>
            </w:r>
          </w:p>
        </w:tc>
        <w:tc>
          <w:tcPr>
            <w:tcW w:w="299" w:type="pct"/>
          </w:tcPr>
          <w:p w14:paraId="0ECD3720"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0.59</w:t>
            </w:r>
          </w:p>
        </w:tc>
        <w:tc>
          <w:tcPr>
            <w:tcW w:w="3" w:type="pct"/>
          </w:tcPr>
          <w:p w14:paraId="71C885A3"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4BBB534" w14:textId="77777777" w:rsidR="00B44672" w:rsidRDefault="00B44672" w:rsidP="003E0A7C"/>
        </w:tc>
      </w:tr>
      <w:tr w:rsidR="00B44672" w14:paraId="7E1A7850"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05D22D56" w14:textId="77777777" w:rsidR="00B44672" w:rsidRDefault="00B44672" w:rsidP="003E0A7C">
            <w:pPr>
              <w:pStyle w:val="Compact"/>
            </w:pPr>
            <w:r>
              <w:t>Female-headed renter</w:t>
            </w:r>
          </w:p>
        </w:tc>
        <w:tc>
          <w:tcPr>
            <w:tcW w:w="1136" w:type="pct"/>
          </w:tcPr>
          <w:p w14:paraId="6B2202BF"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11,321</w:t>
            </w:r>
          </w:p>
        </w:tc>
        <w:tc>
          <w:tcPr>
            <w:tcW w:w="1136" w:type="pct"/>
          </w:tcPr>
          <w:p w14:paraId="12D056AB"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10,656</w:t>
            </w:r>
          </w:p>
        </w:tc>
        <w:tc>
          <w:tcPr>
            <w:tcW w:w="830" w:type="pct"/>
          </w:tcPr>
          <w:p w14:paraId="5D99AC92"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665</w:t>
            </w:r>
          </w:p>
        </w:tc>
        <w:tc>
          <w:tcPr>
            <w:tcW w:w="299" w:type="pct"/>
          </w:tcPr>
          <w:p w14:paraId="6B7E3DB2"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6.24</w:t>
            </w:r>
          </w:p>
        </w:tc>
        <w:tc>
          <w:tcPr>
            <w:tcW w:w="3" w:type="pct"/>
          </w:tcPr>
          <w:p w14:paraId="6511BBA4"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745864A8" w14:textId="77777777" w:rsidR="00B44672" w:rsidRDefault="00B44672" w:rsidP="003E0A7C"/>
        </w:tc>
      </w:tr>
      <w:tr w:rsidR="00B44672" w14:paraId="7382A4D5"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58869BDB" w14:textId="77777777" w:rsidR="00B44672" w:rsidRDefault="00B44672" w:rsidP="003E0A7C">
            <w:pPr>
              <w:pStyle w:val="Compact"/>
            </w:pPr>
            <w:r w:rsidRPr="00113FC1">
              <w:rPr>
                <w:b/>
                <w:i/>
                <w:iCs/>
                <w:color w:val="365F91" w:themeColor="accent1" w:themeShade="BF"/>
              </w:rPr>
              <w:t>1.24 – 2.19% price change</w:t>
            </w:r>
          </w:p>
        </w:tc>
        <w:tc>
          <w:tcPr>
            <w:tcW w:w="1136" w:type="pct"/>
          </w:tcPr>
          <w:p w14:paraId="3F161812"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p>
        </w:tc>
        <w:tc>
          <w:tcPr>
            <w:tcW w:w="1136" w:type="pct"/>
          </w:tcPr>
          <w:p w14:paraId="4DA63983"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p>
        </w:tc>
        <w:tc>
          <w:tcPr>
            <w:tcW w:w="830" w:type="pct"/>
          </w:tcPr>
          <w:p w14:paraId="7CF941A9"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p>
        </w:tc>
        <w:tc>
          <w:tcPr>
            <w:tcW w:w="299" w:type="pct"/>
          </w:tcPr>
          <w:p w14:paraId="0158DFE4"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p>
        </w:tc>
        <w:tc>
          <w:tcPr>
            <w:tcW w:w="3" w:type="pct"/>
          </w:tcPr>
          <w:p w14:paraId="4991EC18"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7E1B2C62" w14:textId="77777777" w:rsidR="00B44672" w:rsidRDefault="00B44672" w:rsidP="003E0A7C"/>
        </w:tc>
      </w:tr>
      <w:tr w:rsidR="00B44672" w14:paraId="00A782C4"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75FA7BAF" w14:textId="77777777" w:rsidR="00B44672" w:rsidRDefault="00B44672" w:rsidP="003E0A7C">
            <w:pPr>
              <w:pStyle w:val="Compact"/>
            </w:pPr>
            <w:r>
              <w:t>First home buyers</w:t>
            </w:r>
          </w:p>
        </w:tc>
        <w:tc>
          <w:tcPr>
            <w:tcW w:w="1136" w:type="pct"/>
          </w:tcPr>
          <w:p w14:paraId="2567CF9A"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29,281</w:t>
            </w:r>
          </w:p>
        </w:tc>
        <w:tc>
          <w:tcPr>
            <w:tcW w:w="1136" w:type="pct"/>
          </w:tcPr>
          <w:p w14:paraId="1A94177F"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28,228</w:t>
            </w:r>
          </w:p>
        </w:tc>
        <w:tc>
          <w:tcPr>
            <w:tcW w:w="830" w:type="pct"/>
          </w:tcPr>
          <w:p w14:paraId="3E5620BA"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1,053</w:t>
            </w:r>
          </w:p>
        </w:tc>
        <w:tc>
          <w:tcPr>
            <w:tcW w:w="299" w:type="pct"/>
          </w:tcPr>
          <w:p w14:paraId="09326540"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3.73</w:t>
            </w:r>
          </w:p>
        </w:tc>
        <w:tc>
          <w:tcPr>
            <w:tcW w:w="3" w:type="pct"/>
          </w:tcPr>
          <w:p w14:paraId="6D630E61"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0C2BA00B" w14:textId="77777777" w:rsidR="00B44672" w:rsidRDefault="00B44672" w:rsidP="003E0A7C"/>
        </w:tc>
      </w:tr>
      <w:tr w:rsidR="00B44672" w14:paraId="3AED42FB"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35505898" w14:textId="77777777" w:rsidR="00B44672" w:rsidRDefault="00B44672" w:rsidP="003E0A7C">
            <w:pPr>
              <w:pStyle w:val="Compact"/>
            </w:pPr>
            <w:r>
              <w:t>Low-income homeowner</w:t>
            </w:r>
          </w:p>
        </w:tc>
        <w:tc>
          <w:tcPr>
            <w:tcW w:w="1136" w:type="pct"/>
          </w:tcPr>
          <w:p w14:paraId="66638C52"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11,621</w:t>
            </w:r>
          </w:p>
        </w:tc>
        <w:tc>
          <w:tcPr>
            <w:tcW w:w="1136" w:type="pct"/>
          </w:tcPr>
          <w:p w14:paraId="140B079C"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11,671</w:t>
            </w:r>
          </w:p>
        </w:tc>
        <w:tc>
          <w:tcPr>
            <w:tcW w:w="830" w:type="pct"/>
          </w:tcPr>
          <w:p w14:paraId="062FB75A"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-50</w:t>
            </w:r>
          </w:p>
        </w:tc>
        <w:tc>
          <w:tcPr>
            <w:tcW w:w="299" w:type="pct"/>
          </w:tcPr>
          <w:p w14:paraId="6F99BCB4"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-0.43</w:t>
            </w:r>
          </w:p>
        </w:tc>
        <w:tc>
          <w:tcPr>
            <w:tcW w:w="3" w:type="pct"/>
          </w:tcPr>
          <w:p w14:paraId="77E92A64"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470C38D6" w14:textId="77777777" w:rsidR="00B44672" w:rsidRDefault="00B44672" w:rsidP="003E0A7C"/>
        </w:tc>
      </w:tr>
      <w:tr w:rsidR="00B44672" w14:paraId="787A1EF3"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3B2F7DD6" w14:textId="77777777" w:rsidR="00B44672" w:rsidRDefault="00B44672" w:rsidP="003E0A7C">
            <w:pPr>
              <w:pStyle w:val="Compact"/>
            </w:pPr>
            <w:r>
              <w:t>Low-income renter</w:t>
            </w:r>
          </w:p>
        </w:tc>
        <w:tc>
          <w:tcPr>
            <w:tcW w:w="1136" w:type="pct"/>
          </w:tcPr>
          <w:p w14:paraId="27FB4EBD"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3,925</w:t>
            </w:r>
          </w:p>
        </w:tc>
        <w:tc>
          <w:tcPr>
            <w:tcW w:w="1136" w:type="pct"/>
          </w:tcPr>
          <w:p w14:paraId="6F0873E3"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3,872</w:t>
            </w:r>
          </w:p>
        </w:tc>
        <w:tc>
          <w:tcPr>
            <w:tcW w:w="830" w:type="pct"/>
          </w:tcPr>
          <w:p w14:paraId="3252B364"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53</w:t>
            </w:r>
          </w:p>
        </w:tc>
        <w:tc>
          <w:tcPr>
            <w:tcW w:w="299" w:type="pct"/>
          </w:tcPr>
          <w:p w14:paraId="29B8DAC5"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1.37</w:t>
            </w:r>
          </w:p>
        </w:tc>
        <w:tc>
          <w:tcPr>
            <w:tcW w:w="3" w:type="pct"/>
          </w:tcPr>
          <w:p w14:paraId="33AD906F"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248AB623" w14:textId="77777777" w:rsidR="00B44672" w:rsidRDefault="00B44672" w:rsidP="003E0A7C"/>
        </w:tc>
      </w:tr>
      <w:tr w:rsidR="00B44672" w14:paraId="4BEF5C33"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00024000" w14:textId="77777777" w:rsidR="00B44672" w:rsidRDefault="00B44672" w:rsidP="003E0A7C">
            <w:pPr>
              <w:pStyle w:val="Compact"/>
            </w:pPr>
            <w:r>
              <w:t>Middle-income homeowner</w:t>
            </w:r>
          </w:p>
        </w:tc>
        <w:tc>
          <w:tcPr>
            <w:tcW w:w="1136" w:type="pct"/>
          </w:tcPr>
          <w:p w14:paraId="715DECE1"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12,883</w:t>
            </w:r>
          </w:p>
        </w:tc>
        <w:tc>
          <w:tcPr>
            <w:tcW w:w="1136" w:type="pct"/>
          </w:tcPr>
          <w:p w14:paraId="3B556C60"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12,859</w:t>
            </w:r>
          </w:p>
        </w:tc>
        <w:tc>
          <w:tcPr>
            <w:tcW w:w="830" w:type="pct"/>
          </w:tcPr>
          <w:p w14:paraId="572B7138"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24</w:t>
            </w:r>
          </w:p>
        </w:tc>
        <w:tc>
          <w:tcPr>
            <w:tcW w:w="299" w:type="pct"/>
          </w:tcPr>
          <w:p w14:paraId="38A36316"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0.19</w:t>
            </w:r>
          </w:p>
        </w:tc>
        <w:tc>
          <w:tcPr>
            <w:tcW w:w="3" w:type="pct"/>
          </w:tcPr>
          <w:p w14:paraId="6F1D127D"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495B3AE6" w14:textId="77777777" w:rsidR="00B44672" w:rsidRDefault="00B44672" w:rsidP="003E0A7C"/>
        </w:tc>
      </w:tr>
      <w:tr w:rsidR="00B44672" w14:paraId="51BC525A"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38B0F7C8" w14:textId="77777777" w:rsidR="00B44672" w:rsidRDefault="00B44672" w:rsidP="003E0A7C">
            <w:pPr>
              <w:pStyle w:val="Compact"/>
            </w:pPr>
            <w:r>
              <w:t>Middle-income renter</w:t>
            </w:r>
          </w:p>
        </w:tc>
        <w:tc>
          <w:tcPr>
            <w:tcW w:w="1136" w:type="pct"/>
          </w:tcPr>
          <w:p w14:paraId="781E72AB"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10,231</w:t>
            </w:r>
          </w:p>
        </w:tc>
        <w:tc>
          <w:tcPr>
            <w:tcW w:w="1136" w:type="pct"/>
          </w:tcPr>
          <w:p w14:paraId="4322011B"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9,897</w:t>
            </w:r>
          </w:p>
        </w:tc>
        <w:tc>
          <w:tcPr>
            <w:tcW w:w="830" w:type="pct"/>
          </w:tcPr>
          <w:p w14:paraId="0A9153BC"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334</w:t>
            </w:r>
          </w:p>
        </w:tc>
        <w:tc>
          <w:tcPr>
            <w:tcW w:w="299" w:type="pct"/>
          </w:tcPr>
          <w:p w14:paraId="04460E7F"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3.37</w:t>
            </w:r>
          </w:p>
        </w:tc>
        <w:tc>
          <w:tcPr>
            <w:tcW w:w="3" w:type="pct"/>
          </w:tcPr>
          <w:p w14:paraId="0EA6BE49"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2DDEA713" w14:textId="77777777" w:rsidR="00B44672" w:rsidRDefault="00B44672" w:rsidP="003E0A7C"/>
        </w:tc>
      </w:tr>
      <w:tr w:rsidR="00B44672" w14:paraId="667F97A5"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40B0275A" w14:textId="77777777" w:rsidR="00B44672" w:rsidRDefault="00B44672" w:rsidP="003E0A7C">
            <w:pPr>
              <w:pStyle w:val="Compact"/>
            </w:pPr>
            <w:r>
              <w:t>Pensioner homeowner</w:t>
            </w:r>
          </w:p>
        </w:tc>
        <w:tc>
          <w:tcPr>
            <w:tcW w:w="1136" w:type="pct"/>
          </w:tcPr>
          <w:p w14:paraId="40E28DAC"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7,340</w:t>
            </w:r>
          </w:p>
        </w:tc>
        <w:tc>
          <w:tcPr>
            <w:tcW w:w="1136" w:type="pct"/>
          </w:tcPr>
          <w:p w14:paraId="4E61E17D"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7,367</w:t>
            </w:r>
          </w:p>
        </w:tc>
        <w:tc>
          <w:tcPr>
            <w:tcW w:w="830" w:type="pct"/>
          </w:tcPr>
          <w:p w14:paraId="1C1468BB"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-27</w:t>
            </w:r>
          </w:p>
        </w:tc>
        <w:tc>
          <w:tcPr>
            <w:tcW w:w="299" w:type="pct"/>
          </w:tcPr>
          <w:p w14:paraId="56028C20"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-0.37</w:t>
            </w:r>
          </w:p>
        </w:tc>
        <w:tc>
          <w:tcPr>
            <w:tcW w:w="3" w:type="pct"/>
          </w:tcPr>
          <w:p w14:paraId="3AC67853"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6B02D3AE" w14:textId="77777777" w:rsidR="00B44672" w:rsidRDefault="00B44672" w:rsidP="003E0A7C"/>
        </w:tc>
      </w:tr>
      <w:tr w:rsidR="00B44672" w14:paraId="71375BA2"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47E98243" w14:textId="77777777" w:rsidR="00B44672" w:rsidRDefault="00B44672" w:rsidP="003E0A7C">
            <w:pPr>
              <w:pStyle w:val="Compact"/>
            </w:pPr>
            <w:r>
              <w:t>Pensioner renter</w:t>
            </w:r>
          </w:p>
        </w:tc>
        <w:tc>
          <w:tcPr>
            <w:tcW w:w="1136" w:type="pct"/>
          </w:tcPr>
          <w:p w14:paraId="64371EB4"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2,397</w:t>
            </w:r>
          </w:p>
        </w:tc>
        <w:tc>
          <w:tcPr>
            <w:tcW w:w="1136" w:type="pct"/>
          </w:tcPr>
          <w:p w14:paraId="31A1BB7B"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2,397</w:t>
            </w:r>
          </w:p>
        </w:tc>
        <w:tc>
          <w:tcPr>
            <w:tcW w:w="830" w:type="pct"/>
          </w:tcPr>
          <w:p w14:paraId="24A21A3A"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299" w:type="pct"/>
          </w:tcPr>
          <w:p w14:paraId="79D4F3EA"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0.00</w:t>
            </w:r>
          </w:p>
        </w:tc>
        <w:tc>
          <w:tcPr>
            <w:tcW w:w="3" w:type="pct"/>
          </w:tcPr>
          <w:p w14:paraId="799E57D5"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4A9C8216" w14:textId="77777777" w:rsidR="00B44672" w:rsidRDefault="00B44672" w:rsidP="003E0A7C"/>
        </w:tc>
      </w:tr>
      <w:tr w:rsidR="00B44672" w14:paraId="61043FEB" w14:textId="77777777" w:rsidTr="003E0A7C">
        <w:trPr>
          <w:jc w:val="center"/>
        </w:trPr>
        <w:tc>
          <w:tcPr>
            <w:cnfStyle w:val="001000000000" w:firstRow="0" w:lastRow="0" w:firstColumn="1" w:lastColumn="0" w:oddVBand="0" w:evenVBand="0" w:oddHBand="0" w:evenHBand="0" w:firstRowFirstColumn="0" w:firstRowLastColumn="0" w:lastRowFirstColumn="0" w:lastRowLastColumn="0"/>
            <w:tcW w:w="1593" w:type="pct"/>
          </w:tcPr>
          <w:p w14:paraId="73C3474A" w14:textId="77777777" w:rsidR="00B44672" w:rsidRDefault="00B44672" w:rsidP="003E0A7C">
            <w:pPr>
              <w:pStyle w:val="Compact"/>
            </w:pPr>
            <w:r>
              <w:t>Female-headed homeowner</w:t>
            </w:r>
          </w:p>
        </w:tc>
        <w:tc>
          <w:tcPr>
            <w:tcW w:w="1136" w:type="pct"/>
          </w:tcPr>
          <w:p w14:paraId="2592E263"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22,553</w:t>
            </w:r>
          </w:p>
        </w:tc>
        <w:tc>
          <w:tcPr>
            <w:tcW w:w="1136" w:type="pct"/>
          </w:tcPr>
          <w:p w14:paraId="0F03B73A"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22,508</w:t>
            </w:r>
          </w:p>
        </w:tc>
        <w:tc>
          <w:tcPr>
            <w:tcW w:w="830" w:type="pct"/>
          </w:tcPr>
          <w:p w14:paraId="1C98D595"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45</w:t>
            </w:r>
          </w:p>
        </w:tc>
        <w:tc>
          <w:tcPr>
            <w:tcW w:w="299" w:type="pct"/>
          </w:tcPr>
          <w:p w14:paraId="2E4680BC" w14:textId="77777777" w:rsidR="00B44672" w:rsidRDefault="00B44672" w:rsidP="003E0A7C">
            <w:pPr>
              <w:pStyle w:val="Compact"/>
              <w:jc w:val="center"/>
              <w:cnfStyle w:val="000000000000" w:firstRow="0" w:lastRow="0" w:firstColumn="0" w:lastColumn="0" w:oddVBand="0" w:evenVBand="0" w:oddHBand="0" w:evenHBand="0" w:firstRowFirstColumn="0" w:firstRowLastColumn="0" w:lastRowFirstColumn="0" w:lastRowLastColumn="0"/>
            </w:pPr>
            <w:r>
              <w:t>0.20</w:t>
            </w:r>
          </w:p>
        </w:tc>
        <w:tc>
          <w:tcPr>
            <w:tcW w:w="3" w:type="pct"/>
          </w:tcPr>
          <w:p w14:paraId="61C56A56" w14:textId="77777777" w:rsidR="00B44672" w:rsidRDefault="00B44672" w:rsidP="003E0A7C">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6D8D4E5D" w14:textId="77777777" w:rsidR="00B44672" w:rsidRDefault="00B44672" w:rsidP="003E0A7C"/>
        </w:tc>
      </w:tr>
      <w:tr w:rsidR="00B44672" w14:paraId="6E77FC08" w14:textId="77777777" w:rsidTr="003E0A7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3" w:type="pct"/>
          </w:tcPr>
          <w:p w14:paraId="7B14F734" w14:textId="77777777" w:rsidR="00B44672" w:rsidRDefault="00B44672" w:rsidP="003E0A7C">
            <w:pPr>
              <w:pStyle w:val="Compact"/>
            </w:pPr>
            <w:r>
              <w:t>Female-headed renter</w:t>
            </w:r>
          </w:p>
        </w:tc>
        <w:tc>
          <w:tcPr>
            <w:tcW w:w="1136" w:type="pct"/>
          </w:tcPr>
          <w:p w14:paraId="6E5C881D" w14:textId="77777777" w:rsidR="00B44672" w:rsidRDefault="00B44672" w:rsidP="003E0A7C">
            <w:pPr>
              <w:pStyle w:val="Compact"/>
              <w:jc w:val="center"/>
              <w:cnfStyle w:val="010000000000" w:firstRow="0" w:lastRow="1" w:firstColumn="0" w:lastColumn="0" w:oddVBand="0" w:evenVBand="0" w:oddHBand="0" w:evenHBand="0" w:firstRowFirstColumn="0" w:firstRowLastColumn="0" w:lastRowFirstColumn="0" w:lastRowLastColumn="0"/>
            </w:pPr>
            <w:r>
              <w:t>11,321</w:t>
            </w:r>
          </w:p>
        </w:tc>
        <w:tc>
          <w:tcPr>
            <w:tcW w:w="1136" w:type="pct"/>
          </w:tcPr>
          <w:p w14:paraId="6EDEB50C" w14:textId="77777777" w:rsidR="00B44672" w:rsidRDefault="00B44672" w:rsidP="003E0A7C">
            <w:pPr>
              <w:pStyle w:val="Compact"/>
              <w:jc w:val="center"/>
              <w:cnfStyle w:val="010000000000" w:firstRow="0" w:lastRow="1" w:firstColumn="0" w:lastColumn="0" w:oddVBand="0" w:evenVBand="0" w:oddHBand="0" w:evenHBand="0" w:firstRowFirstColumn="0" w:firstRowLastColumn="0" w:lastRowFirstColumn="0" w:lastRowLastColumn="0"/>
            </w:pPr>
            <w:r>
              <w:t>10,812</w:t>
            </w:r>
          </w:p>
        </w:tc>
        <w:tc>
          <w:tcPr>
            <w:tcW w:w="830" w:type="pct"/>
          </w:tcPr>
          <w:p w14:paraId="70D47894" w14:textId="77777777" w:rsidR="00B44672" w:rsidRDefault="00B44672" w:rsidP="003E0A7C">
            <w:pPr>
              <w:pStyle w:val="Compact"/>
              <w:jc w:val="center"/>
              <w:cnfStyle w:val="010000000000" w:firstRow="0" w:lastRow="1" w:firstColumn="0" w:lastColumn="0" w:oddVBand="0" w:evenVBand="0" w:oddHBand="0" w:evenHBand="0" w:firstRowFirstColumn="0" w:firstRowLastColumn="0" w:lastRowFirstColumn="0" w:lastRowLastColumn="0"/>
            </w:pPr>
            <w:r>
              <w:t>509</w:t>
            </w:r>
          </w:p>
        </w:tc>
        <w:tc>
          <w:tcPr>
            <w:tcW w:w="299" w:type="pct"/>
          </w:tcPr>
          <w:p w14:paraId="2222C346" w14:textId="77777777" w:rsidR="00B44672" w:rsidRDefault="00B44672" w:rsidP="003E0A7C">
            <w:pPr>
              <w:pStyle w:val="Compact"/>
              <w:jc w:val="center"/>
              <w:cnfStyle w:val="010000000000" w:firstRow="0" w:lastRow="1" w:firstColumn="0" w:lastColumn="0" w:oddVBand="0" w:evenVBand="0" w:oddHBand="0" w:evenHBand="0" w:firstRowFirstColumn="0" w:firstRowLastColumn="0" w:lastRowFirstColumn="0" w:lastRowLastColumn="0"/>
            </w:pPr>
            <w:r>
              <w:t>4.71</w:t>
            </w:r>
          </w:p>
        </w:tc>
        <w:tc>
          <w:tcPr>
            <w:tcW w:w="3" w:type="pct"/>
          </w:tcPr>
          <w:p w14:paraId="2AAA117F" w14:textId="77777777" w:rsidR="00B44672" w:rsidRDefault="00B44672" w:rsidP="003E0A7C">
            <w:pP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596E1066" w14:textId="77777777" w:rsidR="00B44672" w:rsidRDefault="00B44672" w:rsidP="003E0A7C"/>
        </w:tc>
      </w:tr>
    </w:tbl>
    <w:p w14:paraId="0C0CBD17" w14:textId="77777777" w:rsidR="00B44672" w:rsidRDefault="00B44672">
      <w:pPr>
        <w:pStyle w:val="BlockText"/>
      </w:pPr>
      <w:r>
        <w:rPr>
          <w:i/>
        </w:rPr>
        <w:t>Source:</w:t>
      </w:r>
      <w:r>
        <w:t xml:space="preserve"> Calculations from NATSEM microsimulation model.</w:t>
      </w:r>
      <w:r>
        <w:br/>
      </w:r>
      <w:r>
        <w:rPr>
          <w:i/>
        </w:rPr>
        <w:t>Note:</w:t>
      </w:r>
      <w:r>
        <w:t xml:space="preserve"> The numbers shown in the table are the total number of residential properties purchased over the whole period. T</w:t>
      </w:r>
      <w:r w:rsidRPr="008F7EDF">
        <w:t>he sub-groups are not mutually exclusive</w:t>
      </w:r>
      <w:r>
        <w:t xml:space="preserve"> and therefore, the total number in the column will not be the same as in Table 7.</w:t>
      </w:r>
    </w:p>
    <w:p w14:paraId="5FBECA55" w14:textId="77777777" w:rsidR="00B44672" w:rsidRDefault="00B44672">
      <w:pPr>
        <w:jc w:val="left"/>
        <w:rPr>
          <w:b/>
        </w:rPr>
      </w:pPr>
      <w:r>
        <w:rPr>
          <w:b/>
        </w:rPr>
        <w:br w:type="page"/>
      </w:r>
    </w:p>
    <w:p w14:paraId="35651AD0" w14:textId="77777777" w:rsidR="00B44672" w:rsidRDefault="00B44672">
      <w:pPr>
        <w:pStyle w:val="FirstParagraph"/>
      </w:pPr>
      <w:r>
        <w:rPr>
          <w:b/>
        </w:rPr>
        <w:lastRenderedPageBreak/>
        <w:t>Stamp duty distribution</w:t>
      </w:r>
    </w:p>
    <w:p w14:paraId="02C261AD" w14:textId="77777777" w:rsidR="00B44672" w:rsidRDefault="00B44672">
      <w:pPr>
        <w:pStyle w:val="TableCaption"/>
      </w:pPr>
      <w:r>
        <w:t>Table 9 - The impact of tax reform on stamp duty paid by sub-group, average 2012 - 2018</w:t>
      </w:r>
    </w:p>
    <w:tbl>
      <w:tblPr>
        <w:tblStyle w:val="Table"/>
        <w:tblW w:w="5805" w:type="pct"/>
        <w:jc w:val="center"/>
        <w:tblCellMar>
          <w:left w:w="0" w:type="dxa"/>
          <w:right w:w="0" w:type="dxa"/>
        </w:tblCellMar>
        <w:tblLook w:val="07E0" w:firstRow="1" w:lastRow="1" w:firstColumn="1" w:lastColumn="1" w:noHBand="1" w:noVBand="1"/>
        <w:tblCaption w:val="Table 9 - The impact of tax reform on stamp duty paid by sub-group, average 2012 - 2018"/>
      </w:tblPr>
      <w:tblGrid>
        <w:gridCol w:w="2734"/>
        <w:gridCol w:w="939"/>
        <w:gridCol w:w="922"/>
        <w:gridCol w:w="809"/>
        <w:gridCol w:w="922"/>
        <w:gridCol w:w="907"/>
        <w:gridCol w:w="731"/>
        <w:gridCol w:w="884"/>
        <w:gridCol w:w="874"/>
        <w:gridCol w:w="757"/>
      </w:tblGrid>
      <w:tr w:rsidR="00B44672" w14:paraId="61431381" w14:textId="77777777" w:rsidTr="00D577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4" w:type="pct"/>
            <w:tcBorders>
              <w:bottom w:val="single" w:sz="0" w:space="0" w:color="auto"/>
            </w:tcBorders>
            <w:vAlign w:val="bottom"/>
          </w:tcPr>
          <w:p w14:paraId="7629E197" w14:textId="77777777" w:rsidR="00B44672" w:rsidRDefault="00B44672"/>
        </w:tc>
        <w:tc>
          <w:tcPr>
            <w:tcW w:w="448" w:type="pct"/>
            <w:tcBorders>
              <w:bottom w:val="single" w:sz="0" w:space="0" w:color="auto"/>
            </w:tcBorders>
            <w:vAlign w:val="bottom"/>
          </w:tcPr>
          <w:p w14:paraId="3FC06375"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New tax policy - # affected</w:t>
            </w:r>
          </w:p>
        </w:tc>
        <w:tc>
          <w:tcPr>
            <w:tcW w:w="440" w:type="pct"/>
            <w:tcBorders>
              <w:bottom w:val="single" w:sz="0" w:space="0" w:color="auto"/>
            </w:tcBorders>
            <w:vAlign w:val="bottom"/>
          </w:tcPr>
          <w:p w14:paraId="52B444D0"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Old tax policy - # affected</w:t>
            </w:r>
          </w:p>
        </w:tc>
        <w:tc>
          <w:tcPr>
            <w:tcW w:w="386" w:type="pct"/>
            <w:tcBorders>
              <w:bottom w:val="single" w:sz="0" w:space="0" w:color="auto"/>
            </w:tcBorders>
            <w:vAlign w:val="bottom"/>
          </w:tcPr>
          <w:p w14:paraId="68C0BA13"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Diff - # affected</w:t>
            </w:r>
          </w:p>
        </w:tc>
        <w:tc>
          <w:tcPr>
            <w:tcW w:w="440" w:type="pct"/>
            <w:tcBorders>
              <w:bottom w:val="single" w:sz="0" w:space="0" w:color="auto"/>
            </w:tcBorders>
            <w:vAlign w:val="bottom"/>
          </w:tcPr>
          <w:p w14:paraId="44AF54ED"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New tax policy - Avg stamp duty</w:t>
            </w:r>
          </w:p>
          <w:p w14:paraId="1559E2C4"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33" w:type="pct"/>
            <w:tcBorders>
              <w:bottom w:val="single" w:sz="0" w:space="0" w:color="auto"/>
            </w:tcBorders>
            <w:vAlign w:val="bottom"/>
          </w:tcPr>
          <w:p w14:paraId="345D2470"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Old tax policy - Avg stamp duty</w:t>
            </w:r>
          </w:p>
          <w:p w14:paraId="744BAF1B"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349" w:type="pct"/>
            <w:tcBorders>
              <w:bottom w:val="single" w:sz="0" w:space="0" w:color="auto"/>
            </w:tcBorders>
            <w:vAlign w:val="bottom"/>
          </w:tcPr>
          <w:p w14:paraId="16899785"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Diff - Avg stamp duty</w:t>
            </w:r>
          </w:p>
          <w:p w14:paraId="378694C5"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22" w:type="pct"/>
            <w:tcBorders>
              <w:bottom w:val="single" w:sz="0" w:space="0" w:color="auto"/>
            </w:tcBorders>
            <w:vAlign w:val="bottom"/>
          </w:tcPr>
          <w:p w14:paraId="41062009"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17" w:type="pct"/>
            <w:tcBorders>
              <w:bottom w:val="single" w:sz="0" w:space="0" w:color="auto"/>
            </w:tcBorders>
            <w:vAlign w:val="bottom"/>
          </w:tcPr>
          <w:p w14:paraId="2307C446" w14:textId="77777777" w:rsidR="00B44672" w:rsidRDefault="00B44672">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361" w:type="pct"/>
            <w:tcBorders>
              <w:bottom w:val="single" w:sz="0" w:space="0" w:color="auto"/>
            </w:tcBorders>
            <w:vAlign w:val="bottom"/>
          </w:tcPr>
          <w:p w14:paraId="7C018472" w14:textId="77777777" w:rsidR="00B44672" w:rsidRDefault="00B44672">
            <w:pPr>
              <w:pStyle w:val="Compact"/>
              <w:jc w:val="center"/>
            </w:pPr>
            <w:r>
              <w:t>Diff - % point change in income</w:t>
            </w:r>
          </w:p>
        </w:tc>
      </w:tr>
      <w:tr w:rsidR="00B44672" w14:paraId="049937F2"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65503312" w14:textId="77777777" w:rsidR="00B44672" w:rsidRDefault="00B44672" w:rsidP="00D5775B">
            <w:pPr>
              <w:pStyle w:val="Compact"/>
            </w:pPr>
            <w:r w:rsidRPr="00AF6491">
              <w:rPr>
                <w:b/>
                <w:i/>
                <w:iCs/>
                <w:color w:val="365F91" w:themeColor="accent1" w:themeShade="BF"/>
              </w:rPr>
              <w:t>No price change</w:t>
            </w:r>
          </w:p>
        </w:tc>
        <w:tc>
          <w:tcPr>
            <w:tcW w:w="448" w:type="pct"/>
          </w:tcPr>
          <w:p w14:paraId="50C4395E"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40" w:type="pct"/>
          </w:tcPr>
          <w:p w14:paraId="12D9A05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386" w:type="pct"/>
          </w:tcPr>
          <w:p w14:paraId="41E9179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40" w:type="pct"/>
          </w:tcPr>
          <w:p w14:paraId="263B3B4D"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33" w:type="pct"/>
          </w:tcPr>
          <w:p w14:paraId="495EAFF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349" w:type="pct"/>
          </w:tcPr>
          <w:p w14:paraId="5091A35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22" w:type="pct"/>
          </w:tcPr>
          <w:p w14:paraId="7E354B06"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17" w:type="pct"/>
          </w:tcPr>
          <w:p w14:paraId="5D8C2B6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61" w:type="pct"/>
          </w:tcPr>
          <w:p w14:paraId="6568E800" w14:textId="77777777" w:rsidR="00B44672" w:rsidRDefault="00B44672" w:rsidP="00D5775B">
            <w:pPr>
              <w:pStyle w:val="Compact"/>
              <w:jc w:val="center"/>
            </w:pPr>
          </w:p>
        </w:tc>
      </w:tr>
      <w:tr w:rsidR="00B44672" w14:paraId="7238F3EC"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050400A1" w14:textId="77777777" w:rsidR="00B44672" w:rsidRDefault="00B44672" w:rsidP="00D5775B">
            <w:pPr>
              <w:pStyle w:val="Compact"/>
            </w:pPr>
            <w:r>
              <w:t>First home buyers</w:t>
            </w:r>
          </w:p>
        </w:tc>
        <w:tc>
          <w:tcPr>
            <w:tcW w:w="448" w:type="pct"/>
          </w:tcPr>
          <w:p w14:paraId="0598DF6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4,183</w:t>
            </w:r>
          </w:p>
        </w:tc>
        <w:tc>
          <w:tcPr>
            <w:tcW w:w="440" w:type="pct"/>
          </w:tcPr>
          <w:p w14:paraId="54C0489D"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3,955</w:t>
            </w:r>
          </w:p>
        </w:tc>
        <w:tc>
          <w:tcPr>
            <w:tcW w:w="386" w:type="pct"/>
          </w:tcPr>
          <w:p w14:paraId="6FAE9E1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228</w:t>
            </w:r>
          </w:p>
        </w:tc>
        <w:tc>
          <w:tcPr>
            <w:tcW w:w="440" w:type="pct"/>
          </w:tcPr>
          <w:p w14:paraId="18F3467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13,080</w:t>
            </w:r>
          </w:p>
        </w:tc>
        <w:tc>
          <w:tcPr>
            <w:tcW w:w="433" w:type="pct"/>
          </w:tcPr>
          <w:p w14:paraId="47E273E2"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17,901</w:t>
            </w:r>
          </w:p>
        </w:tc>
        <w:tc>
          <w:tcPr>
            <w:tcW w:w="349" w:type="pct"/>
          </w:tcPr>
          <w:p w14:paraId="5584713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-4,820</w:t>
            </w:r>
          </w:p>
        </w:tc>
        <w:tc>
          <w:tcPr>
            <w:tcW w:w="422" w:type="pct"/>
          </w:tcPr>
          <w:p w14:paraId="54F8ACE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15.40</w:t>
            </w:r>
          </w:p>
        </w:tc>
        <w:tc>
          <w:tcPr>
            <w:tcW w:w="417" w:type="pct"/>
          </w:tcPr>
          <w:p w14:paraId="630D731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21.30</w:t>
            </w:r>
          </w:p>
        </w:tc>
        <w:tc>
          <w:tcPr>
            <w:cnfStyle w:val="000100000000" w:firstRow="0" w:lastRow="0" w:firstColumn="0" w:lastColumn="1" w:oddVBand="0" w:evenVBand="0" w:oddHBand="0" w:evenHBand="0" w:firstRowFirstColumn="0" w:firstRowLastColumn="0" w:lastRowFirstColumn="0" w:lastRowLastColumn="0"/>
            <w:tcW w:w="361" w:type="pct"/>
          </w:tcPr>
          <w:p w14:paraId="1605A934" w14:textId="77777777" w:rsidR="00B44672" w:rsidRDefault="00B44672" w:rsidP="00D5775B">
            <w:pPr>
              <w:pStyle w:val="Compact"/>
              <w:jc w:val="center"/>
            </w:pPr>
            <w:r>
              <w:t>-5.90</w:t>
            </w:r>
          </w:p>
        </w:tc>
      </w:tr>
      <w:tr w:rsidR="00B44672" w14:paraId="06DC0988"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0DF2A23E" w14:textId="77777777" w:rsidR="00B44672" w:rsidRDefault="00B44672" w:rsidP="00D5775B">
            <w:pPr>
              <w:pStyle w:val="Compact"/>
            </w:pPr>
            <w:r>
              <w:t>Low-income homeowner</w:t>
            </w:r>
          </w:p>
        </w:tc>
        <w:tc>
          <w:tcPr>
            <w:tcW w:w="448" w:type="pct"/>
          </w:tcPr>
          <w:p w14:paraId="3046E197"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1,660</w:t>
            </w:r>
          </w:p>
        </w:tc>
        <w:tc>
          <w:tcPr>
            <w:tcW w:w="440" w:type="pct"/>
          </w:tcPr>
          <w:p w14:paraId="2A49391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1,648</w:t>
            </w:r>
          </w:p>
        </w:tc>
        <w:tc>
          <w:tcPr>
            <w:tcW w:w="386" w:type="pct"/>
          </w:tcPr>
          <w:p w14:paraId="562116E1"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12</w:t>
            </w:r>
          </w:p>
        </w:tc>
        <w:tc>
          <w:tcPr>
            <w:tcW w:w="440" w:type="pct"/>
          </w:tcPr>
          <w:p w14:paraId="4E778D8E"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12,364</w:t>
            </w:r>
          </w:p>
        </w:tc>
        <w:tc>
          <w:tcPr>
            <w:tcW w:w="433" w:type="pct"/>
          </w:tcPr>
          <w:p w14:paraId="5B7E55EE"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16,650</w:t>
            </w:r>
          </w:p>
        </w:tc>
        <w:tc>
          <w:tcPr>
            <w:tcW w:w="349" w:type="pct"/>
          </w:tcPr>
          <w:p w14:paraId="18B3610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-4,286</w:t>
            </w:r>
          </w:p>
        </w:tc>
        <w:tc>
          <w:tcPr>
            <w:tcW w:w="422" w:type="pct"/>
          </w:tcPr>
          <w:p w14:paraId="349E340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22.70</w:t>
            </w:r>
          </w:p>
        </w:tc>
        <w:tc>
          <w:tcPr>
            <w:tcW w:w="417" w:type="pct"/>
          </w:tcPr>
          <w:p w14:paraId="343E5B9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30.54</w:t>
            </w:r>
          </w:p>
        </w:tc>
        <w:tc>
          <w:tcPr>
            <w:cnfStyle w:val="000100000000" w:firstRow="0" w:lastRow="0" w:firstColumn="0" w:lastColumn="1" w:oddVBand="0" w:evenVBand="0" w:oddHBand="0" w:evenHBand="0" w:firstRowFirstColumn="0" w:firstRowLastColumn="0" w:lastRowFirstColumn="0" w:lastRowLastColumn="0"/>
            <w:tcW w:w="361" w:type="pct"/>
          </w:tcPr>
          <w:p w14:paraId="574B828C" w14:textId="77777777" w:rsidR="00B44672" w:rsidRDefault="00B44672" w:rsidP="00D5775B">
            <w:pPr>
              <w:pStyle w:val="Compact"/>
              <w:jc w:val="center"/>
            </w:pPr>
            <w:r>
              <w:t>-7.83</w:t>
            </w:r>
          </w:p>
        </w:tc>
      </w:tr>
      <w:tr w:rsidR="00B44672" w14:paraId="7A4B0D6F"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4266639F" w14:textId="77777777" w:rsidR="00B44672" w:rsidRDefault="00B44672" w:rsidP="00D5775B">
            <w:pPr>
              <w:pStyle w:val="Compact"/>
            </w:pPr>
            <w:r>
              <w:t>Low-income renter</w:t>
            </w:r>
          </w:p>
        </w:tc>
        <w:tc>
          <w:tcPr>
            <w:tcW w:w="448" w:type="pct"/>
          </w:tcPr>
          <w:p w14:paraId="6D08B3F5"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561</w:t>
            </w:r>
          </w:p>
        </w:tc>
        <w:tc>
          <w:tcPr>
            <w:tcW w:w="440" w:type="pct"/>
          </w:tcPr>
          <w:p w14:paraId="01ECBF1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532</w:t>
            </w:r>
          </w:p>
        </w:tc>
        <w:tc>
          <w:tcPr>
            <w:tcW w:w="386" w:type="pct"/>
          </w:tcPr>
          <w:p w14:paraId="726C4772"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28</w:t>
            </w:r>
          </w:p>
        </w:tc>
        <w:tc>
          <w:tcPr>
            <w:tcW w:w="440" w:type="pct"/>
          </w:tcPr>
          <w:p w14:paraId="3EFDDC0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7,608</w:t>
            </w:r>
          </w:p>
        </w:tc>
        <w:tc>
          <w:tcPr>
            <w:tcW w:w="433" w:type="pct"/>
          </w:tcPr>
          <w:p w14:paraId="2BEF9E0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9,765</w:t>
            </w:r>
          </w:p>
        </w:tc>
        <w:tc>
          <w:tcPr>
            <w:tcW w:w="349" w:type="pct"/>
          </w:tcPr>
          <w:p w14:paraId="228EABC5"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-2,158</w:t>
            </w:r>
          </w:p>
        </w:tc>
        <w:tc>
          <w:tcPr>
            <w:tcW w:w="422" w:type="pct"/>
          </w:tcPr>
          <w:p w14:paraId="566058A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15.77</w:t>
            </w:r>
          </w:p>
        </w:tc>
        <w:tc>
          <w:tcPr>
            <w:tcW w:w="417" w:type="pct"/>
          </w:tcPr>
          <w:p w14:paraId="49356EA2"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20.98</w:t>
            </w:r>
          </w:p>
        </w:tc>
        <w:tc>
          <w:tcPr>
            <w:cnfStyle w:val="000100000000" w:firstRow="0" w:lastRow="0" w:firstColumn="0" w:lastColumn="1" w:oddVBand="0" w:evenVBand="0" w:oddHBand="0" w:evenHBand="0" w:firstRowFirstColumn="0" w:firstRowLastColumn="0" w:lastRowFirstColumn="0" w:lastRowLastColumn="0"/>
            <w:tcW w:w="361" w:type="pct"/>
          </w:tcPr>
          <w:p w14:paraId="21E21BA3" w14:textId="77777777" w:rsidR="00B44672" w:rsidRDefault="00B44672" w:rsidP="00D5775B">
            <w:pPr>
              <w:pStyle w:val="Compact"/>
              <w:jc w:val="center"/>
            </w:pPr>
            <w:r>
              <w:t>-5.21</w:t>
            </w:r>
          </w:p>
        </w:tc>
      </w:tr>
      <w:tr w:rsidR="00B44672" w14:paraId="79C60C35"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2C4F57A2" w14:textId="77777777" w:rsidR="00B44672" w:rsidRDefault="00B44672" w:rsidP="00D5775B">
            <w:pPr>
              <w:pStyle w:val="Compact"/>
            </w:pPr>
            <w:r>
              <w:t>Middle-income homeowner</w:t>
            </w:r>
          </w:p>
        </w:tc>
        <w:tc>
          <w:tcPr>
            <w:tcW w:w="448" w:type="pct"/>
          </w:tcPr>
          <w:p w14:paraId="7AE1A28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1,840</w:t>
            </w:r>
          </w:p>
        </w:tc>
        <w:tc>
          <w:tcPr>
            <w:tcW w:w="440" w:type="pct"/>
          </w:tcPr>
          <w:p w14:paraId="3D24726D"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1,820</w:t>
            </w:r>
          </w:p>
        </w:tc>
        <w:tc>
          <w:tcPr>
            <w:tcW w:w="386" w:type="pct"/>
          </w:tcPr>
          <w:p w14:paraId="3A469CB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20</w:t>
            </w:r>
          </w:p>
        </w:tc>
        <w:tc>
          <w:tcPr>
            <w:tcW w:w="440" w:type="pct"/>
          </w:tcPr>
          <w:p w14:paraId="41F7A9AB"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19,661</w:t>
            </w:r>
          </w:p>
        </w:tc>
        <w:tc>
          <w:tcPr>
            <w:tcW w:w="433" w:type="pct"/>
          </w:tcPr>
          <w:p w14:paraId="5534E90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26,022</w:t>
            </w:r>
          </w:p>
        </w:tc>
        <w:tc>
          <w:tcPr>
            <w:tcW w:w="349" w:type="pct"/>
          </w:tcPr>
          <w:p w14:paraId="69DB83B5"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-6,361</w:t>
            </w:r>
          </w:p>
        </w:tc>
        <w:tc>
          <w:tcPr>
            <w:tcW w:w="422" w:type="pct"/>
          </w:tcPr>
          <w:p w14:paraId="2558A76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22.65</w:t>
            </w:r>
          </w:p>
        </w:tc>
        <w:tc>
          <w:tcPr>
            <w:tcW w:w="417" w:type="pct"/>
          </w:tcPr>
          <w:p w14:paraId="5519C19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29.92</w:t>
            </w:r>
          </w:p>
        </w:tc>
        <w:tc>
          <w:tcPr>
            <w:cnfStyle w:val="000100000000" w:firstRow="0" w:lastRow="0" w:firstColumn="0" w:lastColumn="1" w:oddVBand="0" w:evenVBand="0" w:oddHBand="0" w:evenHBand="0" w:firstRowFirstColumn="0" w:firstRowLastColumn="0" w:lastRowFirstColumn="0" w:lastRowLastColumn="0"/>
            <w:tcW w:w="361" w:type="pct"/>
          </w:tcPr>
          <w:p w14:paraId="58240AFA" w14:textId="77777777" w:rsidR="00B44672" w:rsidRDefault="00B44672" w:rsidP="00D5775B">
            <w:pPr>
              <w:pStyle w:val="Compact"/>
              <w:jc w:val="center"/>
            </w:pPr>
            <w:r>
              <w:t>-7.27</w:t>
            </w:r>
          </w:p>
        </w:tc>
      </w:tr>
      <w:tr w:rsidR="00B44672" w14:paraId="516F3E71"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3DCF42F7" w14:textId="77777777" w:rsidR="00B44672" w:rsidRDefault="00B44672" w:rsidP="00D5775B">
            <w:pPr>
              <w:pStyle w:val="Compact"/>
            </w:pPr>
            <w:r>
              <w:t>Middle-income renter</w:t>
            </w:r>
          </w:p>
        </w:tc>
        <w:tc>
          <w:tcPr>
            <w:tcW w:w="448" w:type="pct"/>
          </w:tcPr>
          <w:p w14:paraId="5348E55B"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1,462</w:t>
            </w:r>
          </w:p>
        </w:tc>
        <w:tc>
          <w:tcPr>
            <w:tcW w:w="440" w:type="pct"/>
          </w:tcPr>
          <w:p w14:paraId="2E93B5EB"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386" w:type="pct"/>
          </w:tcPr>
          <w:p w14:paraId="73B6B46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440" w:type="pct"/>
          </w:tcPr>
          <w:p w14:paraId="433326C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11,418</w:t>
            </w:r>
          </w:p>
        </w:tc>
        <w:tc>
          <w:tcPr>
            <w:tcW w:w="433" w:type="pct"/>
          </w:tcPr>
          <w:p w14:paraId="1C62D6C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16,219</w:t>
            </w:r>
          </w:p>
        </w:tc>
        <w:tc>
          <w:tcPr>
            <w:tcW w:w="349" w:type="pct"/>
          </w:tcPr>
          <w:p w14:paraId="16D6D5F5"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-4,801</w:t>
            </w:r>
          </w:p>
        </w:tc>
        <w:tc>
          <w:tcPr>
            <w:tcW w:w="422" w:type="pct"/>
          </w:tcPr>
          <w:p w14:paraId="4ADAD1E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17.17</w:t>
            </w:r>
          </w:p>
        </w:tc>
        <w:tc>
          <w:tcPr>
            <w:tcW w:w="417" w:type="pct"/>
          </w:tcPr>
          <w:p w14:paraId="47B4343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24.31</w:t>
            </w:r>
          </w:p>
        </w:tc>
        <w:tc>
          <w:tcPr>
            <w:cnfStyle w:val="000100000000" w:firstRow="0" w:lastRow="0" w:firstColumn="0" w:lastColumn="1" w:oddVBand="0" w:evenVBand="0" w:oddHBand="0" w:evenHBand="0" w:firstRowFirstColumn="0" w:firstRowLastColumn="0" w:lastRowFirstColumn="0" w:lastRowLastColumn="0"/>
            <w:tcW w:w="361" w:type="pct"/>
          </w:tcPr>
          <w:p w14:paraId="6744B20B" w14:textId="77777777" w:rsidR="00B44672" w:rsidRDefault="00B44672" w:rsidP="00D5775B">
            <w:pPr>
              <w:pStyle w:val="Compact"/>
              <w:jc w:val="center"/>
            </w:pPr>
            <w:r>
              <w:t>-7.14</w:t>
            </w:r>
          </w:p>
        </w:tc>
      </w:tr>
      <w:tr w:rsidR="00B44672" w14:paraId="3224CBBC"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33BB44DA" w14:textId="77777777" w:rsidR="00B44672" w:rsidRDefault="00B44672" w:rsidP="00D5775B">
            <w:pPr>
              <w:pStyle w:val="Compact"/>
            </w:pPr>
            <w:r>
              <w:t>Pensioner homeowner</w:t>
            </w:r>
          </w:p>
        </w:tc>
        <w:tc>
          <w:tcPr>
            <w:tcW w:w="448" w:type="pct"/>
          </w:tcPr>
          <w:p w14:paraId="324D23D5"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1,049</w:t>
            </w:r>
          </w:p>
        </w:tc>
        <w:tc>
          <w:tcPr>
            <w:tcW w:w="440" w:type="pct"/>
          </w:tcPr>
          <w:p w14:paraId="5464648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1,031</w:t>
            </w:r>
          </w:p>
        </w:tc>
        <w:tc>
          <w:tcPr>
            <w:tcW w:w="386" w:type="pct"/>
          </w:tcPr>
          <w:p w14:paraId="2A71EAE2"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440" w:type="pct"/>
          </w:tcPr>
          <w:p w14:paraId="6F4CB76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15,047</w:t>
            </w:r>
          </w:p>
        </w:tc>
        <w:tc>
          <w:tcPr>
            <w:tcW w:w="433" w:type="pct"/>
          </w:tcPr>
          <w:p w14:paraId="6D24689E"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18,920</w:t>
            </w:r>
          </w:p>
        </w:tc>
        <w:tc>
          <w:tcPr>
            <w:tcW w:w="349" w:type="pct"/>
          </w:tcPr>
          <w:p w14:paraId="28CE67D1"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-3,873</w:t>
            </w:r>
          </w:p>
        </w:tc>
        <w:tc>
          <w:tcPr>
            <w:tcW w:w="422" w:type="pct"/>
          </w:tcPr>
          <w:p w14:paraId="11717E7E"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21.57</w:t>
            </w:r>
          </w:p>
        </w:tc>
        <w:tc>
          <w:tcPr>
            <w:tcW w:w="417" w:type="pct"/>
          </w:tcPr>
          <w:p w14:paraId="4A0E58C7"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27.24</w:t>
            </w:r>
          </w:p>
        </w:tc>
        <w:tc>
          <w:tcPr>
            <w:cnfStyle w:val="000100000000" w:firstRow="0" w:lastRow="0" w:firstColumn="0" w:lastColumn="1" w:oddVBand="0" w:evenVBand="0" w:oddHBand="0" w:evenHBand="0" w:firstRowFirstColumn="0" w:firstRowLastColumn="0" w:lastRowFirstColumn="0" w:lastRowLastColumn="0"/>
            <w:tcW w:w="361" w:type="pct"/>
          </w:tcPr>
          <w:p w14:paraId="23709C31" w14:textId="77777777" w:rsidR="00B44672" w:rsidRDefault="00B44672" w:rsidP="00D5775B">
            <w:pPr>
              <w:pStyle w:val="Compact"/>
              <w:jc w:val="center"/>
            </w:pPr>
            <w:r>
              <w:t>-5.67</w:t>
            </w:r>
          </w:p>
        </w:tc>
      </w:tr>
      <w:tr w:rsidR="00B44672" w14:paraId="71E16D6D"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48A8AD29" w14:textId="77777777" w:rsidR="00B44672" w:rsidRDefault="00B44672" w:rsidP="00D5775B">
            <w:pPr>
              <w:pStyle w:val="Compact"/>
            </w:pPr>
            <w:r>
              <w:t>Pensioner renter</w:t>
            </w:r>
          </w:p>
        </w:tc>
        <w:tc>
          <w:tcPr>
            <w:tcW w:w="448" w:type="pct"/>
          </w:tcPr>
          <w:p w14:paraId="0A07CAC6"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40" w:type="pct"/>
          </w:tcPr>
          <w:p w14:paraId="67FACF57"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386" w:type="pct"/>
          </w:tcPr>
          <w:p w14:paraId="1BF12C67"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0" w:type="pct"/>
          </w:tcPr>
          <w:p w14:paraId="0E411F32"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9,078</w:t>
            </w:r>
          </w:p>
        </w:tc>
        <w:tc>
          <w:tcPr>
            <w:tcW w:w="433" w:type="pct"/>
          </w:tcPr>
          <w:p w14:paraId="7356885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11,966</w:t>
            </w:r>
          </w:p>
        </w:tc>
        <w:tc>
          <w:tcPr>
            <w:tcW w:w="349" w:type="pct"/>
          </w:tcPr>
          <w:p w14:paraId="59B9873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-2,888</w:t>
            </w:r>
          </w:p>
        </w:tc>
        <w:tc>
          <w:tcPr>
            <w:tcW w:w="422" w:type="pct"/>
          </w:tcPr>
          <w:p w14:paraId="3D85FEF6"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18.47</w:t>
            </w:r>
          </w:p>
        </w:tc>
        <w:tc>
          <w:tcPr>
            <w:tcW w:w="417" w:type="pct"/>
          </w:tcPr>
          <w:p w14:paraId="5892E80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24.35</w:t>
            </w:r>
          </w:p>
        </w:tc>
        <w:tc>
          <w:tcPr>
            <w:cnfStyle w:val="000100000000" w:firstRow="0" w:lastRow="0" w:firstColumn="0" w:lastColumn="1" w:oddVBand="0" w:evenVBand="0" w:oddHBand="0" w:evenHBand="0" w:firstRowFirstColumn="0" w:firstRowLastColumn="0" w:lastRowFirstColumn="0" w:lastRowLastColumn="0"/>
            <w:tcW w:w="361" w:type="pct"/>
          </w:tcPr>
          <w:p w14:paraId="16DB3087" w14:textId="77777777" w:rsidR="00B44672" w:rsidRDefault="00B44672" w:rsidP="00D5775B">
            <w:pPr>
              <w:pStyle w:val="Compact"/>
              <w:jc w:val="center"/>
            </w:pPr>
            <w:r>
              <w:t>-5.88</w:t>
            </w:r>
          </w:p>
        </w:tc>
      </w:tr>
      <w:tr w:rsidR="00B44672" w14:paraId="756DCACB"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702FEC40" w14:textId="77777777" w:rsidR="00B44672" w:rsidRDefault="00B44672" w:rsidP="00D5775B">
            <w:pPr>
              <w:pStyle w:val="Compact"/>
            </w:pPr>
            <w:r>
              <w:t>Female-headed homeowner</w:t>
            </w:r>
          </w:p>
        </w:tc>
        <w:tc>
          <w:tcPr>
            <w:tcW w:w="448" w:type="pct"/>
          </w:tcPr>
          <w:p w14:paraId="7987449D"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3,222</w:t>
            </w:r>
          </w:p>
        </w:tc>
        <w:tc>
          <w:tcPr>
            <w:tcW w:w="440" w:type="pct"/>
          </w:tcPr>
          <w:p w14:paraId="5560347E"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3,191</w:t>
            </w:r>
          </w:p>
        </w:tc>
        <w:tc>
          <w:tcPr>
            <w:tcW w:w="386" w:type="pct"/>
          </w:tcPr>
          <w:p w14:paraId="66CAB08B"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31</w:t>
            </w:r>
          </w:p>
        </w:tc>
        <w:tc>
          <w:tcPr>
            <w:tcW w:w="440" w:type="pct"/>
          </w:tcPr>
          <w:p w14:paraId="08E3BE7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17,621</w:t>
            </w:r>
          </w:p>
        </w:tc>
        <w:tc>
          <w:tcPr>
            <w:tcW w:w="433" w:type="pct"/>
          </w:tcPr>
          <w:p w14:paraId="240F436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23,222</w:t>
            </w:r>
          </w:p>
        </w:tc>
        <w:tc>
          <w:tcPr>
            <w:tcW w:w="349" w:type="pct"/>
          </w:tcPr>
          <w:p w14:paraId="789ACF7D"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-5,601</w:t>
            </w:r>
          </w:p>
        </w:tc>
        <w:tc>
          <w:tcPr>
            <w:tcW w:w="422" w:type="pct"/>
          </w:tcPr>
          <w:p w14:paraId="6616EA4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17.46</w:t>
            </w:r>
          </w:p>
        </w:tc>
        <w:tc>
          <w:tcPr>
            <w:tcW w:w="417" w:type="pct"/>
          </w:tcPr>
          <w:p w14:paraId="18261649"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23.00</w:t>
            </w:r>
          </w:p>
        </w:tc>
        <w:tc>
          <w:tcPr>
            <w:cnfStyle w:val="000100000000" w:firstRow="0" w:lastRow="0" w:firstColumn="0" w:lastColumn="1" w:oddVBand="0" w:evenVBand="0" w:oddHBand="0" w:evenHBand="0" w:firstRowFirstColumn="0" w:firstRowLastColumn="0" w:lastRowFirstColumn="0" w:lastRowLastColumn="0"/>
            <w:tcW w:w="361" w:type="pct"/>
          </w:tcPr>
          <w:p w14:paraId="0831B15C" w14:textId="77777777" w:rsidR="00B44672" w:rsidRDefault="00B44672" w:rsidP="00D5775B">
            <w:pPr>
              <w:pStyle w:val="Compact"/>
              <w:jc w:val="center"/>
            </w:pPr>
            <w:r>
              <w:t>-5.54</w:t>
            </w:r>
          </w:p>
        </w:tc>
      </w:tr>
      <w:tr w:rsidR="00B44672" w14:paraId="69BD1C59"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1009CCAE" w14:textId="77777777" w:rsidR="00B44672" w:rsidRDefault="00B44672" w:rsidP="00D5775B">
            <w:pPr>
              <w:pStyle w:val="Compact"/>
            </w:pPr>
            <w:r>
              <w:t>Female-headed renter</w:t>
            </w:r>
          </w:p>
        </w:tc>
        <w:tc>
          <w:tcPr>
            <w:tcW w:w="448" w:type="pct"/>
          </w:tcPr>
          <w:p w14:paraId="62FDD74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1,617</w:t>
            </w:r>
          </w:p>
        </w:tc>
        <w:tc>
          <w:tcPr>
            <w:tcW w:w="440" w:type="pct"/>
          </w:tcPr>
          <w:p w14:paraId="3F395F4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1,521</w:t>
            </w:r>
          </w:p>
        </w:tc>
        <w:tc>
          <w:tcPr>
            <w:tcW w:w="386" w:type="pct"/>
          </w:tcPr>
          <w:p w14:paraId="170899A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97</w:t>
            </w:r>
          </w:p>
        </w:tc>
        <w:tc>
          <w:tcPr>
            <w:tcW w:w="440" w:type="pct"/>
          </w:tcPr>
          <w:p w14:paraId="3FFC8A3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12,935</w:t>
            </w:r>
          </w:p>
        </w:tc>
        <w:tc>
          <w:tcPr>
            <w:tcW w:w="433" w:type="pct"/>
          </w:tcPr>
          <w:p w14:paraId="564F504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18,074</w:t>
            </w:r>
          </w:p>
        </w:tc>
        <w:tc>
          <w:tcPr>
            <w:tcW w:w="349" w:type="pct"/>
          </w:tcPr>
          <w:p w14:paraId="3BC8582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-5,139</w:t>
            </w:r>
          </w:p>
        </w:tc>
        <w:tc>
          <w:tcPr>
            <w:tcW w:w="422" w:type="pct"/>
          </w:tcPr>
          <w:p w14:paraId="0FEB13F5"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15.51</w:t>
            </w:r>
          </w:p>
        </w:tc>
        <w:tc>
          <w:tcPr>
            <w:tcW w:w="417" w:type="pct"/>
          </w:tcPr>
          <w:p w14:paraId="4869698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21.87</w:t>
            </w:r>
          </w:p>
        </w:tc>
        <w:tc>
          <w:tcPr>
            <w:cnfStyle w:val="000100000000" w:firstRow="0" w:lastRow="0" w:firstColumn="0" w:lastColumn="1" w:oddVBand="0" w:evenVBand="0" w:oddHBand="0" w:evenHBand="0" w:firstRowFirstColumn="0" w:firstRowLastColumn="0" w:lastRowFirstColumn="0" w:lastRowLastColumn="0"/>
            <w:tcW w:w="361" w:type="pct"/>
          </w:tcPr>
          <w:p w14:paraId="0F0263D8" w14:textId="77777777" w:rsidR="00B44672" w:rsidRDefault="00B44672" w:rsidP="00D5775B">
            <w:pPr>
              <w:pStyle w:val="Compact"/>
              <w:jc w:val="center"/>
            </w:pPr>
            <w:r>
              <w:t>-6.37</w:t>
            </w:r>
          </w:p>
        </w:tc>
      </w:tr>
      <w:tr w:rsidR="00B44672" w14:paraId="5FC1FC25"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16F57C18" w14:textId="77777777" w:rsidR="00B44672" w:rsidRDefault="00B44672" w:rsidP="00D5775B">
            <w:pPr>
              <w:pStyle w:val="Compact"/>
            </w:pPr>
            <w:r>
              <w:rPr>
                <w:b/>
                <w:i/>
                <w:iCs/>
                <w:color w:val="365F91" w:themeColor="accent1" w:themeShade="BF"/>
              </w:rPr>
              <w:t>0.35 – 1.30%</w:t>
            </w:r>
            <w:r w:rsidRPr="00AF6491">
              <w:rPr>
                <w:b/>
                <w:i/>
                <w:iCs/>
                <w:color w:val="365F91" w:themeColor="accent1" w:themeShade="BF"/>
              </w:rPr>
              <w:t xml:space="preserve"> price change</w:t>
            </w:r>
          </w:p>
        </w:tc>
        <w:tc>
          <w:tcPr>
            <w:tcW w:w="448" w:type="pct"/>
          </w:tcPr>
          <w:p w14:paraId="62A65E9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40" w:type="pct"/>
          </w:tcPr>
          <w:p w14:paraId="23869CD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386" w:type="pct"/>
          </w:tcPr>
          <w:p w14:paraId="7E3BDED6"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40" w:type="pct"/>
          </w:tcPr>
          <w:p w14:paraId="59E0A5D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33" w:type="pct"/>
          </w:tcPr>
          <w:p w14:paraId="1A45EFF6"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349" w:type="pct"/>
          </w:tcPr>
          <w:p w14:paraId="08136A37"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22" w:type="pct"/>
          </w:tcPr>
          <w:p w14:paraId="6BDE7C25"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17" w:type="pct"/>
          </w:tcPr>
          <w:p w14:paraId="514D922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61" w:type="pct"/>
          </w:tcPr>
          <w:p w14:paraId="27ED9035" w14:textId="77777777" w:rsidR="00B44672" w:rsidRDefault="00B44672" w:rsidP="00D5775B">
            <w:pPr>
              <w:pStyle w:val="Compact"/>
              <w:jc w:val="center"/>
            </w:pPr>
          </w:p>
        </w:tc>
      </w:tr>
      <w:tr w:rsidR="00B44672" w14:paraId="2842F5F8"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2FF30ECE" w14:textId="77777777" w:rsidR="00B44672" w:rsidRDefault="00B44672" w:rsidP="00D5775B">
            <w:pPr>
              <w:pStyle w:val="Compact"/>
            </w:pPr>
            <w:r>
              <w:t>First home buyers</w:t>
            </w:r>
          </w:p>
        </w:tc>
        <w:tc>
          <w:tcPr>
            <w:tcW w:w="448" w:type="pct"/>
          </w:tcPr>
          <w:p w14:paraId="1A8BB5E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4,183</w:t>
            </w:r>
          </w:p>
        </w:tc>
        <w:tc>
          <w:tcPr>
            <w:tcW w:w="440" w:type="pct"/>
          </w:tcPr>
          <w:p w14:paraId="7CCD1F5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3,971</w:t>
            </w:r>
          </w:p>
        </w:tc>
        <w:tc>
          <w:tcPr>
            <w:tcW w:w="386" w:type="pct"/>
          </w:tcPr>
          <w:p w14:paraId="6437A1E5"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212</w:t>
            </w:r>
          </w:p>
        </w:tc>
        <w:tc>
          <w:tcPr>
            <w:tcW w:w="440" w:type="pct"/>
          </w:tcPr>
          <w:p w14:paraId="454ABA0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13,080</w:t>
            </w:r>
          </w:p>
        </w:tc>
        <w:tc>
          <w:tcPr>
            <w:tcW w:w="433" w:type="pct"/>
          </w:tcPr>
          <w:p w14:paraId="5ECEED8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17,673</w:t>
            </w:r>
          </w:p>
        </w:tc>
        <w:tc>
          <w:tcPr>
            <w:tcW w:w="349" w:type="pct"/>
          </w:tcPr>
          <w:p w14:paraId="437BA8E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-4,592</w:t>
            </w:r>
          </w:p>
        </w:tc>
        <w:tc>
          <w:tcPr>
            <w:tcW w:w="422" w:type="pct"/>
          </w:tcPr>
          <w:p w14:paraId="7A0BF46B"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15.40</w:t>
            </w:r>
          </w:p>
        </w:tc>
        <w:tc>
          <w:tcPr>
            <w:tcW w:w="417" w:type="pct"/>
          </w:tcPr>
          <w:p w14:paraId="37AC9DC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21.04</w:t>
            </w:r>
          </w:p>
        </w:tc>
        <w:tc>
          <w:tcPr>
            <w:cnfStyle w:val="000100000000" w:firstRow="0" w:lastRow="0" w:firstColumn="0" w:lastColumn="1" w:oddVBand="0" w:evenVBand="0" w:oddHBand="0" w:evenHBand="0" w:firstRowFirstColumn="0" w:firstRowLastColumn="0" w:lastRowFirstColumn="0" w:lastRowLastColumn="0"/>
            <w:tcW w:w="361" w:type="pct"/>
          </w:tcPr>
          <w:p w14:paraId="742E1E07" w14:textId="77777777" w:rsidR="00B44672" w:rsidRDefault="00B44672" w:rsidP="00D5775B">
            <w:pPr>
              <w:pStyle w:val="Compact"/>
              <w:jc w:val="center"/>
            </w:pPr>
            <w:r>
              <w:t>-5.64</w:t>
            </w:r>
          </w:p>
        </w:tc>
      </w:tr>
      <w:tr w:rsidR="00B44672" w14:paraId="6790E288"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2BE2F5A6" w14:textId="77777777" w:rsidR="00B44672" w:rsidRDefault="00B44672" w:rsidP="00D5775B">
            <w:pPr>
              <w:pStyle w:val="Compact"/>
            </w:pPr>
            <w:r>
              <w:t>Low-income homeowner</w:t>
            </w:r>
          </w:p>
        </w:tc>
        <w:tc>
          <w:tcPr>
            <w:tcW w:w="448" w:type="pct"/>
          </w:tcPr>
          <w:p w14:paraId="3CF6B0E1"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1,660</w:t>
            </w:r>
          </w:p>
        </w:tc>
        <w:tc>
          <w:tcPr>
            <w:tcW w:w="440" w:type="pct"/>
          </w:tcPr>
          <w:p w14:paraId="5EEC7DD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1,657</w:t>
            </w:r>
          </w:p>
        </w:tc>
        <w:tc>
          <w:tcPr>
            <w:tcW w:w="386" w:type="pct"/>
          </w:tcPr>
          <w:p w14:paraId="31A422E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440" w:type="pct"/>
          </w:tcPr>
          <w:p w14:paraId="00DBDF8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12,364</w:t>
            </w:r>
          </w:p>
        </w:tc>
        <w:tc>
          <w:tcPr>
            <w:tcW w:w="433" w:type="pct"/>
          </w:tcPr>
          <w:p w14:paraId="0E1BB95B"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16,433</w:t>
            </w:r>
          </w:p>
        </w:tc>
        <w:tc>
          <w:tcPr>
            <w:tcW w:w="349" w:type="pct"/>
          </w:tcPr>
          <w:p w14:paraId="58A2941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-4,070</w:t>
            </w:r>
          </w:p>
        </w:tc>
        <w:tc>
          <w:tcPr>
            <w:tcW w:w="422" w:type="pct"/>
          </w:tcPr>
          <w:p w14:paraId="70179532"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22.70</w:t>
            </w:r>
          </w:p>
        </w:tc>
        <w:tc>
          <w:tcPr>
            <w:tcW w:w="417" w:type="pct"/>
          </w:tcPr>
          <w:p w14:paraId="53C3A416"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30.17</w:t>
            </w:r>
          </w:p>
        </w:tc>
        <w:tc>
          <w:tcPr>
            <w:cnfStyle w:val="000100000000" w:firstRow="0" w:lastRow="0" w:firstColumn="0" w:lastColumn="1" w:oddVBand="0" w:evenVBand="0" w:oddHBand="0" w:evenHBand="0" w:firstRowFirstColumn="0" w:firstRowLastColumn="0" w:lastRowFirstColumn="0" w:lastRowLastColumn="0"/>
            <w:tcW w:w="361" w:type="pct"/>
          </w:tcPr>
          <w:p w14:paraId="137AC2D3" w14:textId="77777777" w:rsidR="00B44672" w:rsidRDefault="00B44672" w:rsidP="00D5775B">
            <w:pPr>
              <w:pStyle w:val="Compact"/>
              <w:jc w:val="center"/>
            </w:pPr>
            <w:r>
              <w:t>-7.47</w:t>
            </w:r>
          </w:p>
        </w:tc>
      </w:tr>
      <w:tr w:rsidR="00B44672" w14:paraId="358770FC"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3C4F58FE" w14:textId="77777777" w:rsidR="00B44672" w:rsidRDefault="00B44672" w:rsidP="00D5775B">
            <w:pPr>
              <w:pStyle w:val="Compact"/>
            </w:pPr>
            <w:r>
              <w:t>Low-income renter</w:t>
            </w:r>
          </w:p>
        </w:tc>
        <w:tc>
          <w:tcPr>
            <w:tcW w:w="448" w:type="pct"/>
          </w:tcPr>
          <w:p w14:paraId="4B15DD1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561</w:t>
            </w:r>
          </w:p>
        </w:tc>
        <w:tc>
          <w:tcPr>
            <w:tcW w:w="440" w:type="pct"/>
          </w:tcPr>
          <w:p w14:paraId="20CFACE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540</w:t>
            </w:r>
          </w:p>
        </w:tc>
        <w:tc>
          <w:tcPr>
            <w:tcW w:w="386" w:type="pct"/>
          </w:tcPr>
          <w:p w14:paraId="5A27C7F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20</w:t>
            </w:r>
          </w:p>
        </w:tc>
        <w:tc>
          <w:tcPr>
            <w:tcW w:w="440" w:type="pct"/>
          </w:tcPr>
          <w:p w14:paraId="432F5095"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7,608</w:t>
            </w:r>
          </w:p>
        </w:tc>
        <w:tc>
          <w:tcPr>
            <w:tcW w:w="433" w:type="pct"/>
          </w:tcPr>
          <w:p w14:paraId="093335A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9,705</w:t>
            </w:r>
          </w:p>
        </w:tc>
        <w:tc>
          <w:tcPr>
            <w:tcW w:w="349" w:type="pct"/>
          </w:tcPr>
          <w:p w14:paraId="0C9E132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-2,098</w:t>
            </w:r>
          </w:p>
        </w:tc>
        <w:tc>
          <w:tcPr>
            <w:tcW w:w="422" w:type="pct"/>
          </w:tcPr>
          <w:p w14:paraId="275062BB"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15.77</w:t>
            </w:r>
          </w:p>
        </w:tc>
        <w:tc>
          <w:tcPr>
            <w:tcW w:w="417" w:type="pct"/>
          </w:tcPr>
          <w:p w14:paraId="51E86AF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20.79</w:t>
            </w:r>
          </w:p>
        </w:tc>
        <w:tc>
          <w:tcPr>
            <w:cnfStyle w:val="000100000000" w:firstRow="0" w:lastRow="0" w:firstColumn="0" w:lastColumn="1" w:oddVBand="0" w:evenVBand="0" w:oddHBand="0" w:evenHBand="0" w:firstRowFirstColumn="0" w:firstRowLastColumn="0" w:lastRowFirstColumn="0" w:lastRowLastColumn="0"/>
            <w:tcW w:w="361" w:type="pct"/>
          </w:tcPr>
          <w:p w14:paraId="5C5B4C35" w14:textId="77777777" w:rsidR="00B44672" w:rsidRDefault="00B44672" w:rsidP="00D5775B">
            <w:pPr>
              <w:pStyle w:val="Compact"/>
              <w:jc w:val="center"/>
            </w:pPr>
            <w:r>
              <w:t>-5.02</w:t>
            </w:r>
          </w:p>
        </w:tc>
      </w:tr>
      <w:tr w:rsidR="00B44672" w14:paraId="6E45AFDA"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28064452" w14:textId="77777777" w:rsidR="00B44672" w:rsidRDefault="00B44672" w:rsidP="00D5775B">
            <w:pPr>
              <w:pStyle w:val="Compact"/>
            </w:pPr>
            <w:r>
              <w:t>Middle-income homeowner</w:t>
            </w:r>
          </w:p>
        </w:tc>
        <w:tc>
          <w:tcPr>
            <w:tcW w:w="448" w:type="pct"/>
          </w:tcPr>
          <w:p w14:paraId="1377D04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1,840</w:t>
            </w:r>
          </w:p>
        </w:tc>
        <w:tc>
          <w:tcPr>
            <w:tcW w:w="440" w:type="pct"/>
          </w:tcPr>
          <w:p w14:paraId="767E59D5"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1,826</w:t>
            </w:r>
          </w:p>
        </w:tc>
        <w:tc>
          <w:tcPr>
            <w:tcW w:w="386" w:type="pct"/>
          </w:tcPr>
          <w:p w14:paraId="68492DF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14</w:t>
            </w:r>
          </w:p>
        </w:tc>
        <w:tc>
          <w:tcPr>
            <w:tcW w:w="440" w:type="pct"/>
          </w:tcPr>
          <w:p w14:paraId="5A7685F2"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19,661</w:t>
            </w:r>
          </w:p>
        </w:tc>
        <w:tc>
          <w:tcPr>
            <w:tcW w:w="433" w:type="pct"/>
          </w:tcPr>
          <w:p w14:paraId="0FFD8DD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25,735</w:t>
            </w:r>
          </w:p>
        </w:tc>
        <w:tc>
          <w:tcPr>
            <w:tcW w:w="349" w:type="pct"/>
          </w:tcPr>
          <w:p w14:paraId="0D379E1E"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-6,074</w:t>
            </w:r>
          </w:p>
        </w:tc>
        <w:tc>
          <w:tcPr>
            <w:tcW w:w="422" w:type="pct"/>
          </w:tcPr>
          <w:p w14:paraId="29B9A809"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22.65</w:t>
            </w:r>
          </w:p>
        </w:tc>
        <w:tc>
          <w:tcPr>
            <w:tcW w:w="417" w:type="pct"/>
          </w:tcPr>
          <w:p w14:paraId="5270318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29.61</w:t>
            </w:r>
          </w:p>
        </w:tc>
        <w:tc>
          <w:tcPr>
            <w:cnfStyle w:val="000100000000" w:firstRow="0" w:lastRow="0" w:firstColumn="0" w:lastColumn="1" w:oddVBand="0" w:evenVBand="0" w:oddHBand="0" w:evenHBand="0" w:firstRowFirstColumn="0" w:firstRowLastColumn="0" w:lastRowFirstColumn="0" w:lastRowLastColumn="0"/>
            <w:tcW w:w="361" w:type="pct"/>
          </w:tcPr>
          <w:p w14:paraId="35288366" w14:textId="77777777" w:rsidR="00B44672" w:rsidRDefault="00B44672" w:rsidP="00D5775B">
            <w:pPr>
              <w:pStyle w:val="Compact"/>
              <w:jc w:val="center"/>
            </w:pPr>
            <w:r>
              <w:t>-6.97</w:t>
            </w:r>
          </w:p>
        </w:tc>
      </w:tr>
      <w:tr w:rsidR="00B44672" w14:paraId="2B14FF88"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02782932" w14:textId="77777777" w:rsidR="00B44672" w:rsidRDefault="00B44672" w:rsidP="00D5775B">
            <w:pPr>
              <w:pStyle w:val="Compact"/>
            </w:pPr>
            <w:r>
              <w:t>Middle-income renter</w:t>
            </w:r>
          </w:p>
        </w:tc>
        <w:tc>
          <w:tcPr>
            <w:tcW w:w="448" w:type="pct"/>
          </w:tcPr>
          <w:p w14:paraId="56D1255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1,462</w:t>
            </w:r>
          </w:p>
        </w:tc>
        <w:tc>
          <w:tcPr>
            <w:tcW w:w="440" w:type="pct"/>
          </w:tcPr>
          <w:p w14:paraId="3091C9E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386" w:type="pct"/>
          </w:tcPr>
          <w:p w14:paraId="63FB9136"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440" w:type="pct"/>
          </w:tcPr>
          <w:p w14:paraId="44FEACD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11,418</w:t>
            </w:r>
          </w:p>
        </w:tc>
        <w:tc>
          <w:tcPr>
            <w:tcW w:w="433" w:type="pct"/>
          </w:tcPr>
          <w:p w14:paraId="7939A75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16,019</w:t>
            </w:r>
          </w:p>
        </w:tc>
        <w:tc>
          <w:tcPr>
            <w:tcW w:w="349" w:type="pct"/>
          </w:tcPr>
          <w:p w14:paraId="33D5C2B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-4,600</w:t>
            </w:r>
          </w:p>
        </w:tc>
        <w:tc>
          <w:tcPr>
            <w:tcW w:w="422" w:type="pct"/>
          </w:tcPr>
          <w:p w14:paraId="2A9CE2E5"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17.17</w:t>
            </w:r>
          </w:p>
        </w:tc>
        <w:tc>
          <w:tcPr>
            <w:tcW w:w="417" w:type="pct"/>
          </w:tcPr>
          <w:p w14:paraId="5FB925E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24.01</w:t>
            </w:r>
          </w:p>
        </w:tc>
        <w:tc>
          <w:tcPr>
            <w:cnfStyle w:val="000100000000" w:firstRow="0" w:lastRow="0" w:firstColumn="0" w:lastColumn="1" w:oddVBand="0" w:evenVBand="0" w:oddHBand="0" w:evenHBand="0" w:firstRowFirstColumn="0" w:firstRowLastColumn="0" w:lastRowFirstColumn="0" w:lastRowLastColumn="0"/>
            <w:tcW w:w="361" w:type="pct"/>
          </w:tcPr>
          <w:p w14:paraId="5CF12B3F" w14:textId="77777777" w:rsidR="00B44672" w:rsidRDefault="00B44672" w:rsidP="00D5775B">
            <w:pPr>
              <w:pStyle w:val="Compact"/>
              <w:jc w:val="center"/>
            </w:pPr>
            <w:r>
              <w:t>-6.84</w:t>
            </w:r>
          </w:p>
        </w:tc>
      </w:tr>
      <w:tr w:rsidR="00B44672" w14:paraId="791E7CD9"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5F9BD09B" w14:textId="77777777" w:rsidR="00B44672" w:rsidRDefault="00B44672" w:rsidP="00D5775B">
            <w:pPr>
              <w:pStyle w:val="Compact"/>
            </w:pPr>
            <w:r>
              <w:t>Pensioner homeowner</w:t>
            </w:r>
          </w:p>
        </w:tc>
        <w:tc>
          <w:tcPr>
            <w:tcW w:w="448" w:type="pct"/>
          </w:tcPr>
          <w:p w14:paraId="779EC01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1,049</w:t>
            </w:r>
          </w:p>
        </w:tc>
        <w:tc>
          <w:tcPr>
            <w:tcW w:w="440" w:type="pct"/>
          </w:tcPr>
          <w:p w14:paraId="203C473E"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1,040</w:t>
            </w:r>
          </w:p>
        </w:tc>
        <w:tc>
          <w:tcPr>
            <w:tcW w:w="386" w:type="pct"/>
          </w:tcPr>
          <w:p w14:paraId="4385C601"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9</w:t>
            </w:r>
          </w:p>
        </w:tc>
        <w:tc>
          <w:tcPr>
            <w:tcW w:w="440" w:type="pct"/>
          </w:tcPr>
          <w:p w14:paraId="7E09DBD7"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15,047</w:t>
            </w:r>
          </w:p>
        </w:tc>
        <w:tc>
          <w:tcPr>
            <w:tcW w:w="433" w:type="pct"/>
          </w:tcPr>
          <w:p w14:paraId="5B43D23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18,748</w:t>
            </w:r>
          </w:p>
        </w:tc>
        <w:tc>
          <w:tcPr>
            <w:tcW w:w="349" w:type="pct"/>
          </w:tcPr>
          <w:p w14:paraId="53E5A09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-3,701</w:t>
            </w:r>
          </w:p>
        </w:tc>
        <w:tc>
          <w:tcPr>
            <w:tcW w:w="422" w:type="pct"/>
          </w:tcPr>
          <w:p w14:paraId="2B4DA0C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21.57</w:t>
            </w:r>
          </w:p>
        </w:tc>
        <w:tc>
          <w:tcPr>
            <w:tcW w:w="417" w:type="pct"/>
          </w:tcPr>
          <w:p w14:paraId="5C1EFFA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26.96</w:t>
            </w:r>
          </w:p>
        </w:tc>
        <w:tc>
          <w:tcPr>
            <w:cnfStyle w:val="000100000000" w:firstRow="0" w:lastRow="0" w:firstColumn="0" w:lastColumn="1" w:oddVBand="0" w:evenVBand="0" w:oddHBand="0" w:evenHBand="0" w:firstRowFirstColumn="0" w:firstRowLastColumn="0" w:lastRowFirstColumn="0" w:lastRowLastColumn="0"/>
            <w:tcW w:w="361" w:type="pct"/>
          </w:tcPr>
          <w:p w14:paraId="2C41F346" w14:textId="77777777" w:rsidR="00B44672" w:rsidRDefault="00B44672" w:rsidP="00D5775B">
            <w:pPr>
              <w:pStyle w:val="Compact"/>
              <w:jc w:val="center"/>
            </w:pPr>
            <w:r>
              <w:t>-5.39</w:t>
            </w:r>
          </w:p>
        </w:tc>
      </w:tr>
      <w:tr w:rsidR="00B44672" w14:paraId="235A2E31"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21A8886B" w14:textId="77777777" w:rsidR="00B44672" w:rsidRDefault="00B44672" w:rsidP="00D5775B">
            <w:pPr>
              <w:pStyle w:val="Compact"/>
            </w:pPr>
            <w:r>
              <w:t>Pensioner renter</w:t>
            </w:r>
          </w:p>
        </w:tc>
        <w:tc>
          <w:tcPr>
            <w:tcW w:w="448" w:type="pct"/>
          </w:tcPr>
          <w:p w14:paraId="598646D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40" w:type="pct"/>
          </w:tcPr>
          <w:p w14:paraId="0F57808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386" w:type="pct"/>
          </w:tcPr>
          <w:p w14:paraId="2AEA1176"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0" w:type="pct"/>
          </w:tcPr>
          <w:p w14:paraId="70AC969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9,078</w:t>
            </w:r>
          </w:p>
        </w:tc>
        <w:tc>
          <w:tcPr>
            <w:tcW w:w="433" w:type="pct"/>
          </w:tcPr>
          <w:p w14:paraId="281AC819"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11,837</w:t>
            </w:r>
          </w:p>
        </w:tc>
        <w:tc>
          <w:tcPr>
            <w:tcW w:w="349" w:type="pct"/>
          </w:tcPr>
          <w:p w14:paraId="267B307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-2,759</w:t>
            </w:r>
          </w:p>
        </w:tc>
        <w:tc>
          <w:tcPr>
            <w:tcW w:w="422" w:type="pct"/>
          </w:tcPr>
          <w:p w14:paraId="5EFE0BDB"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18.47</w:t>
            </w:r>
          </w:p>
        </w:tc>
        <w:tc>
          <w:tcPr>
            <w:tcW w:w="417" w:type="pct"/>
          </w:tcPr>
          <w:p w14:paraId="5319C239"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24.09</w:t>
            </w:r>
          </w:p>
        </w:tc>
        <w:tc>
          <w:tcPr>
            <w:cnfStyle w:val="000100000000" w:firstRow="0" w:lastRow="0" w:firstColumn="0" w:lastColumn="1" w:oddVBand="0" w:evenVBand="0" w:oddHBand="0" w:evenHBand="0" w:firstRowFirstColumn="0" w:firstRowLastColumn="0" w:lastRowFirstColumn="0" w:lastRowLastColumn="0"/>
            <w:tcW w:w="361" w:type="pct"/>
          </w:tcPr>
          <w:p w14:paraId="1E3CF39A" w14:textId="77777777" w:rsidR="00B44672" w:rsidRDefault="00B44672" w:rsidP="00D5775B">
            <w:pPr>
              <w:pStyle w:val="Compact"/>
              <w:jc w:val="center"/>
            </w:pPr>
            <w:r>
              <w:t>-5.62</w:t>
            </w:r>
          </w:p>
        </w:tc>
      </w:tr>
      <w:tr w:rsidR="00B44672" w14:paraId="07BADB7C"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55AAE012" w14:textId="77777777" w:rsidR="00B44672" w:rsidRDefault="00B44672" w:rsidP="00D5775B">
            <w:pPr>
              <w:pStyle w:val="Compact"/>
            </w:pPr>
            <w:r>
              <w:t>Female-headed homeowner</w:t>
            </w:r>
          </w:p>
        </w:tc>
        <w:tc>
          <w:tcPr>
            <w:tcW w:w="448" w:type="pct"/>
          </w:tcPr>
          <w:p w14:paraId="1762FD51"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3,222</w:t>
            </w:r>
          </w:p>
        </w:tc>
        <w:tc>
          <w:tcPr>
            <w:tcW w:w="440" w:type="pct"/>
          </w:tcPr>
          <w:p w14:paraId="4B9CB9A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3,203</w:t>
            </w:r>
          </w:p>
        </w:tc>
        <w:tc>
          <w:tcPr>
            <w:tcW w:w="386" w:type="pct"/>
          </w:tcPr>
          <w:p w14:paraId="568C3D5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tcW w:w="440" w:type="pct"/>
          </w:tcPr>
          <w:p w14:paraId="5D196F52"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17,621</w:t>
            </w:r>
          </w:p>
        </w:tc>
        <w:tc>
          <w:tcPr>
            <w:tcW w:w="433" w:type="pct"/>
          </w:tcPr>
          <w:p w14:paraId="33D07249"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22,957</w:t>
            </w:r>
          </w:p>
        </w:tc>
        <w:tc>
          <w:tcPr>
            <w:tcW w:w="349" w:type="pct"/>
          </w:tcPr>
          <w:p w14:paraId="5EBD17A9"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-5,336</w:t>
            </w:r>
          </w:p>
        </w:tc>
        <w:tc>
          <w:tcPr>
            <w:tcW w:w="422" w:type="pct"/>
          </w:tcPr>
          <w:p w14:paraId="174190A1"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17.46</w:t>
            </w:r>
          </w:p>
        </w:tc>
        <w:tc>
          <w:tcPr>
            <w:tcW w:w="417" w:type="pct"/>
          </w:tcPr>
          <w:p w14:paraId="495628F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22.77</w:t>
            </w:r>
          </w:p>
        </w:tc>
        <w:tc>
          <w:tcPr>
            <w:cnfStyle w:val="000100000000" w:firstRow="0" w:lastRow="0" w:firstColumn="0" w:lastColumn="1" w:oddVBand="0" w:evenVBand="0" w:oddHBand="0" w:evenHBand="0" w:firstRowFirstColumn="0" w:firstRowLastColumn="0" w:lastRowFirstColumn="0" w:lastRowLastColumn="0"/>
            <w:tcW w:w="361" w:type="pct"/>
          </w:tcPr>
          <w:p w14:paraId="096F23BE" w14:textId="77777777" w:rsidR="00B44672" w:rsidRDefault="00B44672" w:rsidP="00D5775B">
            <w:pPr>
              <w:pStyle w:val="Compact"/>
              <w:jc w:val="center"/>
            </w:pPr>
            <w:r>
              <w:t>-5.31</w:t>
            </w:r>
          </w:p>
        </w:tc>
      </w:tr>
      <w:tr w:rsidR="00B44672" w14:paraId="2C8C77E8"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2682E503" w14:textId="77777777" w:rsidR="00B44672" w:rsidRDefault="00B44672" w:rsidP="00D5775B">
            <w:pPr>
              <w:pStyle w:val="Compact"/>
            </w:pPr>
            <w:r>
              <w:t>Female-headed renter</w:t>
            </w:r>
          </w:p>
        </w:tc>
        <w:tc>
          <w:tcPr>
            <w:tcW w:w="448" w:type="pct"/>
          </w:tcPr>
          <w:p w14:paraId="06986A1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1,617</w:t>
            </w:r>
          </w:p>
        </w:tc>
        <w:tc>
          <w:tcPr>
            <w:tcW w:w="440" w:type="pct"/>
          </w:tcPr>
          <w:p w14:paraId="202A276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1,522</w:t>
            </w:r>
          </w:p>
        </w:tc>
        <w:tc>
          <w:tcPr>
            <w:tcW w:w="386" w:type="pct"/>
          </w:tcPr>
          <w:p w14:paraId="0C3685B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95</w:t>
            </w:r>
          </w:p>
        </w:tc>
        <w:tc>
          <w:tcPr>
            <w:tcW w:w="440" w:type="pct"/>
          </w:tcPr>
          <w:p w14:paraId="22B49B85"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12,935</w:t>
            </w:r>
          </w:p>
        </w:tc>
        <w:tc>
          <w:tcPr>
            <w:tcW w:w="433" w:type="pct"/>
          </w:tcPr>
          <w:p w14:paraId="05BEEF39"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17,864</w:t>
            </w:r>
          </w:p>
        </w:tc>
        <w:tc>
          <w:tcPr>
            <w:tcW w:w="349" w:type="pct"/>
          </w:tcPr>
          <w:p w14:paraId="08EC102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-4,928</w:t>
            </w:r>
          </w:p>
        </w:tc>
        <w:tc>
          <w:tcPr>
            <w:tcW w:w="422" w:type="pct"/>
          </w:tcPr>
          <w:p w14:paraId="6333CB8E"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15.51</w:t>
            </w:r>
          </w:p>
        </w:tc>
        <w:tc>
          <w:tcPr>
            <w:tcW w:w="417" w:type="pct"/>
          </w:tcPr>
          <w:p w14:paraId="5514F34E"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21.58</w:t>
            </w:r>
          </w:p>
        </w:tc>
        <w:tc>
          <w:tcPr>
            <w:cnfStyle w:val="000100000000" w:firstRow="0" w:lastRow="0" w:firstColumn="0" w:lastColumn="1" w:oddVBand="0" w:evenVBand="0" w:oddHBand="0" w:evenHBand="0" w:firstRowFirstColumn="0" w:firstRowLastColumn="0" w:lastRowFirstColumn="0" w:lastRowLastColumn="0"/>
            <w:tcW w:w="361" w:type="pct"/>
          </w:tcPr>
          <w:p w14:paraId="1FC6E6AF" w14:textId="77777777" w:rsidR="00B44672" w:rsidRDefault="00B44672" w:rsidP="00D5775B">
            <w:pPr>
              <w:pStyle w:val="Compact"/>
              <w:jc w:val="center"/>
            </w:pPr>
            <w:r>
              <w:t>-6.07</w:t>
            </w:r>
          </w:p>
        </w:tc>
      </w:tr>
      <w:tr w:rsidR="00B44672" w14:paraId="271E05E8"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23E0B8D4" w14:textId="77777777" w:rsidR="00B44672" w:rsidRDefault="00B44672" w:rsidP="00D5775B">
            <w:pPr>
              <w:pStyle w:val="Compact"/>
            </w:pPr>
            <w:r w:rsidRPr="00113FC1">
              <w:rPr>
                <w:b/>
                <w:i/>
                <w:iCs/>
                <w:color w:val="365F91" w:themeColor="accent1" w:themeShade="BF"/>
              </w:rPr>
              <w:t>1.24 – 2.19% price change</w:t>
            </w:r>
          </w:p>
        </w:tc>
        <w:tc>
          <w:tcPr>
            <w:tcW w:w="448" w:type="pct"/>
          </w:tcPr>
          <w:p w14:paraId="7F1F63AB"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40" w:type="pct"/>
          </w:tcPr>
          <w:p w14:paraId="723FA256"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386" w:type="pct"/>
          </w:tcPr>
          <w:p w14:paraId="0E43A9F7"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40" w:type="pct"/>
          </w:tcPr>
          <w:p w14:paraId="54DC31C9"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33" w:type="pct"/>
          </w:tcPr>
          <w:p w14:paraId="1E6EC9A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349" w:type="pct"/>
          </w:tcPr>
          <w:p w14:paraId="1B3BF40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22" w:type="pct"/>
          </w:tcPr>
          <w:p w14:paraId="660C6B0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tcW w:w="417" w:type="pct"/>
          </w:tcPr>
          <w:p w14:paraId="0572F33E"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61" w:type="pct"/>
          </w:tcPr>
          <w:p w14:paraId="25EA4321" w14:textId="77777777" w:rsidR="00B44672" w:rsidRDefault="00B44672" w:rsidP="00D5775B">
            <w:pPr>
              <w:pStyle w:val="Compact"/>
              <w:jc w:val="center"/>
            </w:pPr>
          </w:p>
        </w:tc>
      </w:tr>
      <w:tr w:rsidR="00B44672" w14:paraId="3129E78C"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45D5629B" w14:textId="77777777" w:rsidR="00B44672" w:rsidRDefault="00B44672" w:rsidP="00D5775B">
            <w:pPr>
              <w:pStyle w:val="Compact"/>
            </w:pPr>
            <w:r>
              <w:t>First home buyers</w:t>
            </w:r>
          </w:p>
        </w:tc>
        <w:tc>
          <w:tcPr>
            <w:tcW w:w="448" w:type="pct"/>
          </w:tcPr>
          <w:p w14:paraId="2634BF8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4,183</w:t>
            </w:r>
          </w:p>
        </w:tc>
        <w:tc>
          <w:tcPr>
            <w:tcW w:w="440" w:type="pct"/>
          </w:tcPr>
          <w:p w14:paraId="50A49B79"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4,033</w:t>
            </w:r>
          </w:p>
        </w:tc>
        <w:tc>
          <w:tcPr>
            <w:tcW w:w="386" w:type="pct"/>
          </w:tcPr>
          <w:p w14:paraId="55ED4D5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150</w:t>
            </w:r>
          </w:p>
        </w:tc>
        <w:tc>
          <w:tcPr>
            <w:tcW w:w="440" w:type="pct"/>
          </w:tcPr>
          <w:p w14:paraId="0BBD016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13,080</w:t>
            </w:r>
          </w:p>
        </w:tc>
        <w:tc>
          <w:tcPr>
            <w:tcW w:w="433" w:type="pct"/>
          </w:tcPr>
          <w:p w14:paraId="6CEAF35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17,488</w:t>
            </w:r>
          </w:p>
        </w:tc>
        <w:tc>
          <w:tcPr>
            <w:tcW w:w="349" w:type="pct"/>
          </w:tcPr>
          <w:p w14:paraId="0C85B87B"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-4,408</w:t>
            </w:r>
          </w:p>
        </w:tc>
        <w:tc>
          <w:tcPr>
            <w:tcW w:w="422" w:type="pct"/>
          </w:tcPr>
          <w:p w14:paraId="01030DF2"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15.40</w:t>
            </w:r>
          </w:p>
        </w:tc>
        <w:tc>
          <w:tcPr>
            <w:tcW w:w="417" w:type="pct"/>
          </w:tcPr>
          <w:p w14:paraId="6D3AA66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20.72</w:t>
            </w:r>
          </w:p>
        </w:tc>
        <w:tc>
          <w:tcPr>
            <w:cnfStyle w:val="000100000000" w:firstRow="0" w:lastRow="0" w:firstColumn="0" w:lastColumn="1" w:oddVBand="0" w:evenVBand="0" w:oddHBand="0" w:evenHBand="0" w:firstRowFirstColumn="0" w:firstRowLastColumn="0" w:lastRowFirstColumn="0" w:lastRowLastColumn="0"/>
            <w:tcW w:w="361" w:type="pct"/>
          </w:tcPr>
          <w:p w14:paraId="7E0F6F33" w14:textId="77777777" w:rsidR="00B44672" w:rsidRDefault="00B44672" w:rsidP="00D5775B">
            <w:pPr>
              <w:pStyle w:val="Compact"/>
              <w:jc w:val="center"/>
            </w:pPr>
            <w:r>
              <w:t>-5.32</w:t>
            </w:r>
          </w:p>
        </w:tc>
      </w:tr>
      <w:tr w:rsidR="00B44672" w14:paraId="75C0A920"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2FA4AE9E" w14:textId="77777777" w:rsidR="00B44672" w:rsidRDefault="00B44672" w:rsidP="00D5775B">
            <w:pPr>
              <w:pStyle w:val="Compact"/>
            </w:pPr>
            <w:r>
              <w:t>Low-income homeowner</w:t>
            </w:r>
          </w:p>
        </w:tc>
        <w:tc>
          <w:tcPr>
            <w:tcW w:w="448" w:type="pct"/>
          </w:tcPr>
          <w:p w14:paraId="5BCBA52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1,660</w:t>
            </w:r>
          </w:p>
        </w:tc>
        <w:tc>
          <w:tcPr>
            <w:tcW w:w="440" w:type="pct"/>
          </w:tcPr>
          <w:p w14:paraId="2E8CE859"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1,667</w:t>
            </w:r>
          </w:p>
        </w:tc>
        <w:tc>
          <w:tcPr>
            <w:tcW w:w="386" w:type="pct"/>
          </w:tcPr>
          <w:p w14:paraId="6EBA63DD"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-7</w:t>
            </w:r>
          </w:p>
        </w:tc>
        <w:tc>
          <w:tcPr>
            <w:tcW w:w="440" w:type="pct"/>
          </w:tcPr>
          <w:p w14:paraId="7F9604B3"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12,364</w:t>
            </w:r>
          </w:p>
        </w:tc>
        <w:tc>
          <w:tcPr>
            <w:tcW w:w="433" w:type="pct"/>
          </w:tcPr>
          <w:p w14:paraId="393F4B2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16,265</w:t>
            </w:r>
          </w:p>
        </w:tc>
        <w:tc>
          <w:tcPr>
            <w:tcW w:w="349" w:type="pct"/>
          </w:tcPr>
          <w:p w14:paraId="4C31ED7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-3,902</w:t>
            </w:r>
          </w:p>
        </w:tc>
        <w:tc>
          <w:tcPr>
            <w:tcW w:w="422" w:type="pct"/>
          </w:tcPr>
          <w:p w14:paraId="326F6B62"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22.70</w:t>
            </w:r>
          </w:p>
        </w:tc>
        <w:tc>
          <w:tcPr>
            <w:tcW w:w="417" w:type="pct"/>
          </w:tcPr>
          <w:p w14:paraId="77776C2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29.87</w:t>
            </w:r>
          </w:p>
        </w:tc>
        <w:tc>
          <w:tcPr>
            <w:cnfStyle w:val="000100000000" w:firstRow="0" w:lastRow="0" w:firstColumn="0" w:lastColumn="1" w:oddVBand="0" w:evenVBand="0" w:oddHBand="0" w:evenHBand="0" w:firstRowFirstColumn="0" w:firstRowLastColumn="0" w:lastRowFirstColumn="0" w:lastRowLastColumn="0"/>
            <w:tcW w:w="361" w:type="pct"/>
          </w:tcPr>
          <w:p w14:paraId="3B7E4242" w14:textId="77777777" w:rsidR="00B44672" w:rsidRDefault="00B44672" w:rsidP="00D5775B">
            <w:pPr>
              <w:pStyle w:val="Compact"/>
              <w:jc w:val="center"/>
            </w:pPr>
            <w:r>
              <w:t>-7.17</w:t>
            </w:r>
          </w:p>
        </w:tc>
      </w:tr>
      <w:tr w:rsidR="00B44672" w14:paraId="25AE231E"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7B2537F1" w14:textId="77777777" w:rsidR="00B44672" w:rsidRDefault="00B44672" w:rsidP="00D5775B">
            <w:pPr>
              <w:pStyle w:val="Compact"/>
            </w:pPr>
            <w:r>
              <w:t>Low-income renter</w:t>
            </w:r>
          </w:p>
        </w:tc>
        <w:tc>
          <w:tcPr>
            <w:tcW w:w="448" w:type="pct"/>
          </w:tcPr>
          <w:p w14:paraId="5DE01A8D"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561</w:t>
            </w:r>
          </w:p>
        </w:tc>
        <w:tc>
          <w:tcPr>
            <w:tcW w:w="440" w:type="pct"/>
          </w:tcPr>
          <w:p w14:paraId="796772C1"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553</w:t>
            </w:r>
          </w:p>
        </w:tc>
        <w:tc>
          <w:tcPr>
            <w:tcW w:w="386" w:type="pct"/>
          </w:tcPr>
          <w:p w14:paraId="10AA46A9"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440" w:type="pct"/>
          </w:tcPr>
          <w:p w14:paraId="6F656E46"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7,608</w:t>
            </w:r>
          </w:p>
        </w:tc>
        <w:tc>
          <w:tcPr>
            <w:tcW w:w="433" w:type="pct"/>
          </w:tcPr>
          <w:p w14:paraId="21446C11"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9,868</w:t>
            </w:r>
          </w:p>
        </w:tc>
        <w:tc>
          <w:tcPr>
            <w:tcW w:w="349" w:type="pct"/>
          </w:tcPr>
          <w:p w14:paraId="58F28CB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-2,261</w:t>
            </w:r>
          </w:p>
        </w:tc>
        <w:tc>
          <w:tcPr>
            <w:tcW w:w="422" w:type="pct"/>
          </w:tcPr>
          <w:p w14:paraId="6C0DE9D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15.77</w:t>
            </w:r>
          </w:p>
        </w:tc>
        <w:tc>
          <w:tcPr>
            <w:tcW w:w="417" w:type="pct"/>
          </w:tcPr>
          <w:p w14:paraId="6CD13D1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20.90</w:t>
            </w:r>
          </w:p>
        </w:tc>
        <w:tc>
          <w:tcPr>
            <w:cnfStyle w:val="000100000000" w:firstRow="0" w:lastRow="0" w:firstColumn="0" w:lastColumn="1" w:oddVBand="0" w:evenVBand="0" w:oddHBand="0" w:evenHBand="0" w:firstRowFirstColumn="0" w:firstRowLastColumn="0" w:lastRowFirstColumn="0" w:lastRowLastColumn="0"/>
            <w:tcW w:w="361" w:type="pct"/>
          </w:tcPr>
          <w:p w14:paraId="32208C2B" w14:textId="77777777" w:rsidR="00B44672" w:rsidRDefault="00B44672" w:rsidP="00D5775B">
            <w:pPr>
              <w:pStyle w:val="Compact"/>
              <w:jc w:val="center"/>
            </w:pPr>
            <w:r>
              <w:t>-5.13</w:t>
            </w:r>
          </w:p>
        </w:tc>
      </w:tr>
      <w:tr w:rsidR="00B44672" w14:paraId="64570D6F"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2485F30B" w14:textId="77777777" w:rsidR="00B44672" w:rsidRDefault="00B44672" w:rsidP="00D5775B">
            <w:pPr>
              <w:pStyle w:val="Compact"/>
            </w:pPr>
            <w:r>
              <w:t>Middle-income homeowner</w:t>
            </w:r>
          </w:p>
        </w:tc>
        <w:tc>
          <w:tcPr>
            <w:tcW w:w="448" w:type="pct"/>
          </w:tcPr>
          <w:p w14:paraId="41C9A8DD"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1,840</w:t>
            </w:r>
          </w:p>
        </w:tc>
        <w:tc>
          <w:tcPr>
            <w:tcW w:w="440" w:type="pct"/>
          </w:tcPr>
          <w:p w14:paraId="7060052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1,837</w:t>
            </w:r>
          </w:p>
        </w:tc>
        <w:tc>
          <w:tcPr>
            <w:tcW w:w="386" w:type="pct"/>
          </w:tcPr>
          <w:p w14:paraId="2EB234A2"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w:t>
            </w:r>
          </w:p>
        </w:tc>
        <w:tc>
          <w:tcPr>
            <w:tcW w:w="440" w:type="pct"/>
          </w:tcPr>
          <w:p w14:paraId="0599FCC1"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19,661</w:t>
            </w:r>
          </w:p>
        </w:tc>
        <w:tc>
          <w:tcPr>
            <w:tcW w:w="433" w:type="pct"/>
          </w:tcPr>
          <w:p w14:paraId="7F8219AD"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25,456</w:t>
            </w:r>
          </w:p>
        </w:tc>
        <w:tc>
          <w:tcPr>
            <w:tcW w:w="349" w:type="pct"/>
          </w:tcPr>
          <w:p w14:paraId="3D20107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-5,795</w:t>
            </w:r>
          </w:p>
        </w:tc>
        <w:tc>
          <w:tcPr>
            <w:tcW w:w="422" w:type="pct"/>
          </w:tcPr>
          <w:p w14:paraId="122365A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22.65</w:t>
            </w:r>
          </w:p>
        </w:tc>
        <w:tc>
          <w:tcPr>
            <w:tcW w:w="417" w:type="pct"/>
          </w:tcPr>
          <w:p w14:paraId="72FF0CF5"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29.31</w:t>
            </w:r>
          </w:p>
        </w:tc>
        <w:tc>
          <w:tcPr>
            <w:cnfStyle w:val="000100000000" w:firstRow="0" w:lastRow="0" w:firstColumn="0" w:lastColumn="1" w:oddVBand="0" w:evenVBand="0" w:oddHBand="0" w:evenHBand="0" w:firstRowFirstColumn="0" w:firstRowLastColumn="0" w:lastRowFirstColumn="0" w:lastRowLastColumn="0"/>
            <w:tcW w:w="361" w:type="pct"/>
          </w:tcPr>
          <w:p w14:paraId="3DA0FEAD" w14:textId="77777777" w:rsidR="00B44672" w:rsidRDefault="00B44672" w:rsidP="00D5775B">
            <w:pPr>
              <w:pStyle w:val="Compact"/>
              <w:jc w:val="center"/>
            </w:pPr>
            <w:r>
              <w:t>-6.66</w:t>
            </w:r>
          </w:p>
        </w:tc>
      </w:tr>
      <w:tr w:rsidR="00B44672" w14:paraId="0D29FF7D"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7AAB4C50" w14:textId="77777777" w:rsidR="00B44672" w:rsidRDefault="00B44672" w:rsidP="00D5775B">
            <w:pPr>
              <w:pStyle w:val="Compact"/>
            </w:pPr>
            <w:r>
              <w:t>Middle-income renter</w:t>
            </w:r>
          </w:p>
        </w:tc>
        <w:tc>
          <w:tcPr>
            <w:tcW w:w="448" w:type="pct"/>
          </w:tcPr>
          <w:p w14:paraId="189B95F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1,462</w:t>
            </w:r>
          </w:p>
        </w:tc>
        <w:tc>
          <w:tcPr>
            <w:tcW w:w="440" w:type="pct"/>
          </w:tcPr>
          <w:p w14:paraId="23D51D2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1,414</w:t>
            </w:r>
          </w:p>
        </w:tc>
        <w:tc>
          <w:tcPr>
            <w:tcW w:w="386" w:type="pct"/>
          </w:tcPr>
          <w:p w14:paraId="41CBC3F2"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48</w:t>
            </w:r>
          </w:p>
        </w:tc>
        <w:tc>
          <w:tcPr>
            <w:tcW w:w="440" w:type="pct"/>
          </w:tcPr>
          <w:p w14:paraId="4128FAE6"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11,418</w:t>
            </w:r>
          </w:p>
        </w:tc>
        <w:tc>
          <w:tcPr>
            <w:tcW w:w="433" w:type="pct"/>
          </w:tcPr>
          <w:p w14:paraId="5C2E172E"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15,779</w:t>
            </w:r>
          </w:p>
        </w:tc>
        <w:tc>
          <w:tcPr>
            <w:tcW w:w="349" w:type="pct"/>
          </w:tcPr>
          <w:p w14:paraId="6F3C2071"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-4,361</w:t>
            </w:r>
          </w:p>
        </w:tc>
        <w:tc>
          <w:tcPr>
            <w:tcW w:w="422" w:type="pct"/>
          </w:tcPr>
          <w:p w14:paraId="70B57BFE"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17.17</w:t>
            </w:r>
          </w:p>
        </w:tc>
        <w:tc>
          <w:tcPr>
            <w:tcW w:w="417" w:type="pct"/>
          </w:tcPr>
          <w:p w14:paraId="7D62C3AB"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23.67</w:t>
            </w:r>
          </w:p>
        </w:tc>
        <w:tc>
          <w:tcPr>
            <w:cnfStyle w:val="000100000000" w:firstRow="0" w:lastRow="0" w:firstColumn="0" w:lastColumn="1" w:oddVBand="0" w:evenVBand="0" w:oddHBand="0" w:evenHBand="0" w:firstRowFirstColumn="0" w:firstRowLastColumn="0" w:lastRowFirstColumn="0" w:lastRowLastColumn="0"/>
            <w:tcW w:w="361" w:type="pct"/>
          </w:tcPr>
          <w:p w14:paraId="50F975D3" w14:textId="77777777" w:rsidR="00B44672" w:rsidRDefault="00B44672" w:rsidP="00D5775B">
            <w:pPr>
              <w:pStyle w:val="Compact"/>
              <w:jc w:val="center"/>
            </w:pPr>
            <w:r>
              <w:t>-6.50</w:t>
            </w:r>
          </w:p>
        </w:tc>
      </w:tr>
      <w:tr w:rsidR="00B44672" w14:paraId="1266861A"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1F3B1E1A" w14:textId="77777777" w:rsidR="00B44672" w:rsidRDefault="00B44672" w:rsidP="00D5775B">
            <w:pPr>
              <w:pStyle w:val="Compact"/>
            </w:pPr>
            <w:r>
              <w:t>Pensioner homeowner</w:t>
            </w:r>
          </w:p>
        </w:tc>
        <w:tc>
          <w:tcPr>
            <w:tcW w:w="448" w:type="pct"/>
          </w:tcPr>
          <w:p w14:paraId="39FE8E0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1,049</w:t>
            </w:r>
          </w:p>
        </w:tc>
        <w:tc>
          <w:tcPr>
            <w:tcW w:w="440" w:type="pct"/>
          </w:tcPr>
          <w:p w14:paraId="759C9B4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1,052</w:t>
            </w:r>
          </w:p>
        </w:tc>
        <w:tc>
          <w:tcPr>
            <w:tcW w:w="386" w:type="pct"/>
          </w:tcPr>
          <w:p w14:paraId="13FDFE16"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440" w:type="pct"/>
          </w:tcPr>
          <w:p w14:paraId="12095F3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15,047</w:t>
            </w:r>
          </w:p>
        </w:tc>
        <w:tc>
          <w:tcPr>
            <w:tcW w:w="433" w:type="pct"/>
          </w:tcPr>
          <w:p w14:paraId="0C97B1C8"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18,599</w:t>
            </w:r>
          </w:p>
        </w:tc>
        <w:tc>
          <w:tcPr>
            <w:tcW w:w="349" w:type="pct"/>
          </w:tcPr>
          <w:p w14:paraId="328BFA7B"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-3,552</w:t>
            </w:r>
          </w:p>
        </w:tc>
        <w:tc>
          <w:tcPr>
            <w:tcW w:w="422" w:type="pct"/>
          </w:tcPr>
          <w:p w14:paraId="3F151CB2"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21.57</w:t>
            </w:r>
          </w:p>
        </w:tc>
        <w:tc>
          <w:tcPr>
            <w:tcW w:w="417" w:type="pct"/>
          </w:tcPr>
          <w:p w14:paraId="27FAB49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26.74</w:t>
            </w:r>
          </w:p>
        </w:tc>
        <w:tc>
          <w:tcPr>
            <w:cnfStyle w:val="000100000000" w:firstRow="0" w:lastRow="0" w:firstColumn="0" w:lastColumn="1" w:oddVBand="0" w:evenVBand="0" w:oddHBand="0" w:evenHBand="0" w:firstRowFirstColumn="0" w:firstRowLastColumn="0" w:lastRowFirstColumn="0" w:lastRowLastColumn="0"/>
            <w:tcW w:w="361" w:type="pct"/>
          </w:tcPr>
          <w:p w14:paraId="57EF4CEA" w14:textId="77777777" w:rsidR="00B44672" w:rsidRDefault="00B44672" w:rsidP="00D5775B">
            <w:pPr>
              <w:pStyle w:val="Compact"/>
              <w:jc w:val="center"/>
            </w:pPr>
            <w:r>
              <w:t>-5.17</w:t>
            </w:r>
          </w:p>
        </w:tc>
      </w:tr>
      <w:tr w:rsidR="00B44672" w14:paraId="06875093"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023345CD" w14:textId="77777777" w:rsidR="00B44672" w:rsidRDefault="00B44672" w:rsidP="00D5775B">
            <w:pPr>
              <w:pStyle w:val="Compact"/>
            </w:pPr>
            <w:r>
              <w:t>Pensioner renter</w:t>
            </w:r>
          </w:p>
        </w:tc>
        <w:tc>
          <w:tcPr>
            <w:tcW w:w="448" w:type="pct"/>
          </w:tcPr>
          <w:p w14:paraId="04097F5A"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40" w:type="pct"/>
          </w:tcPr>
          <w:p w14:paraId="7B6743CF"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386" w:type="pct"/>
          </w:tcPr>
          <w:p w14:paraId="43A16229"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0" w:type="pct"/>
          </w:tcPr>
          <w:p w14:paraId="213FA746"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9,078</w:t>
            </w:r>
          </w:p>
        </w:tc>
        <w:tc>
          <w:tcPr>
            <w:tcW w:w="433" w:type="pct"/>
          </w:tcPr>
          <w:p w14:paraId="2200DCE2"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11,698</w:t>
            </w:r>
          </w:p>
        </w:tc>
        <w:tc>
          <w:tcPr>
            <w:tcW w:w="349" w:type="pct"/>
          </w:tcPr>
          <w:p w14:paraId="16268346"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-2,620</w:t>
            </w:r>
          </w:p>
        </w:tc>
        <w:tc>
          <w:tcPr>
            <w:tcW w:w="422" w:type="pct"/>
          </w:tcPr>
          <w:p w14:paraId="5E86DE9B"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18.47</w:t>
            </w:r>
          </w:p>
        </w:tc>
        <w:tc>
          <w:tcPr>
            <w:tcW w:w="417" w:type="pct"/>
          </w:tcPr>
          <w:p w14:paraId="7716D9C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23.81</w:t>
            </w:r>
          </w:p>
        </w:tc>
        <w:tc>
          <w:tcPr>
            <w:cnfStyle w:val="000100000000" w:firstRow="0" w:lastRow="0" w:firstColumn="0" w:lastColumn="1" w:oddVBand="0" w:evenVBand="0" w:oddHBand="0" w:evenHBand="0" w:firstRowFirstColumn="0" w:firstRowLastColumn="0" w:lastRowFirstColumn="0" w:lastRowLastColumn="0"/>
            <w:tcW w:w="361" w:type="pct"/>
          </w:tcPr>
          <w:p w14:paraId="42AD1EE7" w14:textId="77777777" w:rsidR="00B44672" w:rsidRDefault="00B44672" w:rsidP="00D5775B">
            <w:pPr>
              <w:pStyle w:val="Compact"/>
              <w:jc w:val="center"/>
            </w:pPr>
            <w:r>
              <w:t>-5.33</w:t>
            </w:r>
          </w:p>
        </w:tc>
      </w:tr>
      <w:tr w:rsidR="00B44672" w14:paraId="2D6DFAB3" w14:textId="77777777" w:rsidTr="00D5775B">
        <w:trPr>
          <w:jc w:val="center"/>
        </w:trPr>
        <w:tc>
          <w:tcPr>
            <w:cnfStyle w:val="001000000000" w:firstRow="0" w:lastRow="0" w:firstColumn="1" w:lastColumn="0" w:oddVBand="0" w:evenVBand="0" w:oddHBand="0" w:evenHBand="0" w:firstRowFirstColumn="0" w:firstRowLastColumn="0" w:lastRowFirstColumn="0" w:lastRowLastColumn="0"/>
            <w:tcW w:w="1304" w:type="pct"/>
          </w:tcPr>
          <w:p w14:paraId="102AC3EA" w14:textId="77777777" w:rsidR="00B44672" w:rsidRDefault="00B44672" w:rsidP="00D5775B">
            <w:pPr>
              <w:pStyle w:val="Compact"/>
            </w:pPr>
            <w:r>
              <w:t>Female-headed homeowner</w:t>
            </w:r>
          </w:p>
        </w:tc>
        <w:tc>
          <w:tcPr>
            <w:tcW w:w="448" w:type="pct"/>
          </w:tcPr>
          <w:p w14:paraId="53AA9770"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3,222</w:t>
            </w:r>
          </w:p>
        </w:tc>
        <w:tc>
          <w:tcPr>
            <w:tcW w:w="440" w:type="pct"/>
          </w:tcPr>
          <w:p w14:paraId="52807CB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3,215</w:t>
            </w:r>
          </w:p>
        </w:tc>
        <w:tc>
          <w:tcPr>
            <w:tcW w:w="386" w:type="pct"/>
          </w:tcPr>
          <w:p w14:paraId="263CD72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440" w:type="pct"/>
          </w:tcPr>
          <w:p w14:paraId="07163A1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17,621</w:t>
            </w:r>
          </w:p>
        </w:tc>
        <w:tc>
          <w:tcPr>
            <w:tcW w:w="433" w:type="pct"/>
          </w:tcPr>
          <w:p w14:paraId="7ABEB501"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22,698</w:t>
            </w:r>
          </w:p>
        </w:tc>
        <w:tc>
          <w:tcPr>
            <w:tcW w:w="349" w:type="pct"/>
          </w:tcPr>
          <w:p w14:paraId="0132D9D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-5,077</w:t>
            </w:r>
          </w:p>
        </w:tc>
        <w:tc>
          <w:tcPr>
            <w:tcW w:w="422" w:type="pct"/>
          </w:tcPr>
          <w:p w14:paraId="16DC6F04"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17.46</w:t>
            </w:r>
          </w:p>
        </w:tc>
        <w:tc>
          <w:tcPr>
            <w:tcW w:w="417" w:type="pct"/>
          </w:tcPr>
          <w:p w14:paraId="219BB8BC" w14:textId="77777777" w:rsidR="00B44672" w:rsidRDefault="00B44672" w:rsidP="00D5775B">
            <w:pPr>
              <w:pStyle w:val="Compact"/>
              <w:jc w:val="center"/>
              <w:cnfStyle w:val="000000000000" w:firstRow="0" w:lastRow="0" w:firstColumn="0" w:lastColumn="0" w:oddVBand="0" w:evenVBand="0" w:oddHBand="0" w:evenHBand="0" w:firstRowFirstColumn="0" w:firstRowLastColumn="0" w:lastRowFirstColumn="0" w:lastRowLastColumn="0"/>
            </w:pPr>
            <w:r>
              <w:t>22.54</w:t>
            </w:r>
          </w:p>
        </w:tc>
        <w:tc>
          <w:tcPr>
            <w:cnfStyle w:val="000100000000" w:firstRow="0" w:lastRow="0" w:firstColumn="0" w:lastColumn="1" w:oddVBand="0" w:evenVBand="0" w:oddHBand="0" w:evenHBand="0" w:firstRowFirstColumn="0" w:firstRowLastColumn="0" w:lastRowFirstColumn="0" w:lastRowLastColumn="0"/>
            <w:tcW w:w="361" w:type="pct"/>
          </w:tcPr>
          <w:p w14:paraId="6E0ABFD3" w14:textId="77777777" w:rsidR="00B44672" w:rsidRDefault="00B44672" w:rsidP="00D5775B">
            <w:pPr>
              <w:pStyle w:val="Compact"/>
              <w:jc w:val="center"/>
            </w:pPr>
            <w:r>
              <w:t>-5.08</w:t>
            </w:r>
          </w:p>
        </w:tc>
      </w:tr>
      <w:tr w:rsidR="00B44672" w14:paraId="5E04E29D" w14:textId="77777777" w:rsidTr="00D5775B">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4" w:type="pct"/>
          </w:tcPr>
          <w:p w14:paraId="6F377C9E" w14:textId="77777777" w:rsidR="00B44672" w:rsidRDefault="00B44672" w:rsidP="00D5775B">
            <w:pPr>
              <w:pStyle w:val="Compact"/>
            </w:pPr>
            <w:r>
              <w:t>Female-headed renter</w:t>
            </w:r>
          </w:p>
        </w:tc>
        <w:tc>
          <w:tcPr>
            <w:tcW w:w="448" w:type="pct"/>
          </w:tcPr>
          <w:p w14:paraId="3EB4A033" w14:textId="77777777" w:rsidR="00B44672" w:rsidRDefault="00B44672" w:rsidP="00D5775B">
            <w:pPr>
              <w:pStyle w:val="Compact"/>
              <w:jc w:val="center"/>
              <w:cnfStyle w:val="010000000000" w:firstRow="0" w:lastRow="1" w:firstColumn="0" w:lastColumn="0" w:oddVBand="0" w:evenVBand="0" w:oddHBand="0" w:evenHBand="0" w:firstRowFirstColumn="0" w:firstRowLastColumn="0" w:lastRowFirstColumn="0" w:lastRowLastColumn="0"/>
            </w:pPr>
            <w:r>
              <w:t>1,617</w:t>
            </w:r>
          </w:p>
        </w:tc>
        <w:tc>
          <w:tcPr>
            <w:tcW w:w="440" w:type="pct"/>
          </w:tcPr>
          <w:p w14:paraId="3272A676" w14:textId="77777777" w:rsidR="00B44672" w:rsidRDefault="00B44672" w:rsidP="00D5775B">
            <w:pPr>
              <w:pStyle w:val="Compact"/>
              <w:jc w:val="center"/>
              <w:cnfStyle w:val="010000000000" w:firstRow="0" w:lastRow="1" w:firstColumn="0" w:lastColumn="0" w:oddVBand="0" w:evenVBand="0" w:oddHBand="0" w:evenHBand="0" w:firstRowFirstColumn="0" w:firstRowLastColumn="0" w:lastRowFirstColumn="0" w:lastRowLastColumn="0"/>
            </w:pPr>
            <w:r>
              <w:t>1,545</w:t>
            </w:r>
          </w:p>
        </w:tc>
        <w:tc>
          <w:tcPr>
            <w:tcW w:w="386" w:type="pct"/>
          </w:tcPr>
          <w:p w14:paraId="7368BFDA" w14:textId="77777777" w:rsidR="00B44672" w:rsidRDefault="00B44672" w:rsidP="00D5775B">
            <w:pPr>
              <w:pStyle w:val="Compact"/>
              <w:jc w:val="center"/>
              <w:cnfStyle w:val="010000000000" w:firstRow="0" w:lastRow="1" w:firstColumn="0" w:lastColumn="0" w:oddVBand="0" w:evenVBand="0" w:oddHBand="0" w:evenHBand="0" w:firstRowFirstColumn="0" w:firstRowLastColumn="0" w:lastRowFirstColumn="0" w:lastRowLastColumn="0"/>
            </w:pPr>
            <w:r>
              <w:t>73</w:t>
            </w:r>
          </w:p>
        </w:tc>
        <w:tc>
          <w:tcPr>
            <w:tcW w:w="440" w:type="pct"/>
          </w:tcPr>
          <w:p w14:paraId="1494F6E0" w14:textId="77777777" w:rsidR="00B44672" w:rsidRDefault="00B44672" w:rsidP="00D5775B">
            <w:pPr>
              <w:pStyle w:val="Compact"/>
              <w:jc w:val="center"/>
              <w:cnfStyle w:val="010000000000" w:firstRow="0" w:lastRow="1" w:firstColumn="0" w:lastColumn="0" w:oddVBand="0" w:evenVBand="0" w:oddHBand="0" w:evenHBand="0" w:firstRowFirstColumn="0" w:firstRowLastColumn="0" w:lastRowFirstColumn="0" w:lastRowLastColumn="0"/>
            </w:pPr>
            <w:r>
              <w:t>12,935</w:t>
            </w:r>
          </w:p>
        </w:tc>
        <w:tc>
          <w:tcPr>
            <w:tcW w:w="433" w:type="pct"/>
          </w:tcPr>
          <w:p w14:paraId="31CF9969" w14:textId="77777777" w:rsidR="00B44672" w:rsidRDefault="00B44672" w:rsidP="00D5775B">
            <w:pPr>
              <w:pStyle w:val="Compact"/>
              <w:jc w:val="center"/>
              <w:cnfStyle w:val="010000000000" w:firstRow="0" w:lastRow="1" w:firstColumn="0" w:lastColumn="0" w:oddVBand="0" w:evenVBand="0" w:oddHBand="0" w:evenHBand="0" w:firstRowFirstColumn="0" w:firstRowLastColumn="0" w:lastRowFirstColumn="0" w:lastRowLastColumn="0"/>
            </w:pPr>
            <w:r>
              <w:t>17,613</w:t>
            </w:r>
          </w:p>
        </w:tc>
        <w:tc>
          <w:tcPr>
            <w:tcW w:w="349" w:type="pct"/>
          </w:tcPr>
          <w:p w14:paraId="043D272B" w14:textId="77777777" w:rsidR="00B44672" w:rsidRDefault="00B44672" w:rsidP="00D5775B">
            <w:pPr>
              <w:pStyle w:val="Compact"/>
              <w:jc w:val="center"/>
              <w:cnfStyle w:val="010000000000" w:firstRow="0" w:lastRow="1" w:firstColumn="0" w:lastColumn="0" w:oddVBand="0" w:evenVBand="0" w:oddHBand="0" w:evenHBand="0" w:firstRowFirstColumn="0" w:firstRowLastColumn="0" w:lastRowFirstColumn="0" w:lastRowLastColumn="0"/>
            </w:pPr>
            <w:r>
              <w:t>-4,678</w:t>
            </w:r>
          </w:p>
        </w:tc>
        <w:tc>
          <w:tcPr>
            <w:tcW w:w="422" w:type="pct"/>
          </w:tcPr>
          <w:p w14:paraId="39143DD1" w14:textId="77777777" w:rsidR="00B44672" w:rsidRDefault="00B44672" w:rsidP="00D5775B">
            <w:pPr>
              <w:pStyle w:val="Compact"/>
              <w:jc w:val="center"/>
              <w:cnfStyle w:val="010000000000" w:firstRow="0" w:lastRow="1" w:firstColumn="0" w:lastColumn="0" w:oddVBand="0" w:evenVBand="0" w:oddHBand="0" w:evenHBand="0" w:firstRowFirstColumn="0" w:firstRowLastColumn="0" w:lastRowFirstColumn="0" w:lastRowLastColumn="0"/>
            </w:pPr>
            <w:r>
              <w:t>15.51</w:t>
            </w:r>
          </w:p>
        </w:tc>
        <w:tc>
          <w:tcPr>
            <w:tcW w:w="417" w:type="pct"/>
          </w:tcPr>
          <w:p w14:paraId="5894404F" w14:textId="77777777" w:rsidR="00B44672" w:rsidRDefault="00B44672" w:rsidP="00D5775B">
            <w:pPr>
              <w:pStyle w:val="Compact"/>
              <w:jc w:val="center"/>
              <w:cnfStyle w:val="010000000000" w:firstRow="0" w:lastRow="1" w:firstColumn="0" w:lastColumn="0" w:oddVBand="0" w:evenVBand="0" w:oddHBand="0" w:evenHBand="0" w:firstRowFirstColumn="0" w:firstRowLastColumn="0" w:lastRowFirstColumn="0" w:lastRowLastColumn="0"/>
            </w:pPr>
            <w:r>
              <w:t>21.11</w:t>
            </w:r>
          </w:p>
        </w:tc>
        <w:tc>
          <w:tcPr>
            <w:cnfStyle w:val="000100000000" w:firstRow="0" w:lastRow="0" w:firstColumn="0" w:lastColumn="1" w:oddVBand="0" w:evenVBand="0" w:oddHBand="0" w:evenHBand="0" w:firstRowFirstColumn="0" w:firstRowLastColumn="0" w:lastRowFirstColumn="0" w:lastRowLastColumn="0"/>
            <w:tcW w:w="361" w:type="pct"/>
          </w:tcPr>
          <w:p w14:paraId="4A73F82E" w14:textId="77777777" w:rsidR="00B44672" w:rsidRDefault="00B44672" w:rsidP="00D5775B">
            <w:pPr>
              <w:pStyle w:val="Compact"/>
              <w:jc w:val="center"/>
            </w:pPr>
            <w:r>
              <w:t>-5.60</w:t>
            </w:r>
          </w:p>
        </w:tc>
      </w:tr>
    </w:tbl>
    <w:p w14:paraId="7C767C12" w14:textId="77777777" w:rsidR="00B44672" w:rsidRDefault="00B44672">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6882B2FA" w14:textId="77777777" w:rsidR="00B44672" w:rsidRDefault="00B44672">
      <w:pPr>
        <w:jc w:val="left"/>
      </w:pPr>
      <w:r>
        <w:br w:type="page"/>
      </w:r>
    </w:p>
    <w:p w14:paraId="79190525" w14:textId="77777777" w:rsidR="00B44672" w:rsidRDefault="00B44672" w:rsidP="00C83581">
      <w:pPr>
        <w:pStyle w:val="TableCaption"/>
      </w:pPr>
      <w:r>
        <w:lastRenderedPageBreak/>
        <w:t>Table 9a - The impact of tax reform on stamp duty paid by sub-group, average 2012 – 2018 (keep only those purchasing properties in both new and old policies)</w:t>
      </w:r>
    </w:p>
    <w:tbl>
      <w:tblPr>
        <w:tblStyle w:val="Table"/>
        <w:tblW w:w="4938" w:type="pct"/>
        <w:jc w:val="center"/>
        <w:tblCellMar>
          <w:left w:w="0" w:type="dxa"/>
          <w:right w:w="0" w:type="dxa"/>
        </w:tblCellMar>
        <w:tblLook w:val="07E0" w:firstRow="1" w:lastRow="1" w:firstColumn="1" w:lastColumn="1" w:noHBand="1" w:noVBand="1"/>
        <w:tblCaption w:val="Table 9a - The impact of tax reform on stamp duty paid by sub-group, average 2012 – 2018 (keep only those purchasing properties in both new and old policies)"/>
      </w:tblPr>
      <w:tblGrid>
        <w:gridCol w:w="2871"/>
        <w:gridCol w:w="909"/>
        <w:gridCol w:w="899"/>
        <w:gridCol w:w="882"/>
        <w:gridCol w:w="720"/>
        <w:gridCol w:w="868"/>
        <w:gridCol w:w="852"/>
        <w:gridCol w:w="913"/>
      </w:tblGrid>
      <w:tr w:rsidR="00B44672" w14:paraId="2DEDA606" w14:textId="77777777" w:rsidTr="00155A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0" w:type="pct"/>
            <w:tcBorders>
              <w:bottom w:val="single" w:sz="0" w:space="0" w:color="auto"/>
            </w:tcBorders>
            <w:vAlign w:val="bottom"/>
          </w:tcPr>
          <w:p w14:paraId="4FE764F6" w14:textId="77777777" w:rsidR="00B44672" w:rsidRDefault="00B44672" w:rsidP="000511CA"/>
        </w:tc>
        <w:tc>
          <w:tcPr>
            <w:tcW w:w="510" w:type="pct"/>
            <w:tcBorders>
              <w:bottom w:val="single" w:sz="0" w:space="0" w:color="auto"/>
            </w:tcBorders>
            <w:vAlign w:val="bottom"/>
          </w:tcPr>
          <w:p w14:paraId="7B190968"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Both tax policies - # affected</w:t>
            </w:r>
          </w:p>
        </w:tc>
        <w:tc>
          <w:tcPr>
            <w:tcW w:w="504" w:type="pct"/>
            <w:tcBorders>
              <w:bottom w:val="single" w:sz="0" w:space="0" w:color="auto"/>
            </w:tcBorders>
            <w:vAlign w:val="bottom"/>
          </w:tcPr>
          <w:p w14:paraId="0A8AC508"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stamp duty</w:t>
            </w:r>
          </w:p>
          <w:p w14:paraId="08B58D44"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95" w:type="pct"/>
            <w:tcBorders>
              <w:bottom w:val="single" w:sz="0" w:space="0" w:color="auto"/>
            </w:tcBorders>
            <w:vAlign w:val="bottom"/>
          </w:tcPr>
          <w:p w14:paraId="37F91683"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stamp duty</w:t>
            </w:r>
          </w:p>
          <w:p w14:paraId="69E16AE4"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04" w:type="pct"/>
            <w:tcBorders>
              <w:bottom w:val="single" w:sz="0" w:space="0" w:color="auto"/>
            </w:tcBorders>
            <w:vAlign w:val="bottom"/>
          </w:tcPr>
          <w:p w14:paraId="07CE9BBA"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stamp duty</w:t>
            </w:r>
          </w:p>
          <w:p w14:paraId="1C38DB74"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87" w:type="pct"/>
            <w:tcBorders>
              <w:bottom w:val="single" w:sz="0" w:space="0" w:color="auto"/>
            </w:tcBorders>
            <w:vAlign w:val="bottom"/>
          </w:tcPr>
          <w:p w14:paraId="4C47C369"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78" w:type="pct"/>
            <w:tcBorders>
              <w:bottom w:val="single" w:sz="0" w:space="0" w:color="auto"/>
            </w:tcBorders>
            <w:vAlign w:val="bottom"/>
          </w:tcPr>
          <w:p w14:paraId="78207DEA"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512" w:type="pct"/>
            <w:tcBorders>
              <w:bottom w:val="single" w:sz="0" w:space="0" w:color="auto"/>
            </w:tcBorders>
            <w:vAlign w:val="bottom"/>
          </w:tcPr>
          <w:p w14:paraId="118B73FF" w14:textId="77777777" w:rsidR="00B44672" w:rsidRDefault="00B44672" w:rsidP="000511CA">
            <w:pPr>
              <w:pStyle w:val="Compact"/>
              <w:jc w:val="center"/>
            </w:pPr>
            <w:r>
              <w:t>Diff - % point change in income</w:t>
            </w:r>
          </w:p>
        </w:tc>
      </w:tr>
      <w:tr w:rsidR="00B44672" w14:paraId="6843D179"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11070A5A" w14:textId="77777777" w:rsidR="00B44672" w:rsidRDefault="00B44672" w:rsidP="006E7C43">
            <w:pPr>
              <w:pStyle w:val="Compact"/>
            </w:pPr>
            <w:r w:rsidRPr="00AF6491">
              <w:rPr>
                <w:b/>
                <w:i/>
                <w:iCs/>
                <w:color w:val="365F91" w:themeColor="accent1" w:themeShade="BF"/>
              </w:rPr>
              <w:t>No price change</w:t>
            </w:r>
          </w:p>
        </w:tc>
        <w:tc>
          <w:tcPr>
            <w:tcW w:w="510" w:type="pct"/>
          </w:tcPr>
          <w:p w14:paraId="5624CDD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504" w:type="pct"/>
          </w:tcPr>
          <w:p w14:paraId="5CF8FB2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95" w:type="pct"/>
          </w:tcPr>
          <w:p w14:paraId="56C80FC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04" w:type="pct"/>
          </w:tcPr>
          <w:p w14:paraId="54118AB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87" w:type="pct"/>
          </w:tcPr>
          <w:p w14:paraId="4002CD3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78" w:type="pct"/>
          </w:tcPr>
          <w:p w14:paraId="4687AF2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12" w:type="pct"/>
          </w:tcPr>
          <w:p w14:paraId="5E57C595" w14:textId="77777777" w:rsidR="00B44672" w:rsidRDefault="00B44672" w:rsidP="006E7C43">
            <w:pPr>
              <w:pStyle w:val="Compact"/>
              <w:jc w:val="center"/>
            </w:pPr>
          </w:p>
        </w:tc>
      </w:tr>
      <w:tr w:rsidR="00B44672" w14:paraId="68434C49"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0CC801D3" w14:textId="77777777" w:rsidR="00B44672" w:rsidRDefault="00B44672" w:rsidP="006E7C43">
            <w:pPr>
              <w:pStyle w:val="Compact"/>
            </w:pPr>
            <w:r>
              <w:t>First home buyers</w:t>
            </w:r>
          </w:p>
        </w:tc>
        <w:tc>
          <w:tcPr>
            <w:tcW w:w="510" w:type="pct"/>
          </w:tcPr>
          <w:p w14:paraId="6FFAC09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3,955</w:t>
            </w:r>
          </w:p>
        </w:tc>
        <w:tc>
          <w:tcPr>
            <w:tcW w:w="504" w:type="pct"/>
          </w:tcPr>
          <w:p w14:paraId="01BB188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13,042</w:t>
            </w:r>
          </w:p>
        </w:tc>
        <w:tc>
          <w:tcPr>
            <w:tcW w:w="495" w:type="pct"/>
          </w:tcPr>
          <w:p w14:paraId="01A8CB6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17,901</w:t>
            </w:r>
          </w:p>
        </w:tc>
        <w:tc>
          <w:tcPr>
            <w:tcW w:w="404" w:type="pct"/>
          </w:tcPr>
          <w:p w14:paraId="438F4E5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-4,859</w:t>
            </w:r>
          </w:p>
        </w:tc>
        <w:tc>
          <w:tcPr>
            <w:tcW w:w="487" w:type="pct"/>
          </w:tcPr>
          <w:p w14:paraId="6BBE158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15.52</w:t>
            </w:r>
          </w:p>
        </w:tc>
        <w:tc>
          <w:tcPr>
            <w:tcW w:w="478" w:type="pct"/>
          </w:tcPr>
          <w:p w14:paraId="764BC6C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21.30</w:t>
            </w:r>
          </w:p>
        </w:tc>
        <w:tc>
          <w:tcPr>
            <w:cnfStyle w:val="000100000000" w:firstRow="0" w:lastRow="0" w:firstColumn="0" w:lastColumn="1" w:oddVBand="0" w:evenVBand="0" w:oddHBand="0" w:evenHBand="0" w:firstRowFirstColumn="0" w:firstRowLastColumn="0" w:lastRowFirstColumn="0" w:lastRowLastColumn="0"/>
            <w:tcW w:w="512" w:type="pct"/>
          </w:tcPr>
          <w:p w14:paraId="5415ED74" w14:textId="77777777" w:rsidR="00B44672" w:rsidRDefault="00B44672" w:rsidP="006E7C43">
            <w:pPr>
              <w:pStyle w:val="Compact"/>
              <w:jc w:val="center"/>
            </w:pPr>
            <w:r>
              <w:t>-5.78</w:t>
            </w:r>
          </w:p>
        </w:tc>
      </w:tr>
      <w:tr w:rsidR="00B44672" w14:paraId="048E8E36"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78D281DB" w14:textId="77777777" w:rsidR="00B44672" w:rsidRDefault="00B44672" w:rsidP="006E7C43">
            <w:pPr>
              <w:pStyle w:val="Compact"/>
            </w:pPr>
            <w:r>
              <w:t>Low-income homeowner</w:t>
            </w:r>
          </w:p>
        </w:tc>
        <w:tc>
          <w:tcPr>
            <w:tcW w:w="510" w:type="pct"/>
          </w:tcPr>
          <w:p w14:paraId="3ECC99A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1,648</w:t>
            </w:r>
          </w:p>
        </w:tc>
        <w:tc>
          <w:tcPr>
            <w:tcW w:w="504" w:type="pct"/>
          </w:tcPr>
          <w:p w14:paraId="4A2EA50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12,356</w:t>
            </w:r>
          </w:p>
        </w:tc>
        <w:tc>
          <w:tcPr>
            <w:tcW w:w="495" w:type="pct"/>
          </w:tcPr>
          <w:p w14:paraId="7A7EF5A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16,650</w:t>
            </w:r>
          </w:p>
        </w:tc>
        <w:tc>
          <w:tcPr>
            <w:tcW w:w="404" w:type="pct"/>
          </w:tcPr>
          <w:p w14:paraId="73A40E1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-4,293</w:t>
            </w:r>
          </w:p>
        </w:tc>
        <w:tc>
          <w:tcPr>
            <w:tcW w:w="487" w:type="pct"/>
          </w:tcPr>
          <w:p w14:paraId="77BE831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22.66</w:t>
            </w:r>
          </w:p>
        </w:tc>
        <w:tc>
          <w:tcPr>
            <w:tcW w:w="478" w:type="pct"/>
          </w:tcPr>
          <w:p w14:paraId="62B8F73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30.54</w:t>
            </w:r>
          </w:p>
        </w:tc>
        <w:tc>
          <w:tcPr>
            <w:cnfStyle w:val="000100000000" w:firstRow="0" w:lastRow="0" w:firstColumn="0" w:lastColumn="1" w:oddVBand="0" w:evenVBand="0" w:oddHBand="0" w:evenHBand="0" w:firstRowFirstColumn="0" w:firstRowLastColumn="0" w:lastRowFirstColumn="0" w:lastRowLastColumn="0"/>
            <w:tcW w:w="512" w:type="pct"/>
          </w:tcPr>
          <w:p w14:paraId="6CF16A79" w14:textId="77777777" w:rsidR="00B44672" w:rsidRDefault="00B44672" w:rsidP="006E7C43">
            <w:pPr>
              <w:pStyle w:val="Compact"/>
              <w:jc w:val="center"/>
            </w:pPr>
            <w:r>
              <w:t>-7.87</w:t>
            </w:r>
          </w:p>
        </w:tc>
      </w:tr>
      <w:tr w:rsidR="00B44672" w14:paraId="03121975"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6BF2509B" w14:textId="77777777" w:rsidR="00B44672" w:rsidRDefault="00B44672" w:rsidP="006E7C43">
            <w:pPr>
              <w:pStyle w:val="Compact"/>
            </w:pPr>
            <w:r>
              <w:t>Low-income renter</w:t>
            </w:r>
          </w:p>
        </w:tc>
        <w:tc>
          <w:tcPr>
            <w:tcW w:w="510" w:type="pct"/>
          </w:tcPr>
          <w:p w14:paraId="4A0B43D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532</w:t>
            </w:r>
          </w:p>
        </w:tc>
        <w:tc>
          <w:tcPr>
            <w:tcW w:w="504" w:type="pct"/>
          </w:tcPr>
          <w:p w14:paraId="2D3680E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7,007</w:t>
            </w:r>
          </w:p>
        </w:tc>
        <w:tc>
          <w:tcPr>
            <w:tcW w:w="495" w:type="pct"/>
          </w:tcPr>
          <w:p w14:paraId="1EFCB43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9,765</w:t>
            </w:r>
          </w:p>
        </w:tc>
        <w:tc>
          <w:tcPr>
            <w:tcW w:w="404" w:type="pct"/>
          </w:tcPr>
          <w:p w14:paraId="5F99F9E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-2,759</w:t>
            </w:r>
          </w:p>
        </w:tc>
        <w:tc>
          <w:tcPr>
            <w:tcW w:w="487" w:type="pct"/>
          </w:tcPr>
          <w:p w14:paraId="3114993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15.06</w:t>
            </w:r>
          </w:p>
        </w:tc>
        <w:tc>
          <w:tcPr>
            <w:tcW w:w="478" w:type="pct"/>
          </w:tcPr>
          <w:p w14:paraId="7E46905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20.98</w:t>
            </w:r>
          </w:p>
        </w:tc>
        <w:tc>
          <w:tcPr>
            <w:cnfStyle w:val="000100000000" w:firstRow="0" w:lastRow="0" w:firstColumn="0" w:lastColumn="1" w:oddVBand="0" w:evenVBand="0" w:oddHBand="0" w:evenHBand="0" w:firstRowFirstColumn="0" w:firstRowLastColumn="0" w:lastRowFirstColumn="0" w:lastRowLastColumn="0"/>
            <w:tcW w:w="512" w:type="pct"/>
          </w:tcPr>
          <w:p w14:paraId="741C771A" w14:textId="77777777" w:rsidR="00B44672" w:rsidRDefault="00B44672" w:rsidP="006E7C43">
            <w:pPr>
              <w:pStyle w:val="Compact"/>
              <w:jc w:val="center"/>
            </w:pPr>
            <w:r>
              <w:t>-5.93</w:t>
            </w:r>
          </w:p>
        </w:tc>
      </w:tr>
      <w:tr w:rsidR="00B44672" w14:paraId="03030EC6"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68675E77" w14:textId="77777777" w:rsidR="00B44672" w:rsidRDefault="00B44672" w:rsidP="006E7C43">
            <w:pPr>
              <w:pStyle w:val="Compact"/>
            </w:pPr>
            <w:r>
              <w:t>Middle-income homeowner</w:t>
            </w:r>
          </w:p>
        </w:tc>
        <w:tc>
          <w:tcPr>
            <w:tcW w:w="510" w:type="pct"/>
          </w:tcPr>
          <w:p w14:paraId="609FE79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1,820</w:t>
            </w:r>
          </w:p>
        </w:tc>
        <w:tc>
          <w:tcPr>
            <w:tcW w:w="504" w:type="pct"/>
          </w:tcPr>
          <w:p w14:paraId="7183FC4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19,734</w:t>
            </w:r>
          </w:p>
        </w:tc>
        <w:tc>
          <w:tcPr>
            <w:tcW w:w="495" w:type="pct"/>
          </w:tcPr>
          <w:p w14:paraId="6F71C54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26,022</w:t>
            </w:r>
          </w:p>
        </w:tc>
        <w:tc>
          <w:tcPr>
            <w:tcW w:w="404" w:type="pct"/>
          </w:tcPr>
          <w:p w14:paraId="7AAAD38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-6,287</w:t>
            </w:r>
          </w:p>
        </w:tc>
        <w:tc>
          <w:tcPr>
            <w:tcW w:w="487" w:type="pct"/>
          </w:tcPr>
          <w:p w14:paraId="06825AB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22.69</w:t>
            </w:r>
          </w:p>
        </w:tc>
        <w:tc>
          <w:tcPr>
            <w:tcW w:w="478" w:type="pct"/>
          </w:tcPr>
          <w:p w14:paraId="51DF8CA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29.92</w:t>
            </w:r>
          </w:p>
        </w:tc>
        <w:tc>
          <w:tcPr>
            <w:cnfStyle w:val="000100000000" w:firstRow="0" w:lastRow="0" w:firstColumn="0" w:lastColumn="1" w:oddVBand="0" w:evenVBand="0" w:oddHBand="0" w:evenHBand="0" w:firstRowFirstColumn="0" w:firstRowLastColumn="0" w:lastRowFirstColumn="0" w:lastRowLastColumn="0"/>
            <w:tcW w:w="512" w:type="pct"/>
          </w:tcPr>
          <w:p w14:paraId="0824B366" w14:textId="77777777" w:rsidR="00B44672" w:rsidRDefault="00B44672" w:rsidP="006E7C43">
            <w:pPr>
              <w:pStyle w:val="Compact"/>
              <w:jc w:val="center"/>
            </w:pPr>
            <w:r>
              <w:t>-7.23</w:t>
            </w:r>
          </w:p>
        </w:tc>
      </w:tr>
      <w:tr w:rsidR="00B44672" w14:paraId="7EC0E097"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275A76AE" w14:textId="77777777" w:rsidR="00B44672" w:rsidRDefault="00B44672" w:rsidP="006E7C43">
            <w:pPr>
              <w:pStyle w:val="Compact"/>
            </w:pPr>
            <w:r>
              <w:t>Middle-income renter</w:t>
            </w:r>
          </w:p>
        </w:tc>
        <w:tc>
          <w:tcPr>
            <w:tcW w:w="510" w:type="pct"/>
          </w:tcPr>
          <w:p w14:paraId="5487C64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504" w:type="pct"/>
          </w:tcPr>
          <w:p w14:paraId="77CDA2A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11,501</w:t>
            </w:r>
          </w:p>
        </w:tc>
        <w:tc>
          <w:tcPr>
            <w:tcW w:w="495" w:type="pct"/>
          </w:tcPr>
          <w:p w14:paraId="26E6926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16,219</w:t>
            </w:r>
          </w:p>
        </w:tc>
        <w:tc>
          <w:tcPr>
            <w:tcW w:w="404" w:type="pct"/>
          </w:tcPr>
          <w:p w14:paraId="768A4A4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-4,718</w:t>
            </w:r>
          </w:p>
        </w:tc>
        <w:tc>
          <w:tcPr>
            <w:tcW w:w="487" w:type="pct"/>
          </w:tcPr>
          <w:p w14:paraId="3251A5F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17.24</w:t>
            </w:r>
          </w:p>
        </w:tc>
        <w:tc>
          <w:tcPr>
            <w:tcW w:w="478" w:type="pct"/>
          </w:tcPr>
          <w:p w14:paraId="0158087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24.31</w:t>
            </w:r>
          </w:p>
        </w:tc>
        <w:tc>
          <w:tcPr>
            <w:cnfStyle w:val="000100000000" w:firstRow="0" w:lastRow="0" w:firstColumn="0" w:lastColumn="1" w:oddVBand="0" w:evenVBand="0" w:oddHBand="0" w:evenHBand="0" w:firstRowFirstColumn="0" w:firstRowLastColumn="0" w:lastRowFirstColumn="0" w:lastRowLastColumn="0"/>
            <w:tcW w:w="512" w:type="pct"/>
          </w:tcPr>
          <w:p w14:paraId="29495EA6" w14:textId="77777777" w:rsidR="00B44672" w:rsidRDefault="00B44672" w:rsidP="006E7C43">
            <w:pPr>
              <w:pStyle w:val="Compact"/>
              <w:jc w:val="center"/>
            </w:pPr>
            <w:r>
              <w:t>-7.07</w:t>
            </w:r>
          </w:p>
        </w:tc>
      </w:tr>
      <w:tr w:rsidR="00B44672" w14:paraId="6A1B35A2"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487507D7" w14:textId="77777777" w:rsidR="00B44672" w:rsidRDefault="00B44672" w:rsidP="006E7C43">
            <w:pPr>
              <w:pStyle w:val="Compact"/>
            </w:pPr>
            <w:r>
              <w:t>Pensioner homeowner</w:t>
            </w:r>
          </w:p>
        </w:tc>
        <w:tc>
          <w:tcPr>
            <w:tcW w:w="510" w:type="pct"/>
          </w:tcPr>
          <w:p w14:paraId="4CBA927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1,031</w:t>
            </w:r>
          </w:p>
        </w:tc>
        <w:tc>
          <w:tcPr>
            <w:tcW w:w="504" w:type="pct"/>
          </w:tcPr>
          <w:p w14:paraId="2C9153B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14,918</w:t>
            </w:r>
          </w:p>
        </w:tc>
        <w:tc>
          <w:tcPr>
            <w:tcW w:w="495" w:type="pct"/>
          </w:tcPr>
          <w:p w14:paraId="5E44883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18,920</w:t>
            </w:r>
          </w:p>
        </w:tc>
        <w:tc>
          <w:tcPr>
            <w:tcW w:w="404" w:type="pct"/>
          </w:tcPr>
          <w:p w14:paraId="06297FF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-4,002</w:t>
            </w:r>
          </w:p>
        </w:tc>
        <w:tc>
          <w:tcPr>
            <w:tcW w:w="487" w:type="pct"/>
          </w:tcPr>
          <w:p w14:paraId="011E069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21.48</w:t>
            </w:r>
          </w:p>
        </w:tc>
        <w:tc>
          <w:tcPr>
            <w:tcW w:w="478" w:type="pct"/>
          </w:tcPr>
          <w:p w14:paraId="77F0622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27.24</w:t>
            </w:r>
          </w:p>
        </w:tc>
        <w:tc>
          <w:tcPr>
            <w:cnfStyle w:val="000100000000" w:firstRow="0" w:lastRow="0" w:firstColumn="0" w:lastColumn="1" w:oddVBand="0" w:evenVBand="0" w:oddHBand="0" w:evenHBand="0" w:firstRowFirstColumn="0" w:firstRowLastColumn="0" w:lastRowFirstColumn="0" w:lastRowLastColumn="0"/>
            <w:tcW w:w="512" w:type="pct"/>
          </w:tcPr>
          <w:p w14:paraId="5BF1E641" w14:textId="77777777" w:rsidR="00B44672" w:rsidRDefault="00B44672" w:rsidP="006E7C43">
            <w:pPr>
              <w:pStyle w:val="Compact"/>
              <w:jc w:val="center"/>
            </w:pPr>
            <w:r>
              <w:t>-5.76</w:t>
            </w:r>
          </w:p>
        </w:tc>
      </w:tr>
      <w:tr w:rsidR="00B44672" w14:paraId="640D0501"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30E588E1" w14:textId="77777777" w:rsidR="00B44672" w:rsidRDefault="00B44672" w:rsidP="006E7C43">
            <w:pPr>
              <w:pStyle w:val="Compact"/>
            </w:pPr>
            <w:r>
              <w:t>Pensioner renter</w:t>
            </w:r>
          </w:p>
        </w:tc>
        <w:tc>
          <w:tcPr>
            <w:tcW w:w="510" w:type="pct"/>
          </w:tcPr>
          <w:p w14:paraId="70C0F15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504" w:type="pct"/>
          </w:tcPr>
          <w:p w14:paraId="34F742A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9,078</w:t>
            </w:r>
          </w:p>
        </w:tc>
        <w:tc>
          <w:tcPr>
            <w:tcW w:w="495" w:type="pct"/>
          </w:tcPr>
          <w:p w14:paraId="0CC5461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11,966</w:t>
            </w:r>
          </w:p>
        </w:tc>
        <w:tc>
          <w:tcPr>
            <w:tcW w:w="404" w:type="pct"/>
          </w:tcPr>
          <w:p w14:paraId="071F453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-2,888</w:t>
            </w:r>
          </w:p>
        </w:tc>
        <w:tc>
          <w:tcPr>
            <w:tcW w:w="487" w:type="pct"/>
          </w:tcPr>
          <w:p w14:paraId="55AE11E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18.47</w:t>
            </w:r>
          </w:p>
        </w:tc>
        <w:tc>
          <w:tcPr>
            <w:tcW w:w="478" w:type="pct"/>
          </w:tcPr>
          <w:p w14:paraId="11F2F35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24.35</w:t>
            </w:r>
          </w:p>
        </w:tc>
        <w:tc>
          <w:tcPr>
            <w:cnfStyle w:val="000100000000" w:firstRow="0" w:lastRow="0" w:firstColumn="0" w:lastColumn="1" w:oddVBand="0" w:evenVBand="0" w:oddHBand="0" w:evenHBand="0" w:firstRowFirstColumn="0" w:firstRowLastColumn="0" w:lastRowFirstColumn="0" w:lastRowLastColumn="0"/>
            <w:tcW w:w="512" w:type="pct"/>
          </w:tcPr>
          <w:p w14:paraId="306D16B6" w14:textId="77777777" w:rsidR="00B44672" w:rsidRDefault="00B44672" w:rsidP="006E7C43">
            <w:pPr>
              <w:pStyle w:val="Compact"/>
              <w:jc w:val="center"/>
            </w:pPr>
            <w:r>
              <w:t>-5.88</w:t>
            </w:r>
          </w:p>
        </w:tc>
      </w:tr>
      <w:tr w:rsidR="00B44672" w14:paraId="08EF21BC"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6285DCBD" w14:textId="77777777" w:rsidR="00B44672" w:rsidRDefault="00B44672" w:rsidP="006E7C43">
            <w:pPr>
              <w:pStyle w:val="Compact"/>
            </w:pPr>
            <w:r>
              <w:t>Female-headed homeowner</w:t>
            </w:r>
          </w:p>
        </w:tc>
        <w:tc>
          <w:tcPr>
            <w:tcW w:w="510" w:type="pct"/>
          </w:tcPr>
          <w:p w14:paraId="447235A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3,191</w:t>
            </w:r>
          </w:p>
        </w:tc>
        <w:tc>
          <w:tcPr>
            <w:tcW w:w="504" w:type="pct"/>
          </w:tcPr>
          <w:p w14:paraId="6C80E5D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17,611</w:t>
            </w:r>
          </w:p>
        </w:tc>
        <w:tc>
          <w:tcPr>
            <w:tcW w:w="495" w:type="pct"/>
          </w:tcPr>
          <w:p w14:paraId="27FF30D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23,222</w:t>
            </w:r>
          </w:p>
        </w:tc>
        <w:tc>
          <w:tcPr>
            <w:tcW w:w="404" w:type="pct"/>
          </w:tcPr>
          <w:p w14:paraId="0401952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-5,611</w:t>
            </w:r>
          </w:p>
        </w:tc>
        <w:tc>
          <w:tcPr>
            <w:tcW w:w="487" w:type="pct"/>
          </w:tcPr>
          <w:p w14:paraId="4BC2D17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17.44</w:t>
            </w:r>
          </w:p>
        </w:tc>
        <w:tc>
          <w:tcPr>
            <w:tcW w:w="478" w:type="pct"/>
          </w:tcPr>
          <w:p w14:paraId="0BEB21E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23.00</w:t>
            </w:r>
          </w:p>
        </w:tc>
        <w:tc>
          <w:tcPr>
            <w:cnfStyle w:val="000100000000" w:firstRow="0" w:lastRow="0" w:firstColumn="0" w:lastColumn="1" w:oddVBand="0" w:evenVBand="0" w:oddHBand="0" w:evenHBand="0" w:firstRowFirstColumn="0" w:firstRowLastColumn="0" w:lastRowFirstColumn="0" w:lastRowLastColumn="0"/>
            <w:tcW w:w="512" w:type="pct"/>
          </w:tcPr>
          <w:p w14:paraId="5680093C" w14:textId="77777777" w:rsidR="00B44672" w:rsidRDefault="00B44672" w:rsidP="006E7C43">
            <w:pPr>
              <w:pStyle w:val="Compact"/>
              <w:jc w:val="center"/>
            </w:pPr>
            <w:r>
              <w:t>-5.56</w:t>
            </w:r>
          </w:p>
        </w:tc>
      </w:tr>
      <w:tr w:rsidR="00B44672" w14:paraId="11243FF7"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58EDE217" w14:textId="77777777" w:rsidR="00B44672" w:rsidRDefault="00B44672" w:rsidP="006E7C43">
            <w:pPr>
              <w:pStyle w:val="Compact"/>
            </w:pPr>
            <w:r>
              <w:t>Female-headed renter</w:t>
            </w:r>
          </w:p>
        </w:tc>
        <w:tc>
          <w:tcPr>
            <w:tcW w:w="510" w:type="pct"/>
          </w:tcPr>
          <w:p w14:paraId="3907806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1,521</w:t>
            </w:r>
          </w:p>
        </w:tc>
        <w:tc>
          <w:tcPr>
            <w:tcW w:w="504" w:type="pct"/>
          </w:tcPr>
          <w:p w14:paraId="6FD6709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13,065</w:t>
            </w:r>
          </w:p>
        </w:tc>
        <w:tc>
          <w:tcPr>
            <w:tcW w:w="495" w:type="pct"/>
          </w:tcPr>
          <w:p w14:paraId="10A979D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18,074</w:t>
            </w:r>
          </w:p>
        </w:tc>
        <w:tc>
          <w:tcPr>
            <w:tcW w:w="404" w:type="pct"/>
          </w:tcPr>
          <w:p w14:paraId="50B4F19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-5,009</w:t>
            </w:r>
          </w:p>
        </w:tc>
        <w:tc>
          <w:tcPr>
            <w:tcW w:w="487" w:type="pct"/>
          </w:tcPr>
          <w:p w14:paraId="48A62E8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15.81</w:t>
            </w:r>
          </w:p>
        </w:tc>
        <w:tc>
          <w:tcPr>
            <w:tcW w:w="478" w:type="pct"/>
          </w:tcPr>
          <w:p w14:paraId="2A542C7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21.87</w:t>
            </w:r>
          </w:p>
        </w:tc>
        <w:tc>
          <w:tcPr>
            <w:cnfStyle w:val="000100000000" w:firstRow="0" w:lastRow="0" w:firstColumn="0" w:lastColumn="1" w:oddVBand="0" w:evenVBand="0" w:oddHBand="0" w:evenHBand="0" w:firstRowFirstColumn="0" w:firstRowLastColumn="0" w:lastRowFirstColumn="0" w:lastRowLastColumn="0"/>
            <w:tcW w:w="512" w:type="pct"/>
          </w:tcPr>
          <w:p w14:paraId="7A39A963" w14:textId="77777777" w:rsidR="00B44672" w:rsidRDefault="00B44672" w:rsidP="006E7C43">
            <w:pPr>
              <w:pStyle w:val="Compact"/>
              <w:jc w:val="center"/>
            </w:pPr>
            <w:r>
              <w:t>-6.06</w:t>
            </w:r>
          </w:p>
        </w:tc>
      </w:tr>
      <w:tr w:rsidR="00B44672" w14:paraId="1D59C4E6"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36B6AA18"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510" w:type="pct"/>
          </w:tcPr>
          <w:p w14:paraId="18A8198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04" w:type="pct"/>
          </w:tcPr>
          <w:p w14:paraId="03E7725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95" w:type="pct"/>
          </w:tcPr>
          <w:p w14:paraId="6119119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04" w:type="pct"/>
          </w:tcPr>
          <w:p w14:paraId="19C5E13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87" w:type="pct"/>
          </w:tcPr>
          <w:p w14:paraId="575D0C3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78" w:type="pct"/>
          </w:tcPr>
          <w:p w14:paraId="27AB482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12" w:type="pct"/>
          </w:tcPr>
          <w:p w14:paraId="70FC6273" w14:textId="77777777" w:rsidR="00B44672" w:rsidRDefault="00B44672" w:rsidP="00A567C4">
            <w:pPr>
              <w:pStyle w:val="Compact"/>
              <w:jc w:val="center"/>
            </w:pPr>
          </w:p>
        </w:tc>
      </w:tr>
      <w:tr w:rsidR="00B44672" w14:paraId="13ACA1A4"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17E36D6B" w14:textId="77777777" w:rsidR="00B44672" w:rsidRDefault="00B44672" w:rsidP="00A567C4">
            <w:pPr>
              <w:pStyle w:val="Compact"/>
            </w:pPr>
            <w:r>
              <w:t>First home buyers</w:t>
            </w:r>
          </w:p>
        </w:tc>
        <w:tc>
          <w:tcPr>
            <w:tcW w:w="510" w:type="pct"/>
          </w:tcPr>
          <w:p w14:paraId="0AE96EC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3,968</w:t>
            </w:r>
          </w:p>
        </w:tc>
        <w:tc>
          <w:tcPr>
            <w:tcW w:w="504" w:type="pct"/>
          </w:tcPr>
          <w:p w14:paraId="384A7D2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13,041</w:t>
            </w:r>
          </w:p>
        </w:tc>
        <w:tc>
          <w:tcPr>
            <w:tcW w:w="495" w:type="pct"/>
          </w:tcPr>
          <w:p w14:paraId="1CB07DB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17,689</w:t>
            </w:r>
          </w:p>
        </w:tc>
        <w:tc>
          <w:tcPr>
            <w:tcW w:w="404" w:type="pct"/>
          </w:tcPr>
          <w:p w14:paraId="39D2A31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-4,648</w:t>
            </w:r>
          </w:p>
        </w:tc>
        <w:tc>
          <w:tcPr>
            <w:tcW w:w="487" w:type="pct"/>
          </w:tcPr>
          <w:p w14:paraId="60C6FD7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15.52</w:t>
            </w:r>
          </w:p>
        </w:tc>
        <w:tc>
          <w:tcPr>
            <w:tcW w:w="478" w:type="pct"/>
          </w:tcPr>
          <w:p w14:paraId="4CF5EDA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21.05</w:t>
            </w:r>
          </w:p>
        </w:tc>
        <w:tc>
          <w:tcPr>
            <w:cnfStyle w:val="000100000000" w:firstRow="0" w:lastRow="0" w:firstColumn="0" w:lastColumn="1" w:oddVBand="0" w:evenVBand="0" w:oddHBand="0" w:evenHBand="0" w:firstRowFirstColumn="0" w:firstRowLastColumn="0" w:lastRowFirstColumn="0" w:lastRowLastColumn="0"/>
            <w:tcW w:w="512" w:type="pct"/>
          </w:tcPr>
          <w:p w14:paraId="11AC224D" w14:textId="77777777" w:rsidR="00B44672" w:rsidRDefault="00B44672" w:rsidP="00A567C4">
            <w:pPr>
              <w:pStyle w:val="Compact"/>
              <w:jc w:val="center"/>
            </w:pPr>
            <w:r>
              <w:t>-5.53</w:t>
            </w:r>
          </w:p>
        </w:tc>
      </w:tr>
      <w:tr w:rsidR="00B44672" w14:paraId="718C9A5F"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60C1D6DC" w14:textId="77777777" w:rsidR="00B44672" w:rsidRDefault="00B44672" w:rsidP="00A567C4">
            <w:pPr>
              <w:pStyle w:val="Compact"/>
            </w:pPr>
            <w:r>
              <w:t>Low-income homeowner</w:t>
            </w:r>
          </w:p>
        </w:tc>
        <w:tc>
          <w:tcPr>
            <w:tcW w:w="510" w:type="pct"/>
          </w:tcPr>
          <w:p w14:paraId="075C9E4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1,653</w:t>
            </w:r>
          </w:p>
        </w:tc>
        <w:tc>
          <w:tcPr>
            <w:tcW w:w="504" w:type="pct"/>
          </w:tcPr>
          <w:p w14:paraId="0731A46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12,371</w:t>
            </w:r>
          </w:p>
        </w:tc>
        <w:tc>
          <w:tcPr>
            <w:tcW w:w="495" w:type="pct"/>
          </w:tcPr>
          <w:p w14:paraId="167DA2C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16,483</w:t>
            </w:r>
          </w:p>
        </w:tc>
        <w:tc>
          <w:tcPr>
            <w:tcW w:w="404" w:type="pct"/>
          </w:tcPr>
          <w:p w14:paraId="6CDA29B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-4,112</w:t>
            </w:r>
          </w:p>
        </w:tc>
        <w:tc>
          <w:tcPr>
            <w:tcW w:w="487" w:type="pct"/>
          </w:tcPr>
          <w:p w14:paraId="0880577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22.69</w:t>
            </w:r>
          </w:p>
        </w:tc>
        <w:tc>
          <w:tcPr>
            <w:tcW w:w="478" w:type="pct"/>
          </w:tcPr>
          <w:p w14:paraId="3EA8F47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30.22</w:t>
            </w:r>
          </w:p>
        </w:tc>
        <w:tc>
          <w:tcPr>
            <w:cnfStyle w:val="000100000000" w:firstRow="0" w:lastRow="0" w:firstColumn="0" w:lastColumn="1" w:oddVBand="0" w:evenVBand="0" w:oddHBand="0" w:evenHBand="0" w:firstRowFirstColumn="0" w:firstRowLastColumn="0" w:lastRowFirstColumn="0" w:lastRowLastColumn="0"/>
            <w:tcW w:w="512" w:type="pct"/>
          </w:tcPr>
          <w:p w14:paraId="72B7001F" w14:textId="77777777" w:rsidR="00B44672" w:rsidRDefault="00B44672" w:rsidP="00A567C4">
            <w:pPr>
              <w:pStyle w:val="Compact"/>
              <w:jc w:val="center"/>
            </w:pPr>
            <w:r>
              <w:t>-7.54</w:t>
            </w:r>
          </w:p>
        </w:tc>
      </w:tr>
      <w:tr w:rsidR="00B44672" w14:paraId="7EC6E3E1"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3A0B2B1E" w14:textId="77777777" w:rsidR="00B44672" w:rsidRDefault="00B44672" w:rsidP="00A567C4">
            <w:pPr>
              <w:pStyle w:val="Compact"/>
            </w:pPr>
            <w:r>
              <w:t>Low-income renter</w:t>
            </w:r>
          </w:p>
        </w:tc>
        <w:tc>
          <w:tcPr>
            <w:tcW w:w="510" w:type="pct"/>
          </w:tcPr>
          <w:p w14:paraId="5981FA6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538</w:t>
            </w:r>
          </w:p>
        </w:tc>
        <w:tc>
          <w:tcPr>
            <w:tcW w:w="504" w:type="pct"/>
          </w:tcPr>
          <w:p w14:paraId="6A715AA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7,093</w:t>
            </w:r>
          </w:p>
        </w:tc>
        <w:tc>
          <w:tcPr>
            <w:tcW w:w="495" w:type="pct"/>
          </w:tcPr>
          <w:p w14:paraId="19B07D5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9,766</w:t>
            </w:r>
          </w:p>
        </w:tc>
        <w:tc>
          <w:tcPr>
            <w:tcW w:w="404" w:type="pct"/>
          </w:tcPr>
          <w:p w14:paraId="22C5019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-2,674</w:t>
            </w:r>
          </w:p>
        </w:tc>
        <w:tc>
          <w:tcPr>
            <w:tcW w:w="487" w:type="pct"/>
          </w:tcPr>
          <w:p w14:paraId="7ADAE44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15.18</w:t>
            </w:r>
          </w:p>
        </w:tc>
        <w:tc>
          <w:tcPr>
            <w:tcW w:w="478" w:type="pct"/>
          </w:tcPr>
          <w:p w14:paraId="3A74839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20.90</w:t>
            </w:r>
          </w:p>
        </w:tc>
        <w:tc>
          <w:tcPr>
            <w:cnfStyle w:val="000100000000" w:firstRow="0" w:lastRow="0" w:firstColumn="0" w:lastColumn="1" w:oddVBand="0" w:evenVBand="0" w:oddHBand="0" w:evenHBand="0" w:firstRowFirstColumn="0" w:firstRowLastColumn="0" w:lastRowFirstColumn="0" w:lastRowLastColumn="0"/>
            <w:tcW w:w="512" w:type="pct"/>
          </w:tcPr>
          <w:p w14:paraId="22E9CF6A" w14:textId="77777777" w:rsidR="00B44672" w:rsidRDefault="00B44672" w:rsidP="00A567C4">
            <w:pPr>
              <w:pStyle w:val="Compact"/>
              <w:jc w:val="center"/>
            </w:pPr>
            <w:r>
              <w:t>-5.72</w:t>
            </w:r>
          </w:p>
        </w:tc>
      </w:tr>
      <w:tr w:rsidR="00B44672" w14:paraId="2CA38365"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2F212ECB" w14:textId="77777777" w:rsidR="00B44672" w:rsidRDefault="00B44672" w:rsidP="00A567C4">
            <w:pPr>
              <w:pStyle w:val="Compact"/>
            </w:pPr>
            <w:r>
              <w:t>Middle-income homeowner</w:t>
            </w:r>
          </w:p>
        </w:tc>
        <w:tc>
          <w:tcPr>
            <w:tcW w:w="510" w:type="pct"/>
          </w:tcPr>
          <w:p w14:paraId="270CE58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1,823</w:t>
            </w:r>
          </w:p>
        </w:tc>
        <w:tc>
          <w:tcPr>
            <w:tcW w:w="504" w:type="pct"/>
          </w:tcPr>
          <w:p w14:paraId="34CF613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19,734</w:t>
            </w:r>
          </w:p>
        </w:tc>
        <w:tc>
          <w:tcPr>
            <w:tcW w:w="495" w:type="pct"/>
          </w:tcPr>
          <w:p w14:paraId="12D037C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25,737</w:t>
            </w:r>
          </w:p>
        </w:tc>
        <w:tc>
          <w:tcPr>
            <w:tcW w:w="404" w:type="pct"/>
          </w:tcPr>
          <w:p w14:paraId="58F939E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-6,003</w:t>
            </w:r>
          </w:p>
        </w:tc>
        <w:tc>
          <w:tcPr>
            <w:tcW w:w="487" w:type="pct"/>
          </w:tcPr>
          <w:p w14:paraId="6C2FB7A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22.70</w:t>
            </w:r>
          </w:p>
        </w:tc>
        <w:tc>
          <w:tcPr>
            <w:tcW w:w="478" w:type="pct"/>
          </w:tcPr>
          <w:p w14:paraId="7DA6306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29.61</w:t>
            </w:r>
          </w:p>
        </w:tc>
        <w:tc>
          <w:tcPr>
            <w:cnfStyle w:val="000100000000" w:firstRow="0" w:lastRow="0" w:firstColumn="0" w:lastColumn="1" w:oddVBand="0" w:evenVBand="0" w:oddHBand="0" w:evenHBand="0" w:firstRowFirstColumn="0" w:firstRowLastColumn="0" w:lastRowFirstColumn="0" w:lastRowLastColumn="0"/>
            <w:tcW w:w="512" w:type="pct"/>
          </w:tcPr>
          <w:p w14:paraId="6B9ACC7B" w14:textId="77777777" w:rsidR="00B44672" w:rsidRDefault="00B44672" w:rsidP="00A567C4">
            <w:pPr>
              <w:pStyle w:val="Compact"/>
              <w:jc w:val="center"/>
            </w:pPr>
            <w:r>
              <w:t>-6.91</w:t>
            </w:r>
          </w:p>
        </w:tc>
      </w:tr>
      <w:tr w:rsidR="00B44672" w14:paraId="57F1F3C5"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17F48526" w14:textId="77777777" w:rsidR="00B44672" w:rsidRDefault="00B44672" w:rsidP="00A567C4">
            <w:pPr>
              <w:pStyle w:val="Compact"/>
            </w:pPr>
            <w:r>
              <w:t>Middle-income renter</w:t>
            </w:r>
          </w:p>
        </w:tc>
        <w:tc>
          <w:tcPr>
            <w:tcW w:w="510" w:type="pct"/>
          </w:tcPr>
          <w:p w14:paraId="1AA4B2E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504" w:type="pct"/>
          </w:tcPr>
          <w:p w14:paraId="3B705FA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11,501</w:t>
            </w:r>
          </w:p>
        </w:tc>
        <w:tc>
          <w:tcPr>
            <w:tcW w:w="495" w:type="pct"/>
          </w:tcPr>
          <w:p w14:paraId="6112365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16,019</w:t>
            </w:r>
          </w:p>
        </w:tc>
        <w:tc>
          <w:tcPr>
            <w:tcW w:w="404" w:type="pct"/>
          </w:tcPr>
          <w:p w14:paraId="12BAF1E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-4,518</w:t>
            </w:r>
          </w:p>
        </w:tc>
        <w:tc>
          <w:tcPr>
            <w:tcW w:w="487" w:type="pct"/>
          </w:tcPr>
          <w:p w14:paraId="28DE3BE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17.24</w:t>
            </w:r>
          </w:p>
        </w:tc>
        <w:tc>
          <w:tcPr>
            <w:tcW w:w="478" w:type="pct"/>
          </w:tcPr>
          <w:p w14:paraId="70ABD2D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24.01</w:t>
            </w:r>
          </w:p>
        </w:tc>
        <w:tc>
          <w:tcPr>
            <w:cnfStyle w:val="000100000000" w:firstRow="0" w:lastRow="0" w:firstColumn="0" w:lastColumn="1" w:oddVBand="0" w:evenVBand="0" w:oddHBand="0" w:evenHBand="0" w:firstRowFirstColumn="0" w:firstRowLastColumn="0" w:lastRowFirstColumn="0" w:lastRowLastColumn="0"/>
            <w:tcW w:w="512" w:type="pct"/>
          </w:tcPr>
          <w:p w14:paraId="0AC58E54" w14:textId="77777777" w:rsidR="00B44672" w:rsidRDefault="00B44672" w:rsidP="00A567C4">
            <w:pPr>
              <w:pStyle w:val="Compact"/>
              <w:jc w:val="center"/>
            </w:pPr>
            <w:r>
              <w:t>-6.77</w:t>
            </w:r>
          </w:p>
        </w:tc>
      </w:tr>
      <w:tr w:rsidR="00B44672" w14:paraId="5E612EFF"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7821C2CD" w14:textId="77777777" w:rsidR="00B44672" w:rsidRDefault="00B44672" w:rsidP="00A567C4">
            <w:pPr>
              <w:pStyle w:val="Compact"/>
            </w:pPr>
            <w:r>
              <w:t>Pensioner homeowner</w:t>
            </w:r>
          </w:p>
        </w:tc>
        <w:tc>
          <w:tcPr>
            <w:tcW w:w="510" w:type="pct"/>
          </w:tcPr>
          <w:p w14:paraId="423B247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1,038</w:t>
            </w:r>
          </w:p>
        </w:tc>
        <w:tc>
          <w:tcPr>
            <w:tcW w:w="504" w:type="pct"/>
          </w:tcPr>
          <w:p w14:paraId="71F1C12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14,959</w:t>
            </w:r>
          </w:p>
        </w:tc>
        <w:tc>
          <w:tcPr>
            <w:tcW w:w="495" w:type="pct"/>
          </w:tcPr>
          <w:p w14:paraId="628C585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18,780</w:t>
            </w:r>
          </w:p>
        </w:tc>
        <w:tc>
          <w:tcPr>
            <w:tcW w:w="404" w:type="pct"/>
          </w:tcPr>
          <w:p w14:paraId="3D26445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-3,821</w:t>
            </w:r>
          </w:p>
        </w:tc>
        <w:tc>
          <w:tcPr>
            <w:tcW w:w="487" w:type="pct"/>
          </w:tcPr>
          <w:p w14:paraId="0018C10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21.53</w:t>
            </w:r>
          </w:p>
        </w:tc>
        <w:tc>
          <w:tcPr>
            <w:tcW w:w="478" w:type="pct"/>
          </w:tcPr>
          <w:p w14:paraId="50B21A4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27.03</w:t>
            </w:r>
          </w:p>
        </w:tc>
        <w:tc>
          <w:tcPr>
            <w:cnfStyle w:val="000100000000" w:firstRow="0" w:lastRow="0" w:firstColumn="0" w:lastColumn="1" w:oddVBand="0" w:evenVBand="0" w:oddHBand="0" w:evenHBand="0" w:firstRowFirstColumn="0" w:firstRowLastColumn="0" w:lastRowFirstColumn="0" w:lastRowLastColumn="0"/>
            <w:tcW w:w="512" w:type="pct"/>
          </w:tcPr>
          <w:p w14:paraId="5BA830B3" w14:textId="77777777" w:rsidR="00B44672" w:rsidRDefault="00B44672" w:rsidP="00A567C4">
            <w:pPr>
              <w:pStyle w:val="Compact"/>
              <w:jc w:val="center"/>
            </w:pPr>
            <w:r>
              <w:t>-5.50</w:t>
            </w:r>
          </w:p>
        </w:tc>
      </w:tr>
      <w:tr w:rsidR="00B44672" w14:paraId="12C4F205"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5154E306" w14:textId="77777777" w:rsidR="00B44672" w:rsidRDefault="00B44672" w:rsidP="00A567C4">
            <w:pPr>
              <w:pStyle w:val="Compact"/>
            </w:pPr>
            <w:r>
              <w:t>Pensioner renter</w:t>
            </w:r>
          </w:p>
        </w:tc>
        <w:tc>
          <w:tcPr>
            <w:tcW w:w="510" w:type="pct"/>
          </w:tcPr>
          <w:p w14:paraId="409636B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504" w:type="pct"/>
          </w:tcPr>
          <w:p w14:paraId="5DBE0D0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9,078</w:t>
            </w:r>
          </w:p>
        </w:tc>
        <w:tc>
          <w:tcPr>
            <w:tcW w:w="495" w:type="pct"/>
          </w:tcPr>
          <w:p w14:paraId="5F05C93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11,837</w:t>
            </w:r>
          </w:p>
        </w:tc>
        <w:tc>
          <w:tcPr>
            <w:tcW w:w="404" w:type="pct"/>
          </w:tcPr>
          <w:p w14:paraId="7C05F5E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-2,759</w:t>
            </w:r>
          </w:p>
        </w:tc>
        <w:tc>
          <w:tcPr>
            <w:tcW w:w="487" w:type="pct"/>
          </w:tcPr>
          <w:p w14:paraId="0BB6DF4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18.47</w:t>
            </w:r>
          </w:p>
        </w:tc>
        <w:tc>
          <w:tcPr>
            <w:tcW w:w="478" w:type="pct"/>
          </w:tcPr>
          <w:p w14:paraId="01A1851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24.09</w:t>
            </w:r>
          </w:p>
        </w:tc>
        <w:tc>
          <w:tcPr>
            <w:cnfStyle w:val="000100000000" w:firstRow="0" w:lastRow="0" w:firstColumn="0" w:lastColumn="1" w:oddVBand="0" w:evenVBand="0" w:oddHBand="0" w:evenHBand="0" w:firstRowFirstColumn="0" w:firstRowLastColumn="0" w:lastRowFirstColumn="0" w:lastRowLastColumn="0"/>
            <w:tcW w:w="512" w:type="pct"/>
          </w:tcPr>
          <w:p w14:paraId="2C7B56FD" w14:textId="77777777" w:rsidR="00B44672" w:rsidRDefault="00B44672" w:rsidP="00A567C4">
            <w:pPr>
              <w:pStyle w:val="Compact"/>
              <w:jc w:val="center"/>
            </w:pPr>
            <w:r>
              <w:t>-5.62</w:t>
            </w:r>
          </w:p>
        </w:tc>
      </w:tr>
      <w:tr w:rsidR="00B44672" w14:paraId="0C813444"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28855B15" w14:textId="77777777" w:rsidR="00B44672" w:rsidRDefault="00B44672" w:rsidP="00A567C4">
            <w:pPr>
              <w:pStyle w:val="Compact"/>
            </w:pPr>
            <w:r>
              <w:t>Female-headed homeowner</w:t>
            </w:r>
          </w:p>
        </w:tc>
        <w:tc>
          <w:tcPr>
            <w:tcW w:w="510" w:type="pct"/>
          </w:tcPr>
          <w:p w14:paraId="1F040BB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3,198</w:t>
            </w:r>
          </w:p>
        </w:tc>
        <w:tc>
          <w:tcPr>
            <w:tcW w:w="504" w:type="pct"/>
          </w:tcPr>
          <w:p w14:paraId="7942F7F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17,615</w:t>
            </w:r>
          </w:p>
        </w:tc>
        <w:tc>
          <w:tcPr>
            <w:tcW w:w="495" w:type="pct"/>
          </w:tcPr>
          <w:p w14:paraId="1930681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22,974</w:t>
            </w:r>
          </w:p>
        </w:tc>
        <w:tc>
          <w:tcPr>
            <w:tcW w:w="404" w:type="pct"/>
          </w:tcPr>
          <w:p w14:paraId="7115D4A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-5,359</w:t>
            </w:r>
          </w:p>
        </w:tc>
        <w:tc>
          <w:tcPr>
            <w:tcW w:w="487" w:type="pct"/>
          </w:tcPr>
          <w:p w14:paraId="6D8C018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17.46</w:t>
            </w:r>
          </w:p>
        </w:tc>
        <w:tc>
          <w:tcPr>
            <w:tcW w:w="478" w:type="pct"/>
          </w:tcPr>
          <w:p w14:paraId="2F228F0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22.77</w:t>
            </w:r>
          </w:p>
        </w:tc>
        <w:tc>
          <w:tcPr>
            <w:cnfStyle w:val="000100000000" w:firstRow="0" w:lastRow="0" w:firstColumn="0" w:lastColumn="1" w:oddVBand="0" w:evenVBand="0" w:oddHBand="0" w:evenHBand="0" w:firstRowFirstColumn="0" w:firstRowLastColumn="0" w:lastRowFirstColumn="0" w:lastRowLastColumn="0"/>
            <w:tcW w:w="512" w:type="pct"/>
          </w:tcPr>
          <w:p w14:paraId="5BD4C472" w14:textId="77777777" w:rsidR="00B44672" w:rsidRDefault="00B44672" w:rsidP="00A567C4">
            <w:pPr>
              <w:pStyle w:val="Compact"/>
              <w:jc w:val="center"/>
            </w:pPr>
            <w:r>
              <w:t>-5.31</w:t>
            </w:r>
          </w:p>
        </w:tc>
      </w:tr>
      <w:tr w:rsidR="00B44672" w14:paraId="195AF5DB"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53BEC8ED" w14:textId="77777777" w:rsidR="00B44672" w:rsidRDefault="00B44672" w:rsidP="00A567C4">
            <w:pPr>
              <w:pStyle w:val="Compact"/>
            </w:pPr>
            <w:r>
              <w:t>Female-headed renter</w:t>
            </w:r>
          </w:p>
        </w:tc>
        <w:tc>
          <w:tcPr>
            <w:tcW w:w="510" w:type="pct"/>
          </w:tcPr>
          <w:p w14:paraId="592F1D1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1,522</w:t>
            </w:r>
          </w:p>
        </w:tc>
        <w:tc>
          <w:tcPr>
            <w:tcW w:w="504" w:type="pct"/>
          </w:tcPr>
          <w:p w14:paraId="7F7BD1E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13,069</w:t>
            </w:r>
          </w:p>
        </w:tc>
        <w:tc>
          <w:tcPr>
            <w:tcW w:w="495" w:type="pct"/>
          </w:tcPr>
          <w:p w14:paraId="4C30368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17,864</w:t>
            </w:r>
          </w:p>
        </w:tc>
        <w:tc>
          <w:tcPr>
            <w:tcW w:w="404" w:type="pct"/>
          </w:tcPr>
          <w:p w14:paraId="70A8A81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-4,795</w:t>
            </w:r>
          </w:p>
        </w:tc>
        <w:tc>
          <w:tcPr>
            <w:tcW w:w="487" w:type="pct"/>
          </w:tcPr>
          <w:p w14:paraId="11456C6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15.79</w:t>
            </w:r>
          </w:p>
        </w:tc>
        <w:tc>
          <w:tcPr>
            <w:tcW w:w="478" w:type="pct"/>
          </w:tcPr>
          <w:p w14:paraId="2F5C4A3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21.58</w:t>
            </w:r>
          </w:p>
        </w:tc>
        <w:tc>
          <w:tcPr>
            <w:cnfStyle w:val="000100000000" w:firstRow="0" w:lastRow="0" w:firstColumn="0" w:lastColumn="1" w:oddVBand="0" w:evenVBand="0" w:oddHBand="0" w:evenHBand="0" w:firstRowFirstColumn="0" w:firstRowLastColumn="0" w:lastRowFirstColumn="0" w:lastRowLastColumn="0"/>
            <w:tcW w:w="512" w:type="pct"/>
          </w:tcPr>
          <w:p w14:paraId="0297EC90" w14:textId="77777777" w:rsidR="00B44672" w:rsidRDefault="00B44672" w:rsidP="00A567C4">
            <w:pPr>
              <w:pStyle w:val="Compact"/>
              <w:jc w:val="center"/>
            </w:pPr>
            <w:r>
              <w:t>-5.79</w:t>
            </w:r>
          </w:p>
        </w:tc>
      </w:tr>
      <w:tr w:rsidR="00B44672" w14:paraId="0B16ED47"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5196861C" w14:textId="77777777" w:rsidR="00B44672" w:rsidRDefault="00B44672" w:rsidP="00302865">
            <w:pPr>
              <w:pStyle w:val="Compact"/>
            </w:pPr>
            <w:r w:rsidRPr="00113FC1">
              <w:rPr>
                <w:b/>
                <w:i/>
                <w:iCs/>
                <w:color w:val="365F91" w:themeColor="accent1" w:themeShade="BF"/>
              </w:rPr>
              <w:t>1.24 – 2.19% price change</w:t>
            </w:r>
          </w:p>
        </w:tc>
        <w:tc>
          <w:tcPr>
            <w:tcW w:w="510" w:type="pct"/>
          </w:tcPr>
          <w:p w14:paraId="16A3CFD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04" w:type="pct"/>
          </w:tcPr>
          <w:p w14:paraId="2568512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95" w:type="pct"/>
          </w:tcPr>
          <w:p w14:paraId="2DFD2E6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04" w:type="pct"/>
          </w:tcPr>
          <w:p w14:paraId="64EA60A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87" w:type="pct"/>
          </w:tcPr>
          <w:p w14:paraId="0E8B308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78" w:type="pct"/>
          </w:tcPr>
          <w:p w14:paraId="0CD16B8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12" w:type="pct"/>
          </w:tcPr>
          <w:p w14:paraId="59180F7C" w14:textId="77777777" w:rsidR="00B44672" w:rsidRDefault="00B44672" w:rsidP="00302865">
            <w:pPr>
              <w:pStyle w:val="Compact"/>
              <w:jc w:val="center"/>
            </w:pPr>
          </w:p>
        </w:tc>
      </w:tr>
      <w:tr w:rsidR="00B44672" w14:paraId="22EBD0C8"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09997F7C" w14:textId="77777777" w:rsidR="00B44672" w:rsidRDefault="00B44672" w:rsidP="00302865">
            <w:pPr>
              <w:pStyle w:val="Compact"/>
            </w:pPr>
            <w:r>
              <w:t>First home buyers</w:t>
            </w:r>
          </w:p>
        </w:tc>
        <w:tc>
          <w:tcPr>
            <w:tcW w:w="510" w:type="pct"/>
          </w:tcPr>
          <w:p w14:paraId="60BC5E7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4,016</w:t>
            </w:r>
          </w:p>
        </w:tc>
        <w:tc>
          <w:tcPr>
            <w:tcW w:w="504" w:type="pct"/>
          </w:tcPr>
          <w:p w14:paraId="35819BD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13,087</w:t>
            </w:r>
          </w:p>
        </w:tc>
        <w:tc>
          <w:tcPr>
            <w:tcW w:w="495" w:type="pct"/>
          </w:tcPr>
          <w:p w14:paraId="4844EE1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17,533</w:t>
            </w:r>
          </w:p>
        </w:tc>
        <w:tc>
          <w:tcPr>
            <w:tcW w:w="404" w:type="pct"/>
          </w:tcPr>
          <w:p w14:paraId="176F81F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-4,447</w:t>
            </w:r>
          </w:p>
        </w:tc>
        <w:tc>
          <w:tcPr>
            <w:tcW w:w="487" w:type="pct"/>
          </w:tcPr>
          <w:p w14:paraId="2BD89EE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15.48</w:t>
            </w:r>
          </w:p>
        </w:tc>
        <w:tc>
          <w:tcPr>
            <w:tcW w:w="478" w:type="pct"/>
          </w:tcPr>
          <w:p w14:paraId="30546E5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20.74</w:t>
            </w:r>
          </w:p>
        </w:tc>
        <w:tc>
          <w:tcPr>
            <w:cnfStyle w:val="000100000000" w:firstRow="0" w:lastRow="0" w:firstColumn="0" w:lastColumn="1" w:oddVBand="0" w:evenVBand="0" w:oddHBand="0" w:evenHBand="0" w:firstRowFirstColumn="0" w:firstRowLastColumn="0" w:lastRowFirstColumn="0" w:lastRowLastColumn="0"/>
            <w:tcW w:w="512" w:type="pct"/>
          </w:tcPr>
          <w:p w14:paraId="3219CD75" w14:textId="77777777" w:rsidR="00B44672" w:rsidRDefault="00B44672" w:rsidP="00302865">
            <w:pPr>
              <w:pStyle w:val="Compact"/>
              <w:jc w:val="center"/>
            </w:pPr>
            <w:r>
              <w:t>-5.26</w:t>
            </w:r>
          </w:p>
        </w:tc>
      </w:tr>
      <w:tr w:rsidR="00B44672" w14:paraId="0C3D1B27"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4BB542E0" w14:textId="77777777" w:rsidR="00B44672" w:rsidRDefault="00B44672" w:rsidP="00302865">
            <w:pPr>
              <w:pStyle w:val="Compact"/>
            </w:pPr>
            <w:r>
              <w:t>Low-income homeowner</w:t>
            </w:r>
          </w:p>
        </w:tc>
        <w:tc>
          <w:tcPr>
            <w:tcW w:w="510" w:type="pct"/>
          </w:tcPr>
          <w:p w14:paraId="03D36A6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1,655</w:t>
            </w:r>
          </w:p>
        </w:tc>
        <w:tc>
          <w:tcPr>
            <w:tcW w:w="504" w:type="pct"/>
          </w:tcPr>
          <w:p w14:paraId="60A517B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12,365</w:t>
            </w:r>
          </w:p>
        </w:tc>
        <w:tc>
          <w:tcPr>
            <w:tcW w:w="495" w:type="pct"/>
          </w:tcPr>
          <w:p w14:paraId="388C2A8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16,276</w:t>
            </w:r>
          </w:p>
        </w:tc>
        <w:tc>
          <w:tcPr>
            <w:tcW w:w="404" w:type="pct"/>
          </w:tcPr>
          <w:p w14:paraId="7447CBA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-3,911</w:t>
            </w:r>
          </w:p>
        </w:tc>
        <w:tc>
          <w:tcPr>
            <w:tcW w:w="487" w:type="pct"/>
          </w:tcPr>
          <w:p w14:paraId="015D1E1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22.68</w:t>
            </w:r>
          </w:p>
        </w:tc>
        <w:tc>
          <w:tcPr>
            <w:tcW w:w="478" w:type="pct"/>
          </w:tcPr>
          <w:p w14:paraId="6C57157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29.86</w:t>
            </w:r>
          </w:p>
        </w:tc>
        <w:tc>
          <w:tcPr>
            <w:cnfStyle w:val="000100000000" w:firstRow="0" w:lastRow="0" w:firstColumn="0" w:lastColumn="1" w:oddVBand="0" w:evenVBand="0" w:oddHBand="0" w:evenHBand="0" w:firstRowFirstColumn="0" w:firstRowLastColumn="0" w:lastRowFirstColumn="0" w:lastRowLastColumn="0"/>
            <w:tcW w:w="512" w:type="pct"/>
          </w:tcPr>
          <w:p w14:paraId="63DF6546" w14:textId="77777777" w:rsidR="00B44672" w:rsidRDefault="00B44672" w:rsidP="00302865">
            <w:pPr>
              <w:pStyle w:val="Compact"/>
              <w:jc w:val="center"/>
            </w:pPr>
            <w:r>
              <w:t>-7.18</w:t>
            </w:r>
          </w:p>
        </w:tc>
      </w:tr>
      <w:tr w:rsidR="00B44672" w14:paraId="0B2F0811"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1F477027" w14:textId="77777777" w:rsidR="00B44672" w:rsidRDefault="00B44672" w:rsidP="00302865">
            <w:pPr>
              <w:pStyle w:val="Compact"/>
            </w:pPr>
            <w:r>
              <w:t>Low-income renter</w:t>
            </w:r>
          </w:p>
        </w:tc>
        <w:tc>
          <w:tcPr>
            <w:tcW w:w="510" w:type="pct"/>
          </w:tcPr>
          <w:p w14:paraId="12A6388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548</w:t>
            </w:r>
          </w:p>
        </w:tc>
        <w:tc>
          <w:tcPr>
            <w:tcW w:w="504" w:type="pct"/>
          </w:tcPr>
          <w:p w14:paraId="0DD2400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7,337</w:t>
            </w:r>
          </w:p>
        </w:tc>
        <w:tc>
          <w:tcPr>
            <w:tcW w:w="495" w:type="pct"/>
          </w:tcPr>
          <w:p w14:paraId="55EFD30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9,933</w:t>
            </w:r>
          </w:p>
        </w:tc>
        <w:tc>
          <w:tcPr>
            <w:tcW w:w="404" w:type="pct"/>
          </w:tcPr>
          <w:p w14:paraId="6C7F254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-2,595</w:t>
            </w:r>
          </w:p>
        </w:tc>
        <w:tc>
          <w:tcPr>
            <w:tcW w:w="487" w:type="pct"/>
          </w:tcPr>
          <w:p w14:paraId="64C70DE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15.50</w:t>
            </w:r>
          </w:p>
        </w:tc>
        <w:tc>
          <w:tcPr>
            <w:tcW w:w="478" w:type="pct"/>
          </w:tcPr>
          <w:p w14:paraId="436D5EC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20.99</w:t>
            </w:r>
          </w:p>
        </w:tc>
        <w:tc>
          <w:tcPr>
            <w:cnfStyle w:val="000100000000" w:firstRow="0" w:lastRow="0" w:firstColumn="0" w:lastColumn="1" w:oddVBand="0" w:evenVBand="0" w:oddHBand="0" w:evenHBand="0" w:firstRowFirstColumn="0" w:firstRowLastColumn="0" w:lastRowFirstColumn="0" w:lastRowLastColumn="0"/>
            <w:tcW w:w="512" w:type="pct"/>
          </w:tcPr>
          <w:p w14:paraId="55D944BE" w14:textId="77777777" w:rsidR="00B44672" w:rsidRDefault="00B44672" w:rsidP="00302865">
            <w:pPr>
              <w:pStyle w:val="Compact"/>
              <w:jc w:val="center"/>
            </w:pPr>
            <w:r>
              <w:t>-5.48</w:t>
            </w:r>
          </w:p>
        </w:tc>
      </w:tr>
      <w:tr w:rsidR="00B44672" w14:paraId="7423AE31"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26551BE4" w14:textId="77777777" w:rsidR="00B44672" w:rsidRDefault="00B44672" w:rsidP="00302865">
            <w:pPr>
              <w:pStyle w:val="Compact"/>
            </w:pPr>
            <w:r>
              <w:t>Middle-income homeowner</w:t>
            </w:r>
          </w:p>
        </w:tc>
        <w:tc>
          <w:tcPr>
            <w:tcW w:w="510" w:type="pct"/>
          </w:tcPr>
          <w:p w14:paraId="2A1BB7A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1,823</w:t>
            </w:r>
          </w:p>
        </w:tc>
        <w:tc>
          <w:tcPr>
            <w:tcW w:w="504" w:type="pct"/>
          </w:tcPr>
          <w:p w14:paraId="0461092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19,734</w:t>
            </w:r>
          </w:p>
        </w:tc>
        <w:tc>
          <w:tcPr>
            <w:tcW w:w="495" w:type="pct"/>
          </w:tcPr>
          <w:p w14:paraId="19A94A0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25,437</w:t>
            </w:r>
          </w:p>
        </w:tc>
        <w:tc>
          <w:tcPr>
            <w:tcW w:w="404" w:type="pct"/>
          </w:tcPr>
          <w:p w14:paraId="0E89CA1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-5,703</w:t>
            </w:r>
          </w:p>
        </w:tc>
        <w:tc>
          <w:tcPr>
            <w:tcW w:w="487" w:type="pct"/>
          </w:tcPr>
          <w:p w14:paraId="571B464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22.70</w:t>
            </w:r>
          </w:p>
        </w:tc>
        <w:tc>
          <w:tcPr>
            <w:tcW w:w="478" w:type="pct"/>
          </w:tcPr>
          <w:p w14:paraId="4C64BF4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29.26</w:t>
            </w:r>
          </w:p>
        </w:tc>
        <w:tc>
          <w:tcPr>
            <w:cnfStyle w:val="000100000000" w:firstRow="0" w:lastRow="0" w:firstColumn="0" w:lastColumn="1" w:oddVBand="0" w:evenVBand="0" w:oddHBand="0" w:evenHBand="0" w:firstRowFirstColumn="0" w:firstRowLastColumn="0" w:lastRowFirstColumn="0" w:lastRowLastColumn="0"/>
            <w:tcW w:w="512" w:type="pct"/>
          </w:tcPr>
          <w:p w14:paraId="500BEA2D" w14:textId="77777777" w:rsidR="00B44672" w:rsidRDefault="00B44672" w:rsidP="00302865">
            <w:pPr>
              <w:pStyle w:val="Compact"/>
              <w:jc w:val="center"/>
            </w:pPr>
            <w:r>
              <w:t>-6.56</w:t>
            </w:r>
          </w:p>
        </w:tc>
      </w:tr>
      <w:tr w:rsidR="00B44672" w14:paraId="3303AE61"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17DE7295" w14:textId="77777777" w:rsidR="00B44672" w:rsidRDefault="00B44672" w:rsidP="00302865">
            <w:pPr>
              <w:pStyle w:val="Compact"/>
            </w:pPr>
            <w:r>
              <w:t>Middle-income renter</w:t>
            </w:r>
          </w:p>
        </w:tc>
        <w:tc>
          <w:tcPr>
            <w:tcW w:w="510" w:type="pct"/>
          </w:tcPr>
          <w:p w14:paraId="4BDE7D7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504" w:type="pct"/>
          </w:tcPr>
          <w:p w14:paraId="317F448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11,501</w:t>
            </w:r>
          </w:p>
        </w:tc>
        <w:tc>
          <w:tcPr>
            <w:tcW w:w="495" w:type="pct"/>
          </w:tcPr>
          <w:p w14:paraId="7A75894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15,822</w:t>
            </w:r>
          </w:p>
        </w:tc>
        <w:tc>
          <w:tcPr>
            <w:tcW w:w="404" w:type="pct"/>
          </w:tcPr>
          <w:p w14:paraId="0A210BA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-4,321</w:t>
            </w:r>
          </w:p>
        </w:tc>
        <w:tc>
          <w:tcPr>
            <w:tcW w:w="487" w:type="pct"/>
          </w:tcPr>
          <w:p w14:paraId="30C957B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17.24</w:t>
            </w:r>
          </w:p>
        </w:tc>
        <w:tc>
          <w:tcPr>
            <w:tcW w:w="478" w:type="pct"/>
          </w:tcPr>
          <w:p w14:paraId="3736007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23.72</w:t>
            </w:r>
          </w:p>
        </w:tc>
        <w:tc>
          <w:tcPr>
            <w:cnfStyle w:val="000100000000" w:firstRow="0" w:lastRow="0" w:firstColumn="0" w:lastColumn="1" w:oddVBand="0" w:evenVBand="0" w:oddHBand="0" w:evenHBand="0" w:firstRowFirstColumn="0" w:firstRowLastColumn="0" w:lastRowFirstColumn="0" w:lastRowLastColumn="0"/>
            <w:tcW w:w="512" w:type="pct"/>
          </w:tcPr>
          <w:p w14:paraId="2DBC7C92" w14:textId="77777777" w:rsidR="00B44672" w:rsidRDefault="00B44672" w:rsidP="00302865">
            <w:pPr>
              <w:pStyle w:val="Compact"/>
              <w:jc w:val="center"/>
            </w:pPr>
            <w:r>
              <w:t>-6.48</w:t>
            </w:r>
          </w:p>
        </w:tc>
      </w:tr>
      <w:tr w:rsidR="00B44672" w14:paraId="54B4D914"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2F4581B3" w14:textId="77777777" w:rsidR="00B44672" w:rsidRDefault="00B44672" w:rsidP="00302865">
            <w:pPr>
              <w:pStyle w:val="Compact"/>
            </w:pPr>
            <w:r>
              <w:t>Pensioner homeowner</w:t>
            </w:r>
          </w:p>
        </w:tc>
        <w:tc>
          <w:tcPr>
            <w:tcW w:w="510" w:type="pct"/>
          </w:tcPr>
          <w:p w14:paraId="188D8E4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1,045</w:t>
            </w:r>
          </w:p>
        </w:tc>
        <w:tc>
          <w:tcPr>
            <w:tcW w:w="504" w:type="pct"/>
          </w:tcPr>
          <w:p w14:paraId="099873B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14,999</w:t>
            </w:r>
          </w:p>
        </w:tc>
        <w:tc>
          <w:tcPr>
            <w:tcW w:w="495" w:type="pct"/>
          </w:tcPr>
          <w:p w14:paraId="389B19B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18,613</w:t>
            </w:r>
          </w:p>
        </w:tc>
        <w:tc>
          <w:tcPr>
            <w:tcW w:w="404" w:type="pct"/>
          </w:tcPr>
          <w:p w14:paraId="3136D8E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-3,614</w:t>
            </w:r>
          </w:p>
        </w:tc>
        <w:tc>
          <w:tcPr>
            <w:tcW w:w="487" w:type="pct"/>
          </w:tcPr>
          <w:p w14:paraId="202BD1B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21.56</w:t>
            </w:r>
          </w:p>
        </w:tc>
        <w:tc>
          <w:tcPr>
            <w:tcW w:w="478" w:type="pct"/>
          </w:tcPr>
          <w:p w14:paraId="4C190B0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26.75</w:t>
            </w:r>
          </w:p>
        </w:tc>
        <w:tc>
          <w:tcPr>
            <w:cnfStyle w:val="000100000000" w:firstRow="0" w:lastRow="0" w:firstColumn="0" w:lastColumn="1" w:oddVBand="0" w:evenVBand="0" w:oddHBand="0" w:evenHBand="0" w:firstRowFirstColumn="0" w:firstRowLastColumn="0" w:lastRowFirstColumn="0" w:lastRowLastColumn="0"/>
            <w:tcW w:w="512" w:type="pct"/>
          </w:tcPr>
          <w:p w14:paraId="77C82809" w14:textId="77777777" w:rsidR="00B44672" w:rsidRDefault="00B44672" w:rsidP="00302865">
            <w:pPr>
              <w:pStyle w:val="Compact"/>
              <w:jc w:val="center"/>
            </w:pPr>
            <w:r>
              <w:t>-5.19</w:t>
            </w:r>
          </w:p>
        </w:tc>
      </w:tr>
      <w:tr w:rsidR="00B44672" w14:paraId="06096F68"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38F8BF30" w14:textId="77777777" w:rsidR="00B44672" w:rsidRDefault="00B44672" w:rsidP="00302865">
            <w:pPr>
              <w:pStyle w:val="Compact"/>
            </w:pPr>
            <w:r>
              <w:t>Pensioner renter</w:t>
            </w:r>
          </w:p>
        </w:tc>
        <w:tc>
          <w:tcPr>
            <w:tcW w:w="510" w:type="pct"/>
          </w:tcPr>
          <w:p w14:paraId="39CB75F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504" w:type="pct"/>
          </w:tcPr>
          <w:p w14:paraId="4D7A7E2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9,078</w:t>
            </w:r>
          </w:p>
        </w:tc>
        <w:tc>
          <w:tcPr>
            <w:tcW w:w="495" w:type="pct"/>
          </w:tcPr>
          <w:p w14:paraId="6F46285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11,698</w:t>
            </w:r>
          </w:p>
        </w:tc>
        <w:tc>
          <w:tcPr>
            <w:tcW w:w="404" w:type="pct"/>
          </w:tcPr>
          <w:p w14:paraId="71871FD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-2,620</w:t>
            </w:r>
          </w:p>
        </w:tc>
        <w:tc>
          <w:tcPr>
            <w:tcW w:w="487" w:type="pct"/>
          </w:tcPr>
          <w:p w14:paraId="67DE8EB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18.47</w:t>
            </w:r>
          </w:p>
        </w:tc>
        <w:tc>
          <w:tcPr>
            <w:tcW w:w="478" w:type="pct"/>
          </w:tcPr>
          <w:p w14:paraId="6016FC0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23.81</w:t>
            </w:r>
          </w:p>
        </w:tc>
        <w:tc>
          <w:tcPr>
            <w:cnfStyle w:val="000100000000" w:firstRow="0" w:lastRow="0" w:firstColumn="0" w:lastColumn="1" w:oddVBand="0" w:evenVBand="0" w:oddHBand="0" w:evenHBand="0" w:firstRowFirstColumn="0" w:firstRowLastColumn="0" w:lastRowFirstColumn="0" w:lastRowLastColumn="0"/>
            <w:tcW w:w="512" w:type="pct"/>
          </w:tcPr>
          <w:p w14:paraId="6CD016D9" w14:textId="77777777" w:rsidR="00B44672" w:rsidRDefault="00B44672" w:rsidP="00302865">
            <w:pPr>
              <w:pStyle w:val="Compact"/>
              <w:jc w:val="center"/>
            </w:pPr>
            <w:r>
              <w:t>-5.33</w:t>
            </w:r>
          </w:p>
        </w:tc>
      </w:tr>
      <w:tr w:rsidR="00B44672" w14:paraId="151D4950" w14:textId="77777777" w:rsidTr="00155A0D">
        <w:trPr>
          <w:jc w:val="center"/>
        </w:trPr>
        <w:tc>
          <w:tcPr>
            <w:cnfStyle w:val="001000000000" w:firstRow="0" w:lastRow="0" w:firstColumn="1" w:lastColumn="0" w:oddVBand="0" w:evenVBand="0" w:oddHBand="0" w:evenHBand="0" w:firstRowFirstColumn="0" w:firstRowLastColumn="0" w:lastRowFirstColumn="0" w:lastRowLastColumn="0"/>
            <w:tcW w:w="1610" w:type="pct"/>
          </w:tcPr>
          <w:p w14:paraId="3303A3E7" w14:textId="77777777" w:rsidR="00B44672" w:rsidRDefault="00B44672" w:rsidP="00302865">
            <w:pPr>
              <w:pStyle w:val="Compact"/>
            </w:pPr>
            <w:r>
              <w:t>Female-headed homeowner</w:t>
            </w:r>
          </w:p>
        </w:tc>
        <w:tc>
          <w:tcPr>
            <w:tcW w:w="510" w:type="pct"/>
          </w:tcPr>
          <w:p w14:paraId="2DB3947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3,204</w:t>
            </w:r>
          </w:p>
        </w:tc>
        <w:tc>
          <w:tcPr>
            <w:tcW w:w="504" w:type="pct"/>
          </w:tcPr>
          <w:p w14:paraId="5D53278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17,623</w:t>
            </w:r>
          </w:p>
        </w:tc>
        <w:tc>
          <w:tcPr>
            <w:tcW w:w="495" w:type="pct"/>
          </w:tcPr>
          <w:p w14:paraId="5A20CD9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22,714</w:t>
            </w:r>
          </w:p>
        </w:tc>
        <w:tc>
          <w:tcPr>
            <w:tcW w:w="404" w:type="pct"/>
          </w:tcPr>
          <w:p w14:paraId="377B3E3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-5,091</w:t>
            </w:r>
          </w:p>
        </w:tc>
        <w:tc>
          <w:tcPr>
            <w:tcW w:w="487" w:type="pct"/>
          </w:tcPr>
          <w:p w14:paraId="0E0EBE9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17.47</w:t>
            </w:r>
          </w:p>
        </w:tc>
        <w:tc>
          <w:tcPr>
            <w:tcW w:w="478" w:type="pct"/>
          </w:tcPr>
          <w:p w14:paraId="66B17A7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22.52</w:t>
            </w:r>
          </w:p>
        </w:tc>
        <w:tc>
          <w:tcPr>
            <w:cnfStyle w:val="000100000000" w:firstRow="0" w:lastRow="0" w:firstColumn="0" w:lastColumn="1" w:oddVBand="0" w:evenVBand="0" w:oddHBand="0" w:evenHBand="0" w:firstRowFirstColumn="0" w:firstRowLastColumn="0" w:lastRowFirstColumn="0" w:lastRowLastColumn="0"/>
            <w:tcW w:w="512" w:type="pct"/>
          </w:tcPr>
          <w:p w14:paraId="41B342FA" w14:textId="77777777" w:rsidR="00B44672" w:rsidRDefault="00B44672" w:rsidP="00302865">
            <w:pPr>
              <w:pStyle w:val="Compact"/>
              <w:jc w:val="center"/>
            </w:pPr>
            <w:r>
              <w:t>-5.05</w:t>
            </w:r>
          </w:p>
        </w:tc>
      </w:tr>
      <w:tr w:rsidR="00B44672" w14:paraId="1F952A88" w14:textId="77777777" w:rsidTr="00155A0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0" w:type="pct"/>
          </w:tcPr>
          <w:p w14:paraId="1F924966" w14:textId="77777777" w:rsidR="00B44672" w:rsidRDefault="00B44672" w:rsidP="00302865">
            <w:pPr>
              <w:pStyle w:val="Compact"/>
            </w:pPr>
            <w:r>
              <w:t>Female-headed renter</w:t>
            </w:r>
          </w:p>
        </w:tc>
        <w:tc>
          <w:tcPr>
            <w:tcW w:w="510" w:type="pct"/>
          </w:tcPr>
          <w:p w14:paraId="4A167E88"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1,533</w:t>
            </w:r>
          </w:p>
        </w:tc>
        <w:tc>
          <w:tcPr>
            <w:tcW w:w="504" w:type="pct"/>
          </w:tcPr>
          <w:p w14:paraId="5C011540"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13,094</w:t>
            </w:r>
          </w:p>
        </w:tc>
        <w:tc>
          <w:tcPr>
            <w:tcW w:w="495" w:type="pct"/>
          </w:tcPr>
          <w:p w14:paraId="30991D08"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17,678</w:t>
            </w:r>
          </w:p>
        </w:tc>
        <w:tc>
          <w:tcPr>
            <w:tcW w:w="404" w:type="pct"/>
          </w:tcPr>
          <w:p w14:paraId="7CFB7B24"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-4,585</w:t>
            </w:r>
          </w:p>
        </w:tc>
        <w:tc>
          <w:tcPr>
            <w:tcW w:w="487" w:type="pct"/>
          </w:tcPr>
          <w:p w14:paraId="56B01FF8"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15.66</w:t>
            </w:r>
          </w:p>
        </w:tc>
        <w:tc>
          <w:tcPr>
            <w:tcW w:w="478" w:type="pct"/>
          </w:tcPr>
          <w:p w14:paraId="3DC74BBB"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21.14</w:t>
            </w:r>
          </w:p>
        </w:tc>
        <w:tc>
          <w:tcPr>
            <w:cnfStyle w:val="000100000000" w:firstRow="0" w:lastRow="0" w:firstColumn="0" w:lastColumn="1" w:oddVBand="0" w:evenVBand="0" w:oddHBand="0" w:evenHBand="0" w:firstRowFirstColumn="0" w:firstRowLastColumn="0" w:lastRowFirstColumn="0" w:lastRowLastColumn="0"/>
            <w:tcW w:w="512" w:type="pct"/>
          </w:tcPr>
          <w:p w14:paraId="21B10839" w14:textId="77777777" w:rsidR="00B44672" w:rsidRDefault="00B44672" w:rsidP="00302865">
            <w:pPr>
              <w:pStyle w:val="Compact"/>
              <w:jc w:val="center"/>
            </w:pPr>
            <w:r>
              <w:t>-5.48</w:t>
            </w:r>
          </w:p>
        </w:tc>
      </w:tr>
    </w:tbl>
    <w:p w14:paraId="388D633F"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23253870" w14:textId="77777777" w:rsidR="00B44672" w:rsidRDefault="00B44672">
      <w:pPr>
        <w:jc w:val="left"/>
        <w:rPr>
          <w:b/>
        </w:rPr>
      </w:pPr>
      <w:r>
        <w:rPr>
          <w:b/>
        </w:rPr>
        <w:br w:type="page"/>
      </w:r>
    </w:p>
    <w:p w14:paraId="65F2DE47" w14:textId="77777777" w:rsidR="00B44672" w:rsidRDefault="00B44672" w:rsidP="00C83581">
      <w:pPr>
        <w:pStyle w:val="FirstParagraph"/>
      </w:pPr>
      <w:r>
        <w:rPr>
          <w:b/>
        </w:rPr>
        <w:lastRenderedPageBreak/>
        <w:t>Rate payment distribution</w:t>
      </w:r>
    </w:p>
    <w:p w14:paraId="31462F79" w14:textId="77777777" w:rsidR="00B44672" w:rsidRDefault="00B44672" w:rsidP="00C83581">
      <w:pPr>
        <w:pStyle w:val="TableCaption"/>
      </w:pPr>
      <w:r>
        <w:t>Table 10 - The impact of tax reform on rate paid by sub-group, average 2012 - 2018</w:t>
      </w:r>
    </w:p>
    <w:tbl>
      <w:tblPr>
        <w:tblStyle w:val="Table"/>
        <w:tblW w:w="5697" w:type="pct"/>
        <w:jc w:val="center"/>
        <w:tblCellMar>
          <w:left w:w="0" w:type="dxa"/>
          <w:right w:w="0" w:type="dxa"/>
        </w:tblCellMar>
        <w:tblLook w:val="07E0" w:firstRow="1" w:lastRow="1" w:firstColumn="1" w:lastColumn="1" w:noHBand="1" w:noVBand="1"/>
        <w:tblCaption w:val="Table 10 - The impact of tax reform on rate paid by sub-group, average 2012 - 2018"/>
      </w:tblPr>
      <w:tblGrid>
        <w:gridCol w:w="2599"/>
        <w:gridCol w:w="1007"/>
        <w:gridCol w:w="989"/>
        <w:gridCol w:w="835"/>
        <w:gridCol w:w="835"/>
        <w:gridCol w:w="819"/>
        <w:gridCol w:w="516"/>
        <w:gridCol w:w="956"/>
        <w:gridCol w:w="940"/>
        <w:gridCol w:w="788"/>
      </w:tblGrid>
      <w:tr w:rsidR="00B44672" w14:paraId="53E029BD" w14:textId="77777777" w:rsidTr="000F7C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3" w:type="pct"/>
            <w:tcBorders>
              <w:bottom w:val="single" w:sz="0" w:space="0" w:color="auto"/>
            </w:tcBorders>
            <w:vAlign w:val="bottom"/>
          </w:tcPr>
          <w:p w14:paraId="6C97FB16" w14:textId="77777777" w:rsidR="00B44672" w:rsidRDefault="00B44672" w:rsidP="000511CA"/>
        </w:tc>
        <w:tc>
          <w:tcPr>
            <w:tcW w:w="489" w:type="pct"/>
            <w:tcBorders>
              <w:bottom w:val="single" w:sz="0" w:space="0" w:color="auto"/>
            </w:tcBorders>
            <w:vAlign w:val="bottom"/>
          </w:tcPr>
          <w:p w14:paraId="1D887BC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affected</w:t>
            </w:r>
          </w:p>
        </w:tc>
        <w:tc>
          <w:tcPr>
            <w:tcW w:w="481" w:type="pct"/>
            <w:tcBorders>
              <w:bottom w:val="single" w:sz="0" w:space="0" w:color="auto"/>
            </w:tcBorders>
            <w:vAlign w:val="bottom"/>
          </w:tcPr>
          <w:p w14:paraId="1801FDE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affected</w:t>
            </w:r>
          </w:p>
        </w:tc>
        <w:tc>
          <w:tcPr>
            <w:tcW w:w="406" w:type="pct"/>
            <w:tcBorders>
              <w:bottom w:val="single" w:sz="0" w:space="0" w:color="auto"/>
            </w:tcBorders>
            <w:vAlign w:val="bottom"/>
          </w:tcPr>
          <w:p w14:paraId="1F75602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 affected</w:t>
            </w:r>
          </w:p>
        </w:tc>
        <w:tc>
          <w:tcPr>
            <w:tcW w:w="406" w:type="pct"/>
            <w:tcBorders>
              <w:bottom w:val="single" w:sz="0" w:space="0" w:color="auto"/>
            </w:tcBorders>
            <w:vAlign w:val="bottom"/>
          </w:tcPr>
          <w:p w14:paraId="74F59F16"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rate</w:t>
            </w:r>
          </w:p>
          <w:p w14:paraId="0DE50BA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398" w:type="pct"/>
            <w:tcBorders>
              <w:bottom w:val="single" w:sz="0" w:space="0" w:color="auto"/>
            </w:tcBorders>
            <w:vAlign w:val="bottom"/>
          </w:tcPr>
          <w:p w14:paraId="26FDA8EB"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rate</w:t>
            </w:r>
          </w:p>
          <w:p w14:paraId="6C45F445"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251" w:type="pct"/>
            <w:tcBorders>
              <w:bottom w:val="single" w:sz="0" w:space="0" w:color="auto"/>
            </w:tcBorders>
            <w:vAlign w:val="bottom"/>
          </w:tcPr>
          <w:p w14:paraId="52B8DE0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rate</w:t>
            </w:r>
          </w:p>
          <w:p w14:paraId="192B4A4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65" w:type="pct"/>
            <w:tcBorders>
              <w:bottom w:val="single" w:sz="0" w:space="0" w:color="auto"/>
            </w:tcBorders>
            <w:vAlign w:val="bottom"/>
          </w:tcPr>
          <w:p w14:paraId="2CCC5590"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57" w:type="pct"/>
            <w:tcBorders>
              <w:bottom w:val="single" w:sz="0" w:space="0" w:color="auto"/>
            </w:tcBorders>
            <w:vAlign w:val="bottom"/>
          </w:tcPr>
          <w:p w14:paraId="35FB46C3"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383" w:type="pct"/>
            <w:tcBorders>
              <w:bottom w:val="single" w:sz="0" w:space="0" w:color="auto"/>
            </w:tcBorders>
            <w:vAlign w:val="bottom"/>
          </w:tcPr>
          <w:p w14:paraId="03D66B54" w14:textId="77777777" w:rsidR="00B44672" w:rsidRDefault="00B44672" w:rsidP="000511CA">
            <w:pPr>
              <w:pStyle w:val="Compact"/>
              <w:jc w:val="center"/>
            </w:pPr>
            <w:r>
              <w:t>Diff - % point change in income</w:t>
            </w:r>
          </w:p>
        </w:tc>
      </w:tr>
      <w:tr w:rsidR="00B44672" w14:paraId="1CBC875A"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59AE28A7" w14:textId="77777777" w:rsidR="00B44672" w:rsidRDefault="00B44672" w:rsidP="006E7C43">
            <w:pPr>
              <w:pStyle w:val="Compact"/>
            </w:pPr>
            <w:r w:rsidRPr="00AF6491">
              <w:rPr>
                <w:b/>
                <w:i/>
                <w:iCs/>
                <w:color w:val="365F91" w:themeColor="accent1" w:themeShade="BF"/>
              </w:rPr>
              <w:t>No price change</w:t>
            </w:r>
          </w:p>
        </w:tc>
        <w:tc>
          <w:tcPr>
            <w:tcW w:w="489" w:type="pct"/>
          </w:tcPr>
          <w:p w14:paraId="095A653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81" w:type="pct"/>
          </w:tcPr>
          <w:p w14:paraId="6BE99A9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06" w:type="pct"/>
          </w:tcPr>
          <w:p w14:paraId="7BDC61C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06" w:type="pct"/>
          </w:tcPr>
          <w:p w14:paraId="509F0D4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398" w:type="pct"/>
          </w:tcPr>
          <w:p w14:paraId="00CDCA8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251" w:type="pct"/>
          </w:tcPr>
          <w:p w14:paraId="71DFF73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65" w:type="pct"/>
          </w:tcPr>
          <w:p w14:paraId="381C903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57" w:type="pct"/>
          </w:tcPr>
          <w:p w14:paraId="3AD658A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83" w:type="pct"/>
          </w:tcPr>
          <w:p w14:paraId="4C13554F" w14:textId="77777777" w:rsidR="00B44672" w:rsidRDefault="00B44672" w:rsidP="006E7C43">
            <w:pPr>
              <w:pStyle w:val="Compact"/>
              <w:jc w:val="center"/>
            </w:pPr>
          </w:p>
        </w:tc>
      </w:tr>
      <w:tr w:rsidR="00B44672" w14:paraId="3B52FE63"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07A13E66" w14:textId="77777777" w:rsidR="00B44672" w:rsidRDefault="00B44672" w:rsidP="006E7C43">
            <w:pPr>
              <w:pStyle w:val="Compact"/>
            </w:pPr>
            <w:r>
              <w:t>First home buyers</w:t>
            </w:r>
          </w:p>
        </w:tc>
        <w:tc>
          <w:tcPr>
            <w:tcW w:w="489" w:type="pct"/>
          </w:tcPr>
          <w:p w14:paraId="4FE3731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4,183</w:t>
            </w:r>
          </w:p>
        </w:tc>
        <w:tc>
          <w:tcPr>
            <w:tcW w:w="481" w:type="pct"/>
          </w:tcPr>
          <w:p w14:paraId="63C347B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3,955</w:t>
            </w:r>
          </w:p>
        </w:tc>
        <w:tc>
          <w:tcPr>
            <w:tcW w:w="406" w:type="pct"/>
          </w:tcPr>
          <w:p w14:paraId="55A33C2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228</w:t>
            </w:r>
          </w:p>
        </w:tc>
        <w:tc>
          <w:tcPr>
            <w:tcW w:w="406" w:type="pct"/>
          </w:tcPr>
          <w:p w14:paraId="72487E7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1,418</w:t>
            </w:r>
          </w:p>
        </w:tc>
        <w:tc>
          <w:tcPr>
            <w:tcW w:w="398" w:type="pct"/>
          </w:tcPr>
          <w:p w14:paraId="622949B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1,175</w:t>
            </w:r>
          </w:p>
        </w:tc>
        <w:tc>
          <w:tcPr>
            <w:tcW w:w="251" w:type="pct"/>
          </w:tcPr>
          <w:p w14:paraId="64FDD64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243</w:t>
            </w:r>
          </w:p>
        </w:tc>
        <w:tc>
          <w:tcPr>
            <w:tcW w:w="465" w:type="pct"/>
          </w:tcPr>
          <w:p w14:paraId="7911879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1.67</w:t>
            </w:r>
          </w:p>
        </w:tc>
        <w:tc>
          <w:tcPr>
            <w:tcW w:w="457" w:type="pct"/>
          </w:tcPr>
          <w:p w14:paraId="308B1E4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1.40</w:t>
            </w:r>
          </w:p>
        </w:tc>
        <w:tc>
          <w:tcPr>
            <w:cnfStyle w:val="000100000000" w:firstRow="0" w:lastRow="0" w:firstColumn="0" w:lastColumn="1" w:oddVBand="0" w:evenVBand="0" w:oddHBand="0" w:evenHBand="0" w:firstRowFirstColumn="0" w:firstRowLastColumn="0" w:lastRowFirstColumn="0" w:lastRowLastColumn="0"/>
            <w:tcW w:w="383" w:type="pct"/>
          </w:tcPr>
          <w:p w14:paraId="641601E1" w14:textId="77777777" w:rsidR="00B44672" w:rsidRDefault="00B44672" w:rsidP="006E7C43">
            <w:pPr>
              <w:pStyle w:val="Compact"/>
              <w:jc w:val="center"/>
            </w:pPr>
            <w:r>
              <w:t>0.27</w:t>
            </w:r>
          </w:p>
        </w:tc>
      </w:tr>
      <w:tr w:rsidR="00B44672" w14:paraId="3BD97D9C"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79F5FA26" w14:textId="77777777" w:rsidR="00B44672" w:rsidRDefault="00B44672" w:rsidP="006E7C43">
            <w:pPr>
              <w:pStyle w:val="Compact"/>
            </w:pPr>
            <w:r>
              <w:t>Low-income homeowner</w:t>
            </w:r>
          </w:p>
        </w:tc>
        <w:tc>
          <w:tcPr>
            <w:tcW w:w="489" w:type="pct"/>
          </w:tcPr>
          <w:p w14:paraId="6C8A6A0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81" w:type="pct"/>
          </w:tcPr>
          <w:p w14:paraId="15119F4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06" w:type="pct"/>
          </w:tcPr>
          <w:p w14:paraId="6018247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193B892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1,476</w:t>
            </w:r>
          </w:p>
        </w:tc>
        <w:tc>
          <w:tcPr>
            <w:tcW w:w="398" w:type="pct"/>
          </w:tcPr>
          <w:p w14:paraId="1C095F2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1,162</w:t>
            </w:r>
          </w:p>
        </w:tc>
        <w:tc>
          <w:tcPr>
            <w:tcW w:w="251" w:type="pct"/>
          </w:tcPr>
          <w:p w14:paraId="2E95428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314</w:t>
            </w:r>
          </w:p>
        </w:tc>
        <w:tc>
          <w:tcPr>
            <w:tcW w:w="465" w:type="pct"/>
          </w:tcPr>
          <w:p w14:paraId="2F25EE3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3.48</w:t>
            </w:r>
          </w:p>
        </w:tc>
        <w:tc>
          <w:tcPr>
            <w:tcW w:w="457" w:type="pct"/>
          </w:tcPr>
          <w:p w14:paraId="5D307E2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2.74</w:t>
            </w:r>
          </w:p>
        </w:tc>
        <w:tc>
          <w:tcPr>
            <w:cnfStyle w:val="000100000000" w:firstRow="0" w:lastRow="0" w:firstColumn="0" w:lastColumn="1" w:oddVBand="0" w:evenVBand="0" w:oddHBand="0" w:evenHBand="0" w:firstRowFirstColumn="0" w:firstRowLastColumn="0" w:lastRowFirstColumn="0" w:lastRowLastColumn="0"/>
            <w:tcW w:w="383" w:type="pct"/>
          </w:tcPr>
          <w:p w14:paraId="2864BDFE" w14:textId="77777777" w:rsidR="00B44672" w:rsidRDefault="00B44672" w:rsidP="006E7C43">
            <w:pPr>
              <w:pStyle w:val="Compact"/>
              <w:jc w:val="center"/>
            </w:pPr>
            <w:r>
              <w:t>0.74</w:t>
            </w:r>
          </w:p>
        </w:tc>
      </w:tr>
      <w:tr w:rsidR="00B44672" w14:paraId="6E6D635B"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21B49653" w14:textId="77777777" w:rsidR="00B44672" w:rsidRDefault="00B44672" w:rsidP="006E7C43">
            <w:pPr>
              <w:pStyle w:val="Compact"/>
            </w:pPr>
            <w:r>
              <w:t>Low-income renter</w:t>
            </w:r>
          </w:p>
        </w:tc>
        <w:tc>
          <w:tcPr>
            <w:tcW w:w="489" w:type="pct"/>
          </w:tcPr>
          <w:p w14:paraId="27F7C10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561</w:t>
            </w:r>
          </w:p>
        </w:tc>
        <w:tc>
          <w:tcPr>
            <w:tcW w:w="481" w:type="pct"/>
          </w:tcPr>
          <w:p w14:paraId="66B4D8F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532</w:t>
            </w:r>
          </w:p>
        </w:tc>
        <w:tc>
          <w:tcPr>
            <w:tcW w:w="406" w:type="pct"/>
          </w:tcPr>
          <w:p w14:paraId="42F4A17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28</w:t>
            </w:r>
          </w:p>
        </w:tc>
        <w:tc>
          <w:tcPr>
            <w:tcW w:w="406" w:type="pct"/>
          </w:tcPr>
          <w:p w14:paraId="3DE370B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990</w:t>
            </w:r>
          </w:p>
        </w:tc>
        <w:tc>
          <w:tcPr>
            <w:tcW w:w="398" w:type="pct"/>
          </w:tcPr>
          <w:p w14:paraId="596789B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813</w:t>
            </w:r>
          </w:p>
        </w:tc>
        <w:tc>
          <w:tcPr>
            <w:tcW w:w="251" w:type="pct"/>
          </w:tcPr>
          <w:p w14:paraId="741C54D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177</w:t>
            </w:r>
          </w:p>
        </w:tc>
        <w:tc>
          <w:tcPr>
            <w:tcW w:w="465" w:type="pct"/>
          </w:tcPr>
          <w:p w14:paraId="7DF021A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2.05</w:t>
            </w:r>
          </w:p>
        </w:tc>
        <w:tc>
          <w:tcPr>
            <w:tcW w:w="457" w:type="pct"/>
          </w:tcPr>
          <w:p w14:paraId="0049256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1.75</w:t>
            </w:r>
          </w:p>
        </w:tc>
        <w:tc>
          <w:tcPr>
            <w:cnfStyle w:val="000100000000" w:firstRow="0" w:lastRow="0" w:firstColumn="0" w:lastColumn="1" w:oddVBand="0" w:evenVBand="0" w:oddHBand="0" w:evenHBand="0" w:firstRowFirstColumn="0" w:firstRowLastColumn="0" w:lastRowFirstColumn="0" w:lastRowLastColumn="0"/>
            <w:tcW w:w="383" w:type="pct"/>
          </w:tcPr>
          <w:p w14:paraId="112C600C" w14:textId="77777777" w:rsidR="00B44672" w:rsidRDefault="00B44672" w:rsidP="006E7C43">
            <w:pPr>
              <w:pStyle w:val="Compact"/>
              <w:jc w:val="center"/>
            </w:pPr>
            <w:r>
              <w:t>0.31</w:t>
            </w:r>
          </w:p>
        </w:tc>
      </w:tr>
      <w:tr w:rsidR="00B44672" w14:paraId="5F7A9FFA"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75898EB3" w14:textId="77777777" w:rsidR="00B44672" w:rsidRDefault="00B44672" w:rsidP="006E7C43">
            <w:pPr>
              <w:pStyle w:val="Compact"/>
            </w:pPr>
            <w:r>
              <w:t>Middle-income homeowner</w:t>
            </w:r>
          </w:p>
        </w:tc>
        <w:tc>
          <w:tcPr>
            <w:tcW w:w="489" w:type="pct"/>
          </w:tcPr>
          <w:p w14:paraId="393469F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81" w:type="pct"/>
          </w:tcPr>
          <w:p w14:paraId="2AD28CE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06" w:type="pct"/>
          </w:tcPr>
          <w:p w14:paraId="6A73BDF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754BEDA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1,919</w:t>
            </w:r>
          </w:p>
        </w:tc>
        <w:tc>
          <w:tcPr>
            <w:tcW w:w="398" w:type="pct"/>
          </w:tcPr>
          <w:p w14:paraId="7CE9AEC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1,525</w:t>
            </w:r>
          </w:p>
        </w:tc>
        <w:tc>
          <w:tcPr>
            <w:tcW w:w="251" w:type="pct"/>
          </w:tcPr>
          <w:p w14:paraId="2BE2293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394</w:t>
            </w:r>
          </w:p>
        </w:tc>
        <w:tc>
          <w:tcPr>
            <w:tcW w:w="465" w:type="pct"/>
          </w:tcPr>
          <w:p w14:paraId="1E53C34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2.35</w:t>
            </w:r>
          </w:p>
        </w:tc>
        <w:tc>
          <w:tcPr>
            <w:tcW w:w="457" w:type="pct"/>
          </w:tcPr>
          <w:p w14:paraId="0E77394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1.86</w:t>
            </w:r>
          </w:p>
        </w:tc>
        <w:tc>
          <w:tcPr>
            <w:cnfStyle w:val="000100000000" w:firstRow="0" w:lastRow="0" w:firstColumn="0" w:lastColumn="1" w:oddVBand="0" w:evenVBand="0" w:oddHBand="0" w:evenHBand="0" w:firstRowFirstColumn="0" w:firstRowLastColumn="0" w:lastRowFirstColumn="0" w:lastRowLastColumn="0"/>
            <w:tcW w:w="383" w:type="pct"/>
          </w:tcPr>
          <w:p w14:paraId="0EDD6BBB" w14:textId="77777777" w:rsidR="00B44672" w:rsidRDefault="00B44672" w:rsidP="006E7C43">
            <w:pPr>
              <w:pStyle w:val="Compact"/>
              <w:jc w:val="center"/>
            </w:pPr>
            <w:r>
              <w:t>0.48</w:t>
            </w:r>
          </w:p>
        </w:tc>
      </w:tr>
      <w:tr w:rsidR="00B44672" w14:paraId="5F22362A"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7E5818C0" w14:textId="77777777" w:rsidR="00B44672" w:rsidRDefault="00B44672" w:rsidP="006E7C43">
            <w:pPr>
              <w:pStyle w:val="Compact"/>
            </w:pPr>
            <w:r>
              <w:t>Middle-income renter</w:t>
            </w:r>
          </w:p>
        </w:tc>
        <w:tc>
          <w:tcPr>
            <w:tcW w:w="489" w:type="pct"/>
          </w:tcPr>
          <w:p w14:paraId="14BA834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1,462</w:t>
            </w:r>
          </w:p>
        </w:tc>
        <w:tc>
          <w:tcPr>
            <w:tcW w:w="481" w:type="pct"/>
          </w:tcPr>
          <w:p w14:paraId="524AE24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406" w:type="pct"/>
          </w:tcPr>
          <w:p w14:paraId="1DD7B36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406" w:type="pct"/>
          </w:tcPr>
          <w:p w14:paraId="770B638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1,413</w:t>
            </w:r>
          </w:p>
        </w:tc>
        <w:tc>
          <w:tcPr>
            <w:tcW w:w="398" w:type="pct"/>
          </w:tcPr>
          <w:p w14:paraId="0AF6AA8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1,193</w:t>
            </w:r>
          </w:p>
        </w:tc>
        <w:tc>
          <w:tcPr>
            <w:tcW w:w="251" w:type="pct"/>
          </w:tcPr>
          <w:p w14:paraId="33F7FCF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220</w:t>
            </w:r>
          </w:p>
        </w:tc>
        <w:tc>
          <w:tcPr>
            <w:tcW w:w="465" w:type="pct"/>
          </w:tcPr>
          <w:p w14:paraId="4BB165D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2.12</w:t>
            </w:r>
          </w:p>
        </w:tc>
        <w:tc>
          <w:tcPr>
            <w:tcW w:w="457" w:type="pct"/>
          </w:tcPr>
          <w:p w14:paraId="6F9D444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1.79</w:t>
            </w:r>
          </w:p>
        </w:tc>
        <w:tc>
          <w:tcPr>
            <w:cnfStyle w:val="000100000000" w:firstRow="0" w:lastRow="0" w:firstColumn="0" w:lastColumn="1" w:oddVBand="0" w:evenVBand="0" w:oddHBand="0" w:evenHBand="0" w:firstRowFirstColumn="0" w:firstRowLastColumn="0" w:lastRowFirstColumn="0" w:lastRowLastColumn="0"/>
            <w:tcW w:w="383" w:type="pct"/>
          </w:tcPr>
          <w:p w14:paraId="7F50F05E" w14:textId="77777777" w:rsidR="00B44672" w:rsidRDefault="00B44672" w:rsidP="006E7C43">
            <w:pPr>
              <w:pStyle w:val="Compact"/>
              <w:jc w:val="center"/>
            </w:pPr>
            <w:r>
              <w:t>0.34</w:t>
            </w:r>
          </w:p>
        </w:tc>
      </w:tr>
      <w:tr w:rsidR="00B44672" w14:paraId="65CE2F28"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3E84D860" w14:textId="77777777" w:rsidR="00B44672" w:rsidRDefault="00B44672" w:rsidP="006E7C43">
            <w:pPr>
              <w:pStyle w:val="Compact"/>
            </w:pPr>
            <w:r>
              <w:t>Pensioner homeowner</w:t>
            </w:r>
          </w:p>
        </w:tc>
        <w:tc>
          <w:tcPr>
            <w:tcW w:w="489" w:type="pct"/>
          </w:tcPr>
          <w:p w14:paraId="096DC30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81" w:type="pct"/>
          </w:tcPr>
          <w:p w14:paraId="52DFA97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06" w:type="pct"/>
          </w:tcPr>
          <w:p w14:paraId="69748CA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374591E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1,796</w:t>
            </w:r>
          </w:p>
        </w:tc>
        <w:tc>
          <w:tcPr>
            <w:tcW w:w="398" w:type="pct"/>
          </w:tcPr>
          <w:p w14:paraId="02FB289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1,302</w:t>
            </w:r>
          </w:p>
        </w:tc>
        <w:tc>
          <w:tcPr>
            <w:tcW w:w="251" w:type="pct"/>
          </w:tcPr>
          <w:p w14:paraId="7850918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493</w:t>
            </w:r>
          </w:p>
        </w:tc>
        <w:tc>
          <w:tcPr>
            <w:tcW w:w="465" w:type="pct"/>
          </w:tcPr>
          <w:p w14:paraId="45ECBB9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3.09</w:t>
            </w:r>
          </w:p>
        </w:tc>
        <w:tc>
          <w:tcPr>
            <w:tcW w:w="457" w:type="pct"/>
          </w:tcPr>
          <w:p w14:paraId="25E694C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2.24</w:t>
            </w:r>
          </w:p>
        </w:tc>
        <w:tc>
          <w:tcPr>
            <w:cnfStyle w:val="000100000000" w:firstRow="0" w:lastRow="0" w:firstColumn="0" w:lastColumn="1" w:oddVBand="0" w:evenVBand="0" w:oddHBand="0" w:evenHBand="0" w:firstRowFirstColumn="0" w:firstRowLastColumn="0" w:lastRowFirstColumn="0" w:lastRowLastColumn="0"/>
            <w:tcW w:w="383" w:type="pct"/>
          </w:tcPr>
          <w:p w14:paraId="19E79F12" w14:textId="77777777" w:rsidR="00B44672" w:rsidRDefault="00B44672" w:rsidP="006E7C43">
            <w:pPr>
              <w:pStyle w:val="Compact"/>
              <w:jc w:val="center"/>
            </w:pPr>
            <w:r>
              <w:t>0.85</w:t>
            </w:r>
          </w:p>
        </w:tc>
      </w:tr>
      <w:tr w:rsidR="00B44672" w14:paraId="0DB672F3"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31F40585" w14:textId="77777777" w:rsidR="00B44672" w:rsidRDefault="00B44672" w:rsidP="006E7C43">
            <w:pPr>
              <w:pStyle w:val="Compact"/>
            </w:pPr>
            <w:r>
              <w:t>Pensioner renter</w:t>
            </w:r>
          </w:p>
        </w:tc>
        <w:tc>
          <w:tcPr>
            <w:tcW w:w="489" w:type="pct"/>
          </w:tcPr>
          <w:p w14:paraId="7984A00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81" w:type="pct"/>
          </w:tcPr>
          <w:p w14:paraId="6FFCD94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06" w:type="pct"/>
          </w:tcPr>
          <w:p w14:paraId="5229635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18D60BD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909</w:t>
            </w:r>
          </w:p>
        </w:tc>
        <w:tc>
          <w:tcPr>
            <w:tcW w:w="398" w:type="pct"/>
          </w:tcPr>
          <w:p w14:paraId="669189F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735</w:t>
            </w:r>
          </w:p>
        </w:tc>
        <w:tc>
          <w:tcPr>
            <w:tcW w:w="251" w:type="pct"/>
          </w:tcPr>
          <w:p w14:paraId="786634B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174</w:t>
            </w:r>
          </w:p>
        </w:tc>
        <w:tc>
          <w:tcPr>
            <w:tcW w:w="465" w:type="pct"/>
          </w:tcPr>
          <w:p w14:paraId="04018A4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1.85</w:t>
            </w:r>
          </w:p>
        </w:tc>
        <w:tc>
          <w:tcPr>
            <w:tcW w:w="457" w:type="pct"/>
          </w:tcPr>
          <w:p w14:paraId="4A2397C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1.49</w:t>
            </w:r>
          </w:p>
        </w:tc>
        <w:tc>
          <w:tcPr>
            <w:cnfStyle w:val="000100000000" w:firstRow="0" w:lastRow="0" w:firstColumn="0" w:lastColumn="1" w:oddVBand="0" w:evenVBand="0" w:oddHBand="0" w:evenHBand="0" w:firstRowFirstColumn="0" w:firstRowLastColumn="0" w:lastRowFirstColumn="0" w:lastRowLastColumn="0"/>
            <w:tcW w:w="383" w:type="pct"/>
          </w:tcPr>
          <w:p w14:paraId="52832F32" w14:textId="77777777" w:rsidR="00B44672" w:rsidRDefault="00B44672" w:rsidP="006E7C43">
            <w:pPr>
              <w:pStyle w:val="Compact"/>
              <w:jc w:val="center"/>
            </w:pPr>
            <w:r>
              <w:t>0.35</w:t>
            </w:r>
          </w:p>
        </w:tc>
      </w:tr>
      <w:tr w:rsidR="00B44672" w14:paraId="689CC8CA"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2B648954" w14:textId="77777777" w:rsidR="00B44672" w:rsidRDefault="00B44672" w:rsidP="006E7C43">
            <w:pPr>
              <w:pStyle w:val="Compact"/>
            </w:pPr>
            <w:r>
              <w:t>Female-headed homeowner</w:t>
            </w:r>
          </w:p>
        </w:tc>
        <w:tc>
          <w:tcPr>
            <w:tcW w:w="489" w:type="pct"/>
          </w:tcPr>
          <w:p w14:paraId="4AF5261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81" w:type="pct"/>
          </w:tcPr>
          <w:p w14:paraId="39C2501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06" w:type="pct"/>
          </w:tcPr>
          <w:p w14:paraId="6E883EA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7BD7750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2,062</w:t>
            </w:r>
          </w:p>
        </w:tc>
        <w:tc>
          <w:tcPr>
            <w:tcW w:w="398" w:type="pct"/>
          </w:tcPr>
          <w:p w14:paraId="13B0DBB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1,577</w:t>
            </w:r>
          </w:p>
        </w:tc>
        <w:tc>
          <w:tcPr>
            <w:tcW w:w="251" w:type="pct"/>
          </w:tcPr>
          <w:p w14:paraId="02E9DD6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485</w:t>
            </w:r>
          </w:p>
        </w:tc>
        <w:tc>
          <w:tcPr>
            <w:tcW w:w="465" w:type="pct"/>
          </w:tcPr>
          <w:p w14:paraId="60DFEE7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2.56</w:t>
            </w:r>
          </w:p>
        </w:tc>
        <w:tc>
          <w:tcPr>
            <w:tcW w:w="457" w:type="pct"/>
          </w:tcPr>
          <w:p w14:paraId="09CD407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1.96</w:t>
            </w:r>
          </w:p>
        </w:tc>
        <w:tc>
          <w:tcPr>
            <w:cnfStyle w:val="000100000000" w:firstRow="0" w:lastRow="0" w:firstColumn="0" w:lastColumn="1" w:oddVBand="0" w:evenVBand="0" w:oddHBand="0" w:evenHBand="0" w:firstRowFirstColumn="0" w:firstRowLastColumn="0" w:lastRowFirstColumn="0" w:lastRowLastColumn="0"/>
            <w:tcW w:w="383" w:type="pct"/>
          </w:tcPr>
          <w:p w14:paraId="222E631B" w14:textId="77777777" w:rsidR="00B44672" w:rsidRDefault="00B44672" w:rsidP="006E7C43">
            <w:pPr>
              <w:pStyle w:val="Compact"/>
              <w:jc w:val="center"/>
            </w:pPr>
            <w:r>
              <w:t>0.60</w:t>
            </w:r>
          </w:p>
        </w:tc>
      </w:tr>
      <w:tr w:rsidR="00B44672" w14:paraId="2DDCE944"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61CFE03F" w14:textId="77777777" w:rsidR="00B44672" w:rsidRDefault="00B44672" w:rsidP="006E7C43">
            <w:pPr>
              <w:pStyle w:val="Compact"/>
            </w:pPr>
            <w:r>
              <w:t>Female-headed renter</w:t>
            </w:r>
          </w:p>
        </w:tc>
        <w:tc>
          <w:tcPr>
            <w:tcW w:w="489" w:type="pct"/>
          </w:tcPr>
          <w:p w14:paraId="7EDABC2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1,617</w:t>
            </w:r>
          </w:p>
        </w:tc>
        <w:tc>
          <w:tcPr>
            <w:tcW w:w="481" w:type="pct"/>
          </w:tcPr>
          <w:p w14:paraId="2872351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1,521</w:t>
            </w:r>
          </w:p>
        </w:tc>
        <w:tc>
          <w:tcPr>
            <w:tcW w:w="406" w:type="pct"/>
          </w:tcPr>
          <w:p w14:paraId="406C4B8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97</w:t>
            </w:r>
          </w:p>
        </w:tc>
        <w:tc>
          <w:tcPr>
            <w:tcW w:w="406" w:type="pct"/>
          </w:tcPr>
          <w:p w14:paraId="1599C05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1,480</w:t>
            </w:r>
          </w:p>
        </w:tc>
        <w:tc>
          <w:tcPr>
            <w:tcW w:w="398" w:type="pct"/>
          </w:tcPr>
          <w:p w14:paraId="4674F56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1,241</w:t>
            </w:r>
          </w:p>
        </w:tc>
        <w:tc>
          <w:tcPr>
            <w:tcW w:w="251" w:type="pct"/>
          </w:tcPr>
          <w:p w14:paraId="0FF7D09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239</w:t>
            </w:r>
          </w:p>
        </w:tc>
        <w:tc>
          <w:tcPr>
            <w:tcW w:w="465" w:type="pct"/>
          </w:tcPr>
          <w:p w14:paraId="310A8FC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1.77</w:t>
            </w:r>
          </w:p>
        </w:tc>
        <w:tc>
          <w:tcPr>
            <w:tcW w:w="457" w:type="pct"/>
          </w:tcPr>
          <w:p w14:paraId="7D3A3AA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1.50</w:t>
            </w:r>
          </w:p>
        </w:tc>
        <w:tc>
          <w:tcPr>
            <w:cnfStyle w:val="000100000000" w:firstRow="0" w:lastRow="0" w:firstColumn="0" w:lastColumn="1" w:oddVBand="0" w:evenVBand="0" w:oddHBand="0" w:evenHBand="0" w:firstRowFirstColumn="0" w:firstRowLastColumn="0" w:lastRowFirstColumn="0" w:lastRowLastColumn="0"/>
            <w:tcW w:w="383" w:type="pct"/>
          </w:tcPr>
          <w:p w14:paraId="3DE8FA73" w14:textId="77777777" w:rsidR="00B44672" w:rsidRDefault="00B44672" w:rsidP="006E7C43">
            <w:pPr>
              <w:pStyle w:val="Compact"/>
              <w:jc w:val="center"/>
            </w:pPr>
            <w:r>
              <w:t>0.27</w:t>
            </w:r>
          </w:p>
        </w:tc>
      </w:tr>
      <w:tr w:rsidR="00B44672" w14:paraId="389E4493"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0EEDA73A"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489" w:type="pct"/>
          </w:tcPr>
          <w:p w14:paraId="4E35278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81" w:type="pct"/>
          </w:tcPr>
          <w:p w14:paraId="683A162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06" w:type="pct"/>
          </w:tcPr>
          <w:p w14:paraId="17707AD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06" w:type="pct"/>
          </w:tcPr>
          <w:p w14:paraId="51242A3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98" w:type="pct"/>
          </w:tcPr>
          <w:p w14:paraId="73748A1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251" w:type="pct"/>
          </w:tcPr>
          <w:p w14:paraId="58E1CBA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5" w:type="pct"/>
          </w:tcPr>
          <w:p w14:paraId="694F7E7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57" w:type="pct"/>
          </w:tcPr>
          <w:p w14:paraId="29B48F0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83" w:type="pct"/>
          </w:tcPr>
          <w:p w14:paraId="0EDFBE90" w14:textId="77777777" w:rsidR="00B44672" w:rsidRDefault="00B44672" w:rsidP="00A567C4">
            <w:pPr>
              <w:pStyle w:val="Compact"/>
              <w:jc w:val="center"/>
            </w:pPr>
          </w:p>
        </w:tc>
      </w:tr>
      <w:tr w:rsidR="00B44672" w14:paraId="7D449D85"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2AB97FF7" w14:textId="77777777" w:rsidR="00B44672" w:rsidRDefault="00B44672" w:rsidP="00A567C4">
            <w:pPr>
              <w:pStyle w:val="Compact"/>
            </w:pPr>
            <w:r>
              <w:t>First home buyers</w:t>
            </w:r>
          </w:p>
        </w:tc>
        <w:tc>
          <w:tcPr>
            <w:tcW w:w="489" w:type="pct"/>
          </w:tcPr>
          <w:p w14:paraId="296EE1E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4,183</w:t>
            </w:r>
          </w:p>
        </w:tc>
        <w:tc>
          <w:tcPr>
            <w:tcW w:w="481" w:type="pct"/>
          </w:tcPr>
          <w:p w14:paraId="1DDE079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3,971</w:t>
            </w:r>
          </w:p>
        </w:tc>
        <w:tc>
          <w:tcPr>
            <w:tcW w:w="406" w:type="pct"/>
          </w:tcPr>
          <w:p w14:paraId="69D69C3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212</w:t>
            </w:r>
          </w:p>
        </w:tc>
        <w:tc>
          <w:tcPr>
            <w:tcW w:w="406" w:type="pct"/>
          </w:tcPr>
          <w:p w14:paraId="69342B8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1,418</w:t>
            </w:r>
          </w:p>
        </w:tc>
        <w:tc>
          <w:tcPr>
            <w:tcW w:w="398" w:type="pct"/>
          </w:tcPr>
          <w:p w14:paraId="11766DF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1,174</w:t>
            </w:r>
          </w:p>
        </w:tc>
        <w:tc>
          <w:tcPr>
            <w:tcW w:w="251" w:type="pct"/>
          </w:tcPr>
          <w:p w14:paraId="0765CF7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243</w:t>
            </w:r>
          </w:p>
        </w:tc>
        <w:tc>
          <w:tcPr>
            <w:tcW w:w="465" w:type="pct"/>
          </w:tcPr>
          <w:p w14:paraId="67D3B75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1.67</w:t>
            </w:r>
          </w:p>
        </w:tc>
        <w:tc>
          <w:tcPr>
            <w:tcW w:w="457" w:type="pct"/>
          </w:tcPr>
          <w:p w14:paraId="402D01D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1.40</w:t>
            </w:r>
          </w:p>
        </w:tc>
        <w:tc>
          <w:tcPr>
            <w:cnfStyle w:val="000100000000" w:firstRow="0" w:lastRow="0" w:firstColumn="0" w:lastColumn="1" w:oddVBand="0" w:evenVBand="0" w:oddHBand="0" w:evenHBand="0" w:firstRowFirstColumn="0" w:firstRowLastColumn="0" w:lastRowFirstColumn="0" w:lastRowLastColumn="0"/>
            <w:tcW w:w="383" w:type="pct"/>
          </w:tcPr>
          <w:p w14:paraId="19AC2CEF" w14:textId="77777777" w:rsidR="00B44672" w:rsidRDefault="00B44672" w:rsidP="00A567C4">
            <w:pPr>
              <w:pStyle w:val="Compact"/>
              <w:jc w:val="center"/>
            </w:pPr>
            <w:r>
              <w:t>0.27</w:t>
            </w:r>
          </w:p>
        </w:tc>
      </w:tr>
      <w:tr w:rsidR="00B44672" w14:paraId="7281E704"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4C5BE935" w14:textId="77777777" w:rsidR="00B44672" w:rsidRDefault="00B44672" w:rsidP="00A567C4">
            <w:pPr>
              <w:pStyle w:val="Compact"/>
            </w:pPr>
            <w:r>
              <w:t>Low-income homeowner</w:t>
            </w:r>
          </w:p>
        </w:tc>
        <w:tc>
          <w:tcPr>
            <w:tcW w:w="489" w:type="pct"/>
          </w:tcPr>
          <w:p w14:paraId="7D0E73B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81" w:type="pct"/>
          </w:tcPr>
          <w:p w14:paraId="2E79142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06" w:type="pct"/>
          </w:tcPr>
          <w:p w14:paraId="7608229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3124F58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1,476</w:t>
            </w:r>
          </w:p>
        </w:tc>
        <w:tc>
          <w:tcPr>
            <w:tcW w:w="398" w:type="pct"/>
          </w:tcPr>
          <w:p w14:paraId="71ECAFE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1,162</w:t>
            </w:r>
          </w:p>
        </w:tc>
        <w:tc>
          <w:tcPr>
            <w:tcW w:w="251" w:type="pct"/>
          </w:tcPr>
          <w:p w14:paraId="202646E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314</w:t>
            </w:r>
          </w:p>
        </w:tc>
        <w:tc>
          <w:tcPr>
            <w:tcW w:w="465" w:type="pct"/>
          </w:tcPr>
          <w:p w14:paraId="777A04A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3.48</w:t>
            </w:r>
          </w:p>
        </w:tc>
        <w:tc>
          <w:tcPr>
            <w:tcW w:w="457" w:type="pct"/>
          </w:tcPr>
          <w:p w14:paraId="1F1219A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2.74</w:t>
            </w:r>
          </w:p>
        </w:tc>
        <w:tc>
          <w:tcPr>
            <w:cnfStyle w:val="000100000000" w:firstRow="0" w:lastRow="0" w:firstColumn="0" w:lastColumn="1" w:oddVBand="0" w:evenVBand="0" w:oddHBand="0" w:evenHBand="0" w:firstRowFirstColumn="0" w:firstRowLastColumn="0" w:lastRowFirstColumn="0" w:lastRowLastColumn="0"/>
            <w:tcW w:w="383" w:type="pct"/>
          </w:tcPr>
          <w:p w14:paraId="146E9CCB" w14:textId="77777777" w:rsidR="00B44672" w:rsidRDefault="00B44672" w:rsidP="00A567C4">
            <w:pPr>
              <w:pStyle w:val="Compact"/>
              <w:jc w:val="center"/>
            </w:pPr>
            <w:r>
              <w:t>0.74</w:t>
            </w:r>
          </w:p>
        </w:tc>
      </w:tr>
      <w:tr w:rsidR="00B44672" w14:paraId="66932891"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7C888B65" w14:textId="77777777" w:rsidR="00B44672" w:rsidRDefault="00B44672" w:rsidP="00A567C4">
            <w:pPr>
              <w:pStyle w:val="Compact"/>
            </w:pPr>
            <w:r>
              <w:t>Low-income renter</w:t>
            </w:r>
          </w:p>
        </w:tc>
        <w:tc>
          <w:tcPr>
            <w:tcW w:w="489" w:type="pct"/>
          </w:tcPr>
          <w:p w14:paraId="1D58A72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561</w:t>
            </w:r>
          </w:p>
        </w:tc>
        <w:tc>
          <w:tcPr>
            <w:tcW w:w="481" w:type="pct"/>
          </w:tcPr>
          <w:p w14:paraId="6D10D6E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540</w:t>
            </w:r>
          </w:p>
        </w:tc>
        <w:tc>
          <w:tcPr>
            <w:tcW w:w="406" w:type="pct"/>
          </w:tcPr>
          <w:p w14:paraId="3A108EE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w:t>
            </w:r>
          </w:p>
        </w:tc>
        <w:tc>
          <w:tcPr>
            <w:tcW w:w="406" w:type="pct"/>
          </w:tcPr>
          <w:p w14:paraId="2846A52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990</w:t>
            </w:r>
          </w:p>
        </w:tc>
        <w:tc>
          <w:tcPr>
            <w:tcW w:w="398" w:type="pct"/>
          </w:tcPr>
          <w:p w14:paraId="393AD1B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817</w:t>
            </w:r>
          </w:p>
        </w:tc>
        <w:tc>
          <w:tcPr>
            <w:tcW w:w="251" w:type="pct"/>
          </w:tcPr>
          <w:p w14:paraId="208B24D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173</w:t>
            </w:r>
          </w:p>
        </w:tc>
        <w:tc>
          <w:tcPr>
            <w:tcW w:w="465" w:type="pct"/>
          </w:tcPr>
          <w:p w14:paraId="1510B55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2.05</w:t>
            </w:r>
          </w:p>
        </w:tc>
        <w:tc>
          <w:tcPr>
            <w:tcW w:w="457" w:type="pct"/>
          </w:tcPr>
          <w:p w14:paraId="3D0928F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1.75</w:t>
            </w:r>
          </w:p>
        </w:tc>
        <w:tc>
          <w:tcPr>
            <w:cnfStyle w:val="000100000000" w:firstRow="0" w:lastRow="0" w:firstColumn="0" w:lastColumn="1" w:oddVBand="0" w:evenVBand="0" w:oddHBand="0" w:evenHBand="0" w:firstRowFirstColumn="0" w:firstRowLastColumn="0" w:lastRowFirstColumn="0" w:lastRowLastColumn="0"/>
            <w:tcW w:w="383" w:type="pct"/>
          </w:tcPr>
          <w:p w14:paraId="23755038" w14:textId="77777777" w:rsidR="00B44672" w:rsidRDefault="00B44672" w:rsidP="00A567C4">
            <w:pPr>
              <w:pStyle w:val="Compact"/>
              <w:jc w:val="center"/>
            </w:pPr>
            <w:r>
              <w:t>0.30</w:t>
            </w:r>
          </w:p>
        </w:tc>
      </w:tr>
      <w:tr w:rsidR="00B44672" w14:paraId="08E2B7E1"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368833AB" w14:textId="77777777" w:rsidR="00B44672" w:rsidRDefault="00B44672" w:rsidP="00A567C4">
            <w:pPr>
              <w:pStyle w:val="Compact"/>
            </w:pPr>
            <w:r>
              <w:t>Middle-income homeowner</w:t>
            </w:r>
          </w:p>
        </w:tc>
        <w:tc>
          <w:tcPr>
            <w:tcW w:w="489" w:type="pct"/>
          </w:tcPr>
          <w:p w14:paraId="2232FDA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81" w:type="pct"/>
          </w:tcPr>
          <w:p w14:paraId="193A34B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06" w:type="pct"/>
          </w:tcPr>
          <w:p w14:paraId="6905B8D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1B90A77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1,919</w:t>
            </w:r>
          </w:p>
        </w:tc>
        <w:tc>
          <w:tcPr>
            <w:tcW w:w="398" w:type="pct"/>
          </w:tcPr>
          <w:p w14:paraId="17760D4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1,526</w:t>
            </w:r>
          </w:p>
        </w:tc>
        <w:tc>
          <w:tcPr>
            <w:tcW w:w="251" w:type="pct"/>
          </w:tcPr>
          <w:p w14:paraId="26E900D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394</w:t>
            </w:r>
          </w:p>
        </w:tc>
        <w:tc>
          <w:tcPr>
            <w:tcW w:w="465" w:type="pct"/>
          </w:tcPr>
          <w:p w14:paraId="53D2F97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2.35</w:t>
            </w:r>
          </w:p>
        </w:tc>
        <w:tc>
          <w:tcPr>
            <w:tcW w:w="457" w:type="pct"/>
          </w:tcPr>
          <w:p w14:paraId="5FB972F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1.87</w:t>
            </w:r>
          </w:p>
        </w:tc>
        <w:tc>
          <w:tcPr>
            <w:cnfStyle w:val="000100000000" w:firstRow="0" w:lastRow="0" w:firstColumn="0" w:lastColumn="1" w:oddVBand="0" w:evenVBand="0" w:oddHBand="0" w:evenHBand="0" w:firstRowFirstColumn="0" w:firstRowLastColumn="0" w:lastRowFirstColumn="0" w:lastRowLastColumn="0"/>
            <w:tcW w:w="383" w:type="pct"/>
          </w:tcPr>
          <w:p w14:paraId="687C7007" w14:textId="77777777" w:rsidR="00B44672" w:rsidRDefault="00B44672" w:rsidP="00A567C4">
            <w:pPr>
              <w:pStyle w:val="Compact"/>
              <w:jc w:val="center"/>
            </w:pPr>
            <w:r>
              <w:t>0.48</w:t>
            </w:r>
          </w:p>
        </w:tc>
      </w:tr>
      <w:tr w:rsidR="00B44672" w14:paraId="19E4CB40"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7CB4E576" w14:textId="77777777" w:rsidR="00B44672" w:rsidRDefault="00B44672" w:rsidP="00A567C4">
            <w:pPr>
              <w:pStyle w:val="Compact"/>
            </w:pPr>
            <w:r>
              <w:t>Middle-income renter</w:t>
            </w:r>
          </w:p>
        </w:tc>
        <w:tc>
          <w:tcPr>
            <w:tcW w:w="489" w:type="pct"/>
          </w:tcPr>
          <w:p w14:paraId="42D3DEF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1,462</w:t>
            </w:r>
          </w:p>
        </w:tc>
        <w:tc>
          <w:tcPr>
            <w:tcW w:w="481" w:type="pct"/>
          </w:tcPr>
          <w:p w14:paraId="551CC62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406" w:type="pct"/>
          </w:tcPr>
          <w:p w14:paraId="4BEA90A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406" w:type="pct"/>
          </w:tcPr>
          <w:p w14:paraId="00BBF8E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1,413</w:t>
            </w:r>
          </w:p>
        </w:tc>
        <w:tc>
          <w:tcPr>
            <w:tcW w:w="398" w:type="pct"/>
          </w:tcPr>
          <w:p w14:paraId="4648DCD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1,193</w:t>
            </w:r>
          </w:p>
        </w:tc>
        <w:tc>
          <w:tcPr>
            <w:tcW w:w="251" w:type="pct"/>
          </w:tcPr>
          <w:p w14:paraId="744DB21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220</w:t>
            </w:r>
          </w:p>
        </w:tc>
        <w:tc>
          <w:tcPr>
            <w:tcW w:w="465" w:type="pct"/>
          </w:tcPr>
          <w:p w14:paraId="63B5532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2.12</w:t>
            </w:r>
          </w:p>
        </w:tc>
        <w:tc>
          <w:tcPr>
            <w:tcW w:w="457" w:type="pct"/>
          </w:tcPr>
          <w:p w14:paraId="3E43C75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1.79</w:t>
            </w:r>
          </w:p>
        </w:tc>
        <w:tc>
          <w:tcPr>
            <w:cnfStyle w:val="000100000000" w:firstRow="0" w:lastRow="0" w:firstColumn="0" w:lastColumn="1" w:oddVBand="0" w:evenVBand="0" w:oddHBand="0" w:evenHBand="0" w:firstRowFirstColumn="0" w:firstRowLastColumn="0" w:lastRowFirstColumn="0" w:lastRowLastColumn="0"/>
            <w:tcW w:w="383" w:type="pct"/>
          </w:tcPr>
          <w:p w14:paraId="494291EB" w14:textId="77777777" w:rsidR="00B44672" w:rsidRDefault="00B44672" w:rsidP="00A567C4">
            <w:pPr>
              <w:pStyle w:val="Compact"/>
              <w:jc w:val="center"/>
            </w:pPr>
            <w:r>
              <w:t>0.34</w:t>
            </w:r>
          </w:p>
        </w:tc>
      </w:tr>
      <w:tr w:rsidR="00B44672" w14:paraId="220C6BB9"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795618C8" w14:textId="77777777" w:rsidR="00B44672" w:rsidRDefault="00B44672" w:rsidP="00A567C4">
            <w:pPr>
              <w:pStyle w:val="Compact"/>
            </w:pPr>
            <w:r>
              <w:t>Pensioner homeowner</w:t>
            </w:r>
          </w:p>
        </w:tc>
        <w:tc>
          <w:tcPr>
            <w:tcW w:w="489" w:type="pct"/>
          </w:tcPr>
          <w:p w14:paraId="7701BC3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81" w:type="pct"/>
          </w:tcPr>
          <w:p w14:paraId="189FA60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06" w:type="pct"/>
          </w:tcPr>
          <w:p w14:paraId="3FB094E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744E787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1,796</w:t>
            </w:r>
          </w:p>
        </w:tc>
        <w:tc>
          <w:tcPr>
            <w:tcW w:w="398" w:type="pct"/>
          </w:tcPr>
          <w:p w14:paraId="0170D07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1,303</w:t>
            </w:r>
          </w:p>
        </w:tc>
        <w:tc>
          <w:tcPr>
            <w:tcW w:w="251" w:type="pct"/>
          </w:tcPr>
          <w:p w14:paraId="5FFB221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493</w:t>
            </w:r>
          </w:p>
        </w:tc>
        <w:tc>
          <w:tcPr>
            <w:tcW w:w="465" w:type="pct"/>
          </w:tcPr>
          <w:p w14:paraId="40581F5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3.09</w:t>
            </w:r>
          </w:p>
        </w:tc>
        <w:tc>
          <w:tcPr>
            <w:tcW w:w="457" w:type="pct"/>
          </w:tcPr>
          <w:p w14:paraId="0FB7B82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2.24</w:t>
            </w:r>
          </w:p>
        </w:tc>
        <w:tc>
          <w:tcPr>
            <w:cnfStyle w:val="000100000000" w:firstRow="0" w:lastRow="0" w:firstColumn="0" w:lastColumn="1" w:oddVBand="0" w:evenVBand="0" w:oddHBand="0" w:evenHBand="0" w:firstRowFirstColumn="0" w:firstRowLastColumn="0" w:lastRowFirstColumn="0" w:lastRowLastColumn="0"/>
            <w:tcW w:w="383" w:type="pct"/>
          </w:tcPr>
          <w:p w14:paraId="1621998D" w14:textId="77777777" w:rsidR="00B44672" w:rsidRDefault="00B44672" w:rsidP="00A567C4">
            <w:pPr>
              <w:pStyle w:val="Compact"/>
              <w:jc w:val="center"/>
            </w:pPr>
            <w:r>
              <w:t>0.85</w:t>
            </w:r>
          </w:p>
        </w:tc>
      </w:tr>
      <w:tr w:rsidR="00B44672" w14:paraId="7B5EA10F"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518D6635" w14:textId="77777777" w:rsidR="00B44672" w:rsidRDefault="00B44672" w:rsidP="00A567C4">
            <w:pPr>
              <w:pStyle w:val="Compact"/>
            </w:pPr>
            <w:r>
              <w:t>Pensioner renter</w:t>
            </w:r>
          </w:p>
        </w:tc>
        <w:tc>
          <w:tcPr>
            <w:tcW w:w="489" w:type="pct"/>
          </w:tcPr>
          <w:p w14:paraId="3896DC7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81" w:type="pct"/>
          </w:tcPr>
          <w:p w14:paraId="0E94999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06" w:type="pct"/>
          </w:tcPr>
          <w:p w14:paraId="75D455C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6DEC523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909</w:t>
            </w:r>
          </w:p>
        </w:tc>
        <w:tc>
          <w:tcPr>
            <w:tcW w:w="398" w:type="pct"/>
          </w:tcPr>
          <w:p w14:paraId="1E1A0EF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735</w:t>
            </w:r>
          </w:p>
        </w:tc>
        <w:tc>
          <w:tcPr>
            <w:tcW w:w="251" w:type="pct"/>
          </w:tcPr>
          <w:p w14:paraId="68BD32F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174</w:t>
            </w:r>
          </w:p>
        </w:tc>
        <w:tc>
          <w:tcPr>
            <w:tcW w:w="465" w:type="pct"/>
          </w:tcPr>
          <w:p w14:paraId="3D58CC4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1.85</w:t>
            </w:r>
          </w:p>
        </w:tc>
        <w:tc>
          <w:tcPr>
            <w:tcW w:w="457" w:type="pct"/>
          </w:tcPr>
          <w:p w14:paraId="12A2840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1.49</w:t>
            </w:r>
          </w:p>
        </w:tc>
        <w:tc>
          <w:tcPr>
            <w:cnfStyle w:val="000100000000" w:firstRow="0" w:lastRow="0" w:firstColumn="0" w:lastColumn="1" w:oddVBand="0" w:evenVBand="0" w:oddHBand="0" w:evenHBand="0" w:firstRowFirstColumn="0" w:firstRowLastColumn="0" w:lastRowFirstColumn="0" w:lastRowLastColumn="0"/>
            <w:tcW w:w="383" w:type="pct"/>
          </w:tcPr>
          <w:p w14:paraId="7FAF18FD" w14:textId="77777777" w:rsidR="00B44672" w:rsidRDefault="00B44672" w:rsidP="00A567C4">
            <w:pPr>
              <w:pStyle w:val="Compact"/>
              <w:jc w:val="center"/>
            </w:pPr>
            <w:r>
              <w:t>0.35</w:t>
            </w:r>
          </w:p>
        </w:tc>
      </w:tr>
      <w:tr w:rsidR="00B44672" w14:paraId="05899141"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7855C617" w14:textId="77777777" w:rsidR="00B44672" w:rsidRDefault="00B44672" w:rsidP="00A567C4">
            <w:pPr>
              <w:pStyle w:val="Compact"/>
            </w:pPr>
            <w:r>
              <w:t>Female-headed homeowner</w:t>
            </w:r>
          </w:p>
        </w:tc>
        <w:tc>
          <w:tcPr>
            <w:tcW w:w="489" w:type="pct"/>
          </w:tcPr>
          <w:p w14:paraId="0D9D542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81" w:type="pct"/>
          </w:tcPr>
          <w:p w14:paraId="67B0F52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06" w:type="pct"/>
          </w:tcPr>
          <w:p w14:paraId="0ABA262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22573EA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2,062</w:t>
            </w:r>
          </w:p>
        </w:tc>
        <w:tc>
          <w:tcPr>
            <w:tcW w:w="398" w:type="pct"/>
          </w:tcPr>
          <w:p w14:paraId="080A556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1,577</w:t>
            </w:r>
          </w:p>
        </w:tc>
        <w:tc>
          <w:tcPr>
            <w:tcW w:w="251" w:type="pct"/>
          </w:tcPr>
          <w:p w14:paraId="0F7AD24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484</w:t>
            </w:r>
          </w:p>
        </w:tc>
        <w:tc>
          <w:tcPr>
            <w:tcW w:w="465" w:type="pct"/>
          </w:tcPr>
          <w:p w14:paraId="75E24F7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2.56</w:t>
            </w:r>
          </w:p>
        </w:tc>
        <w:tc>
          <w:tcPr>
            <w:tcW w:w="457" w:type="pct"/>
          </w:tcPr>
          <w:p w14:paraId="060FD90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1.96</w:t>
            </w:r>
          </w:p>
        </w:tc>
        <w:tc>
          <w:tcPr>
            <w:cnfStyle w:val="000100000000" w:firstRow="0" w:lastRow="0" w:firstColumn="0" w:lastColumn="1" w:oddVBand="0" w:evenVBand="0" w:oddHBand="0" w:evenHBand="0" w:firstRowFirstColumn="0" w:firstRowLastColumn="0" w:lastRowFirstColumn="0" w:lastRowLastColumn="0"/>
            <w:tcW w:w="383" w:type="pct"/>
          </w:tcPr>
          <w:p w14:paraId="2906D0EB" w14:textId="77777777" w:rsidR="00B44672" w:rsidRDefault="00B44672" w:rsidP="00A567C4">
            <w:pPr>
              <w:pStyle w:val="Compact"/>
              <w:jc w:val="center"/>
            </w:pPr>
            <w:r>
              <w:t>0.60</w:t>
            </w:r>
          </w:p>
        </w:tc>
      </w:tr>
      <w:tr w:rsidR="00B44672" w14:paraId="4074D994"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099621D7" w14:textId="77777777" w:rsidR="00B44672" w:rsidRDefault="00B44672" w:rsidP="00A567C4">
            <w:pPr>
              <w:pStyle w:val="Compact"/>
            </w:pPr>
            <w:r>
              <w:t>Female-headed renter</w:t>
            </w:r>
          </w:p>
        </w:tc>
        <w:tc>
          <w:tcPr>
            <w:tcW w:w="489" w:type="pct"/>
          </w:tcPr>
          <w:p w14:paraId="5F9CE38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1,617</w:t>
            </w:r>
          </w:p>
        </w:tc>
        <w:tc>
          <w:tcPr>
            <w:tcW w:w="481" w:type="pct"/>
          </w:tcPr>
          <w:p w14:paraId="20D2D67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1,522</w:t>
            </w:r>
          </w:p>
        </w:tc>
        <w:tc>
          <w:tcPr>
            <w:tcW w:w="406" w:type="pct"/>
          </w:tcPr>
          <w:p w14:paraId="537A743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95</w:t>
            </w:r>
          </w:p>
        </w:tc>
        <w:tc>
          <w:tcPr>
            <w:tcW w:w="406" w:type="pct"/>
          </w:tcPr>
          <w:p w14:paraId="1BC830E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1,480</w:t>
            </w:r>
          </w:p>
        </w:tc>
        <w:tc>
          <w:tcPr>
            <w:tcW w:w="398" w:type="pct"/>
          </w:tcPr>
          <w:p w14:paraId="6A09C59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1,242</w:t>
            </w:r>
          </w:p>
        </w:tc>
        <w:tc>
          <w:tcPr>
            <w:tcW w:w="251" w:type="pct"/>
          </w:tcPr>
          <w:p w14:paraId="13EF303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238</w:t>
            </w:r>
          </w:p>
        </w:tc>
        <w:tc>
          <w:tcPr>
            <w:tcW w:w="465" w:type="pct"/>
          </w:tcPr>
          <w:p w14:paraId="5A19847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1.77</w:t>
            </w:r>
          </w:p>
        </w:tc>
        <w:tc>
          <w:tcPr>
            <w:tcW w:w="457" w:type="pct"/>
          </w:tcPr>
          <w:p w14:paraId="1FFAFAC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1.50</w:t>
            </w:r>
          </w:p>
        </w:tc>
        <w:tc>
          <w:tcPr>
            <w:cnfStyle w:val="000100000000" w:firstRow="0" w:lastRow="0" w:firstColumn="0" w:lastColumn="1" w:oddVBand="0" w:evenVBand="0" w:oddHBand="0" w:evenHBand="0" w:firstRowFirstColumn="0" w:firstRowLastColumn="0" w:lastRowFirstColumn="0" w:lastRowLastColumn="0"/>
            <w:tcW w:w="383" w:type="pct"/>
          </w:tcPr>
          <w:p w14:paraId="7A739DAC" w14:textId="77777777" w:rsidR="00B44672" w:rsidRDefault="00B44672" w:rsidP="00A567C4">
            <w:pPr>
              <w:pStyle w:val="Compact"/>
              <w:jc w:val="center"/>
            </w:pPr>
            <w:r>
              <w:t>0.27</w:t>
            </w:r>
          </w:p>
        </w:tc>
      </w:tr>
      <w:tr w:rsidR="00B44672" w14:paraId="0BADDB9A"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5DCBD39D" w14:textId="77777777" w:rsidR="00B44672" w:rsidRDefault="00B44672" w:rsidP="00302865">
            <w:pPr>
              <w:pStyle w:val="Compact"/>
            </w:pPr>
            <w:r w:rsidRPr="00113FC1">
              <w:rPr>
                <w:b/>
                <w:i/>
                <w:iCs/>
                <w:color w:val="365F91" w:themeColor="accent1" w:themeShade="BF"/>
              </w:rPr>
              <w:t>1.24 – 2.19% price change</w:t>
            </w:r>
          </w:p>
        </w:tc>
        <w:tc>
          <w:tcPr>
            <w:tcW w:w="489" w:type="pct"/>
          </w:tcPr>
          <w:p w14:paraId="6F82077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81" w:type="pct"/>
          </w:tcPr>
          <w:p w14:paraId="6A668EB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06" w:type="pct"/>
          </w:tcPr>
          <w:p w14:paraId="7B7D0A5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06" w:type="pct"/>
          </w:tcPr>
          <w:p w14:paraId="0703B1D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98" w:type="pct"/>
          </w:tcPr>
          <w:p w14:paraId="33CA119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251" w:type="pct"/>
          </w:tcPr>
          <w:p w14:paraId="6A12C10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5" w:type="pct"/>
          </w:tcPr>
          <w:p w14:paraId="6C84E3B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57" w:type="pct"/>
          </w:tcPr>
          <w:p w14:paraId="4120D51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83" w:type="pct"/>
          </w:tcPr>
          <w:p w14:paraId="239AFB77" w14:textId="77777777" w:rsidR="00B44672" w:rsidRDefault="00B44672" w:rsidP="00302865">
            <w:pPr>
              <w:pStyle w:val="Compact"/>
              <w:jc w:val="center"/>
            </w:pPr>
          </w:p>
        </w:tc>
      </w:tr>
      <w:tr w:rsidR="00B44672" w14:paraId="5876B6AF"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27CE4E7B" w14:textId="77777777" w:rsidR="00B44672" w:rsidRDefault="00B44672" w:rsidP="00302865">
            <w:pPr>
              <w:pStyle w:val="Compact"/>
            </w:pPr>
            <w:r>
              <w:t>First home buyers</w:t>
            </w:r>
          </w:p>
        </w:tc>
        <w:tc>
          <w:tcPr>
            <w:tcW w:w="489" w:type="pct"/>
          </w:tcPr>
          <w:p w14:paraId="30A58C9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4,183</w:t>
            </w:r>
          </w:p>
        </w:tc>
        <w:tc>
          <w:tcPr>
            <w:tcW w:w="481" w:type="pct"/>
          </w:tcPr>
          <w:p w14:paraId="5A104B4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4,033</w:t>
            </w:r>
          </w:p>
        </w:tc>
        <w:tc>
          <w:tcPr>
            <w:tcW w:w="406" w:type="pct"/>
          </w:tcPr>
          <w:p w14:paraId="3E24163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150</w:t>
            </w:r>
          </w:p>
        </w:tc>
        <w:tc>
          <w:tcPr>
            <w:tcW w:w="406" w:type="pct"/>
          </w:tcPr>
          <w:p w14:paraId="097523C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1,418</w:t>
            </w:r>
          </w:p>
        </w:tc>
        <w:tc>
          <w:tcPr>
            <w:tcW w:w="398" w:type="pct"/>
          </w:tcPr>
          <w:p w14:paraId="6DE992E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1,176</w:t>
            </w:r>
          </w:p>
        </w:tc>
        <w:tc>
          <w:tcPr>
            <w:tcW w:w="251" w:type="pct"/>
          </w:tcPr>
          <w:p w14:paraId="34B5A86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242</w:t>
            </w:r>
          </w:p>
        </w:tc>
        <w:tc>
          <w:tcPr>
            <w:tcW w:w="465" w:type="pct"/>
          </w:tcPr>
          <w:p w14:paraId="380AFE7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1.67</w:t>
            </w:r>
          </w:p>
        </w:tc>
        <w:tc>
          <w:tcPr>
            <w:tcW w:w="457" w:type="pct"/>
          </w:tcPr>
          <w:p w14:paraId="18D1F7A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1.39</w:t>
            </w:r>
          </w:p>
        </w:tc>
        <w:tc>
          <w:tcPr>
            <w:cnfStyle w:val="000100000000" w:firstRow="0" w:lastRow="0" w:firstColumn="0" w:lastColumn="1" w:oddVBand="0" w:evenVBand="0" w:oddHBand="0" w:evenHBand="0" w:firstRowFirstColumn="0" w:firstRowLastColumn="0" w:lastRowFirstColumn="0" w:lastRowLastColumn="0"/>
            <w:tcW w:w="383" w:type="pct"/>
          </w:tcPr>
          <w:p w14:paraId="4A1666E8" w14:textId="77777777" w:rsidR="00B44672" w:rsidRDefault="00B44672" w:rsidP="00302865">
            <w:pPr>
              <w:pStyle w:val="Compact"/>
              <w:jc w:val="center"/>
            </w:pPr>
            <w:r>
              <w:t>0.28</w:t>
            </w:r>
          </w:p>
        </w:tc>
      </w:tr>
      <w:tr w:rsidR="00B44672" w14:paraId="5A3D1AB7"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5D4B40B2" w14:textId="77777777" w:rsidR="00B44672" w:rsidRDefault="00B44672" w:rsidP="00302865">
            <w:pPr>
              <w:pStyle w:val="Compact"/>
            </w:pPr>
            <w:r>
              <w:t>Low-income homeowner</w:t>
            </w:r>
          </w:p>
        </w:tc>
        <w:tc>
          <w:tcPr>
            <w:tcW w:w="489" w:type="pct"/>
          </w:tcPr>
          <w:p w14:paraId="2AFDE6C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81" w:type="pct"/>
          </w:tcPr>
          <w:p w14:paraId="698BFCC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06" w:type="pct"/>
          </w:tcPr>
          <w:p w14:paraId="3A6DEC0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2604EB8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1,476</w:t>
            </w:r>
          </w:p>
        </w:tc>
        <w:tc>
          <w:tcPr>
            <w:tcW w:w="398" w:type="pct"/>
          </w:tcPr>
          <w:p w14:paraId="25CBDD0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1,162</w:t>
            </w:r>
          </w:p>
        </w:tc>
        <w:tc>
          <w:tcPr>
            <w:tcW w:w="251" w:type="pct"/>
          </w:tcPr>
          <w:p w14:paraId="18EC1B1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313</w:t>
            </w:r>
          </w:p>
        </w:tc>
        <w:tc>
          <w:tcPr>
            <w:tcW w:w="465" w:type="pct"/>
          </w:tcPr>
          <w:p w14:paraId="34D8BD6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3.48</w:t>
            </w:r>
          </w:p>
        </w:tc>
        <w:tc>
          <w:tcPr>
            <w:tcW w:w="457" w:type="pct"/>
          </w:tcPr>
          <w:p w14:paraId="79E766D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2.74</w:t>
            </w:r>
          </w:p>
        </w:tc>
        <w:tc>
          <w:tcPr>
            <w:cnfStyle w:val="000100000000" w:firstRow="0" w:lastRow="0" w:firstColumn="0" w:lastColumn="1" w:oddVBand="0" w:evenVBand="0" w:oddHBand="0" w:evenHBand="0" w:firstRowFirstColumn="0" w:firstRowLastColumn="0" w:lastRowFirstColumn="0" w:lastRowLastColumn="0"/>
            <w:tcW w:w="383" w:type="pct"/>
          </w:tcPr>
          <w:p w14:paraId="3D61566B" w14:textId="77777777" w:rsidR="00B44672" w:rsidRDefault="00B44672" w:rsidP="00302865">
            <w:pPr>
              <w:pStyle w:val="Compact"/>
              <w:jc w:val="center"/>
            </w:pPr>
            <w:r>
              <w:t>0.74</w:t>
            </w:r>
          </w:p>
        </w:tc>
      </w:tr>
      <w:tr w:rsidR="00B44672" w14:paraId="175E2C13"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7536C222" w14:textId="77777777" w:rsidR="00B44672" w:rsidRDefault="00B44672" w:rsidP="00302865">
            <w:pPr>
              <w:pStyle w:val="Compact"/>
            </w:pPr>
            <w:r>
              <w:t>Low-income renter</w:t>
            </w:r>
          </w:p>
        </w:tc>
        <w:tc>
          <w:tcPr>
            <w:tcW w:w="489" w:type="pct"/>
          </w:tcPr>
          <w:p w14:paraId="50C2828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561</w:t>
            </w:r>
          </w:p>
        </w:tc>
        <w:tc>
          <w:tcPr>
            <w:tcW w:w="481" w:type="pct"/>
          </w:tcPr>
          <w:p w14:paraId="5115FF0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553</w:t>
            </w:r>
          </w:p>
        </w:tc>
        <w:tc>
          <w:tcPr>
            <w:tcW w:w="406" w:type="pct"/>
          </w:tcPr>
          <w:p w14:paraId="53E4CFA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406" w:type="pct"/>
          </w:tcPr>
          <w:p w14:paraId="0BFE66E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990</w:t>
            </w:r>
          </w:p>
        </w:tc>
        <w:tc>
          <w:tcPr>
            <w:tcW w:w="398" w:type="pct"/>
          </w:tcPr>
          <w:p w14:paraId="39BD5DD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823</w:t>
            </w:r>
          </w:p>
        </w:tc>
        <w:tc>
          <w:tcPr>
            <w:tcW w:w="251" w:type="pct"/>
          </w:tcPr>
          <w:p w14:paraId="30C6D3D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167</w:t>
            </w:r>
          </w:p>
        </w:tc>
        <w:tc>
          <w:tcPr>
            <w:tcW w:w="465" w:type="pct"/>
          </w:tcPr>
          <w:p w14:paraId="56BA59F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2.05</w:t>
            </w:r>
          </w:p>
        </w:tc>
        <w:tc>
          <w:tcPr>
            <w:tcW w:w="457" w:type="pct"/>
          </w:tcPr>
          <w:p w14:paraId="461A37A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1.74</w:t>
            </w:r>
          </w:p>
        </w:tc>
        <w:tc>
          <w:tcPr>
            <w:cnfStyle w:val="000100000000" w:firstRow="0" w:lastRow="0" w:firstColumn="0" w:lastColumn="1" w:oddVBand="0" w:evenVBand="0" w:oddHBand="0" w:evenHBand="0" w:firstRowFirstColumn="0" w:firstRowLastColumn="0" w:lastRowFirstColumn="0" w:lastRowLastColumn="0"/>
            <w:tcW w:w="383" w:type="pct"/>
          </w:tcPr>
          <w:p w14:paraId="76D653EA" w14:textId="77777777" w:rsidR="00B44672" w:rsidRDefault="00B44672" w:rsidP="00302865">
            <w:pPr>
              <w:pStyle w:val="Compact"/>
              <w:jc w:val="center"/>
            </w:pPr>
            <w:r>
              <w:t>0.31</w:t>
            </w:r>
          </w:p>
        </w:tc>
      </w:tr>
      <w:tr w:rsidR="00B44672" w14:paraId="425AA5B0"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12CD9651" w14:textId="77777777" w:rsidR="00B44672" w:rsidRDefault="00B44672" w:rsidP="00302865">
            <w:pPr>
              <w:pStyle w:val="Compact"/>
            </w:pPr>
            <w:r>
              <w:t>Middle-income homeowner</w:t>
            </w:r>
          </w:p>
        </w:tc>
        <w:tc>
          <w:tcPr>
            <w:tcW w:w="489" w:type="pct"/>
          </w:tcPr>
          <w:p w14:paraId="740C6AD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81" w:type="pct"/>
          </w:tcPr>
          <w:p w14:paraId="1B6C2DB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06" w:type="pct"/>
          </w:tcPr>
          <w:p w14:paraId="2021F34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517F076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1,919</w:t>
            </w:r>
          </w:p>
        </w:tc>
        <w:tc>
          <w:tcPr>
            <w:tcW w:w="398" w:type="pct"/>
          </w:tcPr>
          <w:p w14:paraId="114B794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1,526</w:t>
            </w:r>
          </w:p>
        </w:tc>
        <w:tc>
          <w:tcPr>
            <w:tcW w:w="251" w:type="pct"/>
          </w:tcPr>
          <w:p w14:paraId="177916A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393</w:t>
            </w:r>
          </w:p>
        </w:tc>
        <w:tc>
          <w:tcPr>
            <w:tcW w:w="465" w:type="pct"/>
          </w:tcPr>
          <w:p w14:paraId="1B66C76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2.35</w:t>
            </w:r>
          </w:p>
        </w:tc>
        <w:tc>
          <w:tcPr>
            <w:tcW w:w="457" w:type="pct"/>
          </w:tcPr>
          <w:p w14:paraId="50FD9AB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1.87</w:t>
            </w:r>
          </w:p>
        </w:tc>
        <w:tc>
          <w:tcPr>
            <w:cnfStyle w:val="000100000000" w:firstRow="0" w:lastRow="0" w:firstColumn="0" w:lastColumn="1" w:oddVBand="0" w:evenVBand="0" w:oddHBand="0" w:evenHBand="0" w:firstRowFirstColumn="0" w:firstRowLastColumn="0" w:lastRowFirstColumn="0" w:lastRowLastColumn="0"/>
            <w:tcW w:w="383" w:type="pct"/>
          </w:tcPr>
          <w:p w14:paraId="2C25D49F" w14:textId="77777777" w:rsidR="00B44672" w:rsidRDefault="00B44672" w:rsidP="00302865">
            <w:pPr>
              <w:pStyle w:val="Compact"/>
              <w:jc w:val="center"/>
            </w:pPr>
            <w:r>
              <w:t>0.48</w:t>
            </w:r>
          </w:p>
        </w:tc>
      </w:tr>
      <w:tr w:rsidR="00B44672" w14:paraId="5224EB08"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2A93272E" w14:textId="77777777" w:rsidR="00B44672" w:rsidRDefault="00B44672" w:rsidP="00302865">
            <w:pPr>
              <w:pStyle w:val="Compact"/>
            </w:pPr>
            <w:r>
              <w:t>Middle-income renter</w:t>
            </w:r>
          </w:p>
        </w:tc>
        <w:tc>
          <w:tcPr>
            <w:tcW w:w="489" w:type="pct"/>
          </w:tcPr>
          <w:p w14:paraId="6A52EC2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1,462</w:t>
            </w:r>
          </w:p>
        </w:tc>
        <w:tc>
          <w:tcPr>
            <w:tcW w:w="481" w:type="pct"/>
          </w:tcPr>
          <w:p w14:paraId="0A3B335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1,414</w:t>
            </w:r>
          </w:p>
        </w:tc>
        <w:tc>
          <w:tcPr>
            <w:tcW w:w="406" w:type="pct"/>
          </w:tcPr>
          <w:p w14:paraId="1C2E7FC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48</w:t>
            </w:r>
          </w:p>
        </w:tc>
        <w:tc>
          <w:tcPr>
            <w:tcW w:w="406" w:type="pct"/>
          </w:tcPr>
          <w:p w14:paraId="3EE7EA7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1,413</w:t>
            </w:r>
          </w:p>
        </w:tc>
        <w:tc>
          <w:tcPr>
            <w:tcW w:w="398" w:type="pct"/>
          </w:tcPr>
          <w:p w14:paraId="621A27B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1,193</w:t>
            </w:r>
          </w:p>
        </w:tc>
        <w:tc>
          <w:tcPr>
            <w:tcW w:w="251" w:type="pct"/>
          </w:tcPr>
          <w:p w14:paraId="2072DE4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220</w:t>
            </w:r>
          </w:p>
        </w:tc>
        <w:tc>
          <w:tcPr>
            <w:tcW w:w="465" w:type="pct"/>
          </w:tcPr>
          <w:p w14:paraId="71C5AC6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2.12</w:t>
            </w:r>
          </w:p>
        </w:tc>
        <w:tc>
          <w:tcPr>
            <w:tcW w:w="457" w:type="pct"/>
          </w:tcPr>
          <w:p w14:paraId="47747D4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1.79</w:t>
            </w:r>
          </w:p>
        </w:tc>
        <w:tc>
          <w:tcPr>
            <w:cnfStyle w:val="000100000000" w:firstRow="0" w:lastRow="0" w:firstColumn="0" w:lastColumn="1" w:oddVBand="0" w:evenVBand="0" w:oddHBand="0" w:evenHBand="0" w:firstRowFirstColumn="0" w:firstRowLastColumn="0" w:lastRowFirstColumn="0" w:lastRowLastColumn="0"/>
            <w:tcW w:w="383" w:type="pct"/>
          </w:tcPr>
          <w:p w14:paraId="5AF70919" w14:textId="77777777" w:rsidR="00B44672" w:rsidRDefault="00B44672" w:rsidP="00302865">
            <w:pPr>
              <w:pStyle w:val="Compact"/>
              <w:jc w:val="center"/>
            </w:pPr>
            <w:r>
              <w:t>0.33</w:t>
            </w:r>
          </w:p>
        </w:tc>
      </w:tr>
      <w:tr w:rsidR="00B44672" w14:paraId="1520814B"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6D5981C6" w14:textId="77777777" w:rsidR="00B44672" w:rsidRDefault="00B44672" w:rsidP="00302865">
            <w:pPr>
              <w:pStyle w:val="Compact"/>
            </w:pPr>
            <w:r>
              <w:t>Pensioner homeowner</w:t>
            </w:r>
          </w:p>
        </w:tc>
        <w:tc>
          <w:tcPr>
            <w:tcW w:w="489" w:type="pct"/>
          </w:tcPr>
          <w:p w14:paraId="1DD46A0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81" w:type="pct"/>
          </w:tcPr>
          <w:p w14:paraId="78F4C4B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06" w:type="pct"/>
          </w:tcPr>
          <w:p w14:paraId="612AA9F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3CC6754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1,796</w:t>
            </w:r>
          </w:p>
        </w:tc>
        <w:tc>
          <w:tcPr>
            <w:tcW w:w="398" w:type="pct"/>
          </w:tcPr>
          <w:p w14:paraId="248D8F1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1,304</w:t>
            </w:r>
          </w:p>
        </w:tc>
        <w:tc>
          <w:tcPr>
            <w:tcW w:w="251" w:type="pct"/>
          </w:tcPr>
          <w:p w14:paraId="65B63F1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492</w:t>
            </w:r>
          </w:p>
        </w:tc>
        <w:tc>
          <w:tcPr>
            <w:tcW w:w="465" w:type="pct"/>
          </w:tcPr>
          <w:p w14:paraId="1B9F2CE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3.09</w:t>
            </w:r>
          </w:p>
        </w:tc>
        <w:tc>
          <w:tcPr>
            <w:tcW w:w="457" w:type="pct"/>
          </w:tcPr>
          <w:p w14:paraId="448946D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2.25</w:t>
            </w:r>
          </w:p>
        </w:tc>
        <w:tc>
          <w:tcPr>
            <w:cnfStyle w:val="000100000000" w:firstRow="0" w:lastRow="0" w:firstColumn="0" w:lastColumn="1" w:oddVBand="0" w:evenVBand="0" w:oddHBand="0" w:evenHBand="0" w:firstRowFirstColumn="0" w:firstRowLastColumn="0" w:lastRowFirstColumn="0" w:lastRowLastColumn="0"/>
            <w:tcW w:w="383" w:type="pct"/>
          </w:tcPr>
          <w:p w14:paraId="616FB285" w14:textId="77777777" w:rsidR="00B44672" w:rsidRDefault="00B44672" w:rsidP="00302865">
            <w:pPr>
              <w:pStyle w:val="Compact"/>
              <w:jc w:val="center"/>
            </w:pPr>
            <w:r>
              <w:t>0.85</w:t>
            </w:r>
          </w:p>
        </w:tc>
      </w:tr>
      <w:tr w:rsidR="00B44672" w14:paraId="0526754D"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1B0CE015" w14:textId="77777777" w:rsidR="00B44672" w:rsidRDefault="00B44672" w:rsidP="00302865">
            <w:pPr>
              <w:pStyle w:val="Compact"/>
            </w:pPr>
            <w:r>
              <w:t>Pensioner renter</w:t>
            </w:r>
          </w:p>
        </w:tc>
        <w:tc>
          <w:tcPr>
            <w:tcW w:w="489" w:type="pct"/>
          </w:tcPr>
          <w:p w14:paraId="57FD443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81" w:type="pct"/>
          </w:tcPr>
          <w:p w14:paraId="2A2DFF5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06" w:type="pct"/>
          </w:tcPr>
          <w:p w14:paraId="41A989E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201BCF2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909</w:t>
            </w:r>
          </w:p>
        </w:tc>
        <w:tc>
          <w:tcPr>
            <w:tcW w:w="398" w:type="pct"/>
          </w:tcPr>
          <w:p w14:paraId="65E64D5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735</w:t>
            </w:r>
          </w:p>
        </w:tc>
        <w:tc>
          <w:tcPr>
            <w:tcW w:w="251" w:type="pct"/>
          </w:tcPr>
          <w:p w14:paraId="4F32552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174</w:t>
            </w:r>
          </w:p>
        </w:tc>
        <w:tc>
          <w:tcPr>
            <w:tcW w:w="465" w:type="pct"/>
          </w:tcPr>
          <w:p w14:paraId="58F9A2B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1.85</w:t>
            </w:r>
          </w:p>
        </w:tc>
        <w:tc>
          <w:tcPr>
            <w:tcW w:w="457" w:type="pct"/>
          </w:tcPr>
          <w:p w14:paraId="7BE52A3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1.49</w:t>
            </w:r>
          </w:p>
        </w:tc>
        <w:tc>
          <w:tcPr>
            <w:cnfStyle w:val="000100000000" w:firstRow="0" w:lastRow="0" w:firstColumn="0" w:lastColumn="1" w:oddVBand="0" w:evenVBand="0" w:oddHBand="0" w:evenHBand="0" w:firstRowFirstColumn="0" w:firstRowLastColumn="0" w:lastRowFirstColumn="0" w:lastRowLastColumn="0"/>
            <w:tcW w:w="383" w:type="pct"/>
          </w:tcPr>
          <w:p w14:paraId="2192507C" w14:textId="77777777" w:rsidR="00B44672" w:rsidRDefault="00B44672" w:rsidP="00302865">
            <w:pPr>
              <w:pStyle w:val="Compact"/>
              <w:jc w:val="center"/>
            </w:pPr>
            <w:r>
              <w:t>0.35</w:t>
            </w:r>
          </w:p>
        </w:tc>
      </w:tr>
      <w:tr w:rsidR="00B44672" w14:paraId="5CDB9470" w14:textId="77777777" w:rsidTr="000F7CC5">
        <w:trPr>
          <w:jc w:val="center"/>
        </w:trPr>
        <w:tc>
          <w:tcPr>
            <w:cnfStyle w:val="001000000000" w:firstRow="0" w:lastRow="0" w:firstColumn="1" w:lastColumn="0" w:oddVBand="0" w:evenVBand="0" w:oddHBand="0" w:evenHBand="0" w:firstRowFirstColumn="0" w:firstRowLastColumn="0" w:lastRowFirstColumn="0" w:lastRowLastColumn="0"/>
            <w:tcW w:w="1263" w:type="pct"/>
          </w:tcPr>
          <w:p w14:paraId="2F6EACB1" w14:textId="77777777" w:rsidR="00B44672" w:rsidRDefault="00B44672" w:rsidP="00302865">
            <w:pPr>
              <w:pStyle w:val="Compact"/>
            </w:pPr>
            <w:r>
              <w:t>Female-headed homeowner</w:t>
            </w:r>
          </w:p>
        </w:tc>
        <w:tc>
          <w:tcPr>
            <w:tcW w:w="489" w:type="pct"/>
          </w:tcPr>
          <w:p w14:paraId="43E3D21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81" w:type="pct"/>
          </w:tcPr>
          <w:p w14:paraId="15FFF41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06" w:type="pct"/>
          </w:tcPr>
          <w:p w14:paraId="17438BC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06" w:type="pct"/>
          </w:tcPr>
          <w:p w14:paraId="1556AD2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2,062</w:t>
            </w:r>
          </w:p>
        </w:tc>
        <w:tc>
          <w:tcPr>
            <w:tcW w:w="398" w:type="pct"/>
          </w:tcPr>
          <w:p w14:paraId="393CC8A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1,578</w:t>
            </w:r>
          </w:p>
        </w:tc>
        <w:tc>
          <w:tcPr>
            <w:tcW w:w="251" w:type="pct"/>
          </w:tcPr>
          <w:p w14:paraId="6BEA2CD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484</w:t>
            </w:r>
          </w:p>
        </w:tc>
        <w:tc>
          <w:tcPr>
            <w:tcW w:w="465" w:type="pct"/>
          </w:tcPr>
          <w:p w14:paraId="11C8331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2.56</w:t>
            </w:r>
          </w:p>
        </w:tc>
        <w:tc>
          <w:tcPr>
            <w:tcW w:w="457" w:type="pct"/>
          </w:tcPr>
          <w:p w14:paraId="485BD4B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1.96</w:t>
            </w:r>
          </w:p>
        </w:tc>
        <w:tc>
          <w:tcPr>
            <w:cnfStyle w:val="000100000000" w:firstRow="0" w:lastRow="0" w:firstColumn="0" w:lastColumn="1" w:oddVBand="0" w:evenVBand="0" w:oddHBand="0" w:evenHBand="0" w:firstRowFirstColumn="0" w:firstRowLastColumn="0" w:lastRowFirstColumn="0" w:lastRowLastColumn="0"/>
            <w:tcW w:w="383" w:type="pct"/>
          </w:tcPr>
          <w:p w14:paraId="05FD2E08" w14:textId="77777777" w:rsidR="00B44672" w:rsidRDefault="00B44672" w:rsidP="00302865">
            <w:pPr>
              <w:pStyle w:val="Compact"/>
              <w:jc w:val="center"/>
            </w:pPr>
            <w:r>
              <w:t>0.60</w:t>
            </w:r>
          </w:p>
        </w:tc>
      </w:tr>
      <w:tr w:rsidR="00B44672" w14:paraId="333C5055" w14:textId="77777777" w:rsidTr="000F7CC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3" w:type="pct"/>
          </w:tcPr>
          <w:p w14:paraId="6EDA7AFB" w14:textId="77777777" w:rsidR="00B44672" w:rsidRDefault="00B44672" w:rsidP="00302865">
            <w:pPr>
              <w:pStyle w:val="Compact"/>
            </w:pPr>
            <w:r>
              <w:t>Female-headed renter</w:t>
            </w:r>
          </w:p>
        </w:tc>
        <w:tc>
          <w:tcPr>
            <w:tcW w:w="489" w:type="pct"/>
          </w:tcPr>
          <w:p w14:paraId="4EACD769"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1,617</w:t>
            </w:r>
          </w:p>
        </w:tc>
        <w:tc>
          <w:tcPr>
            <w:tcW w:w="481" w:type="pct"/>
          </w:tcPr>
          <w:p w14:paraId="57D0A418"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1,545</w:t>
            </w:r>
          </w:p>
        </w:tc>
        <w:tc>
          <w:tcPr>
            <w:tcW w:w="406" w:type="pct"/>
          </w:tcPr>
          <w:p w14:paraId="7A341B76"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73</w:t>
            </w:r>
          </w:p>
        </w:tc>
        <w:tc>
          <w:tcPr>
            <w:tcW w:w="406" w:type="pct"/>
          </w:tcPr>
          <w:p w14:paraId="3C0E698A"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1,480</w:t>
            </w:r>
          </w:p>
        </w:tc>
        <w:tc>
          <w:tcPr>
            <w:tcW w:w="398" w:type="pct"/>
          </w:tcPr>
          <w:p w14:paraId="0FF3ADB9"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1,242</w:t>
            </w:r>
          </w:p>
        </w:tc>
        <w:tc>
          <w:tcPr>
            <w:tcW w:w="251" w:type="pct"/>
          </w:tcPr>
          <w:p w14:paraId="125C5CD7"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238</w:t>
            </w:r>
          </w:p>
        </w:tc>
        <w:tc>
          <w:tcPr>
            <w:tcW w:w="465" w:type="pct"/>
          </w:tcPr>
          <w:p w14:paraId="7C625448"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1.77</w:t>
            </w:r>
          </w:p>
        </w:tc>
        <w:tc>
          <w:tcPr>
            <w:tcW w:w="457" w:type="pct"/>
          </w:tcPr>
          <w:p w14:paraId="6348467D"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1.49</w:t>
            </w:r>
          </w:p>
        </w:tc>
        <w:tc>
          <w:tcPr>
            <w:cnfStyle w:val="000100000000" w:firstRow="0" w:lastRow="0" w:firstColumn="0" w:lastColumn="1" w:oddVBand="0" w:evenVBand="0" w:oddHBand="0" w:evenHBand="0" w:firstRowFirstColumn="0" w:firstRowLastColumn="0" w:lastRowFirstColumn="0" w:lastRowLastColumn="0"/>
            <w:tcW w:w="383" w:type="pct"/>
          </w:tcPr>
          <w:p w14:paraId="66C51ED2" w14:textId="77777777" w:rsidR="00B44672" w:rsidRDefault="00B44672" w:rsidP="00302865">
            <w:pPr>
              <w:pStyle w:val="Compact"/>
              <w:jc w:val="center"/>
            </w:pPr>
            <w:r>
              <w:t>0.29</w:t>
            </w:r>
          </w:p>
        </w:tc>
      </w:tr>
    </w:tbl>
    <w:p w14:paraId="2BE291E4"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2E039678" w14:textId="77777777" w:rsidR="00B44672" w:rsidRDefault="00B44672">
      <w:pPr>
        <w:jc w:val="left"/>
        <w:rPr>
          <w:b/>
          <w:i/>
          <w:color w:val="365F91" w:themeColor="accent1" w:themeShade="BF"/>
        </w:rPr>
      </w:pPr>
      <w:r>
        <w:br w:type="page"/>
      </w:r>
    </w:p>
    <w:p w14:paraId="5AB04DBD" w14:textId="77777777" w:rsidR="00B44672" w:rsidRDefault="00B44672" w:rsidP="00C83581">
      <w:pPr>
        <w:pStyle w:val="TableCaption"/>
      </w:pPr>
      <w:r>
        <w:lastRenderedPageBreak/>
        <w:t>Table 10a - The impact of tax reform on rate paid by sub-group, average 2012 – 2018 (keep only those purchasing properties in both new and old policies)</w:t>
      </w:r>
    </w:p>
    <w:tbl>
      <w:tblPr>
        <w:tblStyle w:val="Table"/>
        <w:tblW w:w="4870" w:type="pct"/>
        <w:jc w:val="center"/>
        <w:tblCellMar>
          <w:left w:w="0" w:type="dxa"/>
          <w:right w:w="0" w:type="dxa"/>
        </w:tblCellMar>
        <w:tblLook w:val="07E0" w:firstRow="1" w:lastRow="1" w:firstColumn="1" w:lastColumn="1" w:noHBand="1" w:noVBand="1"/>
        <w:tblCaption w:val="Table 10a - The impact of tax reform on rate paid by sub-group, average 2012 – 2018 (keep only those purchasing properties in both new and old policies)"/>
      </w:tblPr>
      <w:tblGrid>
        <w:gridCol w:w="2871"/>
        <w:gridCol w:w="979"/>
        <w:gridCol w:w="809"/>
        <w:gridCol w:w="795"/>
        <w:gridCol w:w="501"/>
        <w:gridCol w:w="930"/>
        <w:gridCol w:w="916"/>
        <w:gridCol w:w="990"/>
      </w:tblGrid>
      <w:tr w:rsidR="00B44672" w14:paraId="628545BE" w14:textId="77777777" w:rsidTr="006E7C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pct"/>
            <w:tcBorders>
              <w:bottom w:val="single" w:sz="0" w:space="0" w:color="auto"/>
            </w:tcBorders>
            <w:vAlign w:val="bottom"/>
          </w:tcPr>
          <w:p w14:paraId="38A324D3" w14:textId="77777777" w:rsidR="00B44672" w:rsidRDefault="00B44672" w:rsidP="000511CA"/>
        </w:tc>
        <w:tc>
          <w:tcPr>
            <w:tcW w:w="557" w:type="pct"/>
            <w:tcBorders>
              <w:bottom w:val="single" w:sz="0" w:space="0" w:color="auto"/>
            </w:tcBorders>
            <w:vAlign w:val="bottom"/>
          </w:tcPr>
          <w:p w14:paraId="65C89255"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Both tax policies - # affected</w:t>
            </w:r>
          </w:p>
        </w:tc>
        <w:tc>
          <w:tcPr>
            <w:tcW w:w="460" w:type="pct"/>
            <w:tcBorders>
              <w:bottom w:val="single" w:sz="0" w:space="0" w:color="auto"/>
            </w:tcBorders>
            <w:vAlign w:val="bottom"/>
          </w:tcPr>
          <w:p w14:paraId="5AA2C55B"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rate</w:t>
            </w:r>
          </w:p>
        </w:tc>
        <w:tc>
          <w:tcPr>
            <w:tcW w:w="452" w:type="pct"/>
            <w:tcBorders>
              <w:bottom w:val="single" w:sz="0" w:space="0" w:color="auto"/>
            </w:tcBorders>
            <w:vAlign w:val="bottom"/>
          </w:tcPr>
          <w:p w14:paraId="317A2547"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rate</w:t>
            </w:r>
          </w:p>
        </w:tc>
        <w:tc>
          <w:tcPr>
            <w:tcW w:w="285" w:type="pct"/>
            <w:tcBorders>
              <w:bottom w:val="single" w:sz="0" w:space="0" w:color="auto"/>
            </w:tcBorders>
            <w:vAlign w:val="bottom"/>
          </w:tcPr>
          <w:p w14:paraId="35F4D9E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rate</w:t>
            </w:r>
          </w:p>
        </w:tc>
        <w:tc>
          <w:tcPr>
            <w:tcW w:w="529" w:type="pct"/>
            <w:tcBorders>
              <w:bottom w:val="single" w:sz="0" w:space="0" w:color="auto"/>
            </w:tcBorders>
            <w:vAlign w:val="bottom"/>
          </w:tcPr>
          <w:p w14:paraId="0D57525A"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521" w:type="pct"/>
            <w:tcBorders>
              <w:bottom w:val="single" w:sz="0" w:space="0" w:color="auto"/>
            </w:tcBorders>
            <w:vAlign w:val="bottom"/>
          </w:tcPr>
          <w:p w14:paraId="69FEF05A"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563" w:type="pct"/>
            <w:tcBorders>
              <w:bottom w:val="single" w:sz="0" w:space="0" w:color="auto"/>
            </w:tcBorders>
            <w:vAlign w:val="bottom"/>
          </w:tcPr>
          <w:p w14:paraId="7457AC98" w14:textId="77777777" w:rsidR="00B44672" w:rsidRDefault="00B44672" w:rsidP="000511CA">
            <w:pPr>
              <w:pStyle w:val="Compact"/>
              <w:jc w:val="center"/>
            </w:pPr>
            <w:r>
              <w:t>Diff - % point change in income</w:t>
            </w:r>
          </w:p>
        </w:tc>
      </w:tr>
      <w:tr w:rsidR="00B44672" w14:paraId="75ED2AE4"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2DD1740C" w14:textId="77777777" w:rsidR="00B44672" w:rsidRDefault="00B44672" w:rsidP="006E7C43">
            <w:pPr>
              <w:pStyle w:val="Compact"/>
            </w:pPr>
            <w:r w:rsidRPr="00AF6491">
              <w:rPr>
                <w:b/>
                <w:i/>
                <w:iCs/>
                <w:color w:val="365F91" w:themeColor="accent1" w:themeShade="BF"/>
              </w:rPr>
              <w:t>No price change</w:t>
            </w:r>
          </w:p>
        </w:tc>
        <w:tc>
          <w:tcPr>
            <w:tcW w:w="557" w:type="pct"/>
          </w:tcPr>
          <w:p w14:paraId="575DCB0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60" w:type="pct"/>
          </w:tcPr>
          <w:p w14:paraId="444276C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52" w:type="pct"/>
          </w:tcPr>
          <w:p w14:paraId="44D382B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285" w:type="pct"/>
          </w:tcPr>
          <w:p w14:paraId="014A78D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529" w:type="pct"/>
          </w:tcPr>
          <w:p w14:paraId="210A286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521" w:type="pct"/>
          </w:tcPr>
          <w:p w14:paraId="1DBC7A3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63" w:type="pct"/>
          </w:tcPr>
          <w:p w14:paraId="62A8846D" w14:textId="77777777" w:rsidR="00B44672" w:rsidRDefault="00B44672" w:rsidP="006E7C43">
            <w:pPr>
              <w:pStyle w:val="Compact"/>
              <w:jc w:val="center"/>
            </w:pPr>
          </w:p>
        </w:tc>
      </w:tr>
      <w:tr w:rsidR="00B44672" w14:paraId="66AC1460"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26935488" w14:textId="77777777" w:rsidR="00B44672" w:rsidRDefault="00B44672" w:rsidP="006E7C43">
            <w:pPr>
              <w:pStyle w:val="Compact"/>
            </w:pPr>
            <w:r>
              <w:t>First home buyers</w:t>
            </w:r>
          </w:p>
        </w:tc>
        <w:tc>
          <w:tcPr>
            <w:tcW w:w="557" w:type="pct"/>
          </w:tcPr>
          <w:p w14:paraId="7D1EA7D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3,955</w:t>
            </w:r>
          </w:p>
        </w:tc>
        <w:tc>
          <w:tcPr>
            <w:tcW w:w="460" w:type="pct"/>
          </w:tcPr>
          <w:p w14:paraId="1C1ACDE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1,412</w:t>
            </w:r>
          </w:p>
        </w:tc>
        <w:tc>
          <w:tcPr>
            <w:tcW w:w="452" w:type="pct"/>
          </w:tcPr>
          <w:p w14:paraId="4B5A2A9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1,175</w:t>
            </w:r>
          </w:p>
        </w:tc>
        <w:tc>
          <w:tcPr>
            <w:tcW w:w="285" w:type="pct"/>
          </w:tcPr>
          <w:p w14:paraId="5D21304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237</w:t>
            </w:r>
          </w:p>
        </w:tc>
        <w:tc>
          <w:tcPr>
            <w:tcW w:w="529" w:type="pct"/>
          </w:tcPr>
          <w:p w14:paraId="5D4722C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tcW w:w="521" w:type="pct"/>
          </w:tcPr>
          <w:p w14:paraId="0D0E5BE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1.40</w:t>
            </w:r>
          </w:p>
        </w:tc>
        <w:tc>
          <w:tcPr>
            <w:cnfStyle w:val="000100000000" w:firstRow="0" w:lastRow="0" w:firstColumn="0" w:lastColumn="1" w:oddVBand="0" w:evenVBand="0" w:oddHBand="0" w:evenHBand="0" w:firstRowFirstColumn="0" w:firstRowLastColumn="0" w:lastRowFirstColumn="0" w:lastRowLastColumn="0"/>
            <w:tcW w:w="563" w:type="pct"/>
          </w:tcPr>
          <w:p w14:paraId="7AE963F1" w14:textId="77777777" w:rsidR="00B44672" w:rsidRDefault="00B44672" w:rsidP="006E7C43">
            <w:pPr>
              <w:pStyle w:val="Compact"/>
              <w:jc w:val="center"/>
            </w:pPr>
            <w:r>
              <w:t>0.28</w:t>
            </w:r>
          </w:p>
        </w:tc>
      </w:tr>
      <w:tr w:rsidR="00B44672" w14:paraId="5E1A5C71"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7296A294" w14:textId="77777777" w:rsidR="00B44672" w:rsidRDefault="00B44672" w:rsidP="006E7C43">
            <w:pPr>
              <w:pStyle w:val="Compact"/>
            </w:pPr>
            <w:r>
              <w:t>Low-income homeowner</w:t>
            </w:r>
          </w:p>
        </w:tc>
        <w:tc>
          <w:tcPr>
            <w:tcW w:w="557" w:type="pct"/>
          </w:tcPr>
          <w:p w14:paraId="17E803B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60" w:type="pct"/>
          </w:tcPr>
          <w:p w14:paraId="3AE2AE4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1,476</w:t>
            </w:r>
          </w:p>
        </w:tc>
        <w:tc>
          <w:tcPr>
            <w:tcW w:w="452" w:type="pct"/>
          </w:tcPr>
          <w:p w14:paraId="2545129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1,162</w:t>
            </w:r>
          </w:p>
        </w:tc>
        <w:tc>
          <w:tcPr>
            <w:tcW w:w="285" w:type="pct"/>
          </w:tcPr>
          <w:p w14:paraId="65E61BA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314</w:t>
            </w:r>
          </w:p>
        </w:tc>
        <w:tc>
          <w:tcPr>
            <w:tcW w:w="529" w:type="pct"/>
          </w:tcPr>
          <w:p w14:paraId="47C0448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3.48</w:t>
            </w:r>
          </w:p>
        </w:tc>
        <w:tc>
          <w:tcPr>
            <w:tcW w:w="521" w:type="pct"/>
          </w:tcPr>
          <w:p w14:paraId="36123EA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2.74</w:t>
            </w:r>
          </w:p>
        </w:tc>
        <w:tc>
          <w:tcPr>
            <w:cnfStyle w:val="000100000000" w:firstRow="0" w:lastRow="0" w:firstColumn="0" w:lastColumn="1" w:oddVBand="0" w:evenVBand="0" w:oddHBand="0" w:evenHBand="0" w:firstRowFirstColumn="0" w:firstRowLastColumn="0" w:lastRowFirstColumn="0" w:lastRowLastColumn="0"/>
            <w:tcW w:w="563" w:type="pct"/>
          </w:tcPr>
          <w:p w14:paraId="74FB0C78" w14:textId="77777777" w:rsidR="00B44672" w:rsidRDefault="00B44672" w:rsidP="006E7C43">
            <w:pPr>
              <w:pStyle w:val="Compact"/>
              <w:jc w:val="center"/>
            </w:pPr>
            <w:r>
              <w:t>0.74</w:t>
            </w:r>
          </w:p>
        </w:tc>
      </w:tr>
      <w:tr w:rsidR="00B44672" w14:paraId="1778BEB6"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345936D7" w14:textId="77777777" w:rsidR="00B44672" w:rsidRDefault="00B44672" w:rsidP="006E7C43">
            <w:pPr>
              <w:pStyle w:val="Compact"/>
            </w:pPr>
            <w:r>
              <w:t>Low-income renter</w:t>
            </w:r>
          </w:p>
        </w:tc>
        <w:tc>
          <w:tcPr>
            <w:tcW w:w="557" w:type="pct"/>
          </w:tcPr>
          <w:p w14:paraId="5D999D2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532</w:t>
            </w:r>
          </w:p>
        </w:tc>
        <w:tc>
          <w:tcPr>
            <w:tcW w:w="460" w:type="pct"/>
          </w:tcPr>
          <w:p w14:paraId="692E290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959</w:t>
            </w:r>
          </w:p>
        </w:tc>
        <w:tc>
          <w:tcPr>
            <w:tcW w:w="452" w:type="pct"/>
          </w:tcPr>
          <w:p w14:paraId="2AE9895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813</w:t>
            </w:r>
          </w:p>
        </w:tc>
        <w:tc>
          <w:tcPr>
            <w:tcW w:w="285" w:type="pct"/>
          </w:tcPr>
          <w:p w14:paraId="5C46186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146</w:t>
            </w:r>
          </w:p>
        </w:tc>
        <w:tc>
          <w:tcPr>
            <w:tcW w:w="529" w:type="pct"/>
          </w:tcPr>
          <w:p w14:paraId="082427A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2.06</w:t>
            </w:r>
          </w:p>
        </w:tc>
        <w:tc>
          <w:tcPr>
            <w:tcW w:w="521" w:type="pct"/>
          </w:tcPr>
          <w:p w14:paraId="6E11F68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1.75</w:t>
            </w:r>
          </w:p>
        </w:tc>
        <w:tc>
          <w:tcPr>
            <w:cnfStyle w:val="000100000000" w:firstRow="0" w:lastRow="0" w:firstColumn="0" w:lastColumn="1" w:oddVBand="0" w:evenVBand="0" w:oddHBand="0" w:evenHBand="0" w:firstRowFirstColumn="0" w:firstRowLastColumn="0" w:lastRowFirstColumn="0" w:lastRowLastColumn="0"/>
            <w:tcW w:w="563" w:type="pct"/>
          </w:tcPr>
          <w:p w14:paraId="422B701C" w14:textId="77777777" w:rsidR="00B44672" w:rsidRDefault="00B44672" w:rsidP="006E7C43">
            <w:pPr>
              <w:pStyle w:val="Compact"/>
              <w:jc w:val="center"/>
            </w:pPr>
            <w:r>
              <w:t>0.31</w:t>
            </w:r>
          </w:p>
        </w:tc>
      </w:tr>
      <w:tr w:rsidR="00B44672" w14:paraId="0E46F505"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0E390C1C" w14:textId="77777777" w:rsidR="00B44672" w:rsidRDefault="00B44672" w:rsidP="006E7C43">
            <w:pPr>
              <w:pStyle w:val="Compact"/>
            </w:pPr>
            <w:r>
              <w:t>Middle-income homeowner</w:t>
            </w:r>
          </w:p>
        </w:tc>
        <w:tc>
          <w:tcPr>
            <w:tcW w:w="557" w:type="pct"/>
          </w:tcPr>
          <w:p w14:paraId="3D92464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60" w:type="pct"/>
          </w:tcPr>
          <w:p w14:paraId="2F9F86F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1,919</w:t>
            </w:r>
          </w:p>
        </w:tc>
        <w:tc>
          <w:tcPr>
            <w:tcW w:w="452" w:type="pct"/>
          </w:tcPr>
          <w:p w14:paraId="16094B6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1,525</w:t>
            </w:r>
          </w:p>
        </w:tc>
        <w:tc>
          <w:tcPr>
            <w:tcW w:w="285" w:type="pct"/>
          </w:tcPr>
          <w:p w14:paraId="7D9FA06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394</w:t>
            </w:r>
          </w:p>
        </w:tc>
        <w:tc>
          <w:tcPr>
            <w:tcW w:w="529" w:type="pct"/>
          </w:tcPr>
          <w:p w14:paraId="6FD9DA1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2.35</w:t>
            </w:r>
          </w:p>
        </w:tc>
        <w:tc>
          <w:tcPr>
            <w:tcW w:w="521" w:type="pct"/>
          </w:tcPr>
          <w:p w14:paraId="1390D7F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1.86</w:t>
            </w:r>
          </w:p>
        </w:tc>
        <w:tc>
          <w:tcPr>
            <w:cnfStyle w:val="000100000000" w:firstRow="0" w:lastRow="0" w:firstColumn="0" w:lastColumn="1" w:oddVBand="0" w:evenVBand="0" w:oddHBand="0" w:evenHBand="0" w:firstRowFirstColumn="0" w:firstRowLastColumn="0" w:lastRowFirstColumn="0" w:lastRowLastColumn="0"/>
            <w:tcW w:w="563" w:type="pct"/>
          </w:tcPr>
          <w:p w14:paraId="36B9BAFB" w14:textId="77777777" w:rsidR="00B44672" w:rsidRDefault="00B44672" w:rsidP="006E7C43">
            <w:pPr>
              <w:pStyle w:val="Compact"/>
              <w:jc w:val="center"/>
            </w:pPr>
            <w:r>
              <w:t>0.48</w:t>
            </w:r>
          </w:p>
        </w:tc>
      </w:tr>
      <w:tr w:rsidR="00B44672" w14:paraId="6BAD09AB"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53327F61" w14:textId="77777777" w:rsidR="00B44672" w:rsidRDefault="00B44672" w:rsidP="006E7C43">
            <w:pPr>
              <w:pStyle w:val="Compact"/>
            </w:pPr>
            <w:r>
              <w:t>Middle-income renter</w:t>
            </w:r>
          </w:p>
        </w:tc>
        <w:tc>
          <w:tcPr>
            <w:tcW w:w="557" w:type="pct"/>
          </w:tcPr>
          <w:p w14:paraId="534D9FC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460" w:type="pct"/>
          </w:tcPr>
          <w:p w14:paraId="63F7729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1,415</w:t>
            </w:r>
          </w:p>
        </w:tc>
        <w:tc>
          <w:tcPr>
            <w:tcW w:w="452" w:type="pct"/>
          </w:tcPr>
          <w:p w14:paraId="26F3771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1,193</w:t>
            </w:r>
          </w:p>
        </w:tc>
        <w:tc>
          <w:tcPr>
            <w:tcW w:w="285" w:type="pct"/>
          </w:tcPr>
          <w:p w14:paraId="652BEF8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222</w:t>
            </w:r>
          </w:p>
        </w:tc>
        <w:tc>
          <w:tcPr>
            <w:tcW w:w="529" w:type="pct"/>
          </w:tcPr>
          <w:p w14:paraId="6191609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2.12</w:t>
            </w:r>
          </w:p>
        </w:tc>
        <w:tc>
          <w:tcPr>
            <w:tcW w:w="521" w:type="pct"/>
          </w:tcPr>
          <w:p w14:paraId="21336A6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1.79</w:t>
            </w:r>
          </w:p>
        </w:tc>
        <w:tc>
          <w:tcPr>
            <w:cnfStyle w:val="000100000000" w:firstRow="0" w:lastRow="0" w:firstColumn="0" w:lastColumn="1" w:oddVBand="0" w:evenVBand="0" w:oddHBand="0" w:evenHBand="0" w:firstRowFirstColumn="0" w:firstRowLastColumn="0" w:lastRowFirstColumn="0" w:lastRowLastColumn="0"/>
            <w:tcW w:w="563" w:type="pct"/>
          </w:tcPr>
          <w:p w14:paraId="4C86D52D" w14:textId="77777777" w:rsidR="00B44672" w:rsidRDefault="00B44672" w:rsidP="006E7C43">
            <w:pPr>
              <w:pStyle w:val="Compact"/>
              <w:jc w:val="center"/>
            </w:pPr>
            <w:r>
              <w:t>0.33</w:t>
            </w:r>
          </w:p>
        </w:tc>
      </w:tr>
      <w:tr w:rsidR="00B44672" w14:paraId="259B938D"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6858DBA8" w14:textId="77777777" w:rsidR="00B44672" w:rsidRDefault="00B44672" w:rsidP="006E7C43">
            <w:pPr>
              <w:pStyle w:val="Compact"/>
            </w:pPr>
            <w:r>
              <w:t>Pensioner homeowner</w:t>
            </w:r>
          </w:p>
        </w:tc>
        <w:tc>
          <w:tcPr>
            <w:tcW w:w="557" w:type="pct"/>
          </w:tcPr>
          <w:p w14:paraId="33EFA3A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60" w:type="pct"/>
          </w:tcPr>
          <w:p w14:paraId="0B6645E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1,796</w:t>
            </w:r>
          </w:p>
        </w:tc>
        <w:tc>
          <w:tcPr>
            <w:tcW w:w="452" w:type="pct"/>
          </w:tcPr>
          <w:p w14:paraId="6D93F7D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1,302</w:t>
            </w:r>
          </w:p>
        </w:tc>
        <w:tc>
          <w:tcPr>
            <w:tcW w:w="285" w:type="pct"/>
          </w:tcPr>
          <w:p w14:paraId="6098064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493</w:t>
            </w:r>
          </w:p>
        </w:tc>
        <w:tc>
          <w:tcPr>
            <w:tcW w:w="529" w:type="pct"/>
          </w:tcPr>
          <w:p w14:paraId="43352EA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3.09</w:t>
            </w:r>
          </w:p>
        </w:tc>
        <w:tc>
          <w:tcPr>
            <w:tcW w:w="521" w:type="pct"/>
          </w:tcPr>
          <w:p w14:paraId="6A4B8F3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2.24</w:t>
            </w:r>
          </w:p>
        </w:tc>
        <w:tc>
          <w:tcPr>
            <w:cnfStyle w:val="000100000000" w:firstRow="0" w:lastRow="0" w:firstColumn="0" w:lastColumn="1" w:oddVBand="0" w:evenVBand="0" w:oddHBand="0" w:evenHBand="0" w:firstRowFirstColumn="0" w:firstRowLastColumn="0" w:lastRowFirstColumn="0" w:lastRowLastColumn="0"/>
            <w:tcW w:w="563" w:type="pct"/>
          </w:tcPr>
          <w:p w14:paraId="6FC2F771" w14:textId="77777777" w:rsidR="00B44672" w:rsidRDefault="00B44672" w:rsidP="006E7C43">
            <w:pPr>
              <w:pStyle w:val="Compact"/>
              <w:jc w:val="center"/>
            </w:pPr>
            <w:r>
              <w:t>0.85</w:t>
            </w:r>
          </w:p>
        </w:tc>
      </w:tr>
      <w:tr w:rsidR="00B44672" w14:paraId="019B0A5E"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5C785878" w14:textId="77777777" w:rsidR="00B44672" w:rsidRDefault="00B44672" w:rsidP="006E7C43">
            <w:pPr>
              <w:pStyle w:val="Compact"/>
            </w:pPr>
            <w:r>
              <w:t>Pensioner renter</w:t>
            </w:r>
          </w:p>
        </w:tc>
        <w:tc>
          <w:tcPr>
            <w:tcW w:w="557" w:type="pct"/>
          </w:tcPr>
          <w:p w14:paraId="0FE6E20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60" w:type="pct"/>
          </w:tcPr>
          <w:p w14:paraId="277A696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909</w:t>
            </w:r>
          </w:p>
        </w:tc>
        <w:tc>
          <w:tcPr>
            <w:tcW w:w="452" w:type="pct"/>
          </w:tcPr>
          <w:p w14:paraId="1E2B8BF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735</w:t>
            </w:r>
          </w:p>
        </w:tc>
        <w:tc>
          <w:tcPr>
            <w:tcW w:w="285" w:type="pct"/>
          </w:tcPr>
          <w:p w14:paraId="07A51E8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174</w:t>
            </w:r>
          </w:p>
        </w:tc>
        <w:tc>
          <w:tcPr>
            <w:tcW w:w="529" w:type="pct"/>
          </w:tcPr>
          <w:p w14:paraId="649109C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1.85</w:t>
            </w:r>
          </w:p>
        </w:tc>
        <w:tc>
          <w:tcPr>
            <w:tcW w:w="521" w:type="pct"/>
          </w:tcPr>
          <w:p w14:paraId="2B31880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1.49</w:t>
            </w:r>
          </w:p>
        </w:tc>
        <w:tc>
          <w:tcPr>
            <w:cnfStyle w:val="000100000000" w:firstRow="0" w:lastRow="0" w:firstColumn="0" w:lastColumn="1" w:oddVBand="0" w:evenVBand="0" w:oddHBand="0" w:evenHBand="0" w:firstRowFirstColumn="0" w:firstRowLastColumn="0" w:lastRowFirstColumn="0" w:lastRowLastColumn="0"/>
            <w:tcW w:w="563" w:type="pct"/>
          </w:tcPr>
          <w:p w14:paraId="263CB290" w14:textId="77777777" w:rsidR="00B44672" w:rsidRDefault="00B44672" w:rsidP="006E7C43">
            <w:pPr>
              <w:pStyle w:val="Compact"/>
              <w:jc w:val="center"/>
            </w:pPr>
            <w:r>
              <w:t>0.35</w:t>
            </w:r>
          </w:p>
        </w:tc>
      </w:tr>
      <w:tr w:rsidR="00B44672" w14:paraId="6D63F3A2"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33E979A3" w14:textId="77777777" w:rsidR="00B44672" w:rsidRDefault="00B44672" w:rsidP="006E7C43">
            <w:pPr>
              <w:pStyle w:val="Compact"/>
            </w:pPr>
            <w:r>
              <w:t>Female-headed homeowner</w:t>
            </w:r>
          </w:p>
        </w:tc>
        <w:tc>
          <w:tcPr>
            <w:tcW w:w="557" w:type="pct"/>
          </w:tcPr>
          <w:p w14:paraId="1EEC329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60" w:type="pct"/>
          </w:tcPr>
          <w:p w14:paraId="665E928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2,062</w:t>
            </w:r>
          </w:p>
        </w:tc>
        <w:tc>
          <w:tcPr>
            <w:tcW w:w="452" w:type="pct"/>
          </w:tcPr>
          <w:p w14:paraId="552927C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1,577</w:t>
            </w:r>
          </w:p>
        </w:tc>
        <w:tc>
          <w:tcPr>
            <w:tcW w:w="285" w:type="pct"/>
          </w:tcPr>
          <w:p w14:paraId="26E85C9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485</w:t>
            </w:r>
          </w:p>
        </w:tc>
        <w:tc>
          <w:tcPr>
            <w:tcW w:w="529" w:type="pct"/>
          </w:tcPr>
          <w:p w14:paraId="3B347EB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2.56</w:t>
            </w:r>
          </w:p>
        </w:tc>
        <w:tc>
          <w:tcPr>
            <w:tcW w:w="521" w:type="pct"/>
          </w:tcPr>
          <w:p w14:paraId="67ED3FD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1.96</w:t>
            </w:r>
          </w:p>
        </w:tc>
        <w:tc>
          <w:tcPr>
            <w:cnfStyle w:val="000100000000" w:firstRow="0" w:lastRow="0" w:firstColumn="0" w:lastColumn="1" w:oddVBand="0" w:evenVBand="0" w:oddHBand="0" w:evenHBand="0" w:firstRowFirstColumn="0" w:firstRowLastColumn="0" w:lastRowFirstColumn="0" w:lastRowLastColumn="0"/>
            <w:tcW w:w="563" w:type="pct"/>
          </w:tcPr>
          <w:p w14:paraId="13B6F865" w14:textId="77777777" w:rsidR="00B44672" w:rsidRDefault="00B44672" w:rsidP="006E7C43">
            <w:pPr>
              <w:pStyle w:val="Compact"/>
              <w:jc w:val="center"/>
            </w:pPr>
            <w:r>
              <w:t>0.60</w:t>
            </w:r>
          </w:p>
        </w:tc>
      </w:tr>
      <w:tr w:rsidR="00B44672" w14:paraId="603C1300"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2E868FDB" w14:textId="77777777" w:rsidR="00B44672" w:rsidRDefault="00B44672" w:rsidP="006E7C43">
            <w:pPr>
              <w:pStyle w:val="Compact"/>
            </w:pPr>
            <w:r>
              <w:t>Female-headed renter</w:t>
            </w:r>
          </w:p>
        </w:tc>
        <w:tc>
          <w:tcPr>
            <w:tcW w:w="557" w:type="pct"/>
          </w:tcPr>
          <w:p w14:paraId="7B497DB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1,521</w:t>
            </w:r>
          </w:p>
        </w:tc>
        <w:tc>
          <w:tcPr>
            <w:tcW w:w="460" w:type="pct"/>
          </w:tcPr>
          <w:p w14:paraId="4D69391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1,486</w:t>
            </w:r>
          </w:p>
        </w:tc>
        <w:tc>
          <w:tcPr>
            <w:tcW w:w="452" w:type="pct"/>
          </w:tcPr>
          <w:p w14:paraId="58C0E0C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1,241</w:t>
            </w:r>
          </w:p>
        </w:tc>
        <w:tc>
          <w:tcPr>
            <w:tcW w:w="285" w:type="pct"/>
          </w:tcPr>
          <w:p w14:paraId="7A7C2AE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245</w:t>
            </w:r>
          </w:p>
        </w:tc>
        <w:tc>
          <w:tcPr>
            <w:tcW w:w="529" w:type="pct"/>
          </w:tcPr>
          <w:p w14:paraId="0887B0E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1.80</w:t>
            </w:r>
          </w:p>
        </w:tc>
        <w:tc>
          <w:tcPr>
            <w:tcW w:w="521" w:type="pct"/>
          </w:tcPr>
          <w:p w14:paraId="58992EB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1.50</w:t>
            </w:r>
          </w:p>
        </w:tc>
        <w:tc>
          <w:tcPr>
            <w:cnfStyle w:val="000100000000" w:firstRow="0" w:lastRow="0" w:firstColumn="0" w:lastColumn="1" w:oddVBand="0" w:evenVBand="0" w:oddHBand="0" w:evenHBand="0" w:firstRowFirstColumn="0" w:firstRowLastColumn="0" w:lastRowFirstColumn="0" w:lastRowLastColumn="0"/>
            <w:tcW w:w="563" w:type="pct"/>
          </w:tcPr>
          <w:p w14:paraId="07A1AB7A" w14:textId="77777777" w:rsidR="00B44672" w:rsidRDefault="00B44672" w:rsidP="006E7C43">
            <w:pPr>
              <w:pStyle w:val="Compact"/>
              <w:jc w:val="center"/>
            </w:pPr>
            <w:r>
              <w:t>0.30</w:t>
            </w:r>
          </w:p>
        </w:tc>
      </w:tr>
      <w:tr w:rsidR="00B44672" w14:paraId="3FF55346"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7BB1E33A"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557" w:type="pct"/>
          </w:tcPr>
          <w:p w14:paraId="72672E6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0" w:type="pct"/>
          </w:tcPr>
          <w:p w14:paraId="7B6C8C9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52" w:type="pct"/>
          </w:tcPr>
          <w:p w14:paraId="0E59A4D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285" w:type="pct"/>
          </w:tcPr>
          <w:p w14:paraId="2014AF6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29" w:type="pct"/>
          </w:tcPr>
          <w:p w14:paraId="549AF01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21" w:type="pct"/>
          </w:tcPr>
          <w:p w14:paraId="56F8A59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63" w:type="pct"/>
          </w:tcPr>
          <w:p w14:paraId="1BF5CE3A" w14:textId="77777777" w:rsidR="00B44672" w:rsidRDefault="00B44672" w:rsidP="00A567C4">
            <w:pPr>
              <w:pStyle w:val="Compact"/>
              <w:jc w:val="center"/>
            </w:pPr>
          </w:p>
        </w:tc>
      </w:tr>
      <w:tr w:rsidR="00B44672" w14:paraId="55F89FEB"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418873DB" w14:textId="77777777" w:rsidR="00B44672" w:rsidRDefault="00B44672" w:rsidP="00A567C4">
            <w:pPr>
              <w:pStyle w:val="Compact"/>
            </w:pPr>
            <w:r>
              <w:t>First home buyers</w:t>
            </w:r>
          </w:p>
        </w:tc>
        <w:tc>
          <w:tcPr>
            <w:tcW w:w="557" w:type="pct"/>
          </w:tcPr>
          <w:p w14:paraId="2AD160B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3,968</w:t>
            </w:r>
          </w:p>
        </w:tc>
        <w:tc>
          <w:tcPr>
            <w:tcW w:w="460" w:type="pct"/>
          </w:tcPr>
          <w:p w14:paraId="3D78233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1,412</w:t>
            </w:r>
          </w:p>
        </w:tc>
        <w:tc>
          <w:tcPr>
            <w:tcW w:w="452" w:type="pct"/>
          </w:tcPr>
          <w:p w14:paraId="44ED0EC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1,174</w:t>
            </w:r>
          </w:p>
        </w:tc>
        <w:tc>
          <w:tcPr>
            <w:tcW w:w="285" w:type="pct"/>
          </w:tcPr>
          <w:p w14:paraId="555C37B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237</w:t>
            </w:r>
          </w:p>
        </w:tc>
        <w:tc>
          <w:tcPr>
            <w:tcW w:w="529" w:type="pct"/>
          </w:tcPr>
          <w:p w14:paraId="4DD332E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tcW w:w="521" w:type="pct"/>
          </w:tcPr>
          <w:p w14:paraId="3A54178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1.40</w:t>
            </w:r>
          </w:p>
        </w:tc>
        <w:tc>
          <w:tcPr>
            <w:cnfStyle w:val="000100000000" w:firstRow="0" w:lastRow="0" w:firstColumn="0" w:lastColumn="1" w:oddVBand="0" w:evenVBand="0" w:oddHBand="0" w:evenHBand="0" w:firstRowFirstColumn="0" w:firstRowLastColumn="0" w:lastRowFirstColumn="0" w:lastRowLastColumn="0"/>
            <w:tcW w:w="563" w:type="pct"/>
          </w:tcPr>
          <w:p w14:paraId="4716EFC1" w14:textId="77777777" w:rsidR="00B44672" w:rsidRDefault="00B44672" w:rsidP="00A567C4">
            <w:pPr>
              <w:pStyle w:val="Compact"/>
              <w:jc w:val="center"/>
            </w:pPr>
            <w:r>
              <w:t>0.28</w:t>
            </w:r>
          </w:p>
        </w:tc>
      </w:tr>
      <w:tr w:rsidR="00B44672" w14:paraId="67A72C07"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3E1BEE49" w14:textId="77777777" w:rsidR="00B44672" w:rsidRDefault="00B44672" w:rsidP="00A567C4">
            <w:pPr>
              <w:pStyle w:val="Compact"/>
            </w:pPr>
            <w:r>
              <w:t>Low-income homeowner</w:t>
            </w:r>
          </w:p>
        </w:tc>
        <w:tc>
          <w:tcPr>
            <w:tcW w:w="557" w:type="pct"/>
          </w:tcPr>
          <w:p w14:paraId="5091404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60" w:type="pct"/>
          </w:tcPr>
          <w:p w14:paraId="6F5BFB3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1,476</w:t>
            </w:r>
          </w:p>
        </w:tc>
        <w:tc>
          <w:tcPr>
            <w:tcW w:w="452" w:type="pct"/>
          </w:tcPr>
          <w:p w14:paraId="36C1973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1,162</w:t>
            </w:r>
          </w:p>
        </w:tc>
        <w:tc>
          <w:tcPr>
            <w:tcW w:w="285" w:type="pct"/>
          </w:tcPr>
          <w:p w14:paraId="3BD30D3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314</w:t>
            </w:r>
          </w:p>
        </w:tc>
        <w:tc>
          <w:tcPr>
            <w:tcW w:w="529" w:type="pct"/>
          </w:tcPr>
          <w:p w14:paraId="2AAE067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3.48</w:t>
            </w:r>
          </w:p>
        </w:tc>
        <w:tc>
          <w:tcPr>
            <w:tcW w:w="521" w:type="pct"/>
          </w:tcPr>
          <w:p w14:paraId="7139D74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2.74</w:t>
            </w:r>
          </w:p>
        </w:tc>
        <w:tc>
          <w:tcPr>
            <w:cnfStyle w:val="000100000000" w:firstRow="0" w:lastRow="0" w:firstColumn="0" w:lastColumn="1" w:oddVBand="0" w:evenVBand="0" w:oddHBand="0" w:evenHBand="0" w:firstRowFirstColumn="0" w:firstRowLastColumn="0" w:lastRowFirstColumn="0" w:lastRowLastColumn="0"/>
            <w:tcW w:w="563" w:type="pct"/>
          </w:tcPr>
          <w:p w14:paraId="53045113" w14:textId="77777777" w:rsidR="00B44672" w:rsidRDefault="00B44672" w:rsidP="00A567C4">
            <w:pPr>
              <w:pStyle w:val="Compact"/>
              <w:jc w:val="center"/>
            </w:pPr>
            <w:r>
              <w:t>0.74</w:t>
            </w:r>
          </w:p>
        </w:tc>
      </w:tr>
      <w:tr w:rsidR="00B44672" w14:paraId="780AA26A"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1350F87D" w14:textId="77777777" w:rsidR="00B44672" w:rsidRDefault="00B44672" w:rsidP="00A567C4">
            <w:pPr>
              <w:pStyle w:val="Compact"/>
            </w:pPr>
            <w:r>
              <w:t>Low-income renter</w:t>
            </w:r>
          </w:p>
        </w:tc>
        <w:tc>
          <w:tcPr>
            <w:tcW w:w="557" w:type="pct"/>
          </w:tcPr>
          <w:p w14:paraId="2459952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538</w:t>
            </w:r>
          </w:p>
        </w:tc>
        <w:tc>
          <w:tcPr>
            <w:tcW w:w="460" w:type="pct"/>
          </w:tcPr>
          <w:p w14:paraId="1BBAAB9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963</w:t>
            </w:r>
          </w:p>
        </w:tc>
        <w:tc>
          <w:tcPr>
            <w:tcW w:w="452" w:type="pct"/>
          </w:tcPr>
          <w:p w14:paraId="6354A35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816</w:t>
            </w:r>
          </w:p>
        </w:tc>
        <w:tc>
          <w:tcPr>
            <w:tcW w:w="285" w:type="pct"/>
          </w:tcPr>
          <w:p w14:paraId="410ABC8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147</w:t>
            </w:r>
          </w:p>
        </w:tc>
        <w:tc>
          <w:tcPr>
            <w:tcW w:w="529" w:type="pct"/>
          </w:tcPr>
          <w:p w14:paraId="53F09B2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2.06</w:t>
            </w:r>
          </w:p>
        </w:tc>
        <w:tc>
          <w:tcPr>
            <w:tcW w:w="521" w:type="pct"/>
          </w:tcPr>
          <w:p w14:paraId="507C316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1.75</w:t>
            </w:r>
          </w:p>
        </w:tc>
        <w:tc>
          <w:tcPr>
            <w:cnfStyle w:val="000100000000" w:firstRow="0" w:lastRow="0" w:firstColumn="0" w:lastColumn="1" w:oddVBand="0" w:evenVBand="0" w:oddHBand="0" w:evenHBand="0" w:firstRowFirstColumn="0" w:firstRowLastColumn="0" w:lastRowFirstColumn="0" w:lastRowLastColumn="0"/>
            <w:tcW w:w="563" w:type="pct"/>
          </w:tcPr>
          <w:p w14:paraId="477F41C3" w14:textId="77777777" w:rsidR="00B44672" w:rsidRDefault="00B44672" w:rsidP="00A567C4">
            <w:pPr>
              <w:pStyle w:val="Compact"/>
              <w:jc w:val="center"/>
            </w:pPr>
            <w:r>
              <w:t>0.31</w:t>
            </w:r>
          </w:p>
        </w:tc>
      </w:tr>
      <w:tr w:rsidR="00B44672" w14:paraId="30B6B96A"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4B05AEC6" w14:textId="77777777" w:rsidR="00B44672" w:rsidRDefault="00B44672" w:rsidP="00A567C4">
            <w:pPr>
              <w:pStyle w:val="Compact"/>
            </w:pPr>
            <w:r>
              <w:t>Middle-income homeowner</w:t>
            </w:r>
          </w:p>
        </w:tc>
        <w:tc>
          <w:tcPr>
            <w:tcW w:w="557" w:type="pct"/>
          </w:tcPr>
          <w:p w14:paraId="340EBBE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60" w:type="pct"/>
          </w:tcPr>
          <w:p w14:paraId="344C05F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1,919</w:t>
            </w:r>
          </w:p>
        </w:tc>
        <w:tc>
          <w:tcPr>
            <w:tcW w:w="452" w:type="pct"/>
          </w:tcPr>
          <w:p w14:paraId="638E3F5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1,526</w:t>
            </w:r>
          </w:p>
        </w:tc>
        <w:tc>
          <w:tcPr>
            <w:tcW w:w="285" w:type="pct"/>
          </w:tcPr>
          <w:p w14:paraId="63206ED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394</w:t>
            </w:r>
          </w:p>
        </w:tc>
        <w:tc>
          <w:tcPr>
            <w:tcW w:w="529" w:type="pct"/>
          </w:tcPr>
          <w:p w14:paraId="6E498C4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2.35</w:t>
            </w:r>
          </w:p>
        </w:tc>
        <w:tc>
          <w:tcPr>
            <w:tcW w:w="521" w:type="pct"/>
          </w:tcPr>
          <w:p w14:paraId="1696FC3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1.87</w:t>
            </w:r>
          </w:p>
        </w:tc>
        <w:tc>
          <w:tcPr>
            <w:cnfStyle w:val="000100000000" w:firstRow="0" w:lastRow="0" w:firstColumn="0" w:lastColumn="1" w:oddVBand="0" w:evenVBand="0" w:oddHBand="0" w:evenHBand="0" w:firstRowFirstColumn="0" w:firstRowLastColumn="0" w:lastRowFirstColumn="0" w:lastRowLastColumn="0"/>
            <w:tcW w:w="563" w:type="pct"/>
          </w:tcPr>
          <w:p w14:paraId="3955EECB" w14:textId="77777777" w:rsidR="00B44672" w:rsidRDefault="00B44672" w:rsidP="00A567C4">
            <w:pPr>
              <w:pStyle w:val="Compact"/>
              <w:jc w:val="center"/>
            </w:pPr>
            <w:r>
              <w:t>0.48</w:t>
            </w:r>
          </w:p>
        </w:tc>
      </w:tr>
      <w:tr w:rsidR="00B44672" w14:paraId="10112356"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6CF3DEE9" w14:textId="77777777" w:rsidR="00B44672" w:rsidRDefault="00B44672" w:rsidP="00A567C4">
            <w:pPr>
              <w:pStyle w:val="Compact"/>
            </w:pPr>
            <w:r>
              <w:t>Middle-income renter</w:t>
            </w:r>
          </w:p>
        </w:tc>
        <w:tc>
          <w:tcPr>
            <w:tcW w:w="557" w:type="pct"/>
          </w:tcPr>
          <w:p w14:paraId="62BB94D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460" w:type="pct"/>
          </w:tcPr>
          <w:p w14:paraId="5148FFA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1,415</w:t>
            </w:r>
          </w:p>
        </w:tc>
        <w:tc>
          <w:tcPr>
            <w:tcW w:w="452" w:type="pct"/>
          </w:tcPr>
          <w:p w14:paraId="7884687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1,193</w:t>
            </w:r>
          </w:p>
        </w:tc>
        <w:tc>
          <w:tcPr>
            <w:tcW w:w="285" w:type="pct"/>
          </w:tcPr>
          <w:p w14:paraId="0AA8329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222</w:t>
            </w:r>
          </w:p>
        </w:tc>
        <w:tc>
          <w:tcPr>
            <w:tcW w:w="529" w:type="pct"/>
          </w:tcPr>
          <w:p w14:paraId="71A9757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2.12</w:t>
            </w:r>
          </w:p>
        </w:tc>
        <w:tc>
          <w:tcPr>
            <w:tcW w:w="521" w:type="pct"/>
          </w:tcPr>
          <w:p w14:paraId="0D0D23D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1.79</w:t>
            </w:r>
          </w:p>
        </w:tc>
        <w:tc>
          <w:tcPr>
            <w:cnfStyle w:val="000100000000" w:firstRow="0" w:lastRow="0" w:firstColumn="0" w:lastColumn="1" w:oddVBand="0" w:evenVBand="0" w:oddHBand="0" w:evenHBand="0" w:firstRowFirstColumn="0" w:firstRowLastColumn="0" w:lastRowFirstColumn="0" w:lastRowLastColumn="0"/>
            <w:tcW w:w="563" w:type="pct"/>
          </w:tcPr>
          <w:p w14:paraId="4C23AF83" w14:textId="77777777" w:rsidR="00B44672" w:rsidRDefault="00B44672" w:rsidP="00A567C4">
            <w:pPr>
              <w:pStyle w:val="Compact"/>
              <w:jc w:val="center"/>
            </w:pPr>
            <w:r>
              <w:t>0.33</w:t>
            </w:r>
          </w:p>
        </w:tc>
      </w:tr>
      <w:tr w:rsidR="00B44672" w14:paraId="2AC98907"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7C855F8C" w14:textId="77777777" w:rsidR="00B44672" w:rsidRDefault="00B44672" w:rsidP="00A567C4">
            <w:pPr>
              <w:pStyle w:val="Compact"/>
            </w:pPr>
            <w:r>
              <w:t>Pensioner homeowner</w:t>
            </w:r>
          </w:p>
        </w:tc>
        <w:tc>
          <w:tcPr>
            <w:tcW w:w="557" w:type="pct"/>
          </w:tcPr>
          <w:p w14:paraId="23AF7EB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60" w:type="pct"/>
          </w:tcPr>
          <w:p w14:paraId="1E9DDC5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1,796</w:t>
            </w:r>
          </w:p>
        </w:tc>
        <w:tc>
          <w:tcPr>
            <w:tcW w:w="452" w:type="pct"/>
          </w:tcPr>
          <w:p w14:paraId="291A107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1,303</w:t>
            </w:r>
          </w:p>
        </w:tc>
        <w:tc>
          <w:tcPr>
            <w:tcW w:w="285" w:type="pct"/>
          </w:tcPr>
          <w:p w14:paraId="67F603B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493</w:t>
            </w:r>
          </w:p>
        </w:tc>
        <w:tc>
          <w:tcPr>
            <w:tcW w:w="529" w:type="pct"/>
          </w:tcPr>
          <w:p w14:paraId="63FA3C1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3.09</w:t>
            </w:r>
          </w:p>
        </w:tc>
        <w:tc>
          <w:tcPr>
            <w:tcW w:w="521" w:type="pct"/>
          </w:tcPr>
          <w:p w14:paraId="11DFC3F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2.24</w:t>
            </w:r>
          </w:p>
        </w:tc>
        <w:tc>
          <w:tcPr>
            <w:cnfStyle w:val="000100000000" w:firstRow="0" w:lastRow="0" w:firstColumn="0" w:lastColumn="1" w:oddVBand="0" w:evenVBand="0" w:oddHBand="0" w:evenHBand="0" w:firstRowFirstColumn="0" w:firstRowLastColumn="0" w:lastRowFirstColumn="0" w:lastRowLastColumn="0"/>
            <w:tcW w:w="563" w:type="pct"/>
          </w:tcPr>
          <w:p w14:paraId="506E1933" w14:textId="77777777" w:rsidR="00B44672" w:rsidRDefault="00B44672" w:rsidP="00A567C4">
            <w:pPr>
              <w:pStyle w:val="Compact"/>
              <w:jc w:val="center"/>
            </w:pPr>
            <w:r>
              <w:t>0.85</w:t>
            </w:r>
          </w:p>
        </w:tc>
      </w:tr>
      <w:tr w:rsidR="00B44672" w14:paraId="52E055D2"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109AA0AC" w14:textId="77777777" w:rsidR="00B44672" w:rsidRDefault="00B44672" w:rsidP="00A567C4">
            <w:pPr>
              <w:pStyle w:val="Compact"/>
            </w:pPr>
            <w:r>
              <w:t>Pensioner renter</w:t>
            </w:r>
          </w:p>
        </w:tc>
        <w:tc>
          <w:tcPr>
            <w:tcW w:w="557" w:type="pct"/>
          </w:tcPr>
          <w:p w14:paraId="171292C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60" w:type="pct"/>
          </w:tcPr>
          <w:p w14:paraId="3E95507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909</w:t>
            </w:r>
          </w:p>
        </w:tc>
        <w:tc>
          <w:tcPr>
            <w:tcW w:w="452" w:type="pct"/>
          </w:tcPr>
          <w:p w14:paraId="013C578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735</w:t>
            </w:r>
          </w:p>
        </w:tc>
        <w:tc>
          <w:tcPr>
            <w:tcW w:w="285" w:type="pct"/>
          </w:tcPr>
          <w:p w14:paraId="02F659F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174</w:t>
            </w:r>
          </w:p>
        </w:tc>
        <w:tc>
          <w:tcPr>
            <w:tcW w:w="529" w:type="pct"/>
          </w:tcPr>
          <w:p w14:paraId="3FE5371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1.85</w:t>
            </w:r>
          </w:p>
        </w:tc>
        <w:tc>
          <w:tcPr>
            <w:tcW w:w="521" w:type="pct"/>
          </w:tcPr>
          <w:p w14:paraId="57801A3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1.49</w:t>
            </w:r>
          </w:p>
        </w:tc>
        <w:tc>
          <w:tcPr>
            <w:cnfStyle w:val="000100000000" w:firstRow="0" w:lastRow="0" w:firstColumn="0" w:lastColumn="1" w:oddVBand="0" w:evenVBand="0" w:oddHBand="0" w:evenHBand="0" w:firstRowFirstColumn="0" w:firstRowLastColumn="0" w:lastRowFirstColumn="0" w:lastRowLastColumn="0"/>
            <w:tcW w:w="563" w:type="pct"/>
          </w:tcPr>
          <w:p w14:paraId="687B079F" w14:textId="77777777" w:rsidR="00B44672" w:rsidRDefault="00B44672" w:rsidP="00A567C4">
            <w:pPr>
              <w:pStyle w:val="Compact"/>
              <w:jc w:val="center"/>
            </w:pPr>
            <w:r>
              <w:t>0.35</w:t>
            </w:r>
          </w:p>
        </w:tc>
      </w:tr>
      <w:tr w:rsidR="00B44672" w14:paraId="66CF258E"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03494B2F" w14:textId="77777777" w:rsidR="00B44672" w:rsidRDefault="00B44672" w:rsidP="00A567C4">
            <w:pPr>
              <w:pStyle w:val="Compact"/>
            </w:pPr>
            <w:r>
              <w:t>Female-headed homeowner</w:t>
            </w:r>
          </w:p>
        </w:tc>
        <w:tc>
          <w:tcPr>
            <w:tcW w:w="557" w:type="pct"/>
          </w:tcPr>
          <w:p w14:paraId="2DD6012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60" w:type="pct"/>
          </w:tcPr>
          <w:p w14:paraId="05F6D5B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2,062</w:t>
            </w:r>
          </w:p>
        </w:tc>
        <w:tc>
          <w:tcPr>
            <w:tcW w:w="452" w:type="pct"/>
          </w:tcPr>
          <w:p w14:paraId="6970AB5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1,577</w:t>
            </w:r>
          </w:p>
        </w:tc>
        <w:tc>
          <w:tcPr>
            <w:tcW w:w="285" w:type="pct"/>
          </w:tcPr>
          <w:p w14:paraId="2269D96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484</w:t>
            </w:r>
          </w:p>
        </w:tc>
        <w:tc>
          <w:tcPr>
            <w:tcW w:w="529" w:type="pct"/>
          </w:tcPr>
          <w:p w14:paraId="51C567F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2.56</w:t>
            </w:r>
          </w:p>
        </w:tc>
        <w:tc>
          <w:tcPr>
            <w:tcW w:w="521" w:type="pct"/>
          </w:tcPr>
          <w:p w14:paraId="1D31F64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1.96</w:t>
            </w:r>
          </w:p>
        </w:tc>
        <w:tc>
          <w:tcPr>
            <w:cnfStyle w:val="000100000000" w:firstRow="0" w:lastRow="0" w:firstColumn="0" w:lastColumn="1" w:oddVBand="0" w:evenVBand="0" w:oddHBand="0" w:evenHBand="0" w:firstRowFirstColumn="0" w:firstRowLastColumn="0" w:lastRowFirstColumn="0" w:lastRowLastColumn="0"/>
            <w:tcW w:w="563" w:type="pct"/>
          </w:tcPr>
          <w:p w14:paraId="20C2A8B7" w14:textId="77777777" w:rsidR="00B44672" w:rsidRDefault="00B44672" w:rsidP="00A567C4">
            <w:pPr>
              <w:pStyle w:val="Compact"/>
              <w:jc w:val="center"/>
            </w:pPr>
            <w:r>
              <w:t>0.60</w:t>
            </w:r>
          </w:p>
        </w:tc>
      </w:tr>
      <w:tr w:rsidR="00B44672" w14:paraId="101229FC"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33E0B7D1" w14:textId="77777777" w:rsidR="00B44672" w:rsidRDefault="00B44672" w:rsidP="00A567C4">
            <w:pPr>
              <w:pStyle w:val="Compact"/>
            </w:pPr>
            <w:r>
              <w:t>Female-headed renter</w:t>
            </w:r>
          </w:p>
        </w:tc>
        <w:tc>
          <w:tcPr>
            <w:tcW w:w="557" w:type="pct"/>
          </w:tcPr>
          <w:p w14:paraId="4EF890B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1,522</w:t>
            </w:r>
          </w:p>
        </w:tc>
        <w:tc>
          <w:tcPr>
            <w:tcW w:w="460" w:type="pct"/>
          </w:tcPr>
          <w:p w14:paraId="30D564E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1,486</w:t>
            </w:r>
          </w:p>
        </w:tc>
        <w:tc>
          <w:tcPr>
            <w:tcW w:w="452" w:type="pct"/>
          </w:tcPr>
          <w:p w14:paraId="058C94E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1,242</w:t>
            </w:r>
          </w:p>
        </w:tc>
        <w:tc>
          <w:tcPr>
            <w:tcW w:w="285" w:type="pct"/>
          </w:tcPr>
          <w:p w14:paraId="7D3981D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245</w:t>
            </w:r>
          </w:p>
        </w:tc>
        <w:tc>
          <w:tcPr>
            <w:tcW w:w="529" w:type="pct"/>
          </w:tcPr>
          <w:p w14:paraId="2235FA3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1.80</w:t>
            </w:r>
          </w:p>
        </w:tc>
        <w:tc>
          <w:tcPr>
            <w:tcW w:w="521" w:type="pct"/>
          </w:tcPr>
          <w:p w14:paraId="0BCD720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1.50</w:t>
            </w:r>
          </w:p>
        </w:tc>
        <w:tc>
          <w:tcPr>
            <w:cnfStyle w:val="000100000000" w:firstRow="0" w:lastRow="0" w:firstColumn="0" w:lastColumn="1" w:oddVBand="0" w:evenVBand="0" w:oddHBand="0" w:evenHBand="0" w:firstRowFirstColumn="0" w:firstRowLastColumn="0" w:lastRowFirstColumn="0" w:lastRowLastColumn="0"/>
            <w:tcW w:w="563" w:type="pct"/>
          </w:tcPr>
          <w:p w14:paraId="639CC3D8" w14:textId="77777777" w:rsidR="00B44672" w:rsidRDefault="00B44672" w:rsidP="00A567C4">
            <w:pPr>
              <w:pStyle w:val="Compact"/>
              <w:jc w:val="center"/>
            </w:pPr>
            <w:r>
              <w:t>0.30</w:t>
            </w:r>
          </w:p>
        </w:tc>
      </w:tr>
      <w:tr w:rsidR="00B44672" w14:paraId="58540F92"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23E16D55" w14:textId="77777777" w:rsidR="00B44672" w:rsidRDefault="00B44672" w:rsidP="00302865">
            <w:pPr>
              <w:pStyle w:val="Compact"/>
            </w:pPr>
            <w:r w:rsidRPr="00113FC1">
              <w:rPr>
                <w:b/>
                <w:i/>
                <w:iCs/>
                <w:color w:val="365F91" w:themeColor="accent1" w:themeShade="BF"/>
              </w:rPr>
              <w:t>1.24 – 2.19% price change</w:t>
            </w:r>
          </w:p>
        </w:tc>
        <w:tc>
          <w:tcPr>
            <w:tcW w:w="557" w:type="pct"/>
          </w:tcPr>
          <w:p w14:paraId="1A2C25F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0" w:type="pct"/>
          </w:tcPr>
          <w:p w14:paraId="2AB9C85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52" w:type="pct"/>
          </w:tcPr>
          <w:p w14:paraId="3447168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285" w:type="pct"/>
          </w:tcPr>
          <w:p w14:paraId="26392FD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29" w:type="pct"/>
          </w:tcPr>
          <w:p w14:paraId="7AECEDF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21" w:type="pct"/>
          </w:tcPr>
          <w:p w14:paraId="6E71488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63" w:type="pct"/>
          </w:tcPr>
          <w:p w14:paraId="0AF79D23" w14:textId="77777777" w:rsidR="00B44672" w:rsidRDefault="00B44672" w:rsidP="00302865">
            <w:pPr>
              <w:pStyle w:val="Compact"/>
              <w:jc w:val="center"/>
            </w:pPr>
          </w:p>
        </w:tc>
      </w:tr>
      <w:tr w:rsidR="00B44672" w14:paraId="532D8329"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2BE6354C" w14:textId="77777777" w:rsidR="00B44672" w:rsidRDefault="00B44672" w:rsidP="00302865">
            <w:pPr>
              <w:pStyle w:val="Compact"/>
            </w:pPr>
            <w:r>
              <w:t>First home buyers</w:t>
            </w:r>
          </w:p>
        </w:tc>
        <w:tc>
          <w:tcPr>
            <w:tcW w:w="557" w:type="pct"/>
          </w:tcPr>
          <w:p w14:paraId="3997759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4,016</w:t>
            </w:r>
          </w:p>
        </w:tc>
        <w:tc>
          <w:tcPr>
            <w:tcW w:w="460" w:type="pct"/>
          </w:tcPr>
          <w:p w14:paraId="0287A2B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1,414</w:t>
            </w:r>
          </w:p>
        </w:tc>
        <w:tc>
          <w:tcPr>
            <w:tcW w:w="452" w:type="pct"/>
          </w:tcPr>
          <w:p w14:paraId="2879ED1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1,176</w:t>
            </w:r>
          </w:p>
        </w:tc>
        <w:tc>
          <w:tcPr>
            <w:tcW w:w="285" w:type="pct"/>
          </w:tcPr>
          <w:p w14:paraId="688893E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238</w:t>
            </w:r>
          </w:p>
        </w:tc>
        <w:tc>
          <w:tcPr>
            <w:tcW w:w="529" w:type="pct"/>
          </w:tcPr>
          <w:p w14:paraId="5A9FA10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1.67</w:t>
            </w:r>
          </w:p>
        </w:tc>
        <w:tc>
          <w:tcPr>
            <w:tcW w:w="521" w:type="pct"/>
          </w:tcPr>
          <w:p w14:paraId="38F21AC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1.39</w:t>
            </w:r>
          </w:p>
        </w:tc>
        <w:tc>
          <w:tcPr>
            <w:cnfStyle w:val="000100000000" w:firstRow="0" w:lastRow="0" w:firstColumn="0" w:lastColumn="1" w:oddVBand="0" w:evenVBand="0" w:oddHBand="0" w:evenHBand="0" w:firstRowFirstColumn="0" w:firstRowLastColumn="0" w:lastRowFirstColumn="0" w:lastRowLastColumn="0"/>
            <w:tcW w:w="563" w:type="pct"/>
          </w:tcPr>
          <w:p w14:paraId="3AFB3BAF" w14:textId="77777777" w:rsidR="00B44672" w:rsidRDefault="00B44672" w:rsidP="00302865">
            <w:pPr>
              <w:pStyle w:val="Compact"/>
              <w:jc w:val="center"/>
            </w:pPr>
            <w:r>
              <w:t>0.28</w:t>
            </w:r>
          </w:p>
        </w:tc>
      </w:tr>
      <w:tr w:rsidR="00B44672" w14:paraId="4C367500"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140DACE4" w14:textId="77777777" w:rsidR="00B44672" w:rsidRDefault="00B44672" w:rsidP="00302865">
            <w:pPr>
              <w:pStyle w:val="Compact"/>
            </w:pPr>
            <w:r>
              <w:t>Low-income homeowner</w:t>
            </w:r>
          </w:p>
        </w:tc>
        <w:tc>
          <w:tcPr>
            <w:tcW w:w="557" w:type="pct"/>
          </w:tcPr>
          <w:p w14:paraId="6BAE570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60" w:type="pct"/>
          </w:tcPr>
          <w:p w14:paraId="1A4CB9B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1,476</w:t>
            </w:r>
          </w:p>
        </w:tc>
        <w:tc>
          <w:tcPr>
            <w:tcW w:w="452" w:type="pct"/>
          </w:tcPr>
          <w:p w14:paraId="0C7CD71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1,162</w:t>
            </w:r>
          </w:p>
        </w:tc>
        <w:tc>
          <w:tcPr>
            <w:tcW w:w="285" w:type="pct"/>
          </w:tcPr>
          <w:p w14:paraId="2C53E5F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313</w:t>
            </w:r>
          </w:p>
        </w:tc>
        <w:tc>
          <w:tcPr>
            <w:tcW w:w="529" w:type="pct"/>
          </w:tcPr>
          <w:p w14:paraId="29A939E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3.48</w:t>
            </w:r>
          </w:p>
        </w:tc>
        <w:tc>
          <w:tcPr>
            <w:tcW w:w="521" w:type="pct"/>
          </w:tcPr>
          <w:p w14:paraId="5C1FF7B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2.74</w:t>
            </w:r>
          </w:p>
        </w:tc>
        <w:tc>
          <w:tcPr>
            <w:cnfStyle w:val="000100000000" w:firstRow="0" w:lastRow="0" w:firstColumn="0" w:lastColumn="1" w:oddVBand="0" w:evenVBand="0" w:oddHBand="0" w:evenHBand="0" w:firstRowFirstColumn="0" w:firstRowLastColumn="0" w:lastRowFirstColumn="0" w:lastRowLastColumn="0"/>
            <w:tcW w:w="563" w:type="pct"/>
          </w:tcPr>
          <w:p w14:paraId="516FE1CE" w14:textId="77777777" w:rsidR="00B44672" w:rsidRDefault="00B44672" w:rsidP="00302865">
            <w:pPr>
              <w:pStyle w:val="Compact"/>
              <w:jc w:val="center"/>
            </w:pPr>
            <w:r>
              <w:t>0.74</w:t>
            </w:r>
          </w:p>
        </w:tc>
      </w:tr>
      <w:tr w:rsidR="00B44672" w14:paraId="4D0951DF"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603360AF" w14:textId="77777777" w:rsidR="00B44672" w:rsidRDefault="00B44672" w:rsidP="00302865">
            <w:pPr>
              <w:pStyle w:val="Compact"/>
            </w:pPr>
            <w:r>
              <w:t>Low-income renter</w:t>
            </w:r>
          </w:p>
        </w:tc>
        <w:tc>
          <w:tcPr>
            <w:tcW w:w="557" w:type="pct"/>
          </w:tcPr>
          <w:p w14:paraId="2E10F1B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548</w:t>
            </w:r>
          </w:p>
        </w:tc>
        <w:tc>
          <w:tcPr>
            <w:tcW w:w="460" w:type="pct"/>
          </w:tcPr>
          <w:p w14:paraId="5B14DE2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972</w:t>
            </w:r>
          </w:p>
        </w:tc>
        <w:tc>
          <w:tcPr>
            <w:tcW w:w="452" w:type="pct"/>
          </w:tcPr>
          <w:p w14:paraId="4A9B699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824</w:t>
            </w:r>
          </w:p>
        </w:tc>
        <w:tc>
          <w:tcPr>
            <w:tcW w:w="285" w:type="pct"/>
          </w:tcPr>
          <w:p w14:paraId="472F980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148</w:t>
            </w:r>
          </w:p>
        </w:tc>
        <w:tc>
          <w:tcPr>
            <w:tcW w:w="529" w:type="pct"/>
          </w:tcPr>
          <w:p w14:paraId="07E754C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2.05</w:t>
            </w:r>
          </w:p>
        </w:tc>
        <w:tc>
          <w:tcPr>
            <w:tcW w:w="521" w:type="pct"/>
          </w:tcPr>
          <w:p w14:paraId="50AB234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1.74</w:t>
            </w:r>
          </w:p>
        </w:tc>
        <w:tc>
          <w:tcPr>
            <w:cnfStyle w:val="000100000000" w:firstRow="0" w:lastRow="0" w:firstColumn="0" w:lastColumn="1" w:oddVBand="0" w:evenVBand="0" w:oddHBand="0" w:evenHBand="0" w:firstRowFirstColumn="0" w:firstRowLastColumn="0" w:lastRowFirstColumn="0" w:lastRowLastColumn="0"/>
            <w:tcW w:w="563" w:type="pct"/>
          </w:tcPr>
          <w:p w14:paraId="5075AA0B" w14:textId="77777777" w:rsidR="00B44672" w:rsidRDefault="00B44672" w:rsidP="00302865">
            <w:pPr>
              <w:pStyle w:val="Compact"/>
              <w:jc w:val="center"/>
            </w:pPr>
            <w:r>
              <w:t>0.31</w:t>
            </w:r>
          </w:p>
        </w:tc>
      </w:tr>
      <w:tr w:rsidR="00B44672" w14:paraId="1D8A8857"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7996A4BC" w14:textId="77777777" w:rsidR="00B44672" w:rsidRDefault="00B44672" w:rsidP="00302865">
            <w:pPr>
              <w:pStyle w:val="Compact"/>
            </w:pPr>
            <w:r>
              <w:t>Middle-income homeowner</w:t>
            </w:r>
          </w:p>
        </w:tc>
        <w:tc>
          <w:tcPr>
            <w:tcW w:w="557" w:type="pct"/>
          </w:tcPr>
          <w:p w14:paraId="233AC08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60" w:type="pct"/>
          </w:tcPr>
          <w:p w14:paraId="1FF7C04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1,919</w:t>
            </w:r>
          </w:p>
        </w:tc>
        <w:tc>
          <w:tcPr>
            <w:tcW w:w="452" w:type="pct"/>
          </w:tcPr>
          <w:p w14:paraId="7E97113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1,526</w:t>
            </w:r>
          </w:p>
        </w:tc>
        <w:tc>
          <w:tcPr>
            <w:tcW w:w="285" w:type="pct"/>
          </w:tcPr>
          <w:p w14:paraId="047D67F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393</w:t>
            </w:r>
          </w:p>
        </w:tc>
        <w:tc>
          <w:tcPr>
            <w:tcW w:w="529" w:type="pct"/>
          </w:tcPr>
          <w:p w14:paraId="5A0B477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2.35</w:t>
            </w:r>
          </w:p>
        </w:tc>
        <w:tc>
          <w:tcPr>
            <w:tcW w:w="521" w:type="pct"/>
          </w:tcPr>
          <w:p w14:paraId="7DC1E2B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1.87</w:t>
            </w:r>
          </w:p>
        </w:tc>
        <w:tc>
          <w:tcPr>
            <w:cnfStyle w:val="000100000000" w:firstRow="0" w:lastRow="0" w:firstColumn="0" w:lastColumn="1" w:oddVBand="0" w:evenVBand="0" w:oddHBand="0" w:evenHBand="0" w:firstRowFirstColumn="0" w:firstRowLastColumn="0" w:lastRowFirstColumn="0" w:lastRowLastColumn="0"/>
            <w:tcW w:w="563" w:type="pct"/>
          </w:tcPr>
          <w:p w14:paraId="1224818C" w14:textId="77777777" w:rsidR="00B44672" w:rsidRDefault="00B44672" w:rsidP="00302865">
            <w:pPr>
              <w:pStyle w:val="Compact"/>
              <w:jc w:val="center"/>
            </w:pPr>
            <w:r>
              <w:t>0.48</w:t>
            </w:r>
          </w:p>
        </w:tc>
      </w:tr>
      <w:tr w:rsidR="00B44672" w14:paraId="5ADDA8E6"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669D3916" w14:textId="77777777" w:rsidR="00B44672" w:rsidRDefault="00B44672" w:rsidP="00302865">
            <w:pPr>
              <w:pStyle w:val="Compact"/>
            </w:pPr>
            <w:r>
              <w:t>Middle-income renter</w:t>
            </w:r>
          </w:p>
        </w:tc>
        <w:tc>
          <w:tcPr>
            <w:tcW w:w="557" w:type="pct"/>
          </w:tcPr>
          <w:p w14:paraId="38A3E5C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460" w:type="pct"/>
          </w:tcPr>
          <w:p w14:paraId="02B29C2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1,415</w:t>
            </w:r>
          </w:p>
        </w:tc>
        <w:tc>
          <w:tcPr>
            <w:tcW w:w="452" w:type="pct"/>
          </w:tcPr>
          <w:p w14:paraId="191E032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1,193</w:t>
            </w:r>
          </w:p>
        </w:tc>
        <w:tc>
          <w:tcPr>
            <w:tcW w:w="285" w:type="pct"/>
          </w:tcPr>
          <w:p w14:paraId="2F6BA75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222</w:t>
            </w:r>
          </w:p>
        </w:tc>
        <w:tc>
          <w:tcPr>
            <w:tcW w:w="529" w:type="pct"/>
          </w:tcPr>
          <w:p w14:paraId="5000947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2.12</w:t>
            </w:r>
          </w:p>
        </w:tc>
        <w:tc>
          <w:tcPr>
            <w:tcW w:w="521" w:type="pct"/>
          </w:tcPr>
          <w:p w14:paraId="414C98D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1.79</w:t>
            </w:r>
          </w:p>
        </w:tc>
        <w:tc>
          <w:tcPr>
            <w:cnfStyle w:val="000100000000" w:firstRow="0" w:lastRow="0" w:firstColumn="0" w:lastColumn="1" w:oddVBand="0" w:evenVBand="0" w:oddHBand="0" w:evenHBand="0" w:firstRowFirstColumn="0" w:firstRowLastColumn="0" w:lastRowFirstColumn="0" w:lastRowLastColumn="0"/>
            <w:tcW w:w="563" w:type="pct"/>
          </w:tcPr>
          <w:p w14:paraId="32900A08" w14:textId="77777777" w:rsidR="00B44672" w:rsidRDefault="00B44672" w:rsidP="00302865">
            <w:pPr>
              <w:pStyle w:val="Compact"/>
              <w:jc w:val="center"/>
            </w:pPr>
            <w:r>
              <w:t>0.33</w:t>
            </w:r>
          </w:p>
        </w:tc>
      </w:tr>
      <w:tr w:rsidR="00B44672" w14:paraId="45E12CBF"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04A57126" w14:textId="77777777" w:rsidR="00B44672" w:rsidRDefault="00B44672" w:rsidP="00302865">
            <w:pPr>
              <w:pStyle w:val="Compact"/>
            </w:pPr>
            <w:r>
              <w:t>Pensioner homeowner</w:t>
            </w:r>
          </w:p>
        </w:tc>
        <w:tc>
          <w:tcPr>
            <w:tcW w:w="557" w:type="pct"/>
          </w:tcPr>
          <w:p w14:paraId="59F2805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60" w:type="pct"/>
          </w:tcPr>
          <w:p w14:paraId="47336D8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1,796</w:t>
            </w:r>
          </w:p>
        </w:tc>
        <w:tc>
          <w:tcPr>
            <w:tcW w:w="452" w:type="pct"/>
          </w:tcPr>
          <w:p w14:paraId="1AFD32D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1,304</w:t>
            </w:r>
          </w:p>
        </w:tc>
        <w:tc>
          <w:tcPr>
            <w:tcW w:w="285" w:type="pct"/>
          </w:tcPr>
          <w:p w14:paraId="7E949D1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492</w:t>
            </w:r>
          </w:p>
        </w:tc>
        <w:tc>
          <w:tcPr>
            <w:tcW w:w="529" w:type="pct"/>
          </w:tcPr>
          <w:p w14:paraId="265CBCD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3.09</w:t>
            </w:r>
          </w:p>
        </w:tc>
        <w:tc>
          <w:tcPr>
            <w:tcW w:w="521" w:type="pct"/>
          </w:tcPr>
          <w:p w14:paraId="4EC5C42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2.25</w:t>
            </w:r>
          </w:p>
        </w:tc>
        <w:tc>
          <w:tcPr>
            <w:cnfStyle w:val="000100000000" w:firstRow="0" w:lastRow="0" w:firstColumn="0" w:lastColumn="1" w:oddVBand="0" w:evenVBand="0" w:oddHBand="0" w:evenHBand="0" w:firstRowFirstColumn="0" w:firstRowLastColumn="0" w:lastRowFirstColumn="0" w:lastRowLastColumn="0"/>
            <w:tcW w:w="563" w:type="pct"/>
          </w:tcPr>
          <w:p w14:paraId="1402AE30" w14:textId="77777777" w:rsidR="00B44672" w:rsidRDefault="00B44672" w:rsidP="00302865">
            <w:pPr>
              <w:pStyle w:val="Compact"/>
              <w:jc w:val="center"/>
            </w:pPr>
            <w:r>
              <w:t>0.85</w:t>
            </w:r>
          </w:p>
        </w:tc>
      </w:tr>
      <w:tr w:rsidR="00B44672" w14:paraId="3CE98215"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6A7E75E6" w14:textId="77777777" w:rsidR="00B44672" w:rsidRDefault="00B44672" w:rsidP="00302865">
            <w:pPr>
              <w:pStyle w:val="Compact"/>
            </w:pPr>
            <w:r>
              <w:t>Pensioner renter</w:t>
            </w:r>
          </w:p>
        </w:tc>
        <w:tc>
          <w:tcPr>
            <w:tcW w:w="557" w:type="pct"/>
          </w:tcPr>
          <w:p w14:paraId="107DE29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60" w:type="pct"/>
          </w:tcPr>
          <w:p w14:paraId="486A226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909</w:t>
            </w:r>
          </w:p>
        </w:tc>
        <w:tc>
          <w:tcPr>
            <w:tcW w:w="452" w:type="pct"/>
          </w:tcPr>
          <w:p w14:paraId="2AB7A78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735</w:t>
            </w:r>
          </w:p>
        </w:tc>
        <w:tc>
          <w:tcPr>
            <w:tcW w:w="285" w:type="pct"/>
          </w:tcPr>
          <w:p w14:paraId="62A3EB5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174</w:t>
            </w:r>
          </w:p>
        </w:tc>
        <w:tc>
          <w:tcPr>
            <w:tcW w:w="529" w:type="pct"/>
          </w:tcPr>
          <w:p w14:paraId="45896DD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1.85</w:t>
            </w:r>
          </w:p>
        </w:tc>
        <w:tc>
          <w:tcPr>
            <w:tcW w:w="521" w:type="pct"/>
          </w:tcPr>
          <w:p w14:paraId="44485C4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1.49</w:t>
            </w:r>
          </w:p>
        </w:tc>
        <w:tc>
          <w:tcPr>
            <w:cnfStyle w:val="000100000000" w:firstRow="0" w:lastRow="0" w:firstColumn="0" w:lastColumn="1" w:oddVBand="0" w:evenVBand="0" w:oddHBand="0" w:evenHBand="0" w:firstRowFirstColumn="0" w:firstRowLastColumn="0" w:lastRowFirstColumn="0" w:lastRowLastColumn="0"/>
            <w:tcW w:w="563" w:type="pct"/>
          </w:tcPr>
          <w:p w14:paraId="2709C579" w14:textId="77777777" w:rsidR="00B44672" w:rsidRDefault="00B44672" w:rsidP="00302865">
            <w:pPr>
              <w:pStyle w:val="Compact"/>
              <w:jc w:val="center"/>
            </w:pPr>
            <w:r>
              <w:t>0.35</w:t>
            </w:r>
          </w:p>
        </w:tc>
      </w:tr>
      <w:tr w:rsidR="00B44672" w14:paraId="21BDFC4E"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33" w:type="pct"/>
          </w:tcPr>
          <w:p w14:paraId="65303246" w14:textId="77777777" w:rsidR="00B44672" w:rsidRDefault="00B44672" w:rsidP="00302865">
            <w:pPr>
              <w:pStyle w:val="Compact"/>
            </w:pPr>
            <w:r>
              <w:t>Female-headed homeowner</w:t>
            </w:r>
          </w:p>
        </w:tc>
        <w:tc>
          <w:tcPr>
            <w:tcW w:w="557" w:type="pct"/>
          </w:tcPr>
          <w:p w14:paraId="05058EA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60" w:type="pct"/>
          </w:tcPr>
          <w:p w14:paraId="413F8E9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2,062</w:t>
            </w:r>
          </w:p>
        </w:tc>
        <w:tc>
          <w:tcPr>
            <w:tcW w:w="452" w:type="pct"/>
          </w:tcPr>
          <w:p w14:paraId="3E4E077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1,578</w:t>
            </w:r>
          </w:p>
        </w:tc>
        <w:tc>
          <w:tcPr>
            <w:tcW w:w="285" w:type="pct"/>
          </w:tcPr>
          <w:p w14:paraId="5281BE3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484</w:t>
            </w:r>
          </w:p>
        </w:tc>
        <w:tc>
          <w:tcPr>
            <w:tcW w:w="529" w:type="pct"/>
          </w:tcPr>
          <w:p w14:paraId="566C321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2.56</w:t>
            </w:r>
          </w:p>
        </w:tc>
        <w:tc>
          <w:tcPr>
            <w:tcW w:w="521" w:type="pct"/>
          </w:tcPr>
          <w:p w14:paraId="0FCA162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1.96</w:t>
            </w:r>
          </w:p>
        </w:tc>
        <w:tc>
          <w:tcPr>
            <w:cnfStyle w:val="000100000000" w:firstRow="0" w:lastRow="0" w:firstColumn="0" w:lastColumn="1" w:oddVBand="0" w:evenVBand="0" w:oddHBand="0" w:evenHBand="0" w:firstRowFirstColumn="0" w:firstRowLastColumn="0" w:lastRowFirstColumn="0" w:lastRowLastColumn="0"/>
            <w:tcW w:w="563" w:type="pct"/>
          </w:tcPr>
          <w:p w14:paraId="56C013A1" w14:textId="77777777" w:rsidR="00B44672" w:rsidRDefault="00B44672" w:rsidP="00302865">
            <w:pPr>
              <w:pStyle w:val="Compact"/>
              <w:jc w:val="center"/>
            </w:pPr>
            <w:r>
              <w:t>0.60</w:t>
            </w:r>
          </w:p>
        </w:tc>
      </w:tr>
      <w:tr w:rsidR="00B44672" w14:paraId="3452C5D7" w14:textId="77777777" w:rsidTr="006E7C4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pct"/>
          </w:tcPr>
          <w:p w14:paraId="1084F6A2" w14:textId="77777777" w:rsidR="00B44672" w:rsidRDefault="00B44672" w:rsidP="00302865">
            <w:pPr>
              <w:pStyle w:val="Compact"/>
            </w:pPr>
            <w:r>
              <w:t>Female-headed renter</w:t>
            </w:r>
          </w:p>
        </w:tc>
        <w:tc>
          <w:tcPr>
            <w:tcW w:w="557" w:type="pct"/>
          </w:tcPr>
          <w:p w14:paraId="57F66477"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1,533</w:t>
            </w:r>
          </w:p>
        </w:tc>
        <w:tc>
          <w:tcPr>
            <w:tcW w:w="460" w:type="pct"/>
          </w:tcPr>
          <w:p w14:paraId="22790B3D"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1,487</w:t>
            </w:r>
          </w:p>
        </w:tc>
        <w:tc>
          <w:tcPr>
            <w:tcW w:w="452" w:type="pct"/>
          </w:tcPr>
          <w:p w14:paraId="18B0ED1E"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1,242</w:t>
            </w:r>
          </w:p>
        </w:tc>
        <w:tc>
          <w:tcPr>
            <w:tcW w:w="285" w:type="pct"/>
          </w:tcPr>
          <w:p w14:paraId="56855616"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245</w:t>
            </w:r>
          </w:p>
        </w:tc>
        <w:tc>
          <w:tcPr>
            <w:tcW w:w="529" w:type="pct"/>
          </w:tcPr>
          <w:p w14:paraId="5444810D"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1.78</w:t>
            </w:r>
          </w:p>
        </w:tc>
        <w:tc>
          <w:tcPr>
            <w:tcW w:w="521" w:type="pct"/>
          </w:tcPr>
          <w:p w14:paraId="6317C19D"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1.49</w:t>
            </w:r>
          </w:p>
        </w:tc>
        <w:tc>
          <w:tcPr>
            <w:cnfStyle w:val="000100000000" w:firstRow="0" w:lastRow="0" w:firstColumn="0" w:lastColumn="1" w:oddVBand="0" w:evenVBand="0" w:oddHBand="0" w:evenHBand="0" w:firstRowFirstColumn="0" w:firstRowLastColumn="0" w:lastRowFirstColumn="0" w:lastRowLastColumn="0"/>
            <w:tcW w:w="563" w:type="pct"/>
          </w:tcPr>
          <w:p w14:paraId="216B8179" w14:textId="77777777" w:rsidR="00B44672" w:rsidRDefault="00B44672" w:rsidP="00302865">
            <w:pPr>
              <w:pStyle w:val="Compact"/>
              <w:jc w:val="center"/>
            </w:pPr>
            <w:r>
              <w:t>0.29</w:t>
            </w:r>
          </w:p>
        </w:tc>
      </w:tr>
    </w:tbl>
    <w:p w14:paraId="667C9C80"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558CBAB5" w14:textId="77777777" w:rsidR="00B44672" w:rsidRDefault="00B44672">
      <w:pPr>
        <w:jc w:val="left"/>
        <w:rPr>
          <w:b/>
        </w:rPr>
      </w:pPr>
      <w:r>
        <w:rPr>
          <w:b/>
        </w:rPr>
        <w:br w:type="page"/>
      </w:r>
    </w:p>
    <w:p w14:paraId="12E3944A" w14:textId="77777777" w:rsidR="00B44672" w:rsidRDefault="00B44672" w:rsidP="00C83581">
      <w:pPr>
        <w:pStyle w:val="FirstParagraph"/>
      </w:pPr>
      <w:r>
        <w:rPr>
          <w:b/>
        </w:rPr>
        <w:lastRenderedPageBreak/>
        <w:t>Stamp duty and rate payment distribution</w:t>
      </w:r>
    </w:p>
    <w:p w14:paraId="3FBC88E4" w14:textId="77777777" w:rsidR="00B44672" w:rsidRDefault="00B44672" w:rsidP="00C83581">
      <w:pPr>
        <w:pStyle w:val="TableCaption"/>
      </w:pPr>
      <w:r>
        <w:t>Table 11 - The impact of tax reform on stamp duty and rate paid by sub-group, average 2012 - 2018</w:t>
      </w:r>
    </w:p>
    <w:tbl>
      <w:tblPr>
        <w:tblStyle w:val="Table"/>
        <w:tblW w:w="5728" w:type="pct"/>
        <w:jc w:val="center"/>
        <w:tblCellMar>
          <w:left w:w="0" w:type="dxa"/>
          <w:right w:w="0" w:type="dxa"/>
        </w:tblCellMar>
        <w:tblLook w:val="07E0" w:firstRow="1" w:lastRow="1" w:firstColumn="1" w:lastColumn="1" w:noHBand="1" w:noVBand="1"/>
        <w:tblCaption w:val="Table 11 - The impact of tax reform on stamp duty and rate paid by sub-group, average 2012 - 2018"/>
      </w:tblPr>
      <w:tblGrid>
        <w:gridCol w:w="2596"/>
        <w:gridCol w:w="941"/>
        <w:gridCol w:w="929"/>
        <w:gridCol w:w="811"/>
        <w:gridCol w:w="929"/>
        <w:gridCol w:w="916"/>
        <w:gridCol w:w="695"/>
        <w:gridCol w:w="889"/>
        <w:gridCol w:w="877"/>
        <w:gridCol w:w="757"/>
      </w:tblGrid>
      <w:tr w:rsidR="00B44672" w14:paraId="32BB9F0A" w14:textId="77777777" w:rsidTr="006E7C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6" w:type="pct"/>
            <w:tcBorders>
              <w:bottom w:val="single" w:sz="0" w:space="0" w:color="auto"/>
            </w:tcBorders>
            <w:vAlign w:val="bottom"/>
          </w:tcPr>
          <w:p w14:paraId="3EDC5A89" w14:textId="77777777" w:rsidR="00B44672" w:rsidRDefault="00B44672" w:rsidP="000511CA"/>
        </w:tc>
        <w:tc>
          <w:tcPr>
            <w:tcW w:w="455" w:type="pct"/>
            <w:tcBorders>
              <w:bottom w:val="single" w:sz="0" w:space="0" w:color="auto"/>
            </w:tcBorders>
            <w:vAlign w:val="bottom"/>
          </w:tcPr>
          <w:p w14:paraId="268A0D17"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affected</w:t>
            </w:r>
          </w:p>
        </w:tc>
        <w:tc>
          <w:tcPr>
            <w:tcW w:w="449" w:type="pct"/>
            <w:tcBorders>
              <w:bottom w:val="single" w:sz="0" w:space="0" w:color="auto"/>
            </w:tcBorders>
            <w:vAlign w:val="bottom"/>
          </w:tcPr>
          <w:p w14:paraId="19250499"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affected</w:t>
            </w:r>
          </w:p>
        </w:tc>
        <w:tc>
          <w:tcPr>
            <w:tcW w:w="392" w:type="pct"/>
            <w:tcBorders>
              <w:bottom w:val="single" w:sz="0" w:space="0" w:color="auto"/>
            </w:tcBorders>
            <w:vAlign w:val="bottom"/>
          </w:tcPr>
          <w:p w14:paraId="3C2E21DF"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 affected</w:t>
            </w:r>
          </w:p>
        </w:tc>
        <w:tc>
          <w:tcPr>
            <w:tcW w:w="449" w:type="pct"/>
            <w:tcBorders>
              <w:bottom w:val="single" w:sz="0" w:space="0" w:color="auto"/>
            </w:tcBorders>
            <w:vAlign w:val="bottom"/>
          </w:tcPr>
          <w:p w14:paraId="50D63C0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duty &amp; rate</w:t>
            </w:r>
          </w:p>
          <w:p w14:paraId="45C8E3F4"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43" w:type="pct"/>
            <w:tcBorders>
              <w:bottom w:val="single" w:sz="0" w:space="0" w:color="auto"/>
            </w:tcBorders>
            <w:vAlign w:val="bottom"/>
          </w:tcPr>
          <w:p w14:paraId="46DDEF9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duty &amp; rate</w:t>
            </w:r>
          </w:p>
          <w:p w14:paraId="4B3C650B"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336" w:type="pct"/>
            <w:tcBorders>
              <w:bottom w:val="single" w:sz="0" w:space="0" w:color="auto"/>
            </w:tcBorders>
            <w:vAlign w:val="bottom"/>
          </w:tcPr>
          <w:p w14:paraId="66FD28E4"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duty &amp; rate</w:t>
            </w:r>
          </w:p>
          <w:p w14:paraId="1916A120"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30" w:type="pct"/>
            <w:tcBorders>
              <w:bottom w:val="single" w:sz="0" w:space="0" w:color="auto"/>
            </w:tcBorders>
            <w:vAlign w:val="bottom"/>
          </w:tcPr>
          <w:p w14:paraId="14300A7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24" w:type="pct"/>
            <w:tcBorders>
              <w:bottom w:val="single" w:sz="0" w:space="0" w:color="auto"/>
            </w:tcBorders>
            <w:vAlign w:val="bottom"/>
          </w:tcPr>
          <w:p w14:paraId="120F2A4A"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366" w:type="pct"/>
            <w:tcBorders>
              <w:bottom w:val="single" w:sz="0" w:space="0" w:color="auto"/>
            </w:tcBorders>
            <w:vAlign w:val="bottom"/>
          </w:tcPr>
          <w:p w14:paraId="6AD61A4B" w14:textId="77777777" w:rsidR="00B44672" w:rsidRDefault="00B44672" w:rsidP="000511CA">
            <w:pPr>
              <w:pStyle w:val="Compact"/>
              <w:jc w:val="center"/>
            </w:pPr>
            <w:r>
              <w:t>Diff - % point change in income</w:t>
            </w:r>
          </w:p>
        </w:tc>
      </w:tr>
      <w:tr w:rsidR="00B44672" w14:paraId="661437A3"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62D11CC5" w14:textId="77777777" w:rsidR="00B44672" w:rsidRDefault="00B44672" w:rsidP="006E7C43">
            <w:pPr>
              <w:pStyle w:val="Compact"/>
            </w:pPr>
            <w:r w:rsidRPr="00AF6491">
              <w:rPr>
                <w:b/>
                <w:i/>
                <w:iCs/>
                <w:color w:val="365F91" w:themeColor="accent1" w:themeShade="BF"/>
              </w:rPr>
              <w:t>No price change</w:t>
            </w:r>
          </w:p>
        </w:tc>
        <w:tc>
          <w:tcPr>
            <w:tcW w:w="455" w:type="pct"/>
          </w:tcPr>
          <w:p w14:paraId="0B499F1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49" w:type="pct"/>
          </w:tcPr>
          <w:p w14:paraId="2269E47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392" w:type="pct"/>
          </w:tcPr>
          <w:p w14:paraId="536D92C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49" w:type="pct"/>
          </w:tcPr>
          <w:p w14:paraId="2DA499F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43" w:type="pct"/>
          </w:tcPr>
          <w:p w14:paraId="1EB338A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336" w:type="pct"/>
          </w:tcPr>
          <w:p w14:paraId="5C9120A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30" w:type="pct"/>
          </w:tcPr>
          <w:p w14:paraId="469F8E0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24" w:type="pct"/>
          </w:tcPr>
          <w:p w14:paraId="72185BB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66" w:type="pct"/>
          </w:tcPr>
          <w:p w14:paraId="2B8345A9" w14:textId="77777777" w:rsidR="00B44672" w:rsidRDefault="00B44672" w:rsidP="006E7C43">
            <w:pPr>
              <w:pStyle w:val="Compact"/>
              <w:jc w:val="center"/>
            </w:pPr>
          </w:p>
        </w:tc>
      </w:tr>
      <w:tr w:rsidR="00B44672" w14:paraId="3EB0922E"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30A760DA" w14:textId="77777777" w:rsidR="00B44672" w:rsidRDefault="00B44672" w:rsidP="006E7C43">
            <w:pPr>
              <w:pStyle w:val="Compact"/>
            </w:pPr>
            <w:r>
              <w:t>First home buyers</w:t>
            </w:r>
          </w:p>
        </w:tc>
        <w:tc>
          <w:tcPr>
            <w:tcW w:w="455" w:type="pct"/>
          </w:tcPr>
          <w:p w14:paraId="203B4F9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4,183</w:t>
            </w:r>
          </w:p>
        </w:tc>
        <w:tc>
          <w:tcPr>
            <w:tcW w:w="449" w:type="pct"/>
          </w:tcPr>
          <w:p w14:paraId="1E69C0E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3,955</w:t>
            </w:r>
          </w:p>
        </w:tc>
        <w:tc>
          <w:tcPr>
            <w:tcW w:w="392" w:type="pct"/>
          </w:tcPr>
          <w:p w14:paraId="5A1B393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228</w:t>
            </w:r>
          </w:p>
        </w:tc>
        <w:tc>
          <w:tcPr>
            <w:tcW w:w="449" w:type="pct"/>
          </w:tcPr>
          <w:p w14:paraId="616EA2C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14,498</w:t>
            </w:r>
          </w:p>
        </w:tc>
        <w:tc>
          <w:tcPr>
            <w:tcW w:w="443" w:type="pct"/>
          </w:tcPr>
          <w:p w14:paraId="6C67CE8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19,075</w:t>
            </w:r>
          </w:p>
        </w:tc>
        <w:tc>
          <w:tcPr>
            <w:tcW w:w="336" w:type="pct"/>
          </w:tcPr>
          <w:p w14:paraId="656A5B1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-4,578</w:t>
            </w:r>
          </w:p>
        </w:tc>
        <w:tc>
          <w:tcPr>
            <w:tcW w:w="430" w:type="pct"/>
          </w:tcPr>
          <w:p w14:paraId="3C3589F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17.07</w:t>
            </w:r>
          </w:p>
        </w:tc>
        <w:tc>
          <w:tcPr>
            <w:tcW w:w="424" w:type="pct"/>
          </w:tcPr>
          <w:p w14:paraId="6CFA0E2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22.70</w:t>
            </w:r>
          </w:p>
        </w:tc>
        <w:tc>
          <w:tcPr>
            <w:cnfStyle w:val="000100000000" w:firstRow="0" w:lastRow="0" w:firstColumn="0" w:lastColumn="1" w:oddVBand="0" w:evenVBand="0" w:oddHBand="0" w:evenHBand="0" w:firstRowFirstColumn="0" w:firstRowLastColumn="0" w:lastRowFirstColumn="0" w:lastRowLastColumn="0"/>
            <w:tcW w:w="366" w:type="pct"/>
          </w:tcPr>
          <w:p w14:paraId="4FFD2CE8" w14:textId="77777777" w:rsidR="00B44672" w:rsidRDefault="00B44672" w:rsidP="006E7C43">
            <w:pPr>
              <w:pStyle w:val="Compact"/>
              <w:jc w:val="center"/>
            </w:pPr>
            <w:r>
              <w:t>-5.63</w:t>
            </w:r>
          </w:p>
        </w:tc>
      </w:tr>
      <w:tr w:rsidR="00B44672" w14:paraId="1EE5B518"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16E4B6A5" w14:textId="77777777" w:rsidR="00B44672" w:rsidRDefault="00B44672" w:rsidP="006E7C43">
            <w:pPr>
              <w:pStyle w:val="Compact"/>
            </w:pPr>
            <w:r>
              <w:t>Low-income homeowner</w:t>
            </w:r>
          </w:p>
        </w:tc>
        <w:tc>
          <w:tcPr>
            <w:tcW w:w="455" w:type="pct"/>
          </w:tcPr>
          <w:p w14:paraId="5F3F99C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49" w:type="pct"/>
          </w:tcPr>
          <w:p w14:paraId="25FC40B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392" w:type="pct"/>
          </w:tcPr>
          <w:p w14:paraId="594B6DE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3DC3B39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2,051</w:t>
            </w:r>
          </w:p>
        </w:tc>
        <w:tc>
          <w:tcPr>
            <w:tcW w:w="443" w:type="pct"/>
          </w:tcPr>
          <w:p w14:paraId="17CEB4E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1,937</w:t>
            </w:r>
          </w:p>
        </w:tc>
        <w:tc>
          <w:tcPr>
            <w:tcW w:w="336" w:type="pct"/>
          </w:tcPr>
          <w:p w14:paraId="6FFEC91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115</w:t>
            </w:r>
          </w:p>
        </w:tc>
        <w:tc>
          <w:tcPr>
            <w:tcW w:w="430" w:type="pct"/>
          </w:tcPr>
          <w:p w14:paraId="1C75B35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4.84</w:t>
            </w:r>
          </w:p>
        </w:tc>
        <w:tc>
          <w:tcPr>
            <w:tcW w:w="424" w:type="pct"/>
          </w:tcPr>
          <w:p w14:paraId="6A6E537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4.57</w:t>
            </w:r>
          </w:p>
        </w:tc>
        <w:tc>
          <w:tcPr>
            <w:cnfStyle w:val="000100000000" w:firstRow="0" w:lastRow="0" w:firstColumn="0" w:lastColumn="1" w:oddVBand="0" w:evenVBand="0" w:oddHBand="0" w:evenHBand="0" w:firstRowFirstColumn="0" w:firstRowLastColumn="0" w:lastRowFirstColumn="0" w:lastRowLastColumn="0"/>
            <w:tcW w:w="366" w:type="pct"/>
          </w:tcPr>
          <w:p w14:paraId="2585F3C6" w14:textId="77777777" w:rsidR="00B44672" w:rsidRDefault="00B44672" w:rsidP="006E7C43">
            <w:pPr>
              <w:pStyle w:val="Compact"/>
              <w:jc w:val="center"/>
            </w:pPr>
            <w:r>
              <w:t>0.27</w:t>
            </w:r>
          </w:p>
        </w:tc>
      </w:tr>
      <w:tr w:rsidR="00B44672" w14:paraId="0B310619"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6D611C1A" w14:textId="77777777" w:rsidR="00B44672" w:rsidRDefault="00B44672" w:rsidP="006E7C43">
            <w:pPr>
              <w:pStyle w:val="Compact"/>
            </w:pPr>
            <w:r>
              <w:t>Low-income renter</w:t>
            </w:r>
          </w:p>
        </w:tc>
        <w:tc>
          <w:tcPr>
            <w:tcW w:w="455" w:type="pct"/>
          </w:tcPr>
          <w:p w14:paraId="41800F1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561</w:t>
            </w:r>
          </w:p>
        </w:tc>
        <w:tc>
          <w:tcPr>
            <w:tcW w:w="449" w:type="pct"/>
          </w:tcPr>
          <w:p w14:paraId="68D0237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532</w:t>
            </w:r>
          </w:p>
        </w:tc>
        <w:tc>
          <w:tcPr>
            <w:tcW w:w="392" w:type="pct"/>
          </w:tcPr>
          <w:p w14:paraId="13ECC5C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28</w:t>
            </w:r>
          </w:p>
        </w:tc>
        <w:tc>
          <w:tcPr>
            <w:tcW w:w="449" w:type="pct"/>
          </w:tcPr>
          <w:p w14:paraId="7D6D06D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8,598</w:t>
            </w:r>
          </w:p>
        </w:tc>
        <w:tc>
          <w:tcPr>
            <w:tcW w:w="443" w:type="pct"/>
          </w:tcPr>
          <w:p w14:paraId="5AAC36E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10,578</w:t>
            </w:r>
          </w:p>
        </w:tc>
        <w:tc>
          <w:tcPr>
            <w:tcW w:w="336" w:type="pct"/>
          </w:tcPr>
          <w:p w14:paraId="1BC2286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-1,981</w:t>
            </w:r>
          </w:p>
        </w:tc>
        <w:tc>
          <w:tcPr>
            <w:tcW w:w="430" w:type="pct"/>
          </w:tcPr>
          <w:p w14:paraId="02941ED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17.82</w:t>
            </w:r>
          </w:p>
        </w:tc>
        <w:tc>
          <w:tcPr>
            <w:tcW w:w="424" w:type="pct"/>
          </w:tcPr>
          <w:p w14:paraId="0770769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22.73</w:t>
            </w:r>
          </w:p>
        </w:tc>
        <w:tc>
          <w:tcPr>
            <w:cnfStyle w:val="000100000000" w:firstRow="0" w:lastRow="0" w:firstColumn="0" w:lastColumn="1" w:oddVBand="0" w:evenVBand="0" w:oddHBand="0" w:evenHBand="0" w:firstRowFirstColumn="0" w:firstRowLastColumn="0" w:lastRowFirstColumn="0" w:lastRowLastColumn="0"/>
            <w:tcW w:w="366" w:type="pct"/>
          </w:tcPr>
          <w:p w14:paraId="0081B608" w14:textId="77777777" w:rsidR="00B44672" w:rsidRDefault="00B44672" w:rsidP="006E7C43">
            <w:pPr>
              <w:pStyle w:val="Compact"/>
              <w:jc w:val="center"/>
            </w:pPr>
            <w:r>
              <w:t>-4.91</w:t>
            </w:r>
          </w:p>
        </w:tc>
      </w:tr>
      <w:tr w:rsidR="00B44672" w14:paraId="3F32A895"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72C3B650" w14:textId="77777777" w:rsidR="00B44672" w:rsidRDefault="00B44672" w:rsidP="006E7C43">
            <w:pPr>
              <w:pStyle w:val="Compact"/>
            </w:pPr>
            <w:r>
              <w:t>Middle-income homeowner</w:t>
            </w:r>
          </w:p>
        </w:tc>
        <w:tc>
          <w:tcPr>
            <w:tcW w:w="455" w:type="pct"/>
          </w:tcPr>
          <w:p w14:paraId="5936199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49" w:type="pct"/>
          </w:tcPr>
          <w:p w14:paraId="0B7FC86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392" w:type="pct"/>
          </w:tcPr>
          <w:p w14:paraId="4037495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2405847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3,546</w:t>
            </w:r>
          </w:p>
        </w:tc>
        <w:tc>
          <w:tcPr>
            <w:tcW w:w="443" w:type="pct"/>
          </w:tcPr>
          <w:p w14:paraId="02B7BEB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3,660</w:t>
            </w:r>
          </w:p>
        </w:tc>
        <w:tc>
          <w:tcPr>
            <w:tcW w:w="336" w:type="pct"/>
          </w:tcPr>
          <w:p w14:paraId="5E1C6B7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-113</w:t>
            </w:r>
          </w:p>
        </w:tc>
        <w:tc>
          <w:tcPr>
            <w:tcW w:w="430" w:type="pct"/>
          </w:tcPr>
          <w:p w14:paraId="035481A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4.34</w:t>
            </w:r>
          </w:p>
        </w:tc>
        <w:tc>
          <w:tcPr>
            <w:tcW w:w="424" w:type="pct"/>
          </w:tcPr>
          <w:p w14:paraId="5BFF2CC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4.47</w:t>
            </w:r>
          </w:p>
        </w:tc>
        <w:tc>
          <w:tcPr>
            <w:cnfStyle w:val="000100000000" w:firstRow="0" w:lastRow="0" w:firstColumn="0" w:lastColumn="1" w:oddVBand="0" w:evenVBand="0" w:oddHBand="0" w:evenHBand="0" w:firstRowFirstColumn="0" w:firstRowLastColumn="0" w:lastRowFirstColumn="0" w:lastRowLastColumn="0"/>
            <w:tcW w:w="366" w:type="pct"/>
          </w:tcPr>
          <w:p w14:paraId="676595DA" w14:textId="77777777" w:rsidR="00B44672" w:rsidRDefault="00B44672" w:rsidP="006E7C43">
            <w:pPr>
              <w:pStyle w:val="Compact"/>
              <w:jc w:val="center"/>
            </w:pPr>
            <w:r>
              <w:t>-0.14</w:t>
            </w:r>
          </w:p>
        </w:tc>
      </w:tr>
      <w:tr w:rsidR="00B44672" w14:paraId="176E3A71"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157A348C" w14:textId="77777777" w:rsidR="00B44672" w:rsidRDefault="00B44672" w:rsidP="006E7C43">
            <w:pPr>
              <w:pStyle w:val="Compact"/>
            </w:pPr>
            <w:r>
              <w:t>Middle-income renter</w:t>
            </w:r>
          </w:p>
        </w:tc>
        <w:tc>
          <w:tcPr>
            <w:tcW w:w="455" w:type="pct"/>
          </w:tcPr>
          <w:p w14:paraId="0C3E9F3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1,462</w:t>
            </w:r>
          </w:p>
        </w:tc>
        <w:tc>
          <w:tcPr>
            <w:tcW w:w="449" w:type="pct"/>
          </w:tcPr>
          <w:p w14:paraId="596F28A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392" w:type="pct"/>
          </w:tcPr>
          <w:p w14:paraId="1878159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449" w:type="pct"/>
          </w:tcPr>
          <w:p w14:paraId="51E12A2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12,831</w:t>
            </w:r>
          </w:p>
        </w:tc>
        <w:tc>
          <w:tcPr>
            <w:tcW w:w="443" w:type="pct"/>
          </w:tcPr>
          <w:p w14:paraId="461B146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17,412</w:t>
            </w:r>
          </w:p>
        </w:tc>
        <w:tc>
          <w:tcPr>
            <w:tcW w:w="336" w:type="pct"/>
          </w:tcPr>
          <w:p w14:paraId="17E98A8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-4,581</w:t>
            </w:r>
          </w:p>
        </w:tc>
        <w:tc>
          <w:tcPr>
            <w:tcW w:w="430" w:type="pct"/>
          </w:tcPr>
          <w:p w14:paraId="75744D3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19.29</w:t>
            </w:r>
          </w:p>
        </w:tc>
        <w:tc>
          <w:tcPr>
            <w:tcW w:w="424" w:type="pct"/>
          </w:tcPr>
          <w:p w14:paraId="09C2E73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26.10</w:t>
            </w:r>
          </w:p>
        </w:tc>
        <w:tc>
          <w:tcPr>
            <w:cnfStyle w:val="000100000000" w:firstRow="0" w:lastRow="0" w:firstColumn="0" w:lastColumn="1" w:oddVBand="0" w:evenVBand="0" w:oddHBand="0" w:evenHBand="0" w:firstRowFirstColumn="0" w:firstRowLastColumn="0" w:lastRowFirstColumn="0" w:lastRowLastColumn="0"/>
            <w:tcW w:w="366" w:type="pct"/>
          </w:tcPr>
          <w:p w14:paraId="152DC1BD" w14:textId="77777777" w:rsidR="00B44672" w:rsidRDefault="00B44672" w:rsidP="006E7C43">
            <w:pPr>
              <w:pStyle w:val="Compact"/>
              <w:jc w:val="center"/>
            </w:pPr>
            <w:r>
              <w:t>-6.81</w:t>
            </w:r>
          </w:p>
        </w:tc>
      </w:tr>
      <w:tr w:rsidR="00B44672" w14:paraId="547A5A63"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7AC4BF2A" w14:textId="77777777" w:rsidR="00B44672" w:rsidRDefault="00B44672" w:rsidP="006E7C43">
            <w:pPr>
              <w:pStyle w:val="Compact"/>
            </w:pPr>
            <w:r>
              <w:t>Pensioner homeowner</w:t>
            </w:r>
          </w:p>
        </w:tc>
        <w:tc>
          <w:tcPr>
            <w:tcW w:w="455" w:type="pct"/>
          </w:tcPr>
          <w:p w14:paraId="68E69E5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49" w:type="pct"/>
          </w:tcPr>
          <w:p w14:paraId="7255B25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392" w:type="pct"/>
          </w:tcPr>
          <w:p w14:paraId="5CA7B70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2925787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2,346</w:t>
            </w:r>
          </w:p>
        </w:tc>
        <w:tc>
          <w:tcPr>
            <w:tcW w:w="443" w:type="pct"/>
          </w:tcPr>
          <w:p w14:paraId="1D8B167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1,988</w:t>
            </w:r>
          </w:p>
        </w:tc>
        <w:tc>
          <w:tcPr>
            <w:tcW w:w="336" w:type="pct"/>
          </w:tcPr>
          <w:p w14:paraId="7BE8C32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359</w:t>
            </w:r>
          </w:p>
        </w:tc>
        <w:tc>
          <w:tcPr>
            <w:tcW w:w="430" w:type="pct"/>
          </w:tcPr>
          <w:p w14:paraId="2B9330F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4.04</w:t>
            </w:r>
          </w:p>
        </w:tc>
        <w:tc>
          <w:tcPr>
            <w:tcW w:w="424" w:type="pct"/>
          </w:tcPr>
          <w:p w14:paraId="48CA5B5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cnfStyle w:val="000100000000" w:firstRow="0" w:lastRow="0" w:firstColumn="0" w:lastColumn="1" w:oddVBand="0" w:evenVBand="0" w:oddHBand="0" w:evenHBand="0" w:firstRowFirstColumn="0" w:firstRowLastColumn="0" w:lastRowFirstColumn="0" w:lastRowLastColumn="0"/>
            <w:tcW w:w="366" w:type="pct"/>
          </w:tcPr>
          <w:p w14:paraId="161F93EB" w14:textId="77777777" w:rsidR="00B44672" w:rsidRDefault="00B44672" w:rsidP="006E7C43">
            <w:pPr>
              <w:pStyle w:val="Compact"/>
              <w:jc w:val="center"/>
            </w:pPr>
            <w:r>
              <w:t>0.62</w:t>
            </w:r>
          </w:p>
        </w:tc>
      </w:tr>
      <w:tr w:rsidR="00B44672" w14:paraId="7607CEAD"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74EA74C2" w14:textId="77777777" w:rsidR="00B44672" w:rsidRDefault="00B44672" w:rsidP="006E7C43">
            <w:pPr>
              <w:pStyle w:val="Compact"/>
            </w:pPr>
            <w:r>
              <w:t>Pensioner renter</w:t>
            </w:r>
          </w:p>
        </w:tc>
        <w:tc>
          <w:tcPr>
            <w:tcW w:w="455" w:type="pct"/>
          </w:tcPr>
          <w:p w14:paraId="618E2CC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49" w:type="pct"/>
          </w:tcPr>
          <w:p w14:paraId="2659140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392" w:type="pct"/>
          </w:tcPr>
          <w:p w14:paraId="426237C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4D034C2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9,987</w:t>
            </w:r>
          </w:p>
        </w:tc>
        <w:tc>
          <w:tcPr>
            <w:tcW w:w="443" w:type="pct"/>
          </w:tcPr>
          <w:p w14:paraId="128C384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12,701</w:t>
            </w:r>
          </w:p>
        </w:tc>
        <w:tc>
          <w:tcPr>
            <w:tcW w:w="336" w:type="pct"/>
          </w:tcPr>
          <w:p w14:paraId="2856B3D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-2,714</w:t>
            </w:r>
          </w:p>
        </w:tc>
        <w:tc>
          <w:tcPr>
            <w:tcW w:w="430" w:type="pct"/>
          </w:tcPr>
          <w:p w14:paraId="213CEDC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20.32</w:t>
            </w:r>
          </w:p>
        </w:tc>
        <w:tc>
          <w:tcPr>
            <w:tcW w:w="424" w:type="pct"/>
          </w:tcPr>
          <w:p w14:paraId="3979F1F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25.85</w:t>
            </w:r>
          </w:p>
        </w:tc>
        <w:tc>
          <w:tcPr>
            <w:cnfStyle w:val="000100000000" w:firstRow="0" w:lastRow="0" w:firstColumn="0" w:lastColumn="1" w:oddVBand="0" w:evenVBand="0" w:oddHBand="0" w:evenHBand="0" w:firstRowFirstColumn="0" w:firstRowLastColumn="0" w:lastRowFirstColumn="0" w:lastRowLastColumn="0"/>
            <w:tcW w:w="366" w:type="pct"/>
          </w:tcPr>
          <w:p w14:paraId="16452777" w14:textId="77777777" w:rsidR="00B44672" w:rsidRDefault="00B44672" w:rsidP="006E7C43">
            <w:pPr>
              <w:pStyle w:val="Compact"/>
              <w:jc w:val="center"/>
            </w:pPr>
            <w:r>
              <w:t>-5.52</w:t>
            </w:r>
          </w:p>
        </w:tc>
      </w:tr>
      <w:tr w:rsidR="00B44672" w14:paraId="16D8DEAE"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2490C9DF" w14:textId="77777777" w:rsidR="00B44672" w:rsidRDefault="00B44672" w:rsidP="006E7C43">
            <w:pPr>
              <w:pStyle w:val="Compact"/>
            </w:pPr>
            <w:r>
              <w:t>Female-headed homeowner</w:t>
            </w:r>
          </w:p>
        </w:tc>
        <w:tc>
          <w:tcPr>
            <w:tcW w:w="455" w:type="pct"/>
          </w:tcPr>
          <w:p w14:paraId="619D2FC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49" w:type="pct"/>
          </w:tcPr>
          <w:p w14:paraId="663EAED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392" w:type="pct"/>
          </w:tcPr>
          <w:p w14:paraId="0DC7891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3AE2F64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3,365</w:t>
            </w:r>
          </w:p>
        </w:tc>
        <w:tc>
          <w:tcPr>
            <w:tcW w:w="443" w:type="pct"/>
          </w:tcPr>
          <w:p w14:paraId="300F8B4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3,283</w:t>
            </w:r>
          </w:p>
        </w:tc>
        <w:tc>
          <w:tcPr>
            <w:tcW w:w="336" w:type="pct"/>
          </w:tcPr>
          <w:p w14:paraId="5F5E786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82</w:t>
            </w:r>
          </w:p>
        </w:tc>
        <w:tc>
          <w:tcPr>
            <w:tcW w:w="430" w:type="pct"/>
          </w:tcPr>
          <w:p w14:paraId="463D28C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4.18</w:t>
            </w:r>
          </w:p>
        </w:tc>
        <w:tc>
          <w:tcPr>
            <w:tcW w:w="424" w:type="pct"/>
          </w:tcPr>
          <w:p w14:paraId="3352710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4.08</w:t>
            </w:r>
          </w:p>
        </w:tc>
        <w:tc>
          <w:tcPr>
            <w:cnfStyle w:val="000100000000" w:firstRow="0" w:lastRow="0" w:firstColumn="0" w:lastColumn="1" w:oddVBand="0" w:evenVBand="0" w:oddHBand="0" w:evenHBand="0" w:firstRowFirstColumn="0" w:firstRowLastColumn="0" w:lastRowFirstColumn="0" w:lastRowLastColumn="0"/>
            <w:tcW w:w="366" w:type="pct"/>
          </w:tcPr>
          <w:p w14:paraId="7CC7C4E1" w14:textId="77777777" w:rsidR="00B44672" w:rsidRDefault="00B44672" w:rsidP="006E7C43">
            <w:pPr>
              <w:pStyle w:val="Compact"/>
              <w:jc w:val="center"/>
            </w:pPr>
            <w:r>
              <w:t>0.10</w:t>
            </w:r>
          </w:p>
        </w:tc>
      </w:tr>
      <w:tr w:rsidR="00B44672" w14:paraId="4F6FA5F6"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18E38544" w14:textId="77777777" w:rsidR="00B44672" w:rsidRDefault="00B44672" w:rsidP="006E7C43">
            <w:pPr>
              <w:pStyle w:val="Compact"/>
            </w:pPr>
            <w:r>
              <w:t>Female-headed renter</w:t>
            </w:r>
          </w:p>
        </w:tc>
        <w:tc>
          <w:tcPr>
            <w:tcW w:w="455" w:type="pct"/>
          </w:tcPr>
          <w:p w14:paraId="6B7C433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1,617</w:t>
            </w:r>
          </w:p>
        </w:tc>
        <w:tc>
          <w:tcPr>
            <w:tcW w:w="449" w:type="pct"/>
          </w:tcPr>
          <w:p w14:paraId="192A7F3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1,521</w:t>
            </w:r>
          </w:p>
        </w:tc>
        <w:tc>
          <w:tcPr>
            <w:tcW w:w="392" w:type="pct"/>
          </w:tcPr>
          <w:p w14:paraId="0E5E9DA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97</w:t>
            </w:r>
          </w:p>
        </w:tc>
        <w:tc>
          <w:tcPr>
            <w:tcW w:w="449" w:type="pct"/>
          </w:tcPr>
          <w:p w14:paraId="5ED1AB4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14,415</w:t>
            </w:r>
          </w:p>
        </w:tc>
        <w:tc>
          <w:tcPr>
            <w:tcW w:w="443" w:type="pct"/>
          </w:tcPr>
          <w:p w14:paraId="2CA4F72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19,316</w:t>
            </w:r>
          </w:p>
        </w:tc>
        <w:tc>
          <w:tcPr>
            <w:tcW w:w="336" w:type="pct"/>
          </w:tcPr>
          <w:p w14:paraId="4FAA284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-4,900</w:t>
            </w:r>
          </w:p>
        </w:tc>
        <w:tc>
          <w:tcPr>
            <w:tcW w:w="430" w:type="pct"/>
          </w:tcPr>
          <w:p w14:paraId="4DD8CDF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17.28</w:t>
            </w:r>
          </w:p>
        </w:tc>
        <w:tc>
          <w:tcPr>
            <w:tcW w:w="424" w:type="pct"/>
          </w:tcPr>
          <w:p w14:paraId="11634FB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23.38</w:t>
            </w:r>
          </w:p>
        </w:tc>
        <w:tc>
          <w:tcPr>
            <w:cnfStyle w:val="000100000000" w:firstRow="0" w:lastRow="0" w:firstColumn="0" w:lastColumn="1" w:oddVBand="0" w:evenVBand="0" w:oddHBand="0" w:evenHBand="0" w:firstRowFirstColumn="0" w:firstRowLastColumn="0" w:lastRowFirstColumn="0" w:lastRowLastColumn="0"/>
            <w:tcW w:w="366" w:type="pct"/>
          </w:tcPr>
          <w:p w14:paraId="29F5A2B4" w14:textId="77777777" w:rsidR="00B44672" w:rsidRDefault="00B44672" w:rsidP="006E7C43">
            <w:pPr>
              <w:pStyle w:val="Compact"/>
              <w:jc w:val="center"/>
            </w:pPr>
            <w:r>
              <w:t>-6.10</w:t>
            </w:r>
          </w:p>
        </w:tc>
      </w:tr>
      <w:tr w:rsidR="00B44672" w14:paraId="04E1FE6A"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093EAEA7"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455" w:type="pct"/>
          </w:tcPr>
          <w:p w14:paraId="44BEFFC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49" w:type="pct"/>
          </w:tcPr>
          <w:p w14:paraId="6E68521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92" w:type="pct"/>
          </w:tcPr>
          <w:p w14:paraId="3321DE1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49" w:type="pct"/>
          </w:tcPr>
          <w:p w14:paraId="35514ED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43" w:type="pct"/>
          </w:tcPr>
          <w:p w14:paraId="0B4AD3C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36" w:type="pct"/>
          </w:tcPr>
          <w:p w14:paraId="50AAE67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30" w:type="pct"/>
          </w:tcPr>
          <w:p w14:paraId="47590C8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24" w:type="pct"/>
          </w:tcPr>
          <w:p w14:paraId="3E43271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66" w:type="pct"/>
          </w:tcPr>
          <w:p w14:paraId="31402541" w14:textId="77777777" w:rsidR="00B44672" w:rsidRDefault="00B44672" w:rsidP="00A567C4">
            <w:pPr>
              <w:pStyle w:val="Compact"/>
              <w:jc w:val="center"/>
            </w:pPr>
          </w:p>
        </w:tc>
      </w:tr>
      <w:tr w:rsidR="00B44672" w14:paraId="6F4A3D66"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6CE9ED24" w14:textId="77777777" w:rsidR="00B44672" w:rsidRDefault="00B44672" w:rsidP="00A567C4">
            <w:pPr>
              <w:pStyle w:val="Compact"/>
            </w:pPr>
            <w:r>
              <w:t>First home buyers</w:t>
            </w:r>
          </w:p>
        </w:tc>
        <w:tc>
          <w:tcPr>
            <w:tcW w:w="455" w:type="pct"/>
          </w:tcPr>
          <w:p w14:paraId="653B669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4,183</w:t>
            </w:r>
          </w:p>
        </w:tc>
        <w:tc>
          <w:tcPr>
            <w:tcW w:w="449" w:type="pct"/>
          </w:tcPr>
          <w:p w14:paraId="32DC0AC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3,971</w:t>
            </w:r>
          </w:p>
        </w:tc>
        <w:tc>
          <w:tcPr>
            <w:tcW w:w="392" w:type="pct"/>
          </w:tcPr>
          <w:p w14:paraId="3E9605D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212</w:t>
            </w:r>
          </w:p>
        </w:tc>
        <w:tc>
          <w:tcPr>
            <w:tcW w:w="449" w:type="pct"/>
          </w:tcPr>
          <w:p w14:paraId="1C6A5CD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14,498</w:t>
            </w:r>
          </w:p>
        </w:tc>
        <w:tc>
          <w:tcPr>
            <w:tcW w:w="443" w:type="pct"/>
          </w:tcPr>
          <w:p w14:paraId="3777D71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18,847</w:t>
            </w:r>
          </w:p>
        </w:tc>
        <w:tc>
          <w:tcPr>
            <w:tcW w:w="336" w:type="pct"/>
          </w:tcPr>
          <w:p w14:paraId="0B82FE9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-4,349</w:t>
            </w:r>
          </w:p>
        </w:tc>
        <w:tc>
          <w:tcPr>
            <w:tcW w:w="430" w:type="pct"/>
          </w:tcPr>
          <w:p w14:paraId="3B6DEF6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17.07</w:t>
            </w:r>
          </w:p>
        </w:tc>
        <w:tc>
          <w:tcPr>
            <w:tcW w:w="424" w:type="pct"/>
          </w:tcPr>
          <w:p w14:paraId="03850DC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22.44</w:t>
            </w:r>
          </w:p>
        </w:tc>
        <w:tc>
          <w:tcPr>
            <w:cnfStyle w:val="000100000000" w:firstRow="0" w:lastRow="0" w:firstColumn="0" w:lastColumn="1" w:oddVBand="0" w:evenVBand="0" w:oddHBand="0" w:evenHBand="0" w:firstRowFirstColumn="0" w:firstRowLastColumn="0" w:lastRowFirstColumn="0" w:lastRowLastColumn="0"/>
            <w:tcW w:w="366" w:type="pct"/>
          </w:tcPr>
          <w:p w14:paraId="226DF484" w14:textId="77777777" w:rsidR="00B44672" w:rsidRDefault="00B44672" w:rsidP="00A567C4">
            <w:pPr>
              <w:pStyle w:val="Compact"/>
              <w:jc w:val="center"/>
            </w:pPr>
            <w:r>
              <w:t>-5.37</w:t>
            </w:r>
          </w:p>
        </w:tc>
      </w:tr>
      <w:tr w:rsidR="00B44672" w14:paraId="03F6501C"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0E225CE8" w14:textId="77777777" w:rsidR="00B44672" w:rsidRDefault="00B44672" w:rsidP="00A567C4">
            <w:pPr>
              <w:pStyle w:val="Compact"/>
            </w:pPr>
            <w:r>
              <w:t>Low-income homeowner</w:t>
            </w:r>
          </w:p>
        </w:tc>
        <w:tc>
          <w:tcPr>
            <w:tcW w:w="455" w:type="pct"/>
          </w:tcPr>
          <w:p w14:paraId="5752E4A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49" w:type="pct"/>
          </w:tcPr>
          <w:p w14:paraId="221AD99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392" w:type="pct"/>
          </w:tcPr>
          <w:p w14:paraId="7B1A90E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453500D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2,051</w:t>
            </w:r>
          </w:p>
        </w:tc>
        <w:tc>
          <w:tcPr>
            <w:tcW w:w="443" w:type="pct"/>
          </w:tcPr>
          <w:p w14:paraId="1D6D668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1,932</w:t>
            </w:r>
          </w:p>
        </w:tc>
        <w:tc>
          <w:tcPr>
            <w:tcW w:w="336" w:type="pct"/>
          </w:tcPr>
          <w:p w14:paraId="09026A7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119</w:t>
            </w:r>
          </w:p>
        </w:tc>
        <w:tc>
          <w:tcPr>
            <w:tcW w:w="430" w:type="pct"/>
          </w:tcPr>
          <w:p w14:paraId="3CBBE80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4.84</w:t>
            </w:r>
          </w:p>
        </w:tc>
        <w:tc>
          <w:tcPr>
            <w:tcW w:w="424" w:type="pct"/>
          </w:tcPr>
          <w:p w14:paraId="0FC1D56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4.56</w:t>
            </w:r>
          </w:p>
        </w:tc>
        <w:tc>
          <w:tcPr>
            <w:cnfStyle w:val="000100000000" w:firstRow="0" w:lastRow="0" w:firstColumn="0" w:lastColumn="1" w:oddVBand="0" w:evenVBand="0" w:oddHBand="0" w:evenHBand="0" w:firstRowFirstColumn="0" w:firstRowLastColumn="0" w:lastRowFirstColumn="0" w:lastRowLastColumn="0"/>
            <w:tcW w:w="366" w:type="pct"/>
          </w:tcPr>
          <w:p w14:paraId="1A247702" w14:textId="77777777" w:rsidR="00B44672" w:rsidRDefault="00B44672" w:rsidP="00A567C4">
            <w:pPr>
              <w:pStyle w:val="Compact"/>
              <w:jc w:val="center"/>
            </w:pPr>
            <w:r>
              <w:t>0.28</w:t>
            </w:r>
          </w:p>
        </w:tc>
      </w:tr>
      <w:tr w:rsidR="00B44672" w14:paraId="0FB0ADAA"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1B6C077C" w14:textId="77777777" w:rsidR="00B44672" w:rsidRDefault="00B44672" w:rsidP="00A567C4">
            <w:pPr>
              <w:pStyle w:val="Compact"/>
            </w:pPr>
            <w:r>
              <w:t>Low-income renter</w:t>
            </w:r>
          </w:p>
        </w:tc>
        <w:tc>
          <w:tcPr>
            <w:tcW w:w="455" w:type="pct"/>
          </w:tcPr>
          <w:p w14:paraId="1A67D43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561</w:t>
            </w:r>
          </w:p>
        </w:tc>
        <w:tc>
          <w:tcPr>
            <w:tcW w:w="449" w:type="pct"/>
          </w:tcPr>
          <w:p w14:paraId="1C446C3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540</w:t>
            </w:r>
          </w:p>
        </w:tc>
        <w:tc>
          <w:tcPr>
            <w:tcW w:w="392" w:type="pct"/>
          </w:tcPr>
          <w:p w14:paraId="07F7481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w:t>
            </w:r>
          </w:p>
        </w:tc>
        <w:tc>
          <w:tcPr>
            <w:tcW w:w="449" w:type="pct"/>
          </w:tcPr>
          <w:p w14:paraId="3495DF0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8,598</w:t>
            </w:r>
          </w:p>
        </w:tc>
        <w:tc>
          <w:tcPr>
            <w:tcW w:w="443" w:type="pct"/>
          </w:tcPr>
          <w:p w14:paraId="749A7B6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10,522</w:t>
            </w:r>
          </w:p>
        </w:tc>
        <w:tc>
          <w:tcPr>
            <w:tcW w:w="336" w:type="pct"/>
          </w:tcPr>
          <w:p w14:paraId="657D8A3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-1,925</w:t>
            </w:r>
          </w:p>
        </w:tc>
        <w:tc>
          <w:tcPr>
            <w:tcW w:w="430" w:type="pct"/>
          </w:tcPr>
          <w:p w14:paraId="1C2C51C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17.82</w:t>
            </w:r>
          </w:p>
        </w:tc>
        <w:tc>
          <w:tcPr>
            <w:tcW w:w="424" w:type="pct"/>
          </w:tcPr>
          <w:p w14:paraId="6B4AD59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22.54</w:t>
            </w:r>
          </w:p>
        </w:tc>
        <w:tc>
          <w:tcPr>
            <w:cnfStyle w:val="000100000000" w:firstRow="0" w:lastRow="0" w:firstColumn="0" w:lastColumn="1" w:oddVBand="0" w:evenVBand="0" w:oddHBand="0" w:evenHBand="0" w:firstRowFirstColumn="0" w:firstRowLastColumn="0" w:lastRowFirstColumn="0" w:lastRowLastColumn="0"/>
            <w:tcW w:w="366" w:type="pct"/>
          </w:tcPr>
          <w:p w14:paraId="30F059C5" w14:textId="77777777" w:rsidR="00B44672" w:rsidRDefault="00B44672" w:rsidP="00A567C4">
            <w:pPr>
              <w:pStyle w:val="Compact"/>
              <w:jc w:val="center"/>
            </w:pPr>
            <w:r>
              <w:t>-4.71</w:t>
            </w:r>
          </w:p>
        </w:tc>
      </w:tr>
      <w:tr w:rsidR="00B44672" w14:paraId="26AC61C0"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08031719" w14:textId="77777777" w:rsidR="00B44672" w:rsidRDefault="00B44672" w:rsidP="00A567C4">
            <w:pPr>
              <w:pStyle w:val="Compact"/>
            </w:pPr>
            <w:r>
              <w:t>Middle-income homeowner</w:t>
            </w:r>
          </w:p>
        </w:tc>
        <w:tc>
          <w:tcPr>
            <w:tcW w:w="455" w:type="pct"/>
          </w:tcPr>
          <w:p w14:paraId="7999C05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49" w:type="pct"/>
          </w:tcPr>
          <w:p w14:paraId="1A75CF6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392" w:type="pct"/>
          </w:tcPr>
          <w:p w14:paraId="34A1B88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3B31937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3,546</w:t>
            </w:r>
          </w:p>
        </w:tc>
        <w:tc>
          <w:tcPr>
            <w:tcW w:w="443" w:type="pct"/>
          </w:tcPr>
          <w:p w14:paraId="77F26C4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3,645</w:t>
            </w:r>
          </w:p>
        </w:tc>
        <w:tc>
          <w:tcPr>
            <w:tcW w:w="336" w:type="pct"/>
          </w:tcPr>
          <w:p w14:paraId="2A30E74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-99</w:t>
            </w:r>
          </w:p>
        </w:tc>
        <w:tc>
          <w:tcPr>
            <w:tcW w:w="430" w:type="pct"/>
          </w:tcPr>
          <w:p w14:paraId="3124DEC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4.34</w:t>
            </w:r>
          </w:p>
        </w:tc>
        <w:tc>
          <w:tcPr>
            <w:tcW w:w="424" w:type="pct"/>
          </w:tcPr>
          <w:p w14:paraId="6E82CE7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4.46</w:t>
            </w:r>
          </w:p>
        </w:tc>
        <w:tc>
          <w:tcPr>
            <w:cnfStyle w:val="000100000000" w:firstRow="0" w:lastRow="0" w:firstColumn="0" w:lastColumn="1" w:oddVBand="0" w:evenVBand="0" w:oddHBand="0" w:evenHBand="0" w:firstRowFirstColumn="0" w:firstRowLastColumn="0" w:lastRowFirstColumn="0" w:lastRowLastColumn="0"/>
            <w:tcW w:w="366" w:type="pct"/>
          </w:tcPr>
          <w:p w14:paraId="2B383740" w14:textId="77777777" w:rsidR="00B44672" w:rsidRDefault="00B44672" w:rsidP="00A567C4">
            <w:pPr>
              <w:pStyle w:val="Compact"/>
              <w:jc w:val="center"/>
            </w:pPr>
            <w:r>
              <w:t>-0.12</w:t>
            </w:r>
          </w:p>
        </w:tc>
      </w:tr>
      <w:tr w:rsidR="00B44672" w14:paraId="4C81ABBA"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3E2ED1E0" w14:textId="77777777" w:rsidR="00B44672" w:rsidRDefault="00B44672" w:rsidP="00A567C4">
            <w:pPr>
              <w:pStyle w:val="Compact"/>
            </w:pPr>
            <w:r>
              <w:t>Middle-income renter</w:t>
            </w:r>
          </w:p>
        </w:tc>
        <w:tc>
          <w:tcPr>
            <w:tcW w:w="455" w:type="pct"/>
          </w:tcPr>
          <w:p w14:paraId="2536510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1,462</w:t>
            </w:r>
          </w:p>
        </w:tc>
        <w:tc>
          <w:tcPr>
            <w:tcW w:w="449" w:type="pct"/>
          </w:tcPr>
          <w:p w14:paraId="2FCF141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392" w:type="pct"/>
          </w:tcPr>
          <w:p w14:paraId="3641B58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449" w:type="pct"/>
          </w:tcPr>
          <w:p w14:paraId="11DED93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12,831</w:t>
            </w:r>
          </w:p>
        </w:tc>
        <w:tc>
          <w:tcPr>
            <w:tcW w:w="443" w:type="pct"/>
          </w:tcPr>
          <w:p w14:paraId="2D3FB12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17,212</w:t>
            </w:r>
          </w:p>
        </w:tc>
        <w:tc>
          <w:tcPr>
            <w:tcW w:w="336" w:type="pct"/>
          </w:tcPr>
          <w:p w14:paraId="7F7CECE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-4,381</w:t>
            </w:r>
          </w:p>
        </w:tc>
        <w:tc>
          <w:tcPr>
            <w:tcW w:w="430" w:type="pct"/>
          </w:tcPr>
          <w:p w14:paraId="769946C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19.29</w:t>
            </w:r>
          </w:p>
        </w:tc>
        <w:tc>
          <w:tcPr>
            <w:tcW w:w="424" w:type="pct"/>
          </w:tcPr>
          <w:p w14:paraId="713D8A5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25.80</w:t>
            </w:r>
          </w:p>
        </w:tc>
        <w:tc>
          <w:tcPr>
            <w:cnfStyle w:val="000100000000" w:firstRow="0" w:lastRow="0" w:firstColumn="0" w:lastColumn="1" w:oddVBand="0" w:evenVBand="0" w:oddHBand="0" w:evenHBand="0" w:firstRowFirstColumn="0" w:firstRowLastColumn="0" w:lastRowFirstColumn="0" w:lastRowLastColumn="0"/>
            <w:tcW w:w="366" w:type="pct"/>
          </w:tcPr>
          <w:p w14:paraId="60F25A5E" w14:textId="77777777" w:rsidR="00B44672" w:rsidRDefault="00B44672" w:rsidP="00A567C4">
            <w:pPr>
              <w:pStyle w:val="Compact"/>
              <w:jc w:val="center"/>
            </w:pPr>
            <w:r>
              <w:t>-6.51</w:t>
            </w:r>
          </w:p>
        </w:tc>
      </w:tr>
      <w:tr w:rsidR="00B44672" w14:paraId="322BD688"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25A5E7C6" w14:textId="77777777" w:rsidR="00B44672" w:rsidRDefault="00B44672" w:rsidP="00A567C4">
            <w:pPr>
              <w:pStyle w:val="Compact"/>
            </w:pPr>
            <w:r>
              <w:t>Pensioner homeowner</w:t>
            </w:r>
          </w:p>
        </w:tc>
        <w:tc>
          <w:tcPr>
            <w:tcW w:w="455" w:type="pct"/>
          </w:tcPr>
          <w:p w14:paraId="68B94B4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49" w:type="pct"/>
          </w:tcPr>
          <w:p w14:paraId="278AC7E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392" w:type="pct"/>
          </w:tcPr>
          <w:p w14:paraId="1223B73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7F38B21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2,346</w:t>
            </w:r>
          </w:p>
        </w:tc>
        <w:tc>
          <w:tcPr>
            <w:tcW w:w="443" w:type="pct"/>
          </w:tcPr>
          <w:p w14:paraId="3D13FE0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1,988</w:t>
            </w:r>
          </w:p>
        </w:tc>
        <w:tc>
          <w:tcPr>
            <w:tcW w:w="336" w:type="pct"/>
          </w:tcPr>
          <w:p w14:paraId="43055A3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358</w:t>
            </w:r>
          </w:p>
        </w:tc>
        <w:tc>
          <w:tcPr>
            <w:tcW w:w="430" w:type="pct"/>
          </w:tcPr>
          <w:p w14:paraId="3F63AE2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4.04</w:t>
            </w:r>
          </w:p>
        </w:tc>
        <w:tc>
          <w:tcPr>
            <w:tcW w:w="424" w:type="pct"/>
          </w:tcPr>
          <w:p w14:paraId="6E1BE4E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cnfStyle w:val="000100000000" w:firstRow="0" w:lastRow="0" w:firstColumn="0" w:lastColumn="1" w:oddVBand="0" w:evenVBand="0" w:oddHBand="0" w:evenHBand="0" w:firstRowFirstColumn="0" w:firstRowLastColumn="0" w:lastRowFirstColumn="0" w:lastRowLastColumn="0"/>
            <w:tcW w:w="366" w:type="pct"/>
          </w:tcPr>
          <w:p w14:paraId="3F29659C" w14:textId="77777777" w:rsidR="00B44672" w:rsidRDefault="00B44672" w:rsidP="00A567C4">
            <w:pPr>
              <w:pStyle w:val="Compact"/>
              <w:jc w:val="center"/>
            </w:pPr>
            <w:r>
              <w:t>0.62</w:t>
            </w:r>
          </w:p>
        </w:tc>
      </w:tr>
      <w:tr w:rsidR="00B44672" w14:paraId="3521FB57"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56D1F679" w14:textId="77777777" w:rsidR="00B44672" w:rsidRDefault="00B44672" w:rsidP="00A567C4">
            <w:pPr>
              <w:pStyle w:val="Compact"/>
            </w:pPr>
            <w:r>
              <w:t>Pensioner renter</w:t>
            </w:r>
          </w:p>
        </w:tc>
        <w:tc>
          <w:tcPr>
            <w:tcW w:w="455" w:type="pct"/>
          </w:tcPr>
          <w:p w14:paraId="4FE95C5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49" w:type="pct"/>
          </w:tcPr>
          <w:p w14:paraId="4688746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392" w:type="pct"/>
          </w:tcPr>
          <w:p w14:paraId="7BE5BA5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372A037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9,987</w:t>
            </w:r>
          </w:p>
        </w:tc>
        <w:tc>
          <w:tcPr>
            <w:tcW w:w="443" w:type="pct"/>
          </w:tcPr>
          <w:p w14:paraId="61D44CF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12,572</w:t>
            </w:r>
          </w:p>
        </w:tc>
        <w:tc>
          <w:tcPr>
            <w:tcW w:w="336" w:type="pct"/>
          </w:tcPr>
          <w:p w14:paraId="2898896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-2,585</w:t>
            </w:r>
          </w:p>
        </w:tc>
        <w:tc>
          <w:tcPr>
            <w:tcW w:w="430" w:type="pct"/>
          </w:tcPr>
          <w:p w14:paraId="7EDCE63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20.32</w:t>
            </w:r>
          </w:p>
        </w:tc>
        <w:tc>
          <w:tcPr>
            <w:tcW w:w="424" w:type="pct"/>
          </w:tcPr>
          <w:p w14:paraId="7B7816E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25.58</w:t>
            </w:r>
          </w:p>
        </w:tc>
        <w:tc>
          <w:tcPr>
            <w:cnfStyle w:val="000100000000" w:firstRow="0" w:lastRow="0" w:firstColumn="0" w:lastColumn="1" w:oddVBand="0" w:evenVBand="0" w:oddHBand="0" w:evenHBand="0" w:firstRowFirstColumn="0" w:firstRowLastColumn="0" w:lastRowFirstColumn="0" w:lastRowLastColumn="0"/>
            <w:tcW w:w="366" w:type="pct"/>
          </w:tcPr>
          <w:p w14:paraId="49149196" w14:textId="77777777" w:rsidR="00B44672" w:rsidRDefault="00B44672" w:rsidP="00A567C4">
            <w:pPr>
              <w:pStyle w:val="Compact"/>
              <w:jc w:val="center"/>
            </w:pPr>
            <w:r>
              <w:t>-5.26</w:t>
            </w:r>
          </w:p>
        </w:tc>
      </w:tr>
      <w:tr w:rsidR="00B44672" w14:paraId="74EED041"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73B3F5E5" w14:textId="77777777" w:rsidR="00B44672" w:rsidRDefault="00B44672" w:rsidP="00A567C4">
            <w:pPr>
              <w:pStyle w:val="Compact"/>
            </w:pPr>
            <w:r>
              <w:t>Female-headed homeowner</w:t>
            </w:r>
          </w:p>
        </w:tc>
        <w:tc>
          <w:tcPr>
            <w:tcW w:w="455" w:type="pct"/>
          </w:tcPr>
          <w:p w14:paraId="59ED425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49" w:type="pct"/>
          </w:tcPr>
          <w:p w14:paraId="7E179A1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392" w:type="pct"/>
          </w:tcPr>
          <w:p w14:paraId="6A802A7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51E91E1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3,365</w:t>
            </w:r>
          </w:p>
        </w:tc>
        <w:tc>
          <w:tcPr>
            <w:tcW w:w="443" w:type="pct"/>
          </w:tcPr>
          <w:p w14:paraId="77337D6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3,271</w:t>
            </w:r>
          </w:p>
        </w:tc>
        <w:tc>
          <w:tcPr>
            <w:tcW w:w="336" w:type="pct"/>
          </w:tcPr>
          <w:p w14:paraId="0D5E51E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94</w:t>
            </w:r>
          </w:p>
        </w:tc>
        <w:tc>
          <w:tcPr>
            <w:tcW w:w="430" w:type="pct"/>
          </w:tcPr>
          <w:p w14:paraId="7678C60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4.18</w:t>
            </w:r>
          </w:p>
        </w:tc>
        <w:tc>
          <w:tcPr>
            <w:tcW w:w="424" w:type="pct"/>
          </w:tcPr>
          <w:p w14:paraId="12522D2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4.06</w:t>
            </w:r>
          </w:p>
        </w:tc>
        <w:tc>
          <w:tcPr>
            <w:cnfStyle w:val="000100000000" w:firstRow="0" w:lastRow="0" w:firstColumn="0" w:lastColumn="1" w:oddVBand="0" w:evenVBand="0" w:oddHBand="0" w:evenHBand="0" w:firstRowFirstColumn="0" w:firstRowLastColumn="0" w:lastRowFirstColumn="0" w:lastRowLastColumn="0"/>
            <w:tcW w:w="366" w:type="pct"/>
          </w:tcPr>
          <w:p w14:paraId="759BCC05" w14:textId="77777777" w:rsidR="00B44672" w:rsidRDefault="00B44672" w:rsidP="00A567C4">
            <w:pPr>
              <w:pStyle w:val="Compact"/>
              <w:jc w:val="center"/>
            </w:pPr>
            <w:r>
              <w:t>0.12</w:t>
            </w:r>
          </w:p>
        </w:tc>
      </w:tr>
      <w:tr w:rsidR="00B44672" w14:paraId="1EF33D00"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08B831F2" w14:textId="77777777" w:rsidR="00B44672" w:rsidRDefault="00B44672" w:rsidP="00A567C4">
            <w:pPr>
              <w:pStyle w:val="Compact"/>
            </w:pPr>
            <w:r>
              <w:t>Female-headed renter</w:t>
            </w:r>
          </w:p>
        </w:tc>
        <w:tc>
          <w:tcPr>
            <w:tcW w:w="455" w:type="pct"/>
          </w:tcPr>
          <w:p w14:paraId="1D60CCC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1,617</w:t>
            </w:r>
          </w:p>
        </w:tc>
        <w:tc>
          <w:tcPr>
            <w:tcW w:w="449" w:type="pct"/>
          </w:tcPr>
          <w:p w14:paraId="259CF38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1,522</w:t>
            </w:r>
          </w:p>
        </w:tc>
        <w:tc>
          <w:tcPr>
            <w:tcW w:w="392" w:type="pct"/>
          </w:tcPr>
          <w:p w14:paraId="1136E72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95</w:t>
            </w:r>
          </w:p>
        </w:tc>
        <w:tc>
          <w:tcPr>
            <w:tcW w:w="449" w:type="pct"/>
          </w:tcPr>
          <w:p w14:paraId="024E484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14,415</w:t>
            </w:r>
          </w:p>
        </w:tc>
        <w:tc>
          <w:tcPr>
            <w:tcW w:w="443" w:type="pct"/>
          </w:tcPr>
          <w:p w14:paraId="103719A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19,105</w:t>
            </w:r>
          </w:p>
        </w:tc>
        <w:tc>
          <w:tcPr>
            <w:tcW w:w="336" w:type="pct"/>
          </w:tcPr>
          <w:p w14:paraId="2CE07B1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-4,690</w:t>
            </w:r>
          </w:p>
        </w:tc>
        <w:tc>
          <w:tcPr>
            <w:tcW w:w="430" w:type="pct"/>
          </w:tcPr>
          <w:p w14:paraId="3ADF9E5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17.28</w:t>
            </w:r>
          </w:p>
        </w:tc>
        <w:tc>
          <w:tcPr>
            <w:tcW w:w="424" w:type="pct"/>
          </w:tcPr>
          <w:p w14:paraId="2FC9454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23.08</w:t>
            </w:r>
          </w:p>
        </w:tc>
        <w:tc>
          <w:tcPr>
            <w:cnfStyle w:val="000100000000" w:firstRow="0" w:lastRow="0" w:firstColumn="0" w:lastColumn="1" w:oddVBand="0" w:evenVBand="0" w:oddHBand="0" w:evenHBand="0" w:firstRowFirstColumn="0" w:firstRowLastColumn="0" w:lastRowFirstColumn="0" w:lastRowLastColumn="0"/>
            <w:tcW w:w="366" w:type="pct"/>
          </w:tcPr>
          <w:p w14:paraId="57742D1B" w14:textId="77777777" w:rsidR="00B44672" w:rsidRDefault="00B44672" w:rsidP="00A567C4">
            <w:pPr>
              <w:pStyle w:val="Compact"/>
              <w:jc w:val="center"/>
            </w:pPr>
            <w:r>
              <w:t>-5.80</w:t>
            </w:r>
          </w:p>
        </w:tc>
      </w:tr>
      <w:tr w:rsidR="00B44672" w14:paraId="7FAA0FF0"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7477FAD2" w14:textId="77777777" w:rsidR="00B44672" w:rsidRDefault="00B44672" w:rsidP="00302865">
            <w:pPr>
              <w:pStyle w:val="Compact"/>
            </w:pPr>
            <w:r w:rsidRPr="00113FC1">
              <w:rPr>
                <w:b/>
                <w:i/>
                <w:iCs/>
                <w:color w:val="365F91" w:themeColor="accent1" w:themeShade="BF"/>
              </w:rPr>
              <w:t>1.24 – 2.19% price change</w:t>
            </w:r>
          </w:p>
        </w:tc>
        <w:tc>
          <w:tcPr>
            <w:tcW w:w="455" w:type="pct"/>
          </w:tcPr>
          <w:p w14:paraId="39DE319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49" w:type="pct"/>
          </w:tcPr>
          <w:p w14:paraId="1C22407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92" w:type="pct"/>
          </w:tcPr>
          <w:p w14:paraId="690F9BF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49" w:type="pct"/>
          </w:tcPr>
          <w:p w14:paraId="16DF86A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43" w:type="pct"/>
          </w:tcPr>
          <w:p w14:paraId="183CD34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36" w:type="pct"/>
          </w:tcPr>
          <w:p w14:paraId="7081861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30" w:type="pct"/>
          </w:tcPr>
          <w:p w14:paraId="3401BE2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24" w:type="pct"/>
          </w:tcPr>
          <w:p w14:paraId="41E9A99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66" w:type="pct"/>
          </w:tcPr>
          <w:p w14:paraId="3C1B5574" w14:textId="77777777" w:rsidR="00B44672" w:rsidRDefault="00B44672" w:rsidP="00302865">
            <w:pPr>
              <w:pStyle w:val="Compact"/>
              <w:jc w:val="center"/>
            </w:pPr>
          </w:p>
        </w:tc>
      </w:tr>
      <w:tr w:rsidR="00B44672" w14:paraId="699B9950"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3A32715C" w14:textId="77777777" w:rsidR="00B44672" w:rsidRDefault="00B44672" w:rsidP="00302865">
            <w:pPr>
              <w:pStyle w:val="Compact"/>
            </w:pPr>
            <w:r>
              <w:t>First home buyers</w:t>
            </w:r>
          </w:p>
        </w:tc>
        <w:tc>
          <w:tcPr>
            <w:tcW w:w="455" w:type="pct"/>
          </w:tcPr>
          <w:p w14:paraId="3C33A3F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4,183</w:t>
            </w:r>
          </w:p>
        </w:tc>
        <w:tc>
          <w:tcPr>
            <w:tcW w:w="449" w:type="pct"/>
          </w:tcPr>
          <w:p w14:paraId="2426613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4,033</w:t>
            </w:r>
          </w:p>
        </w:tc>
        <w:tc>
          <w:tcPr>
            <w:tcW w:w="392" w:type="pct"/>
          </w:tcPr>
          <w:p w14:paraId="6F6C926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150</w:t>
            </w:r>
          </w:p>
        </w:tc>
        <w:tc>
          <w:tcPr>
            <w:tcW w:w="449" w:type="pct"/>
          </w:tcPr>
          <w:p w14:paraId="3339A3A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14,498</w:t>
            </w:r>
          </w:p>
        </w:tc>
        <w:tc>
          <w:tcPr>
            <w:tcW w:w="443" w:type="pct"/>
          </w:tcPr>
          <w:p w14:paraId="454831E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18,664</w:t>
            </w:r>
          </w:p>
        </w:tc>
        <w:tc>
          <w:tcPr>
            <w:tcW w:w="336" w:type="pct"/>
          </w:tcPr>
          <w:p w14:paraId="7DAE7A5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-4,166</w:t>
            </w:r>
          </w:p>
        </w:tc>
        <w:tc>
          <w:tcPr>
            <w:tcW w:w="430" w:type="pct"/>
          </w:tcPr>
          <w:p w14:paraId="2999957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17.07</w:t>
            </w:r>
          </w:p>
        </w:tc>
        <w:tc>
          <w:tcPr>
            <w:tcW w:w="424" w:type="pct"/>
          </w:tcPr>
          <w:p w14:paraId="0407889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22.11</w:t>
            </w:r>
          </w:p>
        </w:tc>
        <w:tc>
          <w:tcPr>
            <w:cnfStyle w:val="000100000000" w:firstRow="0" w:lastRow="0" w:firstColumn="0" w:lastColumn="1" w:oddVBand="0" w:evenVBand="0" w:oddHBand="0" w:evenHBand="0" w:firstRowFirstColumn="0" w:firstRowLastColumn="0" w:lastRowFirstColumn="0" w:lastRowLastColumn="0"/>
            <w:tcW w:w="366" w:type="pct"/>
          </w:tcPr>
          <w:p w14:paraId="300FCF97" w14:textId="77777777" w:rsidR="00B44672" w:rsidRDefault="00B44672" w:rsidP="00302865">
            <w:pPr>
              <w:pStyle w:val="Compact"/>
              <w:jc w:val="center"/>
            </w:pPr>
            <w:r>
              <w:t>-5.04</w:t>
            </w:r>
          </w:p>
        </w:tc>
      </w:tr>
      <w:tr w:rsidR="00B44672" w14:paraId="1C5D9DDC"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11557A84" w14:textId="77777777" w:rsidR="00B44672" w:rsidRDefault="00B44672" w:rsidP="00302865">
            <w:pPr>
              <w:pStyle w:val="Compact"/>
            </w:pPr>
            <w:r>
              <w:t>Low-income homeowner</w:t>
            </w:r>
          </w:p>
        </w:tc>
        <w:tc>
          <w:tcPr>
            <w:tcW w:w="455" w:type="pct"/>
          </w:tcPr>
          <w:p w14:paraId="1749D56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49" w:type="pct"/>
          </w:tcPr>
          <w:p w14:paraId="068B78E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392" w:type="pct"/>
          </w:tcPr>
          <w:p w14:paraId="2FAAE6A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4A5F643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2,051</w:t>
            </w:r>
          </w:p>
        </w:tc>
        <w:tc>
          <w:tcPr>
            <w:tcW w:w="443" w:type="pct"/>
          </w:tcPr>
          <w:p w14:paraId="4895749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1,930</w:t>
            </w:r>
          </w:p>
        </w:tc>
        <w:tc>
          <w:tcPr>
            <w:tcW w:w="336" w:type="pct"/>
          </w:tcPr>
          <w:p w14:paraId="28A79FE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121</w:t>
            </w:r>
          </w:p>
        </w:tc>
        <w:tc>
          <w:tcPr>
            <w:tcW w:w="430" w:type="pct"/>
          </w:tcPr>
          <w:p w14:paraId="41AF085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4.84</w:t>
            </w:r>
          </w:p>
        </w:tc>
        <w:tc>
          <w:tcPr>
            <w:tcW w:w="424" w:type="pct"/>
          </w:tcPr>
          <w:p w14:paraId="72E0934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4.55</w:t>
            </w:r>
          </w:p>
        </w:tc>
        <w:tc>
          <w:tcPr>
            <w:cnfStyle w:val="000100000000" w:firstRow="0" w:lastRow="0" w:firstColumn="0" w:lastColumn="1" w:oddVBand="0" w:evenVBand="0" w:oddHBand="0" w:evenHBand="0" w:firstRowFirstColumn="0" w:firstRowLastColumn="0" w:lastRowFirstColumn="0" w:lastRowLastColumn="0"/>
            <w:tcW w:w="366" w:type="pct"/>
          </w:tcPr>
          <w:p w14:paraId="2C7EED2D" w14:textId="77777777" w:rsidR="00B44672" w:rsidRDefault="00B44672" w:rsidP="00302865">
            <w:pPr>
              <w:pStyle w:val="Compact"/>
              <w:jc w:val="center"/>
            </w:pPr>
            <w:r>
              <w:t>0.29</w:t>
            </w:r>
          </w:p>
        </w:tc>
      </w:tr>
      <w:tr w:rsidR="00B44672" w14:paraId="6E2C8B6E"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4E7DB17A" w14:textId="77777777" w:rsidR="00B44672" w:rsidRDefault="00B44672" w:rsidP="00302865">
            <w:pPr>
              <w:pStyle w:val="Compact"/>
            </w:pPr>
            <w:r>
              <w:t>Low-income renter</w:t>
            </w:r>
          </w:p>
        </w:tc>
        <w:tc>
          <w:tcPr>
            <w:tcW w:w="455" w:type="pct"/>
          </w:tcPr>
          <w:p w14:paraId="470E63C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561</w:t>
            </w:r>
          </w:p>
        </w:tc>
        <w:tc>
          <w:tcPr>
            <w:tcW w:w="449" w:type="pct"/>
          </w:tcPr>
          <w:p w14:paraId="0E165D3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553</w:t>
            </w:r>
          </w:p>
        </w:tc>
        <w:tc>
          <w:tcPr>
            <w:tcW w:w="392" w:type="pct"/>
          </w:tcPr>
          <w:p w14:paraId="0B0339B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449" w:type="pct"/>
          </w:tcPr>
          <w:p w14:paraId="15C8D09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8,598</w:t>
            </w:r>
          </w:p>
        </w:tc>
        <w:tc>
          <w:tcPr>
            <w:tcW w:w="443" w:type="pct"/>
          </w:tcPr>
          <w:p w14:paraId="53F6AE1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10,692</w:t>
            </w:r>
          </w:p>
        </w:tc>
        <w:tc>
          <w:tcPr>
            <w:tcW w:w="336" w:type="pct"/>
          </w:tcPr>
          <w:p w14:paraId="3981402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-2,094</w:t>
            </w:r>
          </w:p>
        </w:tc>
        <w:tc>
          <w:tcPr>
            <w:tcW w:w="430" w:type="pct"/>
          </w:tcPr>
          <w:p w14:paraId="2E881BC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17.82</w:t>
            </w:r>
          </w:p>
        </w:tc>
        <w:tc>
          <w:tcPr>
            <w:tcW w:w="424" w:type="pct"/>
          </w:tcPr>
          <w:p w14:paraId="369E467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22.65</w:t>
            </w:r>
          </w:p>
        </w:tc>
        <w:tc>
          <w:tcPr>
            <w:cnfStyle w:val="000100000000" w:firstRow="0" w:lastRow="0" w:firstColumn="0" w:lastColumn="1" w:oddVBand="0" w:evenVBand="0" w:oddHBand="0" w:evenHBand="0" w:firstRowFirstColumn="0" w:firstRowLastColumn="0" w:lastRowFirstColumn="0" w:lastRowLastColumn="0"/>
            <w:tcW w:w="366" w:type="pct"/>
          </w:tcPr>
          <w:p w14:paraId="7101D3F0" w14:textId="77777777" w:rsidR="00B44672" w:rsidRDefault="00B44672" w:rsidP="00302865">
            <w:pPr>
              <w:pStyle w:val="Compact"/>
              <w:jc w:val="center"/>
            </w:pPr>
            <w:r>
              <w:t>-4.82</w:t>
            </w:r>
          </w:p>
        </w:tc>
      </w:tr>
      <w:tr w:rsidR="00B44672" w14:paraId="1B0088E9"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3DEDF4DF" w14:textId="77777777" w:rsidR="00B44672" w:rsidRDefault="00B44672" w:rsidP="00302865">
            <w:pPr>
              <w:pStyle w:val="Compact"/>
            </w:pPr>
            <w:r>
              <w:t>Middle-income homeowner</w:t>
            </w:r>
          </w:p>
        </w:tc>
        <w:tc>
          <w:tcPr>
            <w:tcW w:w="455" w:type="pct"/>
          </w:tcPr>
          <w:p w14:paraId="6CD7D6D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49" w:type="pct"/>
          </w:tcPr>
          <w:p w14:paraId="2F5AE3E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392" w:type="pct"/>
          </w:tcPr>
          <w:p w14:paraId="4CE60C6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3077A6F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3,546</w:t>
            </w:r>
          </w:p>
        </w:tc>
        <w:tc>
          <w:tcPr>
            <w:tcW w:w="443" w:type="pct"/>
          </w:tcPr>
          <w:p w14:paraId="794C09E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3,635</w:t>
            </w:r>
          </w:p>
        </w:tc>
        <w:tc>
          <w:tcPr>
            <w:tcW w:w="336" w:type="pct"/>
          </w:tcPr>
          <w:p w14:paraId="752485A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-89</w:t>
            </w:r>
          </w:p>
        </w:tc>
        <w:tc>
          <w:tcPr>
            <w:tcW w:w="430" w:type="pct"/>
          </w:tcPr>
          <w:p w14:paraId="15296F3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4.34</w:t>
            </w:r>
          </w:p>
        </w:tc>
        <w:tc>
          <w:tcPr>
            <w:tcW w:w="424" w:type="pct"/>
          </w:tcPr>
          <w:p w14:paraId="719BF5A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4.45</w:t>
            </w:r>
          </w:p>
        </w:tc>
        <w:tc>
          <w:tcPr>
            <w:cnfStyle w:val="000100000000" w:firstRow="0" w:lastRow="0" w:firstColumn="0" w:lastColumn="1" w:oddVBand="0" w:evenVBand="0" w:oddHBand="0" w:evenHBand="0" w:firstRowFirstColumn="0" w:firstRowLastColumn="0" w:lastRowFirstColumn="0" w:lastRowLastColumn="0"/>
            <w:tcW w:w="366" w:type="pct"/>
          </w:tcPr>
          <w:p w14:paraId="072B163B" w14:textId="77777777" w:rsidR="00B44672" w:rsidRDefault="00B44672" w:rsidP="00302865">
            <w:pPr>
              <w:pStyle w:val="Compact"/>
              <w:jc w:val="center"/>
            </w:pPr>
            <w:r>
              <w:t>-0.11</w:t>
            </w:r>
          </w:p>
        </w:tc>
      </w:tr>
      <w:tr w:rsidR="00B44672" w14:paraId="088B1DB3"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7E912450" w14:textId="77777777" w:rsidR="00B44672" w:rsidRDefault="00B44672" w:rsidP="00302865">
            <w:pPr>
              <w:pStyle w:val="Compact"/>
            </w:pPr>
            <w:r>
              <w:t>Middle-income renter</w:t>
            </w:r>
          </w:p>
        </w:tc>
        <w:tc>
          <w:tcPr>
            <w:tcW w:w="455" w:type="pct"/>
          </w:tcPr>
          <w:p w14:paraId="212B10D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1,462</w:t>
            </w:r>
          </w:p>
        </w:tc>
        <w:tc>
          <w:tcPr>
            <w:tcW w:w="449" w:type="pct"/>
          </w:tcPr>
          <w:p w14:paraId="0C30F03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1,414</w:t>
            </w:r>
          </w:p>
        </w:tc>
        <w:tc>
          <w:tcPr>
            <w:tcW w:w="392" w:type="pct"/>
          </w:tcPr>
          <w:p w14:paraId="4C7CB3C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48</w:t>
            </w:r>
          </w:p>
        </w:tc>
        <w:tc>
          <w:tcPr>
            <w:tcW w:w="449" w:type="pct"/>
          </w:tcPr>
          <w:p w14:paraId="670A3A9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12,831</w:t>
            </w:r>
          </w:p>
        </w:tc>
        <w:tc>
          <w:tcPr>
            <w:tcW w:w="443" w:type="pct"/>
          </w:tcPr>
          <w:p w14:paraId="0E77073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16,972</w:t>
            </w:r>
          </w:p>
        </w:tc>
        <w:tc>
          <w:tcPr>
            <w:tcW w:w="336" w:type="pct"/>
          </w:tcPr>
          <w:p w14:paraId="075C26E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-4,141</w:t>
            </w:r>
          </w:p>
        </w:tc>
        <w:tc>
          <w:tcPr>
            <w:tcW w:w="430" w:type="pct"/>
          </w:tcPr>
          <w:p w14:paraId="754CB9D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19.29</w:t>
            </w:r>
          </w:p>
        </w:tc>
        <w:tc>
          <w:tcPr>
            <w:tcW w:w="424" w:type="pct"/>
          </w:tcPr>
          <w:p w14:paraId="1B83469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25.46</w:t>
            </w:r>
          </w:p>
        </w:tc>
        <w:tc>
          <w:tcPr>
            <w:cnfStyle w:val="000100000000" w:firstRow="0" w:lastRow="0" w:firstColumn="0" w:lastColumn="1" w:oddVBand="0" w:evenVBand="0" w:oddHBand="0" w:evenHBand="0" w:firstRowFirstColumn="0" w:firstRowLastColumn="0" w:lastRowFirstColumn="0" w:lastRowLastColumn="0"/>
            <w:tcW w:w="366" w:type="pct"/>
          </w:tcPr>
          <w:p w14:paraId="16384A67" w14:textId="77777777" w:rsidR="00B44672" w:rsidRDefault="00B44672" w:rsidP="00302865">
            <w:pPr>
              <w:pStyle w:val="Compact"/>
              <w:jc w:val="center"/>
            </w:pPr>
            <w:r>
              <w:t>-6.17</w:t>
            </w:r>
          </w:p>
        </w:tc>
      </w:tr>
      <w:tr w:rsidR="00B44672" w14:paraId="14561B78"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5BFF0C0E" w14:textId="77777777" w:rsidR="00B44672" w:rsidRDefault="00B44672" w:rsidP="00302865">
            <w:pPr>
              <w:pStyle w:val="Compact"/>
            </w:pPr>
            <w:r>
              <w:t>Pensioner homeowner</w:t>
            </w:r>
          </w:p>
        </w:tc>
        <w:tc>
          <w:tcPr>
            <w:tcW w:w="455" w:type="pct"/>
          </w:tcPr>
          <w:p w14:paraId="627E5F7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49" w:type="pct"/>
          </w:tcPr>
          <w:p w14:paraId="2521EF3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392" w:type="pct"/>
          </w:tcPr>
          <w:p w14:paraId="21E1E7C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72862B0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2,346</w:t>
            </w:r>
          </w:p>
        </w:tc>
        <w:tc>
          <w:tcPr>
            <w:tcW w:w="443" w:type="pct"/>
          </w:tcPr>
          <w:p w14:paraId="202E05B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1,993</w:t>
            </w:r>
          </w:p>
        </w:tc>
        <w:tc>
          <w:tcPr>
            <w:tcW w:w="336" w:type="pct"/>
          </w:tcPr>
          <w:p w14:paraId="209ED4B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354</w:t>
            </w:r>
          </w:p>
        </w:tc>
        <w:tc>
          <w:tcPr>
            <w:tcW w:w="430" w:type="pct"/>
          </w:tcPr>
          <w:p w14:paraId="08542F8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4.04</w:t>
            </w:r>
          </w:p>
        </w:tc>
        <w:tc>
          <w:tcPr>
            <w:tcW w:w="424" w:type="pct"/>
          </w:tcPr>
          <w:p w14:paraId="20B011D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3.43</w:t>
            </w:r>
          </w:p>
        </w:tc>
        <w:tc>
          <w:tcPr>
            <w:cnfStyle w:val="000100000000" w:firstRow="0" w:lastRow="0" w:firstColumn="0" w:lastColumn="1" w:oddVBand="0" w:evenVBand="0" w:oddHBand="0" w:evenHBand="0" w:firstRowFirstColumn="0" w:firstRowLastColumn="0" w:lastRowFirstColumn="0" w:lastRowLastColumn="0"/>
            <w:tcW w:w="366" w:type="pct"/>
          </w:tcPr>
          <w:p w14:paraId="1DA9C0CC" w14:textId="77777777" w:rsidR="00B44672" w:rsidRDefault="00B44672" w:rsidP="00302865">
            <w:pPr>
              <w:pStyle w:val="Compact"/>
              <w:jc w:val="center"/>
            </w:pPr>
            <w:r>
              <w:t>0.61</w:t>
            </w:r>
          </w:p>
        </w:tc>
      </w:tr>
      <w:tr w:rsidR="00B44672" w14:paraId="04131461"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46687767" w14:textId="77777777" w:rsidR="00B44672" w:rsidRDefault="00B44672" w:rsidP="00302865">
            <w:pPr>
              <w:pStyle w:val="Compact"/>
            </w:pPr>
            <w:r>
              <w:t>Pensioner renter</w:t>
            </w:r>
          </w:p>
        </w:tc>
        <w:tc>
          <w:tcPr>
            <w:tcW w:w="455" w:type="pct"/>
          </w:tcPr>
          <w:p w14:paraId="30B975B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49" w:type="pct"/>
          </w:tcPr>
          <w:p w14:paraId="55E602B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392" w:type="pct"/>
          </w:tcPr>
          <w:p w14:paraId="7403DFE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53B1998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9,987</w:t>
            </w:r>
          </w:p>
        </w:tc>
        <w:tc>
          <w:tcPr>
            <w:tcW w:w="443" w:type="pct"/>
          </w:tcPr>
          <w:p w14:paraId="5F5CA12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12,432</w:t>
            </w:r>
          </w:p>
        </w:tc>
        <w:tc>
          <w:tcPr>
            <w:tcW w:w="336" w:type="pct"/>
          </w:tcPr>
          <w:p w14:paraId="7F9EE9F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-2,446</w:t>
            </w:r>
          </w:p>
        </w:tc>
        <w:tc>
          <w:tcPr>
            <w:tcW w:w="430" w:type="pct"/>
          </w:tcPr>
          <w:p w14:paraId="0E83C88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20.32</w:t>
            </w:r>
          </w:p>
        </w:tc>
        <w:tc>
          <w:tcPr>
            <w:tcW w:w="424" w:type="pct"/>
          </w:tcPr>
          <w:p w14:paraId="70AFFA3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25.30</w:t>
            </w:r>
          </w:p>
        </w:tc>
        <w:tc>
          <w:tcPr>
            <w:cnfStyle w:val="000100000000" w:firstRow="0" w:lastRow="0" w:firstColumn="0" w:lastColumn="1" w:oddVBand="0" w:evenVBand="0" w:oddHBand="0" w:evenHBand="0" w:firstRowFirstColumn="0" w:firstRowLastColumn="0" w:lastRowFirstColumn="0" w:lastRowLastColumn="0"/>
            <w:tcW w:w="366" w:type="pct"/>
          </w:tcPr>
          <w:p w14:paraId="2A1F0BC3" w14:textId="77777777" w:rsidR="00B44672" w:rsidRDefault="00B44672" w:rsidP="00302865">
            <w:pPr>
              <w:pStyle w:val="Compact"/>
              <w:jc w:val="center"/>
            </w:pPr>
            <w:r>
              <w:t>-4.98</w:t>
            </w:r>
          </w:p>
        </w:tc>
      </w:tr>
      <w:tr w:rsidR="00B44672" w14:paraId="727E1A95"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256" w:type="pct"/>
          </w:tcPr>
          <w:p w14:paraId="6B018D3A" w14:textId="77777777" w:rsidR="00B44672" w:rsidRDefault="00B44672" w:rsidP="00302865">
            <w:pPr>
              <w:pStyle w:val="Compact"/>
            </w:pPr>
            <w:r>
              <w:t>Female-headed homeowner</w:t>
            </w:r>
          </w:p>
        </w:tc>
        <w:tc>
          <w:tcPr>
            <w:tcW w:w="455" w:type="pct"/>
          </w:tcPr>
          <w:p w14:paraId="3593C88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49" w:type="pct"/>
          </w:tcPr>
          <w:p w14:paraId="0181CB6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392" w:type="pct"/>
          </w:tcPr>
          <w:p w14:paraId="6B63E8E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72EAED9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3,365</w:t>
            </w:r>
          </w:p>
        </w:tc>
        <w:tc>
          <w:tcPr>
            <w:tcW w:w="443" w:type="pct"/>
          </w:tcPr>
          <w:p w14:paraId="39AA839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3,260</w:t>
            </w:r>
          </w:p>
        </w:tc>
        <w:tc>
          <w:tcPr>
            <w:tcW w:w="336" w:type="pct"/>
          </w:tcPr>
          <w:p w14:paraId="5D88074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105</w:t>
            </w:r>
          </w:p>
        </w:tc>
        <w:tc>
          <w:tcPr>
            <w:tcW w:w="430" w:type="pct"/>
          </w:tcPr>
          <w:p w14:paraId="468D436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4.18</w:t>
            </w:r>
          </w:p>
        </w:tc>
        <w:tc>
          <w:tcPr>
            <w:tcW w:w="424" w:type="pct"/>
          </w:tcPr>
          <w:p w14:paraId="345FC13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4.05</w:t>
            </w:r>
          </w:p>
        </w:tc>
        <w:tc>
          <w:tcPr>
            <w:cnfStyle w:val="000100000000" w:firstRow="0" w:lastRow="0" w:firstColumn="0" w:lastColumn="1" w:oddVBand="0" w:evenVBand="0" w:oddHBand="0" w:evenHBand="0" w:firstRowFirstColumn="0" w:firstRowLastColumn="0" w:lastRowFirstColumn="0" w:lastRowLastColumn="0"/>
            <w:tcW w:w="366" w:type="pct"/>
          </w:tcPr>
          <w:p w14:paraId="58849CBE" w14:textId="77777777" w:rsidR="00B44672" w:rsidRDefault="00B44672" w:rsidP="00302865">
            <w:pPr>
              <w:pStyle w:val="Compact"/>
              <w:jc w:val="center"/>
            </w:pPr>
            <w:r>
              <w:t>0.13</w:t>
            </w:r>
          </w:p>
        </w:tc>
      </w:tr>
      <w:tr w:rsidR="00B44672" w14:paraId="767D0143" w14:textId="77777777" w:rsidTr="006E7C4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6" w:type="pct"/>
          </w:tcPr>
          <w:p w14:paraId="6ACEC61B" w14:textId="77777777" w:rsidR="00B44672" w:rsidRDefault="00B44672" w:rsidP="00302865">
            <w:pPr>
              <w:pStyle w:val="Compact"/>
            </w:pPr>
            <w:r>
              <w:t>Female-headed renter</w:t>
            </w:r>
          </w:p>
        </w:tc>
        <w:tc>
          <w:tcPr>
            <w:tcW w:w="455" w:type="pct"/>
          </w:tcPr>
          <w:p w14:paraId="1992DCF1"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1,617</w:t>
            </w:r>
          </w:p>
        </w:tc>
        <w:tc>
          <w:tcPr>
            <w:tcW w:w="449" w:type="pct"/>
          </w:tcPr>
          <w:p w14:paraId="3232C904"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1,545</w:t>
            </w:r>
          </w:p>
        </w:tc>
        <w:tc>
          <w:tcPr>
            <w:tcW w:w="392" w:type="pct"/>
          </w:tcPr>
          <w:p w14:paraId="61567285"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73</w:t>
            </w:r>
          </w:p>
        </w:tc>
        <w:tc>
          <w:tcPr>
            <w:tcW w:w="449" w:type="pct"/>
          </w:tcPr>
          <w:p w14:paraId="4C7450E0"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14,415</w:t>
            </w:r>
          </w:p>
        </w:tc>
        <w:tc>
          <w:tcPr>
            <w:tcW w:w="443" w:type="pct"/>
          </w:tcPr>
          <w:p w14:paraId="254F852E"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18,855</w:t>
            </w:r>
          </w:p>
        </w:tc>
        <w:tc>
          <w:tcPr>
            <w:tcW w:w="336" w:type="pct"/>
          </w:tcPr>
          <w:p w14:paraId="76B50D73"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-4,440</w:t>
            </w:r>
          </w:p>
        </w:tc>
        <w:tc>
          <w:tcPr>
            <w:tcW w:w="430" w:type="pct"/>
          </w:tcPr>
          <w:p w14:paraId="1AD1E985"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17.28</w:t>
            </w:r>
          </w:p>
        </w:tc>
        <w:tc>
          <w:tcPr>
            <w:tcW w:w="424" w:type="pct"/>
          </w:tcPr>
          <w:p w14:paraId="01F846CC"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22.60</w:t>
            </w:r>
          </w:p>
        </w:tc>
        <w:tc>
          <w:tcPr>
            <w:cnfStyle w:val="000100000000" w:firstRow="0" w:lastRow="0" w:firstColumn="0" w:lastColumn="1" w:oddVBand="0" w:evenVBand="0" w:oddHBand="0" w:evenHBand="0" w:firstRowFirstColumn="0" w:firstRowLastColumn="0" w:lastRowFirstColumn="0" w:lastRowLastColumn="0"/>
            <w:tcW w:w="366" w:type="pct"/>
          </w:tcPr>
          <w:p w14:paraId="2CC0AB6B" w14:textId="77777777" w:rsidR="00B44672" w:rsidRDefault="00B44672" w:rsidP="00302865">
            <w:pPr>
              <w:pStyle w:val="Compact"/>
              <w:jc w:val="center"/>
            </w:pPr>
            <w:r>
              <w:t>-5.32</w:t>
            </w:r>
          </w:p>
        </w:tc>
      </w:tr>
    </w:tbl>
    <w:p w14:paraId="34A64C92"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6AD43FCC" w14:textId="77777777" w:rsidR="00B44672" w:rsidRDefault="00B44672">
      <w:pPr>
        <w:jc w:val="left"/>
        <w:rPr>
          <w:b/>
          <w:i/>
          <w:color w:val="365F91" w:themeColor="accent1" w:themeShade="BF"/>
        </w:rPr>
      </w:pPr>
      <w:r>
        <w:br w:type="page"/>
      </w:r>
    </w:p>
    <w:p w14:paraId="6BA06F3D" w14:textId="77777777" w:rsidR="00B44672" w:rsidRDefault="00B44672" w:rsidP="00C83581">
      <w:pPr>
        <w:pStyle w:val="TableCaption"/>
      </w:pPr>
      <w:r>
        <w:lastRenderedPageBreak/>
        <w:t>Table 11a - The impact of tax reform on stamp duty and rate paid by sub-group, average 2012 – 2018 (keep only those purchasing properties in both new and old policies)</w:t>
      </w:r>
    </w:p>
    <w:tbl>
      <w:tblPr>
        <w:tblStyle w:val="Table"/>
        <w:tblW w:w="5000" w:type="pct"/>
        <w:jc w:val="center"/>
        <w:tblCellMar>
          <w:left w:w="0" w:type="dxa"/>
          <w:right w:w="0" w:type="dxa"/>
        </w:tblCellMar>
        <w:tblLook w:val="07E0" w:firstRow="1" w:lastRow="1" w:firstColumn="1" w:lastColumn="1" w:noHBand="1" w:noVBand="1"/>
        <w:tblCaption w:val="Table 11a - The impact of tax reform on stamp duty and rate paid by sub-group, average 2012 – 2018 (keep only those purchasing properties in both new and old policies)"/>
      </w:tblPr>
      <w:tblGrid>
        <w:gridCol w:w="2998"/>
        <w:gridCol w:w="921"/>
        <w:gridCol w:w="901"/>
        <w:gridCol w:w="890"/>
        <w:gridCol w:w="677"/>
        <w:gridCol w:w="866"/>
        <w:gridCol w:w="856"/>
        <w:gridCol w:w="917"/>
      </w:tblGrid>
      <w:tr w:rsidR="00B44672" w14:paraId="0B996891" w14:textId="77777777" w:rsidTr="006E7C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pct"/>
            <w:tcBorders>
              <w:bottom w:val="single" w:sz="0" w:space="0" w:color="auto"/>
            </w:tcBorders>
            <w:vAlign w:val="bottom"/>
          </w:tcPr>
          <w:p w14:paraId="04D87A5D" w14:textId="77777777" w:rsidR="00B44672" w:rsidRDefault="00B44672" w:rsidP="000511CA"/>
        </w:tc>
        <w:tc>
          <w:tcPr>
            <w:tcW w:w="510" w:type="pct"/>
            <w:tcBorders>
              <w:bottom w:val="single" w:sz="0" w:space="0" w:color="auto"/>
            </w:tcBorders>
            <w:vAlign w:val="bottom"/>
          </w:tcPr>
          <w:p w14:paraId="7FDAF75B"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Both tax policies - # affected</w:t>
            </w:r>
          </w:p>
        </w:tc>
        <w:tc>
          <w:tcPr>
            <w:tcW w:w="499" w:type="pct"/>
            <w:tcBorders>
              <w:bottom w:val="single" w:sz="0" w:space="0" w:color="auto"/>
            </w:tcBorders>
            <w:vAlign w:val="bottom"/>
          </w:tcPr>
          <w:p w14:paraId="0E505965"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duty &amp; rate</w:t>
            </w:r>
          </w:p>
        </w:tc>
        <w:tc>
          <w:tcPr>
            <w:tcW w:w="493" w:type="pct"/>
            <w:tcBorders>
              <w:bottom w:val="single" w:sz="0" w:space="0" w:color="auto"/>
            </w:tcBorders>
            <w:vAlign w:val="bottom"/>
          </w:tcPr>
          <w:p w14:paraId="3B822A9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duty &amp; rate</w:t>
            </w:r>
          </w:p>
        </w:tc>
        <w:tc>
          <w:tcPr>
            <w:tcW w:w="375" w:type="pct"/>
            <w:tcBorders>
              <w:bottom w:val="single" w:sz="0" w:space="0" w:color="auto"/>
            </w:tcBorders>
            <w:vAlign w:val="bottom"/>
          </w:tcPr>
          <w:p w14:paraId="0BA7E355"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duty &amp; rate</w:t>
            </w:r>
          </w:p>
        </w:tc>
        <w:tc>
          <w:tcPr>
            <w:tcW w:w="480" w:type="pct"/>
            <w:tcBorders>
              <w:bottom w:val="single" w:sz="0" w:space="0" w:color="auto"/>
            </w:tcBorders>
            <w:vAlign w:val="bottom"/>
          </w:tcPr>
          <w:p w14:paraId="42C8E183"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74" w:type="pct"/>
            <w:tcBorders>
              <w:bottom w:val="single" w:sz="0" w:space="0" w:color="auto"/>
            </w:tcBorders>
            <w:vAlign w:val="bottom"/>
          </w:tcPr>
          <w:p w14:paraId="2F8029D2"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508" w:type="pct"/>
            <w:tcBorders>
              <w:bottom w:val="single" w:sz="0" w:space="0" w:color="auto"/>
            </w:tcBorders>
            <w:vAlign w:val="bottom"/>
          </w:tcPr>
          <w:p w14:paraId="62D11ED9" w14:textId="77777777" w:rsidR="00B44672" w:rsidRDefault="00B44672" w:rsidP="000511CA">
            <w:pPr>
              <w:pStyle w:val="Compact"/>
              <w:jc w:val="center"/>
            </w:pPr>
            <w:r>
              <w:t>Diff - % point change in income</w:t>
            </w:r>
          </w:p>
        </w:tc>
      </w:tr>
      <w:tr w:rsidR="00B44672" w14:paraId="31629488"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174D2E36" w14:textId="77777777" w:rsidR="00B44672" w:rsidRDefault="00B44672" w:rsidP="006E7C43">
            <w:pPr>
              <w:pStyle w:val="Compact"/>
            </w:pPr>
            <w:r w:rsidRPr="00AF6491">
              <w:rPr>
                <w:b/>
                <w:i/>
                <w:iCs/>
                <w:color w:val="365F91" w:themeColor="accent1" w:themeShade="BF"/>
              </w:rPr>
              <w:t>No price change</w:t>
            </w:r>
          </w:p>
        </w:tc>
        <w:tc>
          <w:tcPr>
            <w:tcW w:w="510" w:type="pct"/>
          </w:tcPr>
          <w:p w14:paraId="06F2958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99" w:type="pct"/>
          </w:tcPr>
          <w:p w14:paraId="2360041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93" w:type="pct"/>
          </w:tcPr>
          <w:p w14:paraId="35898CD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375" w:type="pct"/>
          </w:tcPr>
          <w:p w14:paraId="78EE086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80" w:type="pct"/>
          </w:tcPr>
          <w:p w14:paraId="5EC6070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74" w:type="pct"/>
          </w:tcPr>
          <w:p w14:paraId="6E0871A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8" w:type="pct"/>
          </w:tcPr>
          <w:p w14:paraId="54FE0DC1" w14:textId="77777777" w:rsidR="00B44672" w:rsidRDefault="00B44672" w:rsidP="006E7C43">
            <w:pPr>
              <w:pStyle w:val="Compact"/>
              <w:jc w:val="center"/>
            </w:pPr>
          </w:p>
        </w:tc>
      </w:tr>
      <w:tr w:rsidR="00B44672" w14:paraId="1D593ABD"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2DE90311" w14:textId="77777777" w:rsidR="00B44672" w:rsidRDefault="00B44672" w:rsidP="006E7C43">
            <w:pPr>
              <w:pStyle w:val="Compact"/>
            </w:pPr>
            <w:r>
              <w:t>First home buyers</w:t>
            </w:r>
          </w:p>
        </w:tc>
        <w:tc>
          <w:tcPr>
            <w:tcW w:w="510" w:type="pct"/>
          </w:tcPr>
          <w:p w14:paraId="5F277EF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3,955</w:t>
            </w:r>
          </w:p>
        </w:tc>
        <w:tc>
          <w:tcPr>
            <w:tcW w:w="499" w:type="pct"/>
          </w:tcPr>
          <w:p w14:paraId="093E90C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14,453</w:t>
            </w:r>
          </w:p>
        </w:tc>
        <w:tc>
          <w:tcPr>
            <w:tcW w:w="493" w:type="pct"/>
          </w:tcPr>
          <w:p w14:paraId="40446A2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19,075</w:t>
            </w:r>
          </w:p>
        </w:tc>
        <w:tc>
          <w:tcPr>
            <w:tcW w:w="375" w:type="pct"/>
          </w:tcPr>
          <w:p w14:paraId="1BA9F1F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-4,622</w:t>
            </w:r>
          </w:p>
        </w:tc>
        <w:tc>
          <w:tcPr>
            <w:tcW w:w="480" w:type="pct"/>
          </w:tcPr>
          <w:p w14:paraId="61B3DA8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17.20</w:t>
            </w:r>
          </w:p>
        </w:tc>
        <w:tc>
          <w:tcPr>
            <w:tcW w:w="474" w:type="pct"/>
          </w:tcPr>
          <w:p w14:paraId="4BD46D4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22.70</w:t>
            </w:r>
          </w:p>
        </w:tc>
        <w:tc>
          <w:tcPr>
            <w:cnfStyle w:val="000100000000" w:firstRow="0" w:lastRow="0" w:firstColumn="0" w:lastColumn="1" w:oddVBand="0" w:evenVBand="0" w:oddHBand="0" w:evenHBand="0" w:firstRowFirstColumn="0" w:firstRowLastColumn="0" w:lastRowFirstColumn="0" w:lastRowLastColumn="0"/>
            <w:tcW w:w="508" w:type="pct"/>
          </w:tcPr>
          <w:p w14:paraId="2F7101A7" w14:textId="77777777" w:rsidR="00B44672" w:rsidRDefault="00B44672" w:rsidP="006E7C43">
            <w:pPr>
              <w:pStyle w:val="Compact"/>
              <w:jc w:val="center"/>
            </w:pPr>
            <w:r>
              <w:t>-5.50</w:t>
            </w:r>
          </w:p>
        </w:tc>
      </w:tr>
      <w:tr w:rsidR="00B44672" w14:paraId="61CB1335"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032F1AB0" w14:textId="77777777" w:rsidR="00B44672" w:rsidRDefault="00B44672" w:rsidP="006E7C43">
            <w:pPr>
              <w:pStyle w:val="Compact"/>
            </w:pPr>
            <w:r>
              <w:t>Low-income homeowner</w:t>
            </w:r>
          </w:p>
        </w:tc>
        <w:tc>
          <w:tcPr>
            <w:tcW w:w="510" w:type="pct"/>
          </w:tcPr>
          <w:p w14:paraId="411F83F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99" w:type="pct"/>
          </w:tcPr>
          <w:p w14:paraId="711767A3"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2,051</w:t>
            </w:r>
          </w:p>
        </w:tc>
        <w:tc>
          <w:tcPr>
            <w:tcW w:w="493" w:type="pct"/>
          </w:tcPr>
          <w:p w14:paraId="29EFCA2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1,937</w:t>
            </w:r>
          </w:p>
        </w:tc>
        <w:tc>
          <w:tcPr>
            <w:tcW w:w="375" w:type="pct"/>
          </w:tcPr>
          <w:p w14:paraId="6F2C2B3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115</w:t>
            </w:r>
          </w:p>
        </w:tc>
        <w:tc>
          <w:tcPr>
            <w:tcW w:w="480" w:type="pct"/>
          </w:tcPr>
          <w:p w14:paraId="0C81C08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4.84</w:t>
            </w:r>
          </w:p>
        </w:tc>
        <w:tc>
          <w:tcPr>
            <w:tcW w:w="474" w:type="pct"/>
          </w:tcPr>
          <w:p w14:paraId="68C3F10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4.57</w:t>
            </w:r>
          </w:p>
        </w:tc>
        <w:tc>
          <w:tcPr>
            <w:cnfStyle w:val="000100000000" w:firstRow="0" w:lastRow="0" w:firstColumn="0" w:lastColumn="1" w:oddVBand="0" w:evenVBand="0" w:oddHBand="0" w:evenHBand="0" w:firstRowFirstColumn="0" w:firstRowLastColumn="0" w:lastRowFirstColumn="0" w:lastRowLastColumn="0"/>
            <w:tcW w:w="508" w:type="pct"/>
          </w:tcPr>
          <w:p w14:paraId="40038326" w14:textId="77777777" w:rsidR="00B44672" w:rsidRDefault="00B44672" w:rsidP="006E7C43">
            <w:pPr>
              <w:pStyle w:val="Compact"/>
              <w:jc w:val="center"/>
            </w:pPr>
            <w:r>
              <w:t>0.27</w:t>
            </w:r>
          </w:p>
        </w:tc>
      </w:tr>
      <w:tr w:rsidR="00B44672" w14:paraId="7D3DD399"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46ACC041" w14:textId="77777777" w:rsidR="00B44672" w:rsidRDefault="00B44672" w:rsidP="006E7C43">
            <w:pPr>
              <w:pStyle w:val="Compact"/>
            </w:pPr>
            <w:r>
              <w:t>Low-income renter</w:t>
            </w:r>
          </w:p>
        </w:tc>
        <w:tc>
          <w:tcPr>
            <w:tcW w:w="510" w:type="pct"/>
          </w:tcPr>
          <w:p w14:paraId="6C585BF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532</w:t>
            </w:r>
          </w:p>
        </w:tc>
        <w:tc>
          <w:tcPr>
            <w:tcW w:w="499" w:type="pct"/>
          </w:tcPr>
          <w:p w14:paraId="14CC470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7,966</w:t>
            </w:r>
          </w:p>
        </w:tc>
        <w:tc>
          <w:tcPr>
            <w:tcW w:w="493" w:type="pct"/>
          </w:tcPr>
          <w:p w14:paraId="7BCEAC8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10,578</w:t>
            </w:r>
          </w:p>
        </w:tc>
        <w:tc>
          <w:tcPr>
            <w:tcW w:w="375" w:type="pct"/>
          </w:tcPr>
          <w:p w14:paraId="42BE1CC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-2,613</w:t>
            </w:r>
          </w:p>
        </w:tc>
        <w:tc>
          <w:tcPr>
            <w:tcW w:w="480" w:type="pct"/>
          </w:tcPr>
          <w:p w14:paraId="1262AE7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17.12</w:t>
            </w:r>
          </w:p>
        </w:tc>
        <w:tc>
          <w:tcPr>
            <w:tcW w:w="474" w:type="pct"/>
          </w:tcPr>
          <w:p w14:paraId="6ECC29E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22.73</w:t>
            </w:r>
          </w:p>
        </w:tc>
        <w:tc>
          <w:tcPr>
            <w:cnfStyle w:val="000100000000" w:firstRow="0" w:lastRow="0" w:firstColumn="0" w:lastColumn="1" w:oddVBand="0" w:evenVBand="0" w:oddHBand="0" w:evenHBand="0" w:firstRowFirstColumn="0" w:firstRowLastColumn="0" w:lastRowFirstColumn="0" w:lastRowLastColumn="0"/>
            <w:tcW w:w="508" w:type="pct"/>
          </w:tcPr>
          <w:p w14:paraId="29715E5D" w14:textId="77777777" w:rsidR="00B44672" w:rsidRDefault="00B44672" w:rsidP="006E7C43">
            <w:pPr>
              <w:pStyle w:val="Compact"/>
              <w:jc w:val="center"/>
            </w:pPr>
            <w:r>
              <w:t>-5.61</w:t>
            </w:r>
          </w:p>
        </w:tc>
      </w:tr>
      <w:tr w:rsidR="00B44672" w14:paraId="5C669BFF"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47EB8F2A" w14:textId="77777777" w:rsidR="00B44672" w:rsidRDefault="00B44672" w:rsidP="006E7C43">
            <w:pPr>
              <w:pStyle w:val="Compact"/>
            </w:pPr>
            <w:r>
              <w:t>Middle-income homeowner</w:t>
            </w:r>
          </w:p>
        </w:tc>
        <w:tc>
          <w:tcPr>
            <w:tcW w:w="510" w:type="pct"/>
          </w:tcPr>
          <w:p w14:paraId="32E01E6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99" w:type="pct"/>
          </w:tcPr>
          <w:p w14:paraId="5AFABDE4"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3,546</w:t>
            </w:r>
          </w:p>
        </w:tc>
        <w:tc>
          <w:tcPr>
            <w:tcW w:w="493" w:type="pct"/>
          </w:tcPr>
          <w:p w14:paraId="6053AC5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3,660</w:t>
            </w:r>
          </w:p>
        </w:tc>
        <w:tc>
          <w:tcPr>
            <w:tcW w:w="375" w:type="pct"/>
          </w:tcPr>
          <w:p w14:paraId="05068D2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-113</w:t>
            </w:r>
          </w:p>
        </w:tc>
        <w:tc>
          <w:tcPr>
            <w:tcW w:w="480" w:type="pct"/>
          </w:tcPr>
          <w:p w14:paraId="6760B51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4.34</w:t>
            </w:r>
          </w:p>
        </w:tc>
        <w:tc>
          <w:tcPr>
            <w:tcW w:w="474" w:type="pct"/>
          </w:tcPr>
          <w:p w14:paraId="0410944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4.47</w:t>
            </w:r>
          </w:p>
        </w:tc>
        <w:tc>
          <w:tcPr>
            <w:cnfStyle w:val="000100000000" w:firstRow="0" w:lastRow="0" w:firstColumn="0" w:lastColumn="1" w:oddVBand="0" w:evenVBand="0" w:oddHBand="0" w:evenHBand="0" w:firstRowFirstColumn="0" w:firstRowLastColumn="0" w:lastRowFirstColumn="0" w:lastRowLastColumn="0"/>
            <w:tcW w:w="508" w:type="pct"/>
          </w:tcPr>
          <w:p w14:paraId="0B15BFAA" w14:textId="77777777" w:rsidR="00B44672" w:rsidRDefault="00B44672" w:rsidP="006E7C43">
            <w:pPr>
              <w:pStyle w:val="Compact"/>
              <w:jc w:val="center"/>
            </w:pPr>
            <w:r>
              <w:t>-0.14</w:t>
            </w:r>
          </w:p>
        </w:tc>
      </w:tr>
      <w:tr w:rsidR="00B44672" w14:paraId="6B36C89C"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677B6B2A" w14:textId="77777777" w:rsidR="00B44672" w:rsidRDefault="00B44672" w:rsidP="006E7C43">
            <w:pPr>
              <w:pStyle w:val="Compact"/>
            </w:pPr>
            <w:r>
              <w:t>Middle-income renter</w:t>
            </w:r>
          </w:p>
        </w:tc>
        <w:tc>
          <w:tcPr>
            <w:tcW w:w="510" w:type="pct"/>
          </w:tcPr>
          <w:p w14:paraId="04CB08D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499" w:type="pct"/>
          </w:tcPr>
          <w:p w14:paraId="7C1E1C9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12,916</w:t>
            </w:r>
          </w:p>
        </w:tc>
        <w:tc>
          <w:tcPr>
            <w:tcW w:w="493" w:type="pct"/>
          </w:tcPr>
          <w:p w14:paraId="2A3C489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17,412</w:t>
            </w:r>
          </w:p>
        </w:tc>
        <w:tc>
          <w:tcPr>
            <w:tcW w:w="375" w:type="pct"/>
          </w:tcPr>
          <w:p w14:paraId="65BA94D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-4,496</w:t>
            </w:r>
          </w:p>
        </w:tc>
        <w:tc>
          <w:tcPr>
            <w:tcW w:w="480" w:type="pct"/>
          </w:tcPr>
          <w:p w14:paraId="41EDB65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19.36</w:t>
            </w:r>
          </w:p>
        </w:tc>
        <w:tc>
          <w:tcPr>
            <w:tcW w:w="474" w:type="pct"/>
          </w:tcPr>
          <w:p w14:paraId="5779934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26.10</w:t>
            </w:r>
          </w:p>
        </w:tc>
        <w:tc>
          <w:tcPr>
            <w:cnfStyle w:val="000100000000" w:firstRow="0" w:lastRow="0" w:firstColumn="0" w:lastColumn="1" w:oddVBand="0" w:evenVBand="0" w:oddHBand="0" w:evenHBand="0" w:firstRowFirstColumn="0" w:firstRowLastColumn="0" w:lastRowFirstColumn="0" w:lastRowLastColumn="0"/>
            <w:tcW w:w="508" w:type="pct"/>
          </w:tcPr>
          <w:p w14:paraId="6E13086A" w14:textId="77777777" w:rsidR="00B44672" w:rsidRDefault="00B44672" w:rsidP="006E7C43">
            <w:pPr>
              <w:pStyle w:val="Compact"/>
              <w:jc w:val="center"/>
            </w:pPr>
            <w:r>
              <w:t>-6.74</w:t>
            </w:r>
          </w:p>
        </w:tc>
      </w:tr>
      <w:tr w:rsidR="00B44672" w14:paraId="3A35FED8"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2FBAFD7D" w14:textId="77777777" w:rsidR="00B44672" w:rsidRDefault="00B44672" w:rsidP="006E7C43">
            <w:pPr>
              <w:pStyle w:val="Compact"/>
            </w:pPr>
            <w:r>
              <w:t>Pensioner homeowner</w:t>
            </w:r>
          </w:p>
        </w:tc>
        <w:tc>
          <w:tcPr>
            <w:tcW w:w="510" w:type="pct"/>
          </w:tcPr>
          <w:p w14:paraId="339B5EC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99" w:type="pct"/>
          </w:tcPr>
          <w:p w14:paraId="6A8FE53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2,346</w:t>
            </w:r>
          </w:p>
        </w:tc>
        <w:tc>
          <w:tcPr>
            <w:tcW w:w="493" w:type="pct"/>
          </w:tcPr>
          <w:p w14:paraId="2D5A330C"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1,988</w:t>
            </w:r>
          </w:p>
        </w:tc>
        <w:tc>
          <w:tcPr>
            <w:tcW w:w="375" w:type="pct"/>
          </w:tcPr>
          <w:p w14:paraId="78651DA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359</w:t>
            </w:r>
          </w:p>
        </w:tc>
        <w:tc>
          <w:tcPr>
            <w:tcW w:w="480" w:type="pct"/>
          </w:tcPr>
          <w:p w14:paraId="5A30C9F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4.04</w:t>
            </w:r>
          </w:p>
        </w:tc>
        <w:tc>
          <w:tcPr>
            <w:tcW w:w="474" w:type="pct"/>
          </w:tcPr>
          <w:p w14:paraId="1CC111A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cnfStyle w:val="000100000000" w:firstRow="0" w:lastRow="0" w:firstColumn="0" w:lastColumn="1" w:oddVBand="0" w:evenVBand="0" w:oddHBand="0" w:evenHBand="0" w:firstRowFirstColumn="0" w:firstRowLastColumn="0" w:lastRowFirstColumn="0" w:lastRowLastColumn="0"/>
            <w:tcW w:w="508" w:type="pct"/>
          </w:tcPr>
          <w:p w14:paraId="35CDFB7F" w14:textId="77777777" w:rsidR="00B44672" w:rsidRDefault="00B44672" w:rsidP="006E7C43">
            <w:pPr>
              <w:pStyle w:val="Compact"/>
              <w:jc w:val="center"/>
            </w:pPr>
            <w:r>
              <w:t>0.62</w:t>
            </w:r>
          </w:p>
        </w:tc>
      </w:tr>
      <w:tr w:rsidR="00B44672" w14:paraId="6F158370"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447E77CA" w14:textId="77777777" w:rsidR="00B44672" w:rsidRDefault="00B44672" w:rsidP="006E7C43">
            <w:pPr>
              <w:pStyle w:val="Compact"/>
            </w:pPr>
            <w:r>
              <w:t>Pensioner renter</w:t>
            </w:r>
          </w:p>
        </w:tc>
        <w:tc>
          <w:tcPr>
            <w:tcW w:w="510" w:type="pct"/>
          </w:tcPr>
          <w:p w14:paraId="42C6599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99" w:type="pct"/>
          </w:tcPr>
          <w:p w14:paraId="4E690F6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9,987</w:t>
            </w:r>
          </w:p>
        </w:tc>
        <w:tc>
          <w:tcPr>
            <w:tcW w:w="493" w:type="pct"/>
          </w:tcPr>
          <w:p w14:paraId="2F81298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12,701</w:t>
            </w:r>
          </w:p>
        </w:tc>
        <w:tc>
          <w:tcPr>
            <w:tcW w:w="375" w:type="pct"/>
          </w:tcPr>
          <w:p w14:paraId="0922051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-2,714</w:t>
            </w:r>
          </w:p>
        </w:tc>
        <w:tc>
          <w:tcPr>
            <w:tcW w:w="480" w:type="pct"/>
          </w:tcPr>
          <w:p w14:paraId="792A2B4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20.32</w:t>
            </w:r>
          </w:p>
        </w:tc>
        <w:tc>
          <w:tcPr>
            <w:tcW w:w="474" w:type="pct"/>
          </w:tcPr>
          <w:p w14:paraId="61CB408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25.85</w:t>
            </w:r>
          </w:p>
        </w:tc>
        <w:tc>
          <w:tcPr>
            <w:cnfStyle w:val="000100000000" w:firstRow="0" w:lastRow="0" w:firstColumn="0" w:lastColumn="1" w:oddVBand="0" w:evenVBand="0" w:oddHBand="0" w:evenHBand="0" w:firstRowFirstColumn="0" w:firstRowLastColumn="0" w:lastRowFirstColumn="0" w:lastRowLastColumn="0"/>
            <w:tcW w:w="508" w:type="pct"/>
          </w:tcPr>
          <w:p w14:paraId="4D7726BA" w14:textId="77777777" w:rsidR="00B44672" w:rsidRDefault="00B44672" w:rsidP="006E7C43">
            <w:pPr>
              <w:pStyle w:val="Compact"/>
              <w:jc w:val="center"/>
            </w:pPr>
            <w:r>
              <w:t>-5.52</w:t>
            </w:r>
          </w:p>
        </w:tc>
      </w:tr>
      <w:tr w:rsidR="00B44672" w14:paraId="124A1F1C"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27603FAC" w14:textId="77777777" w:rsidR="00B44672" w:rsidRDefault="00B44672" w:rsidP="006E7C43">
            <w:pPr>
              <w:pStyle w:val="Compact"/>
            </w:pPr>
            <w:r>
              <w:t>Female-headed homeowner</w:t>
            </w:r>
          </w:p>
        </w:tc>
        <w:tc>
          <w:tcPr>
            <w:tcW w:w="510" w:type="pct"/>
          </w:tcPr>
          <w:p w14:paraId="3277773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99" w:type="pct"/>
          </w:tcPr>
          <w:p w14:paraId="2C242DC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3,365</w:t>
            </w:r>
          </w:p>
        </w:tc>
        <w:tc>
          <w:tcPr>
            <w:tcW w:w="493" w:type="pct"/>
          </w:tcPr>
          <w:p w14:paraId="02FCEDC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3,283</w:t>
            </w:r>
          </w:p>
        </w:tc>
        <w:tc>
          <w:tcPr>
            <w:tcW w:w="375" w:type="pct"/>
          </w:tcPr>
          <w:p w14:paraId="3C39E36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82</w:t>
            </w:r>
          </w:p>
        </w:tc>
        <w:tc>
          <w:tcPr>
            <w:tcW w:w="480" w:type="pct"/>
          </w:tcPr>
          <w:p w14:paraId="13D4A0B0"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4.18</w:t>
            </w:r>
          </w:p>
        </w:tc>
        <w:tc>
          <w:tcPr>
            <w:tcW w:w="474" w:type="pct"/>
          </w:tcPr>
          <w:p w14:paraId="5F253D0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4.08</w:t>
            </w:r>
          </w:p>
        </w:tc>
        <w:tc>
          <w:tcPr>
            <w:cnfStyle w:val="000100000000" w:firstRow="0" w:lastRow="0" w:firstColumn="0" w:lastColumn="1" w:oddVBand="0" w:evenVBand="0" w:oddHBand="0" w:evenHBand="0" w:firstRowFirstColumn="0" w:firstRowLastColumn="0" w:lastRowFirstColumn="0" w:lastRowLastColumn="0"/>
            <w:tcW w:w="508" w:type="pct"/>
          </w:tcPr>
          <w:p w14:paraId="32A22AA1" w14:textId="77777777" w:rsidR="00B44672" w:rsidRDefault="00B44672" w:rsidP="006E7C43">
            <w:pPr>
              <w:pStyle w:val="Compact"/>
              <w:jc w:val="center"/>
            </w:pPr>
            <w:r>
              <w:t>0.10</w:t>
            </w:r>
          </w:p>
        </w:tc>
      </w:tr>
      <w:tr w:rsidR="00B44672" w14:paraId="19F22849"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409826A0" w14:textId="77777777" w:rsidR="00B44672" w:rsidRDefault="00B44672" w:rsidP="006E7C43">
            <w:pPr>
              <w:pStyle w:val="Compact"/>
            </w:pPr>
            <w:r>
              <w:t>Female-headed renter</w:t>
            </w:r>
          </w:p>
        </w:tc>
        <w:tc>
          <w:tcPr>
            <w:tcW w:w="510" w:type="pct"/>
          </w:tcPr>
          <w:p w14:paraId="280E9D7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1,521</w:t>
            </w:r>
          </w:p>
        </w:tc>
        <w:tc>
          <w:tcPr>
            <w:tcW w:w="499" w:type="pct"/>
          </w:tcPr>
          <w:p w14:paraId="53BBDA2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14,551</w:t>
            </w:r>
          </w:p>
        </w:tc>
        <w:tc>
          <w:tcPr>
            <w:tcW w:w="493" w:type="pct"/>
          </w:tcPr>
          <w:p w14:paraId="68AD415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19,316</w:t>
            </w:r>
          </w:p>
        </w:tc>
        <w:tc>
          <w:tcPr>
            <w:tcW w:w="375" w:type="pct"/>
          </w:tcPr>
          <w:p w14:paraId="59B1914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-4,765</w:t>
            </w:r>
          </w:p>
        </w:tc>
        <w:tc>
          <w:tcPr>
            <w:tcW w:w="480" w:type="pct"/>
          </w:tcPr>
          <w:p w14:paraId="0C1E703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17.61</w:t>
            </w:r>
          </w:p>
        </w:tc>
        <w:tc>
          <w:tcPr>
            <w:tcW w:w="474" w:type="pct"/>
          </w:tcPr>
          <w:p w14:paraId="06C39C4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23.38</w:t>
            </w:r>
          </w:p>
        </w:tc>
        <w:tc>
          <w:tcPr>
            <w:cnfStyle w:val="000100000000" w:firstRow="0" w:lastRow="0" w:firstColumn="0" w:lastColumn="1" w:oddVBand="0" w:evenVBand="0" w:oddHBand="0" w:evenHBand="0" w:firstRowFirstColumn="0" w:firstRowLastColumn="0" w:lastRowFirstColumn="0" w:lastRowLastColumn="0"/>
            <w:tcW w:w="508" w:type="pct"/>
          </w:tcPr>
          <w:p w14:paraId="194F801A" w14:textId="77777777" w:rsidR="00B44672" w:rsidRDefault="00B44672" w:rsidP="006E7C43">
            <w:pPr>
              <w:pStyle w:val="Compact"/>
              <w:jc w:val="center"/>
            </w:pPr>
            <w:r>
              <w:t>-5.77</w:t>
            </w:r>
          </w:p>
        </w:tc>
      </w:tr>
      <w:tr w:rsidR="00B44672" w14:paraId="5CD72095"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7A002CE4"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510" w:type="pct"/>
          </w:tcPr>
          <w:p w14:paraId="73C725C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99" w:type="pct"/>
          </w:tcPr>
          <w:p w14:paraId="3A0051E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93" w:type="pct"/>
          </w:tcPr>
          <w:p w14:paraId="3953D1D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75" w:type="pct"/>
          </w:tcPr>
          <w:p w14:paraId="5FA59EF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80" w:type="pct"/>
          </w:tcPr>
          <w:p w14:paraId="6FD0214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74" w:type="pct"/>
          </w:tcPr>
          <w:p w14:paraId="1E9884F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8" w:type="pct"/>
          </w:tcPr>
          <w:p w14:paraId="5C30F295" w14:textId="77777777" w:rsidR="00B44672" w:rsidRDefault="00B44672" w:rsidP="00A567C4">
            <w:pPr>
              <w:pStyle w:val="Compact"/>
              <w:jc w:val="center"/>
            </w:pPr>
          </w:p>
        </w:tc>
      </w:tr>
      <w:tr w:rsidR="00B44672" w14:paraId="0EC52372"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4409E7E5" w14:textId="77777777" w:rsidR="00B44672" w:rsidRDefault="00B44672" w:rsidP="00A567C4">
            <w:pPr>
              <w:pStyle w:val="Compact"/>
            </w:pPr>
            <w:r>
              <w:t>First home buyers</w:t>
            </w:r>
          </w:p>
        </w:tc>
        <w:tc>
          <w:tcPr>
            <w:tcW w:w="510" w:type="pct"/>
          </w:tcPr>
          <w:p w14:paraId="4B12080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3,968</w:t>
            </w:r>
          </w:p>
        </w:tc>
        <w:tc>
          <w:tcPr>
            <w:tcW w:w="499" w:type="pct"/>
          </w:tcPr>
          <w:p w14:paraId="0DCA7AC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14,452</w:t>
            </w:r>
          </w:p>
        </w:tc>
        <w:tc>
          <w:tcPr>
            <w:tcW w:w="493" w:type="pct"/>
          </w:tcPr>
          <w:p w14:paraId="2BD4679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18,863</w:t>
            </w:r>
          </w:p>
        </w:tc>
        <w:tc>
          <w:tcPr>
            <w:tcW w:w="375" w:type="pct"/>
          </w:tcPr>
          <w:p w14:paraId="0E9753D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-4,411</w:t>
            </w:r>
          </w:p>
        </w:tc>
        <w:tc>
          <w:tcPr>
            <w:tcW w:w="480" w:type="pct"/>
          </w:tcPr>
          <w:p w14:paraId="5E78313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17.20</w:t>
            </w:r>
          </w:p>
        </w:tc>
        <w:tc>
          <w:tcPr>
            <w:tcW w:w="474" w:type="pct"/>
          </w:tcPr>
          <w:p w14:paraId="44055AE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22.45</w:t>
            </w:r>
          </w:p>
        </w:tc>
        <w:tc>
          <w:tcPr>
            <w:cnfStyle w:val="000100000000" w:firstRow="0" w:lastRow="0" w:firstColumn="0" w:lastColumn="1" w:oddVBand="0" w:evenVBand="0" w:oddHBand="0" w:evenHBand="0" w:firstRowFirstColumn="0" w:firstRowLastColumn="0" w:lastRowFirstColumn="0" w:lastRowLastColumn="0"/>
            <w:tcW w:w="508" w:type="pct"/>
          </w:tcPr>
          <w:p w14:paraId="1C7D5225" w14:textId="77777777" w:rsidR="00B44672" w:rsidRDefault="00B44672" w:rsidP="00A567C4">
            <w:pPr>
              <w:pStyle w:val="Compact"/>
              <w:jc w:val="center"/>
            </w:pPr>
            <w:r>
              <w:t>-5.25</w:t>
            </w:r>
          </w:p>
        </w:tc>
      </w:tr>
      <w:tr w:rsidR="00B44672" w14:paraId="6389CF16"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3BED8343" w14:textId="77777777" w:rsidR="00B44672" w:rsidRDefault="00B44672" w:rsidP="00A567C4">
            <w:pPr>
              <w:pStyle w:val="Compact"/>
            </w:pPr>
            <w:r>
              <w:t>Low-income homeowner</w:t>
            </w:r>
          </w:p>
        </w:tc>
        <w:tc>
          <w:tcPr>
            <w:tcW w:w="510" w:type="pct"/>
          </w:tcPr>
          <w:p w14:paraId="21D179A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99" w:type="pct"/>
          </w:tcPr>
          <w:p w14:paraId="7C35E7F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2,051</w:t>
            </w:r>
          </w:p>
        </w:tc>
        <w:tc>
          <w:tcPr>
            <w:tcW w:w="493" w:type="pct"/>
          </w:tcPr>
          <w:p w14:paraId="3B10F42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1,932</w:t>
            </w:r>
          </w:p>
        </w:tc>
        <w:tc>
          <w:tcPr>
            <w:tcW w:w="375" w:type="pct"/>
          </w:tcPr>
          <w:p w14:paraId="14744F8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119</w:t>
            </w:r>
          </w:p>
        </w:tc>
        <w:tc>
          <w:tcPr>
            <w:tcW w:w="480" w:type="pct"/>
          </w:tcPr>
          <w:p w14:paraId="4D1B6DB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4.84</w:t>
            </w:r>
          </w:p>
        </w:tc>
        <w:tc>
          <w:tcPr>
            <w:tcW w:w="474" w:type="pct"/>
          </w:tcPr>
          <w:p w14:paraId="304DF65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4.56</w:t>
            </w:r>
          </w:p>
        </w:tc>
        <w:tc>
          <w:tcPr>
            <w:cnfStyle w:val="000100000000" w:firstRow="0" w:lastRow="0" w:firstColumn="0" w:lastColumn="1" w:oddVBand="0" w:evenVBand="0" w:oddHBand="0" w:evenHBand="0" w:firstRowFirstColumn="0" w:firstRowLastColumn="0" w:lastRowFirstColumn="0" w:lastRowLastColumn="0"/>
            <w:tcW w:w="508" w:type="pct"/>
          </w:tcPr>
          <w:p w14:paraId="39F0BCDA" w14:textId="77777777" w:rsidR="00B44672" w:rsidRDefault="00B44672" w:rsidP="00A567C4">
            <w:pPr>
              <w:pStyle w:val="Compact"/>
              <w:jc w:val="center"/>
            </w:pPr>
            <w:r>
              <w:t>0.28</w:t>
            </w:r>
          </w:p>
        </w:tc>
      </w:tr>
      <w:tr w:rsidR="00B44672" w14:paraId="3B56F9B6"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38DA5B4E" w14:textId="77777777" w:rsidR="00B44672" w:rsidRDefault="00B44672" w:rsidP="00A567C4">
            <w:pPr>
              <w:pStyle w:val="Compact"/>
            </w:pPr>
            <w:r>
              <w:t>Low-income renter</w:t>
            </w:r>
          </w:p>
        </w:tc>
        <w:tc>
          <w:tcPr>
            <w:tcW w:w="510" w:type="pct"/>
          </w:tcPr>
          <w:p w14:paraId="2BED90C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538</w:t>
            </w:r>
          </w:p>
        </w:tc>
        <w:tc>
          <w:tcPr>
            <w:tcW w:w="499" w:type="pct"/>
          </w:tcPr>
          <w:p w14:paraId="53D8338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8,055</w:t>
            </w:r>
          </w:p>
        </w:tc>
        <w:tc>
          <w:tcPr>
            <w:tcW w:w="493" w:type="pct"/>
          </w:tcPr>
          <w:p w14:paraId="283CB67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10,582</w:t>
            </w:r>
          </w:p>
        </w:tc>
        <w:tc>
          <w:tcPr>
            <w:tcW w:w="375" w:type="pct"/>
          </w:tcPr>
          <w:p w14:paraId="3C304AC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-2,527</w:t>
            </w:r>
          </w:p>
        </w:tc>
        <w:tc>
          <w:tcPr>
            <w:tcW w:w="480" w:type="pct"/>
          </w:tcPr>
          <w:p w14:paraId="23B13E1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17.24</w:t>
            </w:r>
          </w:p>
        </w:tc>
        <w:tc>
          <w:tcPr>
            <w:tcW w:w="474" w:type="pct"/>
          </w:tcPr>
          <w:p w14:paraId="61A88A2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22.65</w:t>
            </w:r>
          </w:p>
        </w:tc>
        <w:tc>
          <w:tcPr>
            <w:cnfStyle w:val="000100000000" w:firstRow="0" w:lastRow="0" w:firstColumn="0" w:lastColumn="1" w:oddVBand="0" w:evenVBand="0" w:oddHBand="0" w:evenHBand="0" w:firstRowFirstColumn="0" w:firstRowLastColumn="0" w:lastRowFirstColumn="0" w:lastRowLastColumn="0"/>
            <w:tcW w:w="508" w:type="pct"/>
          </w:tcPr>
          <w:p w14:paraId="19C87C58" w14:textId="77777777" w:rsidR="00B44672" w:rsidRDefault="00B44672" w:rsidP="00A567C4">
            <w:pPr>
              <w:pStyle w:val="Compact"/>
              <w:jc w:val="center"/>
            </w:pPr>
            <w:r>
              <w:t>-5.41</w:t>
            </w:r>
          </w:p>
        </w:tc>
      </w:tr>
      <w:tr w:rsidR="00B44672" w14:paraId="00299F62"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12B6885F" w14:textId="77777777" w:rsidR="00B44672" w:rsidRDefault="00B44672" w:rsidP="00A567C4">
            <w:pPr>
              <w:pStyle w:val="Compact"/>
            </w:pPr>
            <w:r>
              <w:t>Middle-income homeowner</w:t>
            </w:r>
          </w:p>
        </w:tc>
        <w:tc>
          <w:tcPr>
            <w:tcW w:w="510" w:type="pct"/>
          </w:tcPr>
          <w:p w14:paraId="7F9A626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99" w:type="pct"/>
          </w:tcPr>
          <w:p w14:paraId="60BDE49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3,546</w:t>
            </w:r>
          </w:p>
        </w:tc>
        <w:tc>
          <w:tcPr>
            <w:tcW w:w="493" w:type="pct"/>
          </w:tcPr>
          <w:p w14:paraId="6FF7EA6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3,645</w:t>
            </w:r>
          </w:p>
        </w:tc>
        <w:tc>
          <w:tcPr>
            <w:tcW w:w="375" w:type="pct"/>
          </w:tcPr>
          <w:p w14:paraId="14E8079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-99</w:t>
            </w:r>
          </w:p>
        </w:tc>
        <w:tc>
          <w:tcPr>
            <w:tcW w:w="480" w:type="pct"/>
          </w:tcPr>
          <w:p w14:paraId="2478496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4.34</w:t>
            </w:r>
          </w:p>
        </w:tc>
        <w:tc>
          <w:tcPr>
            <w:tcW w:w="474" w:type="pct"/>
          </w:tcPr>
          <w:p w14:paraId="35A5DA6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4.46</w:t>
            </w:r>
          </w:p>
        </w:tc>
        <w:tc>
          <w:tcPr>
            <w:cnfStyle w:val="000100000000" w:firstRow="0" w:lastRow="0" w:firstColumn="0" w:lastColumn="1" w:oddVBand="0" w:evenVBand="0" w:oddHBand="0" w:evenHBand="0" w:firstRowFirstColumn="0" w:firstRowLastColumn="0" w:lastRowFirstColumn="0" w:lastRowLastColumn="0"/>
            <w:tcW w:w="508" w:type="pct"/>
          </w:tcPr>
          <w:p w14:paraId="36B95CCB" w14:textId="77777777" w:rsidR="00B44672" w:rsidRDefault="00B44672" w:rsidP="00A567C4">
            <w:pPr>
              <w:pStyle w:val="Compact"/>
              <w:jc w:val="center"/>
            </w:pPr>
            <w:r>
              <w:t>-0.12</w:t>
            </w:r>
          </w:p>
        </w:tc>
      </w:tr>
      <w:tr w:rsidR="00B44672" w14:paraId="4A3623B2"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57D41897" w14:textId="77777777" w:rsidR="00B44672" w:rsidRDefault="00B44672" w:rsidP="00A567C4">
            <w:pPr>
              <w:pStyle w:val="Compact"/>
            </w:pPr>
            <w:r>
              <w:t>Middle-income renter</w:t>
            </w:r>
          </w:p>
        </w:tc>
        <w:tc>
          <w:tcPr>
            <w:tcW w:w="510" w:type="pct"/>
          </w:tcPr>
          <w:p w14:paraId="7EC0363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499" w:type="pct"/>
          </w:tcPr>
          <w:p w14:paraId="2EECD0A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12,916</w:t>
            </w:r>
          </w:p>
        </w:tc>
        <w:tc>
          <w:tcPr>
            <w:tcW w:w="493" w:type="pct"/>
          </w:tcPr>
          <w:p w14:paraId="4E0D1CB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17,212</w:t>
            </w:r>
          </w:p>
        </w:tc>
        <w:tc>
          <w:tcPr>
            <w:tcW w:w="375" w:type="pct"/>
          </w:tcPr>
          <w:p w14:paraId="68144D7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-4,296</w:t>
            </w:r>
          </w:p>
        </w:tc>
        <w:tc>
          <w:tcPr>
            <w:tcW w:w="480" w:type="pct"/>
          </w:tcPr>
          <w:p w14:paraId="6DED6B2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19.36</w:t>
            </w:r>
          </w:p>
        </w:tc>
        <w:tc>
          <w:tcPr>
            <w:tcW w:w="474" w:type="pct"/>
          </w:tcPr>
          <w:p w14:paraId="4835BB7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25.80</w:t>
            </w:r>
          </w:p>
        </w:tc>
        <w:tc>
          <w:tcPr>
            <w:cnfStyle w:val="000100000000" w:firstRow="0" w:lastRow="0" w:firstColumn="0" w:lastColumn="1" w:oddVBand="0" w:evenVBand="0" w:oddHBand="0" w:evenHBand="0" w:firstRowFirstColumn="0" w:firstRowLastColumn="0" w:lastRowFirstColumn="0" w:lastRowLastColumn="0"/>
            <w:tcW w:w="508" w:type="pct"/>
          </w:tcPr>
          <w:p w14:paraId="5064E871" w14:textId="77777777" w:rsidR="00B44672" w:rsidRDefault="00B44672" w:rsidP="00A567C4">
            <w:pPr>
              <w:pStyle w:val="Compact"/>
              <w:jc w:val="center"/>
            </w:pPr>
            <w:r>
              <w:t>-6.44</w:t>
            </w:r>
          </w:p>
        </w:tc>
      </w:tr>
      <w:tr w:rsidR="00B44672" w14:paraId="55DC4F34"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1A044C0B" w14:textId="77777777" w:rsidR="00B44672" w:rsidRDefault="00B44672" w:rsidP="00A567C4">
            <w:pPr>
              <w:pStyle w:val="Compact"/>
            </w:pPr>
            <w:r>
              <w:t>Pensioner homeowner</w:t>
            </w:r>
          </w:p>
        </w:tc>
        <w:tc>
          <w:tcPr>
            <w:tcW w:w="510" w:type="pct"/>
          </w:tcPr>
          <w:p w14:paraId="31E5F67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99" w:type="pct"/>
          </w:tcPr>
          <w:p w14:paraId="5E2C52F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2,346</w:t>
            </w:r>
          </w:p>
        </w:tc>
        <w:tc>
          <w:tcPr>
            <w:tcW w:w="493" w:type="pct"/>
          </w:tcPr>
          <w:p w14:paraId="6576FE7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1,988</w:t>
            </w:r>
          </w:p>
        </w:tc>
        <w:tc>
          <w:tcPr>
            <w:tcW w:w="375" w:type="pct"/>
          </w:tcPr>
          <w:p w14:paraId="210CA19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358</w:t>
            </w:r>
          </w:p>
        </w:tc>
        <w:tc>
          <w:tcPr>
            <w:tcW w:w="480" w:type="pct"/>
          </w:tcPr>
          <w:p w14:paraId="7CA0554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4.04</w:t>
            </w:r>
          </w:p>
        </w:tc>
        <w:tc>
          <w:tcPr>
            <w:tcW w:w="474" w:type="pct"/>
          </w:tcPr>
          <w:p w14:paraId="2DF477C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cnfStyle w:val="000100000000" w:firstRow="0" w:lastRow="0" w:firstColumn="0" w:lastColumn="1" w:oddVBand="0" w:evenVBand="0" w:oddHBand="0" w:evenHBand="0" w:firstRowFirstColumn="0" w:firstRowLastColumn="0" w:lastRowFirstColumn="0" w:lastRowLastColumn="0"/>
            <w:tcW w:w="508" w:type="pct"/>
          </w:tcPr>
          <w:p w14:paraId="16A51326" w14:textId="77777777" w:rsidR="00B44672" w:rsidRDefault="00B44672" w:rsidP="00A567C4">
            <w:pPr>
              <w:pStyle w:val="Compact"/>
              <w:jc w:val="center"/>
            </w:pPr>
            <w:r>
              <w:t>0.62</w:t>
            </w:r>
          </w:p>
        </w:tc>
      </w:tr>
      <w:tr w:rsidR="00B44672" w14:paraId="5670C0A7"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7FD752C8" w14:textId="77777777" w:rsidR="00B44672" w:rsidRDefault="00B44672" w:rsidP="00A567C4">
            <w:pPr>
              <w:pStyle w:val="Compact"/>
            </w:pPr>
            <w:r>
              <w:t>Pensioner renter</w:t>
            </w:r>
          </w:p>
        </w:tc>
        <w:tc>
          <w:tcPr>
            <w:tcW w:w="510" w:type="pct"/>
          </w:tcPr>
          <w:p w14:paraId="028FBB2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99" w:type="pct"/>
          </w:tcPr>
          <w:p w14:paraId="5F0B30E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9,987</w:t>
            </w:r>
          </w:p>
        </w:tc>
        <w:tc>
          <w:tcPr>
            <w:tcW w:w="493" w:type="pct"/>
          </w:tcPr>
          <w:p w14:paraId="4B605CD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12,572</w:t>
            </w:r>
          </w:p>
        </w:tc>
        <w:tc>
          <w:tcPr>
            <w:tcW w:w="375" w:type="pct"/>
          </w:tcPr>
          <w:p w14:paraId="4AD7BC0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-2,585</w:t>
            </w:r>
          </w:p>
        </w:tc>
        <w:tc>
          <w:tcPr>
            <w:tcW w:w="480" w:type="pct"/>
          </w:tcPr>
          <w:p w14:paraId="5154B99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20.32</w:t>
            </w:r>
          </w:p>
        </w:tc>
        <w:tc>
          <w:tcPr>
            <w:tcW w:w="474" w:type="pct"/>
          </w:tcPr>
          <w:p w14:paraId="3A60FBB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25.58</w:t>
            </w:r>
          </w:p>
        </w:tc>
        <w:tc>
          <w:tcPr>
            <w:cnfStyle w:val="000100000000" w:firstRow="0" w:lastRow="0" w:firstColumn="0" w:lastColumn="1" w:oddVBand="0" w:evenVBand="0" w:oddHBand="0" w:evenHBand="0" w:firstRowFirstColumn="0" w:firstRowLastColumn="0" w:lastRowFirstColumn="0" w:lastRowLastColumn="0"/>
            <w:tcW w:w="508" w:type="pct"/>
          </w:tcPr>
          <w:p w14:paraId="35A6AE12" w14:textId="77777777" w:rsidR="00B44672" w:rsidRDefault="00B44672" w:rsidP="00A567C4">
            <w:pPr>
              <w:pStyle w:val="Compact"/>
              <w:jc w:val="center"/>
            </w:pPr>
            <w:r>
              <w:t>-5.26</w:t>
            </w:r>
          </w:p>
        </w:tc>
      </w:tr>
      <w:tr w:rsidR="00B44672" w14:paraId="106F23E8"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3E9BB7E3" w14:textId="77777777" w:rsidR="00B44672" w:rsidRDefault="00B44672" w:rsidP="00A567C4">
            <w:pPr>
              <w:pStyle w:val="Compact"/>
            </w:pPr>
            <w:r>
              <w:t>Female-headed homeowner</w:t>
            </w:r>
          </w:p>
        </w:tc>
        <w:tc>
          <w:tcPr>
            <w:tcW w:w="510" w:type="pct"/>
          </w:tcPr>
          <w:p w14:paraId="76EA448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99" w:type="pct"/>
          </w:tcPr>
          <w:p w14:paraId="14549AD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3,365</w:t>
            </w:r>
          </w:p>
        </w:tc>
        <w:tc>
          <w:tcPr>
            <w:tcW w:w="493" w:type="pct"/>
          </w:tcPr>
          <w:p w14:paraId="0CC4AD7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3,271</w:t>
            </w:r>
          </w:p>
        </w:tc>
        <w:tc>
          <w:tcPr>
            <w:tcW w:w="375" w:type="pct"/>
          </w:tcPr>
          <w:p w14:paraId="704001D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94</w:t>
            </w:r>
          </w:p>
        </w:tc>
        <w:tc>
          <w:tcPr>
            <w:tcW w:w="480" w:type="pct"/>
          </w:tcPr>
          <w:p w14:paraId="6292FA0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4.18</w:t>
            </w:r>
          </w:p>
        </w:tc>
        <w:tc>
          <w:tcPr>
            <w:tcW w:w="474" w:type="pct"/>
          </w:tcPr>
          <w:p w14:paraId="3B8FD56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4.06</w:t>
            </w:r>
          </w:p>
        </w:tc>
        <w:tc>
          <w:tcPr>
            <w:cnfStyle w:val="000100000000" w:firstRow="0" w:lastRow="0" w:firstColumn="0" w:lastColumn="1" w:oddVBand="0" w:evenVBand="0" w:oddHBand="0" w:evenHBand="0" w:firstRowFirstColumn="0" w:firstRowLastColumn="0" w:lastRowFirstColumn="0" w:lastRowLastColumn="0"/>
            <w:tcW w:w="508" w:type="pct"/>
          </w:tcPr>
          <w:p w14:paraId="17FAED52" w14:textId="77777777" w:rsidR="00B44672" w:rsidRDefault="00B44672" w:rsidP="00A567C4">
            <w:pPr>
              <w:pStyle w:val="Compact"/>
              <w:jc w:val="center"/>
            </w:pPr>
            <w:r>
              <w:t>0.12</w:t>
            </w:r>
          </w:p>
        </w:tc>
      </w:tr>
      <w:tr w:rsidR="00B44672" w14:paraId="73C3F267"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12C128D7" w14:textId="77777777" w:rsidR="00B44672" w:rsidRDefault="00B44672" w:rsidP="00A567C4">
            <w:pPr>
              <w:pStyle w:val="Compact"/>
            </w:pPr>
            <w:r>
              <w:t>Female-headed renter</w:t>
            </w:r>
          </w:p>
        </w:tc>
        <w:tc>
          <w:tcPr>
            <w:tcW w:w="510" w:type="pct"/>
          </w:tcPr>
          <w:p w14:paraId="1748845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1,522</w:t>
            </w:r>
          </w:p>
        </w:tc>
        <w:tc>
          <w:tcPr>
            <w:tcW w:w="499" w:type="pct"/>
          </w:tcPr>
          <w:p w14:paraId="540ACFD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14,555</w:t>
            </w:r>
          </w:p>
        </w:tc>
        <w:tc>
          <w:tcPr>
            <w:tcW w:w="493" w:type="pct"/>
          </w:tcPr>
          <w:p w14:paraId="3DD3F55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19,105</w:t>
            </w:r>
          </w:p>
        </w:tc>
        <w:tc>
          <w:tcPr>
            <w:tcW w:w="375" w:type="pct"/>
          </w:tcPr>
          <w:p w14:paraId="077912E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-4,550</w:t>
            </w:r>
          </w:p>
        </w:tc>
        <w:tc>
          <w:tcPr>
            <w:tcW w:w="480" w:type="pct"/>
          </w:tcPr>
          <w:p w14:paraId="4AD810F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17.58</w:t>
            </w:r>
          </w:p>
        </w:tc>
        <w:tc>
          <w:tcPr>
            <w:tcW w:w="474" w:type="pct"/>
          </w:tcPr>
          <w:p w14:paraId="5E10ECF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23.08</w:t>
            </w:r>
          </w:p>
        </w:tc>
        <w:tc>
          <w:tcPr>
            <w:cnfStyle w:val="000100000000" w:firstRow="0" w:lastRow="0" w:firstColumn="0" w:lastColumn="1" w:oddVBand="0" w:evenVBand="0" w:oddHBand="0" w:evenHBand="0" w:firstRowFirstColumn="0" w:firstRowLastColumn="0" w:lastRowFirstColumn="0" w:lastRowLastColumn="0"/>
            <w:tcW w:w="508" w:type="pct"/>
          </w:tcPr>
          <w:p w14:paraId="4A608465" w14:textId="77777777" w:rsidR="00B44672" w:rsidRDefault="00B44672" w:rsidP="00A567C4">
            <w:pPr>
              <w:pStyle w:val="Compact"/>
              <w:jc w:val="center"/>
            </w:pPr>
            <w:r>
              <w:t>-5.50</w:t>
            </w:r>
          </w:p>
        </w:tc>
      </w:tr>
      <w:tr w:rsidR="00B44672" w14:paraId="5AFA2BF7"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3F373FD8" w14:textId="77777777" w:rsidR="00B44672" w:rsidRDefault="00B44672" w:rsidP="00302865">
            <w:pPr>
              <w:pStyle w:val="Compact"/>
            </w:pPr>
            <w:r w:rsidRPr="00113FC1">
              <w:rPr>
                <w:b/>
                <w:i/>
                <w:iCs/>
                <w:color w:val="365F91" w:themeColor="accent1" w:themeShade="BF"/>
              </w:rPr>
              <w:t>1.24 – 2.19% price change</w:t>
            </w:r>
          </w:p>
        </w:tc>
        <w:tc>
          <w:tcPr>
            <w:tcW w:w="510" w:type="pct"/>
          </w:tcPr>
          <w:p w14:paraId="459926F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99" w:type="pct"/>
          </w:tcPr>
          <w:p w14:paraId="1F79E33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93" w:type="pct"/>
          </w:tcPr>
          <w:p w14:paraId="220DD7D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75" w:type="pct"/>
          </w:tcPr>
          <w:p w14:paraId="081E5BC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80" w:type="pct"/>
          </w:tcPr>
          <w:p w14:paraId="0FB3A0C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74" w:type="pct"/>
          </w:tcPr>
          <w:p w14:paraId="792B068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8" w:type="pct"/>
          </w:tcPr>
          <w:p w14:paraId="02A6FB0F" w14:textId="77777777" w:rsidR="00B44672" w:rsidRDefault="00B44672" w:rsidP="00302865">
            <w:pPr>
              <w:pStyle w:val="Compact"/>
              <w:jc w:val="center"/>
            </w:pPr>
          </w:p>
        </w:tc>
      </w:tr>
      <w:tr w:rsidR="00B44672" w14:paraId="132E0480"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4A758171" w14:textId="77777777" w:rsidR="00B44672" w:rsidRDefault="00B44672" w:rsidP="00302865">
            <w:pPr>
              <w:pStyle w:val="Compact"/>
            </w:pPr>
            <w:r>
              <w:t>First home buyers</w:t>
            </w:r>
          </w:p>
        </w:tc>
        <w:tc>
          <w:tcPr>
            <w:tcW w:w="510" w:type="pct"/>
          </w:tcPr>
          <w:p w14:paraId="18F3AD4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4,016</w:t>
            </w:r>
          </w:p>
        </w:tc>
        <w:tc>
          <w:tcPr>
            <w:tcW w:w="499" w:type="pct"/>
          </w:tcPr>
          <w:p w14:paraId="574C80B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14,501</w:t>
            </w:r>
          </w:p>
        </w:tc>
        <w:tc>
          <w:tcPr>
            <w:tcW w:w="493" w:type="pct"/>
          </w:tcPr>
          <w:p w14:paraId="2CF2141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18,710</w:t>
            </w:r>
          </w:p>
        </w:tc>
        <w:tc>
          <w:tcPr>
            <w:tcW w:w="375" w:type="pct"/>
          </w:tcPr>
          <w:p w14:paraId="5DF89D2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-4,209</w:t>
            </w:r>
          </w:p>
        </w:tc>
        <w:tc>
          <w:tcPr>
            <w:tcW w:w="480" w:type="pct"/>
          </w:tcPr>
          <w:p w14:paraId="25B0C35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17.15</w:t>
            </w:r>
          </w:p>
        </w:tc>
        <w:tc>
          <w:tcPr>
            <w:tcW w:w="474" w:type="pct"/>
          </w:tcPr>
          <w:p w14:paraId="0943D8D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22.13</w:t>
            </w:r>
          </w:p>
        </w:tc>
        <w:tc>
          <w:tcPr>
            <w:cnfStyle w:val="000100000000" w:firstRow="0" w:lastRow="0" w:firstColumn="0" w:lastColumn="1" w:oddVBand="0" w:evenVBand="0" w:oddHBand="0" w:evenHBand="0" w:firstRowFirstColumn="0" w:firstRowLastColumn="0" w:lastRowFirstColumn="0" w:lastRowLastColumn="0"/>
            <w:tcW w:w="508" w:type="pct"/>
          </w:tcPr>
          <w:p w14:paraId="0AE1CACE" w14:textId="77777777" w:rsidR="00B44672" w:rsidRDefault="00B44672" w:rsidP="00302865">
            <w:pPr>
              <w:pStyle w:val="Compact"/>
              <w:jc w:val="center"/>
            </w:pPr>
            <w:r>
              <w:t>-4.98</w:t>
            </w:r>
          </w:p>
        </w:tc>
      </w:tr>
      <w:tr w:rsidR="00B44672" w14:paraId="1606D4D4"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676F56CC" w14:textId="77777777" w:rsidR="00B44672" w:rsidRDefault="00B44672" w:rsidP="00302865">
            <w:pPr>
              <w:pStyle w:val="Compact"/>
            </w:pPr>
            <w:r>
              <w:t>Low-income homeowner</w:t>
            </w:r>
          </w:p>
        </w:tc>
        <w:tc>
          <w:tcPr>
            <w:tcW w:w="510" w:type="pct"/>
          </w:tcPr>
          <w:p w14:paraId="3561C81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35,207</w:t>
            </w:r>
          </w:p>
        </w:tc>
        <w:tc>
          <w:tcPr>
            <w:tcW w:w="499" w:type="pct"/>
          </w:tcPr>
          <w:p w14:paraId="03452CF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2,051</w:t>
            </w:r>
          </w:p>
        </w:tc>
        <w:tc>
          <w:tcPr>
            <w:tcW w:w="493" w:type="pct"/>
          </w:tcPr>
          <w:p w14:paraId="0FDAABB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1,930</w:t>
            </w:r>
          </w:p>
        </w:tc>
        <w:tc>
          <w:tcPr>
            <w:tcW w:w="375" w:type="pct"/>
          </w:tcPr>
          <w:p w14:paraId="52FA56D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121</w:t>
            </w:r>
          </w:p>
        </w:tc>
        <w:tc>
          <w:tcPr>
            <w:tcW w:w="480" w:type="pct"/>
          </w:tcPr>
          <w:p w14:paraId="68E31C6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4.84</w:t>
            </w:r>
          </w:p>
        </w:tc>
        <w:tc>
          <w:tcPr>
            <w:tcW w:w="474" w:type="pct"/>
          </w:tcPr>
          <w:p w14:paraId="6BC647A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4.55</w:t>
            </w:r>
          </w:p>
        </w:tc>
        <w:tc>
          <w:tcPr>
            <w:cnfStyle w:val="000100000000" w:firstRow="0" w:lastRow="0" w:firstColumn="0" w:lastColumn="1" w:oddVBand="0" w:evenVBand="0" w:oddHBand="0" w:evenHBand="0" w:firstRowFirstColumn="0" w:firstRowLastColumn="0" w:lastRowFirstColumn="0" w:lastRowLastColumn="0"/>
            <w:tcW w:w="508" w:type="pct"/>
          </w:tcPr>
          <w:p w14:paraId="30B7CB81" w14:textId="77777777" w:rsidR="00B44672" w:rsidRDefault="00B44672" w:rsidP="00302865">
            <w:pPr>
              <w:pStyle w:val="Compact"/>
              <w:jc w:val="center"/>
            </w:pPr>
            <w:r>
              <w:t>0.29</w:t>
            </w:r>
          </w:p>
        </w:tc>
      </w:tr>
      <w:tr w:rsidR="00B44672" w14:paraId="1D5217BC"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1F1F8F00" w14:textId="77777777" w:rsidR="00B44672" w:rsidRDefault="00B44672" w:rsidP="00302865">
            <w:pPr>
              <w:pStyle w:val="Compact"/>
            </w:pPr>
            <w:r>
              <w:t>Low-income renter</w:t>
            </w:r>
          </w:p>
        </w:tc>
        <w:tc>
          <w:tcPr>
            <w:tcW w:w="510" w:type="pct"/>
          </w:tcPr>
          <w:p w14:paraId="18BDBF8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548</w:t>
            </w:r>
          </w:p>
        </w:tc>
        <w:tc>
          <w:tcPr>
            <w:tcW w:w="499" w:type="pct"/>
          </w:tcPr>
          <w:p w14:paraId="42687CC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8,309</w:t>
            </w:r>
          </w:p>
        </w:tc>
        <w:tc>
          <w:tcPr>
            <w:tcW w:w="493" w:type="pct"/>
          </w:tcPr>
          <w:p w14:paraId="3D887C2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10,756</w:t>
            </w:r>
          </w:p>
        </w:tc>
        <w:tc>
          <w:tcPr>
            <w:tcW w:w="375" w:type="pct"/>
          </w:tcPr>
          <w:p w14:paraId="380F6FB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-2,447</w:t>
            </w:r>
          </w:p>
        </w:tc>
        <w:tc>
          <w:tcPr>
            <w:tcW w:w="480" w:type="pct"/>
          </w:tcPr>
          <w:p w14:paraId="433D4B8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17.56</w:t>
            </w:r>
          </w:p>
        </w:tc>
        <w:tc>
          <w:tcPr>
            <w:tcW w:w="474" w:type="pct"/>
          </w:tcPr>
          <w:p w14:paraId="2187F6B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22.73</w:t>
            </w:r>
          </w:p>
        </w:tc>
        <w:tc>
          <w:tcPr>
            <w:cnfStyle w:val="000100000000" w:firstRow="0" w:lastRow="0" w:firstColumn="0" w:lastColumn="1" w:oddVBand="0" w:evenVBand="0" w:oddHBand="0" w:evenHBand="0" w:firstRowFirstColumn="0" w:firstRowLastColumn="0" w:lastRowFirstColumn="0" w:lastRowLastColumn="0"/>
            <w:tcW w:w="508" w:type="pct"/>
          </w:tcPr>
          <w:p w14:paraId="78101DBF" w14:textId="77777777" w:rsidR="00B44672" w:rsidRDefault="00B44672" w:rsidP="00302865">
            <w:pPr>
              <w:pStyle w:val="Compact"/>
              <w:jc w:val="center"/>
            </w:pPr>
            <w:r>
              <w:t>-5.17</w:t>
            </w:r>
          </w:p>
        </w:tc>
      </w:tr>
      <w:tr w:rsidR="00B44672" w14:paraId="38C76358"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716537C6" w14:textId="77777777" w:rsidR="00B44672" w:rsidRDefault="00B44672" w:rsidP="00302865">
            <w:pPr>
              <w:pStyle w:val="Compact"/>
            </w:pPr>
            <w:r>
              <w:t>Middle-income homeowner</w:t>
            </w:r>
          </w:p>
        </w:tc>
        <w:tc>
          <w:tcPr>
            <w:tcW w:w="510" w:type="pct"/>
          </w:tcPr>
          <w:p w14:paraId="531994C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22,098</w:t>
            </w:r>
          </w:p>
        </w:tc>
        <w:tc>
          <w:tcPr>
            <w:tcW w:w="499" w:type="pct"/>
          </w:tcPr>
          <w:p w14:paraId="176D54D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3,546</w:t>
            </w:r>
          </w:p>
        </w:tc>
        <w:tc>
          <w:tcPr>
            <w:tcW w:w="493" w:type="pct"/>
          </w:tcPr>
          <w:p w14:paraId="585D491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3,635</w:t>
            </w:r>
          </w:p>
        </w:tc>
        <w:tc>
          <w:tcPr>
            <w:tcW w:w="375" w:type="pct"/>
          </w:tcPr>
          <w:p w14:paraId="0DCA215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-89</w:t>
            </w:r>
          </w:p>
        </w:tc>
        <w:tc>
          <w:tcPr>
            <w:tcW w:w="480" w:type="pct"/>
          </w:tcPr>
          <w:p w14:paraId="1E6EF27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4.34</w:t>
            </w:r>
          </w:p>
        </w:tc>
        <w:tc>
          <w:tcPr>
            <w:tcW w:w="474" w:type="pct"/>
          </w:tcPr>
          <w:p w14:paraId="21584E2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4.45</w:t>
            </w:r>
          </w:p>
        </w:tc>
        <w:tc>
          <w:tcPr>
            <w:cnfStyle w:val="000100000000" w:firstRow="0" w:lastRow="0" w:firstColumn="0" w:lastColumn="1" w:oddVBand="0" w:evenVBand="0" w:oddHBand="0" w:evenHBand="0" w:firstRowFirstColumn="0" w:firstRowLastColumn="0" w:lastRowFirstColumn="0" w:lastRowLastColumn="0"/>
            <w:tcW w:w="508" w:type="pct"/>
          </w:tcPr>
          <w:p w14:paraId="53BA9A89" w14:textId="77777777" w:rsidR="00B44672" w:rsidRDefault="00B44672" w:rsidP="00302865">
            <w:pPr>
              <w:pStyle w:val="Compact"/>
              <w:jc w:val="center"/>
            </w:pPr>
            <w:r>
              <w:t>-0.11</w:t>
            </w:r>
          </w:p>
        </w:tc>
      </w:tr>
      <w:tr w:rsidR="00B44672" w14:paraId="4B7DA9E7"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543AFE2F" w14:textId="77777777" w:rsidR="00B44672" w:rsidRDefault="00B44672" w:rsidP="00302865">
            <w:pPr>
              <w:pStyle w:val="Compact"/>
            </w:pPr>
            <w:r>
              <w:t>Middle-income renter</w:t>
            </w:r>
          </w:p>
        </w:tc>
        <w:tc>
          <w:tcPr>
            <w:tcW w:w="510" w:type="pct"/>
          </w:tcPr>
          <w:p w14:paraId="76363B6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1,402</w:t>
            </w:r>
          </w:p>
        </w:tc>
        <w:tc>
          <w:tcPr>
            <w:tcW w:w="499" w:type="pct"/>
          </w:tcPr>
          <w:p w14:paraId="1991883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12,916</w:t>
            </w:r>
          </w:p>
        </w:tc>
        <w:tc>
          <w:tcPr>
            <w:tcW w:w="493" w:type="pct"/>
          </w:tcPr>
          <w:p w14:paraId="7F2400B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17,015</w:t>
            </w:r>
          </w:p>
        </w:tc>
        <w:tc>
          <w:tcPr>
            <w:tcW w:w="375" w:type="pct"/>
          </w:tcPr>
          <w:p w14:paraId="233B8E8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-4,099</w:t>
            </w:r>
          </w:p>
        </w:tc>
        <w:tc>
          <w:tcPr>
            <w:tcW w:w="480" w:type="pct"/>
          </w:tcPr>
          <w:p w14:paraId="3ED766D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19.36</w:t>
            </w:r>
          </w:p>
        </w:tc>
        <w:tc>
          <w:tcPr>
            <w:tcW w:w="474" w:type="pct"/>
          </w:tcPr>
          <w:p w14:paraId="6891673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25.50</w:t>
            </w:r>
          </w:p>
        </w:tc>
        <w:tc>
          <w:tcPr>
            <w:cnfStyle w:val="000100000000" w:firstRow="0" w:lastRow="0" w:firstColumn="0" w:lastColumn="1" w:oddVBand="0" w:evenVBand="0" w:oddHBand="0" w:evenHBand="0" w:firstRowFirstColumn="0" w:firstRowLastColumn="0" w:lastRowFirstColumn="0" w:lastRowLastColumn="0"/>
            <w:tcW w:w="508" w:type="pct"/>
          </w:tcPr>
          <w:p w14:paraId="2D30FD99" w14:textId="77777777" w:rsidR="00B44672" w:rsidRDefault="00B44672" w:rsidP="00302865">
            <w:pPr>
              <w:pStyle w:val="Compact"/>
              <w:jc w:val="center"/>
            </w:pPr>
            <w:r>
              <w:t>-6.14</w:t>
            </w:r>
          </w:p>
        </w:tc>
      </w:tr>
      <w:tr w:rsidR="00B44672" w14:paraId="707B6C40"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2EEBDC29" w14:textId="77777777" w:rsidR="00B44672" w:rsidRDefault="00B44672" w:rsidP="00302865">
            <w:pPr>
              <w:pStyle w:val="Compact"/>
            </w:pPr>
            <w:r>
              <w:t>Pensioner homeowner</w:t>
            </w:r>
          </w:p>
        </w:tc>
        <w:tc>
          <w:tcPr>
            <w:tcW w:w="510" w:type="pct"/>
          </w:tcPr>
          <w:p w14:paraId="2969D12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27,667</w:t>
            </w:r>
          </w:p>
        </w:tc>
        <w:tc>
          <w:tcPr>
            <w:tcW w:w="499" w:type="pct"/>
          </w:tcPr>
          <w:p w14:paraId="5B8ACC1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2,346</w:t>
            </w:r>
          </w:p>
        </w:tc>
        <w:tc>
          <w:tcPr>
            <w:tcW w:w="493" w:type="pct"/>
          </w:tcPr>
          <w:p w14:paraId="76C399C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1,993</w:t>
            </w:r>
          </w:p>
        </w:tc>
        <w:tc>
          <w:tcPr>
            <w:tcW w:w="375" w:type="pct"/>
          </w:tcPr>
          <w:p w14:paraId="48EEDC2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354</w:t>
            </w:r>
          </w:p>
        </w:tc>
        <w:tc>
          <w:tcPr>
            <w:tcW w:w="480" w:type="pct"/>
          </w:tcPr>
          <w:p w14:paraId="0E7FB56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4.04</w:t>
            </w:r>
          </w:p>
        </w:tc>
        <w:tc>
          <w:tcPr>
            <w:tcW w:w="474" w:type="pct"/>
          </w:tcPr>
          <w:p w14:paraId="546015D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3.43</w:t>
            </w:r>
          </w:p>
        </w:tc>
        <w:tc>
          <w:tcPr>
            <w:cnfStyle w:val="000100000000" w:firstRow="0" w:lastRow="0" w:firstColumn="0" w:lastColumn="1" w:oddVBand="0" w:evenVBand="0" w:oddHBand="0" w:evenHBand="0" w:firstRowFirstColumn="0" w:firstRowLastColumn="0" w:lastRowFirstColumn="0" w:lastRowLastColumn="0"/>
            <w:tcW w:w="508" w:type="pct"/>
          </w:tcPr>
          <w:p w14:paraId="053229D4" w14:textId="77777777" w:rsidR="00B44672" w:rsidRDefault="00B44672" w:rsidP="00302865">
            <w:pPr>
              <w:pStyle w:val="Compact"/>
              <w:jc w:val="center"/>
            </w:pPr>
            <w:r>
              <w:t>0.61</w:t>
            </w:r>
          </w:p>
        </w:tc>
      </w:tr>
      <w:tr w:rsidR="00B44672" w14:paraId="6DFBD1C7"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49F4C2F8" w14:textId="77777777" w:rsidR="00B44672" w:rsidRDefault="00B44672" w:rsidP="00302865">
            <w:pPr>
              <w:pStyle w:val="Compact"/>
            </w:pPr>
            <w:r>
              <w:t>Pensioner renter</w:t>
            </w:r>
          </w:p>
        </w:tc>
        <w:tc>
          <w:tcPr>
            <w:tcW w:w="510" w:type="pct"/>
          </w:tcPr>
          <w:p w14:paraId="4DE8775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499" w:type="pct"/>
          </w:tcPr>
          <w:p w14:paraId="6A3716E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9,987</w:t>
            </w:r>
          </w:p>
        </w:tc>
        <w:tc>
          <w:tcPr>
            <w:tcW w:w="493" w:type="pct"/>
          </w:tcPr>
          <w:p w14:paraId="5E757A2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12,432</w:t>
            </w:r>
          </w:p>
        </w:tc>
        <w:tc>
          <w:tcPr>
            <w:tcW w:w="375" w:type="pct"/>
          </w:tcPr>
          <w:p w14:paraId="5BDBD76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-2,446</w:t>
            </w:r>
          </w:p>
        </w:tc>
        <w:tc>
          <w:tcPr>
            <w:tcW w:w="480" w:type="pct"/>
          </w:tcPr>
          <w:p w14:paraId="1BE43F5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20.32</w:t>
            </w:r>
          </w:p>
        </w:tc>
        <w:tc>
          <w:tcPr>
            <w:tcW w:w="474" w:type="pct"/>
          </w:tcPr>
          <w:p w14:paraId="1E5F0F8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25.30</w:t>
            </w:r>
          </w:p>
        </w:tc>
        <w:tc>
          <w:tcPr>
            <w:cnfStyle w:val="000100000000" w:firstRow="0" w:lastRow="0" w:firstColumn="0" w:lastColumn="1" w:oddVBand="0" w:evenVBand="0" w:oddHBand="0" w:evenHBand="0" w:firstRowFirstColumn="0" w:firstRowLastColumn="0" w:lastRowFirstColumn="0" w:lastRowLastColumn="0"/>
            <w:tcW w:w="508" w:type="pct"/>
          </w:tcPr>
          <w:p w14:paraId="3FE276FE" w14:textId="77777777" w:rsidR="00B44672" w:rsidRDefault="00B44672" w:rsidP="00302865">
            <w:pPr>
              <w:pStyle w:val="Compact"/>
              <w:jc w:val="center"/>
            </w:pPr>
            <w:r>
              <w:t>-4.98</w:t>
            </w:r>
          </w:p>
        </w:tc>
      </w:tr>
      <w:tr w:rsidR="00B44672" w14:paraId="5CC5B93D" w14:textId="77777777" w:rsidTr="006E7C43">
        <w:trPr>
          <w:jc w:val="center"/>
        </w:trPr>
        <w:tc>
          <w:tcPr>
            <w:cnfStyle w:val="001000000000" w:firstRow="0" w:lastRow="0" w:firstColumn="1" w:lastColumn="0" w:oddVBand="0" w:evenVBand="0" w:oddHBand="0" w:evenHBand="0" w:firstRowFirstColumn="0" w:firstRowLastColumn="0" w:lastRowFirstColumn="0" w:lastRowLastColumn="0"/>
            <w:tcW w:w="1661" w:type="pct"/>
          </w:tcPr>
          <w:p w14:paraId="70ABA185" w14:textId="77777777" w:rsidR="00B44672" w:rsidRDefault="00B44672" w:rsidP="00302865">
            <w:pPr>
              <w:pStyle w:val="Compact"/>
            </w:pPr>
            <w:r>
              <w:t>Female-headed homeowner</w:t>
            </w:r>
          </w:p>
        </w:tc>
        <w:tc>
          <w:tcPr>
            <w:tcW w:w="510" w:type="pct"/>
          </w:tcPr>
          <w:p w14:paraId="0360709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43,208</w:t>
            </w:r>
          </w:p>
        </w:tc>
        <w:tc>
          <w:tcPr>
            <w:tcW w:w="499" w:type="pct"/>
          </w:tcPr>
          <w:p w14:paraId="25CD164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3,365</w:t>
            </w:r>
          </w:p>
        </w:tc>
        <w:tc>
          <w:tcPr>
            <w:tcW w:w="493" w:type="pct"/>
          </w:tcPr>
          <w:p w14:paraId="47DC29B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3,260</w:t>
            </w:r>
          </w:p>
        </w:tc>
        <w:tc>
          <w:tcPr>
            <w:tcW w:w="375" w:type="pct"/>
          </w:tcPr>
          <w:p w14:paraId="6439F4E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105</w:t>
            </w:r>
          </w:p>
        </w:tc>
        <w:tc>
          <w:tcPr>
            <w:tcW w:w="480" w:type="pct"/>
          </w:tcPr>
          <w:p w14:paraId="1E741E9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4.18</w:t>
            </w:r>
          </w:p>
        </w:tc>
        <w:tc>
          <w:tcPr>
            <w:tcW w:w="474" w:type="pct"/>
          </w:tcPr>
          <w:p w14:paraId="67C5C82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4.05</w:t>
            </w:r>
          </w:p>
        </w:tc>
        <w:tc>
          <w:tcPr>
            <w:cnfStyle w:val="000100000000" w:firstRow="0" w:lastRow="0" w:firstColumn="0" w:lastColumn="1" w:oddVBand="0" w:evenVBand="0" w:oddHBand="0" w:evenHBand="0" w:firstRowFirstColumn="0" w:firstRowLastColumn="0" w:lastRowFirstColumn="0" w:lastRowLastColumn="0"/>
            <w:tcW w:w="508" w:type="pct"/>
          </w:tcPr>
          <w:p w14:paraId="299BE5A5" w14:textId="77777777" w:rsidR="00B44672" w:rsidRDefault="00B44672" w:rsidP="00302865">
            <w:pPr>
              <w:pStyle w:val="Compact"/>
              <w:jc w:val="center"/>
            </w:pPr>
            <w:r>
              <w:t>0.13</w:t>
            </w:r>
          </w:p>
        </w:tc>
      </w:tr>
      <w:tr w:rsidR="00B44672" w14:paraId="562E72E1" w14:textId="77777777" w:rsidTr="006E7C4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pct"/>
          </w:tcPr>
          <w:p w14:paraId="2860523F" w14:textId="77777777" w:rsidR="00B44672" w:rsidRDefault="00B44672" w:rsidP="00302865">
            <w:pPr>
              <w:pStyle w:val="Compact"/>
            </w:pPr>
            <w:r>
              <w:t>Female-headed renter</w:t>
            </w:r>
          </w:p>
        </w:tc>
        <w:tc>
          <w:tcPr>
            <w:tcW w:w="510" w:type="pct"/>
          </w:tcPr>
          <w:p w14:paraId="124002BF"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1,533</w:t>
            </w:r>
          </w:p>
        </w:tc>
        <w:tc>
          <w:tcPr>
            <w:tcW w:w="499" w:type="pct"/>
          </w:tcPr>
          <w:p w14:paraId="3CB61448"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14,581</w:t>
            </w:r>
          </w:p>
        </w:tc>
        <w:tc>
          <w:tcPr>
            <w:tcW w:w="493" w:type="pct"/>
          </w:tcPr>
          <w:p w14:paraId="3034DF28"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18,921</w:t>
            </w:r>
          </w:p>
        </w:tc>
        <w:tc>
          <w:tcPr>
            <w:tcW w:w="375" w:type="pct"/>
          </w:tcPr>
          <w:p w14:paraId="7761C291"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-4,340</w:t>
            </w:r>
          </w:p>
        </w:tc>
        <w:tc>
          <w:tcPr>
            <w:tcW w:w="480" w:type="pct"/>
          </w:tcPr>
          <w:p w14:paraId="7C7227FD"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17.44</w:t>
            </w:r>
          </w:p>
        </w:tc>
        <w:tc>
          <w:tcPr>
            <w:tcW w:w="474" w:type="pct"/>
          </w:tcPr>
          <w:p w14:paraId="427503BB"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22.63</w:t>
            </w:r>
          </w:p>
        </w:tc>
        <w:tc>
          <w:tcPr>
            <w:cnfStyle w:val="000100000000" w:firstRow="0" w:lastRow="0" w:firstColumn="0" w:lastColumn="1" w:oddVBand="0" w:evenVBand="0" w:oddHBand="0" w:evenHBand="0" w:firstRowFirstColumn="0" w:firstRowLastColumn="0" w:lastRowFirstColumn="0" w:lastRowLastColumn="0"/>
            <w:tcW w:w="508" w:type="pct"/>
          </w:tcPr>
          <w:p w14:paraId="1E1CE94A" w14:textId="77777777" w:rsidR="00B44672" w:rsidRDefault="00B44672" w:rsidP="00302865">
            <w:pPr>
              <w:pStyle w:val="Compact"/>
              <w:jc w:val="center"/>
            </w:pPr>
            <w:r>
              <w:t>-5.19</w:t>
            </w:r>
          </w:p>
        </w:tc>
      </w:tr>
    </w:tbl>
    <w:p w14:paraId="4EFA0804"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691258F8" w14:textId="77777777" w:rsidR="00B44672" w:rsidRDefault="00B44672">
      <w:pPr>
        <w:jc w:val="left"/>
        <w:rPr>
          <w:rFonts w:eastAsiaTheme="majorEastAsia" w:cstheme="majorBidi"/>
          <w:b/>
          <w:bCs/>
          <w:color w:val="4F81BD" w:themeColor="accent1"/>
          <w:sz w:val="26"/>
          <w:szCs w:val="28"/>
        </w:rPr>
      </w:pPr>
      <w:bookmarkStart w:id="123" w:name="results-by-income-quintiles"/>
      <w:r>
        <w:br w:type="page"/>
      </w:r>
    </w:p>
    <w:p w14:paraId="7FEC01EC" w14:textId="77777777" w:rsidR="00B44672" w:rsidRDefault="00B44672" w:rsidP="00C83581">
      <w:pPr>
        <w:pStyle w:val="Heading3"/>
      </w:pPr>
      <w:bookmarkStart w:id="124" w:name="_Toc41941377"/>
      <w:r>
        <w:lastRenderedPageBreak/>
        <w:t>3. Results by income quintiles</w:t>
      </w:r>
      <w:bookmarkEnd w:id="123"/>
      <w:bookmarkEnd w:id="124"/>
    </w:p>
    <w:p w14:paraId="1C12C727" w14:textId="77777777" w:rsidR="00B44672" w:rsidRDefault="00B44672" w:rsidP="00C83581">
      <w:pPr>
        <w:pStyle w:val="FirstParagraph"/>
      </w:pPr>
      <w:r>
        <w:rPr>
          <w:b/>
        </w:rPr>
        <w:t>Number of residential properties purchased</w:t>
      </w:r>
    </w:p>
    <w:p w14:paraId="176EE5EF" w14:textId="77777777" w:rsidR="00B44672" w:rsidRDefault="00B44672" w:rsidP="00C83581">
      <w:pPr>
        <w:pStyle w:val="TableCaption"/>
      </w:pPr>
      <w:r>
        <w:t>Table 12 - The impact of tax reform on the number of residential properties purchased by income quintile, total 2012 - 2018</w:t>
      </w:r>
    </w:p>
    <w:tbl>
      <w:tblPr>
        <w:tblStyle w:val="Table"/>
        <w:tblW w:w="5000" w:type="pct"/>
        <w:jc w:val="center"/>
        <w:tblCellMar>
          <w:left w:w="0" w:type="dxa"/>
          <w:right w:w="0" w:type="dxa"/>
        </w:tblCellMar>
        <w:tblLook w:val="07E0" w:firstRow="1" w:lastRow="1" w:firstColumn="1" w:lastColumn="1" w:noHBand="1" w:noVBand="1"/>
        <w:tblCaption w:val="Table 12 - The impact of tax reform on the number of residential properties purchased by income quintile, total 2012 - 2018"/>
      </w:tblPr>
      <w:tblGrid>
        <w:gridCol w:w="2755"/>
        <w:gridCol w:w="2101"/>
        <w:gridCol w:w="2101"/>
        <w:gridCol w:w="1442"/>
        <w:gridCol w:w="614"/>
        <w:gridCol w:w="7"/>
        <w:gridCol w:w="6"/>
      </w:tblGrid>
      <w:tr w:rsidR="00B44672" w14:paraId="3441F8D3" w14:textId="77777777" w:rsidTr="00CB6E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pct"/>
            <w:tcBorders>
              <w:bottom w:val="single" w:sz="0" w:space="0" w:color="auto"/>
            </w:tcBorders>
            <w:vAlign w:val="bottom"/>
          </w:tcPr>
          <w:p w14:paraId="1477AF3C" w14:textId="77777777" w:rsidR="00B44672" w:rsidRDefault="00B44672" w:rsidP="000511CA"/>
        </w:tc>
        <w:tc>
          <w:tcPr>
            <w:tcW w:w="1164" w:type="pct"/>
            <w:tcBorders>
              <w:bottom w:val="single" w:sz="0" w:space="0" w:color="auto"/>
            </w:tcBorders>
            <w:vAlign w:val="bottom"/>
          </w:tcPr>
          <w:p w14:paraId="4E8A471F"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purchases</w:t>
            </w:r>
          </w:p>
        </w:tc>
        <w:tc>
          <w:tcPr>
            <w:tcW w:w="1164" w:type="pct"/>
            <w:tcBorders>
              <w:bottom w:val="single" w:sz="0" w:space="0" w:color="auto"/>
            </w:tcBorders>
            <w:vAlign w:val="bottom"/>
          </w:tcPr>
          <w:p w14:paraId="29D73E30"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purchases</w:t>
            </w:r>
          </w:p>
        </w:tc>
        <w:tc>
          <w:tcPr>
            <w:tcW w:w="799" w:type="pct"/>
            <w:tcBorders>
              <w:bottom w:val="single" w:sz="0" w:space="0" w:color="auto"/>
            </w:tcBorders>
            <w:vAlign w:val="bottom"/>
          </w:tcPr>
          <w:p w14:paraId="41798DAE"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 purchases</w:t>
            </w:r>
          </w:p>
        </w:tc>
        <w:tc>
          <w:tcPr>
            <w:tcW w:w="340" w:type="pct"/>
            <w:tcBorders>
              <w:bottom w:val="single" w:sz="0" w:space="0" w:color="auto"/>
            </w:tcBorders>
            <w:vAlign w:val="bottom"/>
          </w:tcPr>
          <w:p w14:paraId="6F3D28AB"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w:t>
            </w:r>
          </w:p>
        </w:tc>
        <w:tc>
          <w:tcPr>
            <w:tcW w:w="4" w:type="pct"/>
            <w:tcBorders>
              <w:bottom w:val="single" w:sz="0" w:space="0" w:color="auto"/>
            </w:tcBorders>
            <w:vAlign w:val="bottom"/>
          </w:tcPr>
          <w:p w14:paraId="184E2DDF" w14:textId="77777777" w:rsidR="00B44672" w:rsidRDefault="00B44672" w:rsidP="000511CA">
            <w:pP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Borders>
              <w:bottom w:val="single" w:sz="0" w:space="0" w:color="auto"/>
            </w:tcBorders>
            <w:vAlign w:val="bottom"/>
          </w:tcPr>
          <w:p w14:paraId="0A428055" w14:textId="77777777" w:rsidR="00B44672" w:rsidRDefault="00B44672" w:rsidP="000511CA"/>
        </w:tc>
      </w:tr>
      <w:tr w:rsidR="00B44672" w14:paraId="323A8EB4"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61F3761D" w14:textId="77777777" w:rsidR="00B44672" w:rsidRDefault="00B44672" w:rsidP="006E7C43">
            <w:pPr>
              <w:pStyle w:val="Compact"/>
            </w:pPr>
            <w:r w:rsidRPr="00AF6491">
              <w:rPr>
                <w:b/>
                <w:i/>
                <w:iCs/>
                <w:color w:val="365F91" w:themeColor="accent1" w:themeShade="BF"/>
              </w:rPr>
              <w:t>No price change</w:t>
            </w:r>
          </w:p>
        </w:tc>
        <w:tc>
          <w:tcPr>
            <w:tcW w:w="1164" w:type="pct"/>
          </w:tcPr>
          <w:p w14:paraId="540730F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1164" w:type="pct"/>
          </w:tcPr>
          <w:p w14:paraId="32EE6C4B"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799" w:type="pct"/>
          </w:tcPr>
          <w:p w14:paraId="7FBD36A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340" w:type="pct"/>
          </w:tcPr>
          <w:p w14:paraId="18E7D5A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p>
        </w:tc>
        <w:tc>
          <w:tcPr>
            <w:tcW w:w="4" w:type="pct"/>
          </w:tcPr>
          <w:p w14:paraId="10FD42AA" w14:textId="77777777" w:rsidR="00B44672" w:rsidRDefault="00B44672" w:rsidP="006E7C43">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5EF32E0D" w14:textId="77777777" w:rsidR="00B44672" w:rsidRDefault="00B44672" w:rsidP="006E7C43"/>
        </w:tc>
      </w:tr>
      <w:tr w:rsidR="00B44672" w14:paraId="20B11504"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0B814B09" w14:textId="77777777" w:rsidR="00B44672" w:rsidRDefault="00B44672" w:rsidP="006E7C43">
            <w:pPr>
              <w:pStyle w:val="Compact"/>
            </w:pPr>
            <w:r>
              <w:t>Quint 1</w:t>
            </w:r>
          </w:p>
        </w:tc>
        <w:tc>
          <w:tcPr>
            <w:tcW w:w="1164" w:type="pct"/>
          </w:tcPr>
          <w:p w14:paraId="7A286238"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5,581</w:t>
            </w:r>
          </w:p>
        </w:tc>
        <w:tc>
          <w:tcPr>
            <w:tcW w:w="1164" w:type="pct"/>
          </w:tcPr>
          <w:p w14:paraId="7A4D094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5,562</w:t>
            </w:r>
          </w:p>
        </w:tc>
        <w:tc>
          <w:tcPr>
            <w:tcW w:w="799" w:type="pct"/>
          </w:tcPr>
          <w:p w14:paraId="7869202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tcW w:w="340" w:type="pct"/>
          </w:tcPr>
          <w:p w14:paraId="7404AAF9"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0.34</w:t>
            </w:r>
          </w:p>
        </w:tc>
        <w:tc>
          <w:tcPr>
            <w:tcW w:w="4" w:type="pct"/>
          </w:tcPr>
          <w:p w14:paraId="7220150E" w14:textId="77777777" w:rsidR="00B44672" w:rsidRDefault="00B44672" w:rsidP="006E7C43">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53D4AB01" w14:textId="77777777" w:rsidR="00B44672" w:rsidRDefault="00B44672" w:rsidP="006E7C43"/>
        </w:tc>
      </w:tr>
      <w:tr w:rsidR="00B44672" w14:paraId="000A0369"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447FF127" w14:textId="77777777" w:rsidR="00B44672" w:rsidRDefault="00B44672" w:rsidP="006E7C43">
            <w:pPr>
              <w:pStyle w:val="Compact"/>
            </w:pPr>
            <w:r>
              <w:t>Quint 2</w:t>
            </w:r>
          </w:p>
        </w:tc>
        <w:tc>
          <w:tcPr>
            <w:tcW w:w="1164" w:type="pct"/>
          </w:tcPr>
          <w:p w14:paraId="7B532F92"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9,965</w:t>
            </w:r>
          </w:p>
        </w:tc>
        <w:tc>
          <w:tcPr>
            <w:tcW w:w="1164" w:type="pct"/>
          </w:tcPr>
          <w:p w14:paraId="4154DC0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9,699</w:t>
            </w:r>
          </w:p>
        </w:tc>
        <w:tc>
          <w:tcPr>
            <w:tcW w:w="799" w:type="pct"/>
          </w:tcPr>
          <w:p w14:paraId="6F8A49F7"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266</w:t>
            </w:r>
          </w:p>
        </w:tc>
        <w:tc>
          <w:tcPr>
            <w:tcW w:w="340" w:type="pct"/>
          </w:tcPr>
          <w:p w14:paraId="27447CD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2.74</w:t>
            </w:r>
          </w:p>
        </w:tc>
        <w:tc>
          <w:tcPr>
            <w:tcW w:w="4" w:type="pct"/>
          </w:tcPr>
          <w:p w14:paraId="09773F79" w14:textId="77777777" w:rsidR="00B44672" w:rsidRDefault="00B44672" w:rsidP="006E7C43">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ECAAADF" w14:textId="77777777" w:rsidR="00B44672" w:rsidRDefault="00B44672" w:rsidP="006E7C43"/>
        </w:tc>
      </w:tr>
      <w:tr w:rsidR="00B44672" w14:paraId="4D399A00"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1B3170D2" w14:textId="77777777" w:rsidR="00B44672" w:rsidRDefault="00B44672" w:rsidP="006E7C43">
            <w:pPr>
              <w:pStyle w:val="Compact"/>
            </w:pPr>
            <w:r>
              <w:t>Quint 3</w:t>
            </w:r>
          </w:p>
        </w:tc>
        <w:tc>
          <w:tcPr>
            <w:tcW w:w="1164" w:type="pct"/>
          </w:tcPr>
          <w:p w14:paraId="52C1D91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23,114</w:t>
            </w:r>
          </w:p>
        </w:tc>
        <w:tc>
          <w:tcPr>
            <w:tcW w:w="1164" w:type="pct"/>
          </w:tcPr>
          <w:p w14:paraId="71B1522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22,556</w:t>
            </w:r>
          </w:p>
        </w:tc>
        <w:tc>
          <w:tcPr>
            <w:tcW w:w="799" w:type="pct"/>
          </w:tcPr>
          <w:p w14:paraId="3AAA122A"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558</w:t>
            </w:r>
          </w:p>
        </w:tc>
        <w:tc>
          <w:tcPr>
            <w:tcW w:w="340" w:type="pct"/>
          </w:tcPr>
          <w:p w14:paraId="2987A74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2.47</w:t>
            </w:r>
          </w:p>
        </w:tc>
        <w:tc>
          <w:tcPr>
            <w:tcW w:w="4" w:type="pct"/>
          </w:tcPr>
          <w:p w14:paraId="542A3134" w14:textId="77777777" w:rsidR="00B44672" w:rsidRDefault="00B44672" w:rsidP="006E7C43">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71AE77DF" w14:textId="77777777" w:rsidR="00B44672" w:rsidRDefault="00B44672" w:rsidP="006E7C43"/>
        </w:tc>
      </w:tr>
      <w:tr w:rsidR="00B44672" w14:paraId="128363F9"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35D5D2BC" w14:textId="77777777" w:rsidR="00B44672" w:rsidRDefault="00B44672" w:rsidP="006E7C43">
            <w:pPr>
              <w:pStyle w:val="Compact"/>
            </w:pPr>
            <w:r>
              <w:t>Quint 4</w:t>
            </w:r>
          </w:p>
        </w:tc>
        <w:tc>
          <w:tcPr>
            <w:tcW w:w="1164" w:type="pct"/>
          </w:tcPr>
          <w:p w14:paraId="67023CE1"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23,640</w:t>
            </w:r>
          </w:p>
        </w:tc>
        <w:tc>
          <w:tcPr>
            <w:tcW w:w="1164" w:type="pct"/>
          </w:tcPr>
          <w:p w14:paraId="5BE6619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22,885</w:t>
            </w:r>
          </w:p>
        </w:tc>
        <w:tc>
          <w:tcPr>
            <w:tcW w:w="799" w:type="pct"/>
          </w:tcPr>
          <w:p w14:paraId="303C017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755</w:t>
            </w:r>
          </w:p>
        </w:tc>
        <w:tc>
          <w:tcPr>
            <w:tcW w:w="340" w:type="pct"/>
          </w:tcPr>
          <w:p w14:paraId="0910A02D"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3.30</w:t>
            </w:r>
          </w:p>
        </w:tc>
        <w:tc>
          <w:tcPr>
            <w:tcW w:w="4" w:type="pct"/>
          </w:tcPr>
          <w:p w14:paraId="5DDD9A70" w14:textId="77777777" w:rsidR="00B44672" w:rsidRDefault="00B44672" w:rsidP="006E7C43">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197AAE74" w14:textId="77777777" w:rsidR="00B44672" w:rsidRDefault="00B44672" w:rsidP="006E7C43"/>
        </w:tc>
      </w:tr>
      <w:tr w:rsidR="00B44672" w14:paraId="34485F16"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559EF40A" w14:textId="77777777" w:rsidR="00B44672" w:rsidRDefault="00B44672" w:rsidP="006E7C43">
            <w:pPr>
              <w:pStyle w:val="Compact"/>
            </w:pPr>
            <w:r>
              <w:t>Quint 5</w:t>
            </w:r>
          </w:p>
        </w:tc>
        <w:tc>
          <w:tcPr>
            <w:tcW w:w="1164" w:type="pct"/>
          </w:tcPr>
          <w:p w14:paraId="4E050065"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27,468</w:t>
            </w:r>
          </w:p>
        </w:tc>
        <w:tc>
          <w:tcPr>
            <w:tcW w:w="1164" w:type="pct"/>
          </w:tcPr>
          <w:p w14:paraId="30ECF796"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26,762</w:t>
            </w:r>
          </w:p>
        </w:tc>
        <w:tc>
          <w:tcPr>
            <w:tcW w:w="799" w:type="pct"/>
          </w:tcPr>
          <w:p w14:paraId="0DE3079E"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706</w:t>
            </w:r>
          </w:p>
        </w:tc>
        <w:tc>
          <w:tcPr>
            <w:tcW w:w="340" w:type="pct"/>
          </w:tcPr>
          <w:p w14:paraId="59A7EEDF" w14:textId="77777777" w:rsidR="00B44672" w:rsidRDefault="00B44672" w:rsidP="006E7C43">
            <w:pPr>
              <w:pStyle w:val="Compact"/>
              <w:jc w:val="center"/>
              <w:cnfStyle w:val="000000000000" w:firstRow="0" w:lastRow="0" w:firstColumn="0" w:lastColumn="0" w:oddVBand="0" w:evenVBand="0" w:oddHBand="0" w:evenHBand="0" w:firstRowFirstColumn="0" w:firstRowLastColumn="0" w:lastRowFirstColumn="0" w:lastRowLastColumn="0"/>
            </w:pPr>
            <w:r>
              <w:t>2.64</w:t>
            </w:r>
          </w:p>
        </w:tc>
        <w:tc>
          <w:tcPr>
            <w:tcW w:w="4" w:type="pct"/>
          </w:tcPr>
          <w:p w14:paraId="1A83BCE0" w14:textId="77777777" w:rsidR="00B44672" w:rsidRDefault="00B44672" w:rsidP="006E7C43">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4AF1AB60" w14:textId="77777777" w:rsidR="00B44672" w:rsidRDefault="00B44672" w:rsidP="006E7C43"/>
        </w:tc>
      </w:tr>
      <w:tr w:rsidR="00B44672" w14:paraId="30E7FF29"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5774A755"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1164" w:type="pct"/>
          </w:tcPr>
          <w:p w14:paraId="314447A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1164" w:type="pct"/>
          </w:tcPr>
          <w:p w14:paraId="237D174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799" w:type="pct"/>
          </w:tcPr>
          <w:p w14:paraId="10F3ABB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40" w:type="pct"/>
          </w:tcPr>
          <w:p w14:paraId="6F0F043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 w:type="pct"/>
          </w:tcPr>
          <w:p w14:paraId="2E217412" w14:textId="77777777" w:rsidR="00B44672" w:rsidRDefault="00B44672" w:rsidP="00A567C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546E921B" w14:textId="77777777" w:rsidR="00B44672" w:rsidRDefault="00B44672" w:rsidP="00A567C4"/>
        </w:tc>
      </w:tr>
      <w:tr w:rsidR="00B44672" w14:paraId="0688FC62"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4F348A35" w14:textId="77777777" w:rsidR="00B44672" w:rsidRDefault="00B44672" w:rsidP="00A567C4">
            <w:pPr>
              <w:pStyle w:val="Compact"/>
            </w:pPr>
            <w:r>
              <w:t>Quint 1</w:t>
            </w:r>
          </w:p>
        </w:tc>
        <w:tc>
          <w:tcPr>
            <w:tcW w:w="1164" w:type="pct"/>
          </w:tcPr>
          <w:p w14:paraId="2DA6E39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5,581</w:t>
            </w:r>
          </w:p>
        </w:tc>
        <w:tc>
          <w:tcPr>
            <w:tcW w:w="1164" w:type="pct"/>
          </w:tcPr>
          <w:p w14:paraId="767573D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5,578</w:t>
            </w:r>
          </w:p>
        </w:tc>
        <w:tc>
          <w:tcPr>
            <w:tcW w:w="799" w:type="pct"/>
          </w:tcPr>
          <w:p w14:paraId="12E8E49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w:t>
            </w:r>
          </w:p>
        </w:tc>
        <w:tc>
          <w:tcPr>
            <w:tcW w:w="340" w:type="pct"/>
          </w:tcPr>
          <w:p w14:paraId="0B96D37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0.05</w:t>
            </w:r>
          </w:p>
        </w:tc>
        <w:tc>
          <w:tcPr>
            <w:tcW w:w="4" w:type="pct"/>
          </w:tcPr>
          <w:p w14:paraId="343B6F2C" w14:textId="77777777" w:rsidR="00B44672" w:rsidRDefault="00B44672" w:rsidP="00A567C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6724B6E2" w14:textId="77777777" w:rsidR="00B44672" w:rsidRDefault="00B44672" w:rsidP="00A567C4"/>
        </w:tc>
      </w:tr>
      <w:tr w:rsidR="00B44672" w14:paraId="608E2746"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5046EDE1" w14:textId="77777777" w:rsidR="00B44672" w:rsidRDefault="00B44672" w:rsidP="00A567C4">
            <w:pPr>
              <w:pStyle w:val="Compact"/>
            </w:pPr>
            <w:r>
              <w:t>Quint 2</w:t>
            </w:r>
          </w:p>
        </w:tc>
        <w:tc>
          <w:tcPr>
            <w:tcW w:w="1164" w:type="pct"/>
          </w:tcPr>
          <w:p w14:paraId="4C20A60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9,965</w:t>
            </w:r>
          </w:p>
        </w:tc>
        <w:tc>
          <w:tcPr>
            <w:tcW w:w="1164" w:type="pct"/>
          </w:tcPr>
          <w:p w14:paraId="1B8D695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9,800</w:t>
            </w:r>
          </w:p>
        </w:tc>
        <w:tc>
          <w:tcPr>
            <w:tcW w:w="799" w:type="pct"/>
          </w:tcPr>
          <w:p w14:paraId="1B0E83C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165</w:t>
            </w:r>
          </w:p>
        </w:tc>
        <w:tc>
          <w:tcPr>
            <w:tcW w:w="340" w:type="pct"/>
          </w:tcPr>
          <w:p w14:paraId="16E1142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tcW w:w="4" w:type="pct"/>
          </w:tcPr>
          <w:p w14:paraId="53CDCC04" w14:textId="77777777" w:rsidR="00B44672" w:rsidRDefault="00B44672" w:rsidP="00A567C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19189EBB" w14:textId="77777777" w:rsidR="00B44672" w:rsidRDefault="00B44672" w:rsidP="00A567C4"/>
        </w:tc>
      </w:tr>
      <w:tr w:rsidR="00B44672" w14:paraId="32885E3C"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4885A33D" w14:textId="77777777" w:rsidR="00B44672" w:rsidRDefault="00B44672" w:rsidP="00A567C4">
            <w:pPr>
              <w:pStyle w:val="Compact"/>
            </w:pPr>
            <w:r>
              <w:t>Quint 3</w:t>
            </w:r>
          </w:p>
        </w:tc>
        <w:tc>
          <w:tcPr>
            <w:tcW w:w="1164" w:type="pct"/>
          </w:tcPr>
          <w:p w14:paraId="49D429D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23,114</w:t>
            </w:r>
          </w:p>
        </w:tc>
        <w:tc>
          <w:tcPr>
            <w:tcW w:w="1164" w:type="pct"/>
          </w:tcPr>
          <w:p w14:paraId="6B55C5F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22,601</w:t>
            </w:r>
          </w:p>
        </w:tc>
        <w:tc>
          <w:tcPr>
            <w:tcW w:w="799" w:type="pct"/>
          </w:tcPr>
          <w:p w14:paraId="5497882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513</w:t>
            </w:r>
          </w:p>
        </w:tc>
        <w:tc>
          <w:tcPr>
            <w:tcW w:w="340" w:type="pct"/>
          </w:tcPr>
          <w:p w14:paraId="544F966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2.27</w:t>
            </w:r>
          </w:p>
        </w:tc>
        <w:tc>
          <w:tcPr>
            <w:tcW w:w="4" w:type="pct"/>
          </w:tcPr>
          <w:p w14:paraId="0C4939B9" w14:textId="77777777" w:rsidR="00B44672" w:rsidRDefault="00B44672" w:rsidP="00A567C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703814F1" w14:textId="77777777" w:rsidR="00B44672" w:rsidRDefault="00B44672" w:rsidP="00A567C4"/>
        </w:tc>
      </w:tr>
      <w:tr w:rsidR="00B44672" w14:paraId="2A5BA60C"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3493E0DD" w14:textId="77777777" w:rsidR="00B44672" w:rsidRDefault="00B44672" w:rsidP="00A567C4">
            <w:pPr>
              <w:pStyle w:val="Compact"/>
            </w:pPr>
            <w:r>
              <w:t>Quint 4</w:t>
            </w:r>
          </w:p>
        </w:tc>
        <w:tc>
          <w:tcPr>
            <w:tcW w:w="1164" w:type="pct"/>
          </w:tcPr>
          <w:p w14:paraId="2826598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23,640</w:t>
            </w:r>
          </w:p>
        </w:tc>
        <w:tc>
          <w:tcPr>
            <w:tcW w:w="1164" w:type="pct"/>
          </w:tcPr>
          <w:p w14:paraId="624632D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22,940</w:t>
            </w:r>
          </w:p>
        </w:tc>
        <w:tc>
          <w:tcPr>
            <w:tcW w:w="799" w:type="pct"/>
          </w:tcPr>
          <w:p w14:paraId="3A1939E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700</w:t>
            </w:r>
          </w:p>
        </w:tc>
        <w:tc>
          <w:tcPr>
            <w:tcW w:w="340" w:type="pct"/>
          </w:tcPr>
          <w:p w14:paraId="74CFE81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3.05</w:t>
            </w:r>
          </w:p>
        </w:tc>
        <w:tc>
          <w:tcPr>
            <w:tcW w:w="4" w:type="pct"/>
          </w:tcPr>
          <w:p w14:paraId="67071CD5" w14:textId="77777777" w:rsidR="00B44672" w:rsidRDefault="00B44672" w:rsidP="00A567C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16EA0201" w14:textId="77777777" w:rsidR="00B44672" w:rsidRDefault="00B44672" w:rsidP="00A567C4"/>
        </w:tc>
      </w:tr>
      <w:tr w:rsidR="00B44672" w14:paraId="654D4782"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18FDF15B" w14:textId="77777777" w:rsidR="00B44672" w:rsidRDefault="00B44672" w:rsidP="00A567C4">
            <w:pPr>
              <w:pStyle w:val="Compact"/>
            </w:pPr>
            <w:r>
              <w:t>Quint 5</w:t>
            </w:r>
          </w:p>
        </w:tc>
        <w:tc>
          <w:tcPr>
            <w:tcW w:w="1164" w:type="pct"/>
          </w:tcPr>
          <w:p w14:paraId="6120DF1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27,468</w:t>
            </w:r>
          </w:p>
        </w:tc>
        <w:tc>
          <w:tcPr>
            <w:tcW w:w="1164" w:type="pct"/>
          </w:tcPr>
          <w:p w14:paraId="451C381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26,807</w:t>
            </w:r>
          </w:p>
        </w:tc>
        <w:tc>
          <w:tcPr>
            <w:tcW w:w="799" w:type="pct"/>
          </w:tcPr>
          <w:p w14:paraId="669FF0E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661</w:t>
            </w:r>
          </w:p>
        </w:tc>
        <w:tc>
          <w:tcPr>
            <w:tcW w:w="340" w:type="pct"/>
          </w:tcPr>
          <w:p w14:paraId="20E9395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2.47</w:t>
            </w:r>
          </w:p>
        </w:tc>
        <w:tc>
          <w:tcPr>
            <w:tcW w:w="4" w:type="pct"/>
          </w:tcPr>
          <w:p w14:paraId="2E488DC7" w14:textId="77777777" w:rsidR="00B44672" w:rsidRDefault="00B44672" w:rsidP="00A567C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073CB5C" w14:textId="77777777" w:rsidR="00B44672" w:rsidRDefault="00B44672" w:rsidP="00A567C4"/>
        </w:tc>
      </w:tr>
      <w:tr w:rsidR="00B44672" w14:paraId="3B5CA2BD"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60BD442E" w14:textId="77777777" w:rsidR="00B44672" w:rsidRDefault="00B44672" w:rsidP="00302865">
            <w:pPr>
              <w:pStyle w:val="Compact"/>
            </w:pPr>
            <w:r w:rsidRPr="00113FC1">
              <w:rPr>
                <w:b/>
                <w:i/>
                <w:iCs/>
                <w:color w:val="365F91" w:themeColor="accent1" w:themeShade="BF"/>
              </w:rPr>
              <w:t>1.24 – 2.19% price change</w:t>
            </w:r>
          </w:p>
        </w:tc>
        <w:tc>
          <w:tcPr>
            <w:tcW w:w="1164" w:type="pct"/>
          </w:tcPr>
          <w:p w14:paraId="57ED7F8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1164" w:type="pct"/>
          </w:tcPr>
          <w:p w14:paraId="4D41A68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799" w:type="pct"/>
          </w:tcPr>
          <w:p w14:paraId="6A9E25A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40" w:type="pct"/>
          </w:tcPr>
          <w:p w14:paraId="5017D36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 w:type="pct"/>
          </w:tcPr>
          <w:p w14:paraId="3D1719A6" w14:textId="77777777" w:rsidR="00B44672" w:rsidRDefault="00B44672" w:rsidP="00302865">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A3FC45B" w14:textId="77777777" w:rsidR="00B44672" w:rsidRDefault="00B44672" w:rsidP="00302865"/>
        </w:tc>
      </w:tr>
      <w:tr w:rsidR="00B44672" w14:paraId="5C9944A7"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6BDBF1AB" w14:textId="77777777" w:rsidR="00B44672" w:rsidRDefault="00B44672" w:rsidP="00302865">
            <w:pPr>
              <w:pStyle w:val="Compact"/>
            </w:pPr>
            <w:r>
              <w:t>Quint 1</w:t>
            </w:r>
          </w:p>
        </w:tc>
        <w:tc>
          <w:tcPr>
            <w:tcW w:w="1164" w:type="pct"/>
          </w:tcPr>
          <w:p w14:paraId="6FD3121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5,581</w:t>
            </w:r>
          </w:p>
        </w:tc>
        <w:tc>
          <w:tcPr>
            <w:tcW w:w="1164" w:type="pct"/>
          </w:tcPr>
          <w:p w14:paraId="0F6B29C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5,601</w:t>
            </w:r>
          </w:p>
        </w:tc>
        <w:tc>
          <w:tcPr>
            <w:tcW w:w="799" w:type="pct"/>
          </w:tcPr>
          <w:p w14:paraId="1D2E43C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w:t>
            </w:r>
          </w:p>
        </w:tc>
        <w:tc>
          <w:tcPr>
            <w:tcW w:w="340" w:type="pct"/>
          </w:tcPr>
          <w:p w14:paraId="12EC1C7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-0.36</w:t>
            </w:r>
          </w:p>
        </w:tc>
        <w:tc>
          <w:tcPr>
            <w:tcW w:w="4" w:type="pct"/>
          </w:tcPr>
          <w:p w14:paraId="070DBB69" w14:textId="77777777" w:rsidR="00B44672" w:rsidRDefault="00B44672" w:rsidP="00302865">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4DB5003" w14:textId="77777777" w:rsidR="00B44672" w:rsidRDefault="00B44672" w:rsidP="00302865"/>
        </w:tc>
      </w:tr>
      <w:tr w:rsidR="00B44672" w14:paraId="12BEDC8F"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7EEB9208" w14:textId="77777777" w:rsidR="00B44672" w:rsidRDefault="00B44672" w:rsidP="00302865">
            <w:pPr>
              <w:pStyle w:val="Compact"/>
            </w:pPr>
            <w:r>
              <w:t>Quint 2</w:t>
            </w:r>
          </w:p>
        </w:tc>
        <w:tc>
          <w:tcPr>
            <w:tcW w:w="1164" w:type="pct"/>
          </w:tcPr>
          <w:p w14:paraId="2E4E352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9,965</w:t>
            </w:r>
          </w:p>
        </w:tc>
        <w:tc>
          <w:tcPr>
            <w:tcW w:w="1164" w:type="pct"/>
          </w:tcPr>
          <w:p w14:paraId="095A7AA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9,942</w:t>
            </w:r>
          </w:p>
        </w:tc>
        <w:tc>
          <w:tcPr>
            <w:tcW w:w="799" w:type="pct"/>
          </w:tcPr>
          <w:p w14:paraId="6F1F3B5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w:t>
            </w:r>
          </w:p>
        </w:tc>
        <w:tc>
          <w:tcPr>
            <w:tcW w:w="340" w:type="pct"/>
          </w:tcPr>
          <w:p w14:paraId="1C33818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0.23</w:t>
            </w:r>
          </w:p>
        </w:tc>
        <w:tc>
          <w:tcPr>
            <w:tcW w:w="4" w:type="pct"/>
          </w:tcPr>
          <w:p w14:paraId="7EFD99B8" w14:textId="77777777" w:rsidR="00B44672" w:rsidRDefault="00B44672" w:rsidP="00302865">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61FF1B15" w14:textId="77777777" w:rsidR="00B44672" w:rsidRDefault="00B44672" w:rsidP="00302865"/>
        </w:tc>
      </w:tr>
      <w:tr w:rsidR="00B44672" w14:paraId="6D7CF016"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3F200AF4" w14:textId="77777777" w:rsidR="00B44672" w:rsidRDefault="00B44672" w:rsidP="00302865">
            <w:pPr>
              <w:pStyle w:val="Compact"/>
            </w:pPr>
            <w:r>
              <w:t>Quint 3</w:t>
            </w:r>
          </w:p>
        </w:tc>
        <w:tc>
          <w:tcPr>
            <w:tcW w:w="1164" w:type="pct"/>
          </w:tcPr>
          <w:p w14:paraId="4B51048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23,114</w:t>
            </w:r>
          </w:p>
        </w:tc>
        <w:tc>
          <w:tcPr>
            <w:tcW w:w="1164" w:type="pct"/>
          </w:tcPr>
          <w:p w14:paraId="7E27EA0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22,756</w:t>
            </w:r>
          </w:p>
        </w:tc>
        <w:tc>
          <w:tcPr>
            <w:tcW w:w="799" w:type="pct"/>
          </w:tcPr>
          <w:p w14:paraId="5C4B500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358</w:t>
            </w:r>
          </w:p>
        </w:tc>
        <w:tc>
          <w:tcPr>
            <w:tcW w:w="340" w:type="pct"/>
          </w:tcPr>
          <w:p w14:paraId="504A5C9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1.57</w:t>
            </w:r>
          </w:p>
        </w:tc>
        <w:tc>
          <w:tcPr>
            <w:tcW w:w="4" w:type="pct"/>
          </w:tcPr>
          <w:p w14:paraId="4FCEAEDF" w14:textId="77777777" w:rsidR="00B44672" w:rsidRDefault="00B44672" w:rsidP="00302865">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47178CAF" w14:textId="77777777" w:rsidR="00B44672" w:rsidRDefault="00B44672" w:rsidP="00302865"/>
        </w:tc>
      </w:tr>
      <w:tr w:rsidR="00B44672" w14:paraId="6AD07DBC"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526" w:type="pct"/>
          </w:tcPr>
          <w:p w14:paraId="6D136603" w14:textId="77777777" w:rsidR="00B44672" w:rsidRDefault="00B44672" w:rsidP="00302865">
            <w:pPr>
              <w:pStyle w:val="Compact"/>
            </w:pPr>
            <w:r>
              <w:t>Quint 4</w:t>
            </w:r>
          </w:p>
        </w:tc>
        <w:tc>
          <w:tcPr>
            <w:tcW w:w="1164" w:type="pct"/>
          </w:tcPr>
          <w:p w14:paraId="1C3D823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23,640</w:t>
            </w:r>
          </w:p>
        </w:tc>
        <w:tc>
          <w:tcPr>
            <w:tcW w:w="1164" w:type="pct"/>
          </w:tcPr>
          <w:p w14:paraId="7EB86A7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23,096</w:t>
            </w:r>
          </w:p>
        </w:tc>
        <w:tc>
          <w:tcPr>
            <w:tcW w:w="799" w:type="pct"/>
          </w:tcPr>
          <w:p w14:paraId="03D8465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544</w:t>
            </w:r>
          </w:p>
        </w:tc>
        <w:tc>
          <w:tcPr>
            <w:tcW w:w="340" w:type="pct"/>
          </w:tcPr>
          <w:p w14:paraId="1B0E868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2.36</w:t>
            </w:r>
          </w:p>
        </w:tc>
        <w:tc>
          <w:tcPr>
            <w:tcW w:w="4" w:type="pct"/>
          </w:tcPr>
          <w:p w14:paraId="174C324E" w14:textId="77777777" w:rsidR="00B44672" w:rsidRDefault="00B44672" w:rsidP="00302865">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61328977" w14:textId="77777777" w:rsidR="00B44672" w:rsidRDefault="00B44672" w:rsidP="00302865"/>
        </w:tc>
      </w:tr>
      <w:tr w:rsidR="00B44672" w14:paraId="4A85D005" w14:textId="77777777" w:rsidTr="00CB6E8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pct"/>
          </w:tcPr>
          <w:p w14:paraId="5B747787" w14:textId="77777777" w:rsidR="00B44672" w:rsidRDefault="00B44672" w:rsidP="00302865">
            <w:pPr>
              <w:pStyle w:val="Compact"/>
            </w:pPr>
            <w:r>
              <w:t>Quint 5</w:t>
            </w:r>
          </w:p>
        </w:tc>
        <w:tc>
          <w:tcPr>
            <w:tcW w:w="1164" w:type="pct"/>
          </w:tcPr>
          <w:p w14:paraId="1E1A54FB"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27,468</w:t>
            </w:r>
          </w:p>
        </w:tc>
        <w:tc>
          <w:tcPr>
            <w:tcW w:w="1164" w:type="pct"/>
          </w:tcPr>
          <w:p w14:paraId="733AD9FA"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27,010</w:t>
            </w:r>
          </w:p>
        </w:tc>
        <w:tc>
          <w:tcPr>
            <w:tcW w:w="799" w:type="pct"/>
          </w:tcPr>
          <w:p w14:paraId="33C93FE3"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458</w:t>
            </w:r>
          </w:p>
        </w:tc>
        <w:tc>
          <w:tcPr>
            <w:tcW w:w="340" w:type="pct"/>
          </w:tcPr>
          <w:p w14:paraId="4AA4A8E0"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1.70</w:t>
            </w:r>
          </w:p>
        </w:tc>
        <w:tc>
          <w:tcPr>
            <w:tcW w:w="4" w:type="pct"/>
          </w:tcPr>
          <w:p w14:paraId="29EF892B" w14:textId="77777777" w:rsidR="00B44672" w:rsidRDefault="00B44672" w:rsidP="00302865">
            <w:pP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656E10C2" w14:textId="77777777" w:rsidR="00B44672" w:rsidRDefault="00B44672" w:rsidP="00302865"/>
        </w:tc>
      </w:tr>
    </w:tbl>
    <w:p w14:paraId="0A8A3F17" w14:textId="77777777" w:rsidR="00B44672" w:rsidRDefault="00B44672" w:rsidP="00C83581">
      <w:pPr>
        <w:pStyle w:val="BlockText"/>
      </w:pPr>
      <w:r>
        <w:rPr>
          <w:i/>
        </w:rPr>
        <w:t>Source:</w:t>
      </w:r>
      <w:r>
        <w:t xml:space="preserve"> Calculations from NATSEM microsimulation model.</w:t>
      </w:r>
      <w:r>
        <w:br/>
      </w:r>
      <w:r>
        <w:rPr>
          <w:i/>
        </w:rPr>
        <w:t>Note:</w:t>
      </w:r>
      <w:r>
        <w:t xml:space="preserve"> The numbers shown in the table are the total number of residential properties purchased over the whole period. </w:t>
      </w:r>
    </w:p>
    <w:p w14:paraId="74A2FEB7" w14:textId="77777777" w:rsidR="00B44672" w:rsidRDefault="00B44672">
      <w:pPr>
        <w:jc w:val="left"/>
        <w:rPr>
          <w:b/>
        </w:rPr>
      </w:pPr>
      <w:r>
        <w:rPr>
          <w:b/>
        </w:rPr>
        <w:br w:type="page"/>
      </w:r>
    </w:p>
    <w:p w14:paraId="2C129683" w14:textId="77777777" w:rsidR="00B44672" w:rsidRDefault="00B44672" w:rsidP="00C83581">
      <w:pPr>
        <w:pStyle w:val="FirstParagraph"/>
      </w:pPr>
      <w:bookmarkStart w:id="125" w:name="_Toc39241802"/>
      <w:r>
        <w:rPr>
          <w:b/>
        </w:rPr>
        <w:lastRenderedPageBreak/>
        <w:t>Stamp duty distribution</w:t>
      </w:r>
      <w:bookmarkEnd w:id="125"/>
    </w:p>
    <w:p w14:paraId="6024E5F2" w14:textId="77777777" w:rsidR="00B44672" w:rsidRDefault="00B44672" w:rsidP="00C83581">
      <w:pPr>
        <w:pStyle w:val="TableCaption"/>
      </w:pPr>
      <w:r>
        <w:t>Table 13 - The impact of tax reform on the stamp duty distribution (including concession) by income quintile, average 2012 - 2018</w:t>
      </w:r>
    </w:p>
    <w:tbl>
      <w:tblPr>
        <w:tblStyle w:val="Table"/>
        <w:tblW w:w="4962" w:type="pct"/>
        <w:jc w:val="center"/>
        <w:tblCellMar>
          <w:left w:w="0" w:type="dxa"/>
          <w:right w:w="0" w:type="dxa"/>
        </w:tblCellMar>
        <w:tblLook w:val="07E0" w:firstRow="1" w:lastRow="1" w:firstColumn="1" w:lastColumn="1" w:noHBand="1" w:noVBand="1"/>
        <w:tblCaption w:val="Table 13 - The impact of tax reform on the stamp duty distribution (including concession) by income quintile, average 2012 - 2018"/>
      </w:tblPr>
      <w:tblGrid>
        <w:gridCol w:w="2872"/>
        <w:gridCol w:w="2049"/>
        <w:gridCol w:w="2735"/>
        <w:gridCol w:w="1301"/>
      </w:tblGrid>
      <w:tr w:rsidR="00B44672" w14:paraId="791E2C9C" w14:textId="77777777" w:rsidTr="00CB6E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tcBorders>
              <w:bottom w:val="single" w:sz="0" w:space="0" w:color="auto"/>
            </w:tcBorders>
            <w:vAlign w:val="bottom"/>
          </w:tcPr>
          <w:p w14:paraId="02966443" w14:textId="77777777" w:rsidR="00B44672" w:rsidRDefault="00B44672" w:rsidP="000511CA"/>
        </w:tc>
        <w:tc>
          <w:tcPr>
            <w:tcW w:w="1144" w:type="pct"/>
            <w:tcBorders>
              <w:bottom w:val="single" w:sz="0" w:space="0" w:color="auto"/>
            </w:tcBorders>
            <w:vAlign w:val="bottom"/>
          </w:tcPr>
          <w:p w14:paraId="5E910EAB"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w:t>
            </w:r>
          </w:p>
        </w:tc>
        <w:tc>
          <w:tcPr>
            <w:tcW w:w="1527" w:type="pct"/>
            <w:tcBorders>
              <w:bottom w:val="single" w:sz="0" w:space="0" w:color="auto"/>
            </w:tcBorders>
            <w:vAlign w:val="bottom"/>
          </w:tcPr>
          <w:p w14:paraId="7DEC9607"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w:t>
            </w:r>
          </w:p>
        </w:tc>
        <w:tc>
          <w:tcPr>
            <w:cnfStyle w:val="000100000000" w:firstRow="0" w:lastRow="0" w:firstColumn="0" w:lastColumn="1" w:oddVBand="0" w:evenVBand="0" w:oddHBand="0" w:evenHBand="0" w:firstRowFirstColumn="0" w:firstRowLastColumn="0" w:lastRowFirstColumn="0" w:lastRowLastColumn="0"/>
            <w:tcW w:w="726" w:type="pct"/>
            <w:tcBorders>
              <w:bottom w:val="single" w:sz="0" w:space="0" w:color="auto"/>
            </w:tcBorders>
            <w:vAlign w:val="bottom"/>
          </w:tcPr>
          <w:p w14:paraId="78448E90" w14:textId="77777777" w:rsidR="00B44672" w:rsidRDefault="00B44672" w:rsidP="000511CA">
            <w:pPr>
              <w:pStyle w:val="Compact"/>
              <w:jc w:val="center"/>
            </w:pPr>
            <w:r>
              <w:t>Diff (% point)</w:t>
            </w:r>
          </w:p>
        </w:tc>
      </w:tr>
      <w:tr w:rsidR="00B44672" w14:paraId="0456BA2A"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15A25815" w14:textId="77777777" w:rsidR="00B44672" w:rsidRDefault="00B44672" w:rsidP="00CB6E83">
            <w:pPr>
              <w:pStyle w:val="Compact"/>
            </w:pPr>
            <w:r w:rsidRPr="00AF6491">
              <w:rPr>
                <w:b/>
                <w:i/>
                <w:iCs/>
                <w:color w:val="365F91" w:themeColor="accent1" w:themeShade="BF"/>
              </w:rPr>
              <w:t>No price change</w:t>
            </w:r>
          </w:p>
        </w:tc>
        <w:tc>
          <w:tcPr>
            <w:tcW w:w="1144" w:type="pct"/>
          </w:tcPr>
          <w:p w14:paraId="1019D76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1527" w:type="pct"/>
          </w:tcPr>
          <w:p w14:paraId="4A693F9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26" w:type="pct"/>
          </w:tcPr>
          <w:p w14:paraId="42BA68E4" w14:textId="77777777" w:rsidR="00B44672" w:rsidRDefault="00B44672" w:rsidP="00CB6E83">
            <w:pPr>
              <w:pStyle w:val="Compact"/>
              <w:jc w:val="center"/>
            </w:pPr>
          </w:p>
        </w:tc>
      </w:tr>
      <w:tr w:rsidR="00B44672" w14:paraId="4C97554B"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0E308DBD" w14:textId="77777777" w:rsidR="00B44672" w:rsidRDefault="00B44672" w:rsidP="00CB6E83">
            <w:pPr>
              <w:pStyle w:val="Compact"/>
            </w:pPr>
            <w:r>
              <w:t>Quint 1</w:t>
            </w:r>
          </w:p>
        </w:tc>
        <w:tc>
          <w:tcPr>
            <w:tcW w:w="1144" w:type="pct"/>
          </w:tcPr>
          <w:p w14:paraId="77BA532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2.28</w:t>
            </w:r>
          </w:p>
        </w:tc>
        <w:tc>
          <w:tcPr>
            <w:tcW w:w="1527" w:type="pct"/>
          </w:tcPr>
          <w:p w14:paraId="421470D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2.48</w:t>
            </w:r>
          </w:p>
        </w:tc>
        <w:tc>
          <w:tcPr>
            <w:cnfStyle w:val="000100000000" w:firstRow="0" w:lastRow="0" w:firstColumn="0" w:lastColumn="1" w:oddVBand="0" w:evenVBand="0" w:oddHBand="0" w:evenHBand="0" w:firstRowFirstColumn="0" w:firstRowLastColumn="0" w:lastRowFirstColumn="0" w:lastRowLastColumn="0"/>
            <w:tcW w:w="726" w:type="pct"/>
          </w:tcPr>
          <w:p w14:paraId="253A673D" w14:textId="77777777" w:rsidR="00B44672" w:rsidRDefault="00B44672" w:rsidP="00CB6E83">
            <w:pPr>
              <w:pStyle w:val="Compact"/>
              <w:jc w:val="center"/>
            </w:pPr>
            <w:r>
              <w:t>-0.19</w:t>
            </w:r>
          </w:p>
        </w:tc>
      </w:tr>
      <w:tr w:rsidR="00B44672" w14:paraId="73956D9C"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64AFF8AF" w14:textId="77777777" w:rsidR="00B44672" w:rsidRDefault="00B44672" w:rsidP="00CB6E83">
            <w:pPr>
              <w:pStyle w:val="Compact"/>
            </w:pPr>
            <w:r>
              <w:t>Quint 2</w:t>
            </w:r>
          </w:p>
        </w:tc>
        <w:tc>
          <w:tcPr>
            <w:tcW w:w="1144" w:type="pct"/>
          </w:tcPr>
          <w:p w14:paraId="4DE434A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8.31</w:t>
            </w:r>
          </w:p>
        </w:tc>
        <w:tc>
          <w:tcPr>
            <w:tcW w:w="1527" w:type="pct"/>
          </w:tcPr>
          <w:p w14:paraId="46C3E34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8.48</w:t>
            </w:r>
          </w:p>
        </w:tc>
        <w:tc>
          <w:tcPr>
            <w:cnfStyle w:val="000100000000" w:firstRow="0" w:lastRow="0" w:firstColumn="0" w:lastColumn="1" w:oddVBand="0" w:evenVBand="0" w:oddHBand="0" w:evenHBand="0" w:firstRowFirstColumn="0" w:firstRowLastColumn="0" w:lastRowFirstColumn="0" w:lastRowLastColumn="0"/>
            <w:tcW w:w="726" w:type="pct"/>
          </w:tcPr>
          <w:p w14:paraId="63F2C5A6" w14:textId="77777777" w:rsidR="00B44672" w:rsidRDefault="00B44672" w:rsidP="00CB6E83">
            <w:pPr>
              <w:pStyle w:val="Compact"/>
              <w:jc w:val="center"/>
            </w:pPr>
            <w:r>
              <w:t>-0.17</w:t>
            </w:r>
          </w:p>
        </w:tc>
      </w:tr>
      <w:tr w:rsidR="00B44672" w14:paraId="18408BA1"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469AE0A0" w14:textId="77777777" w:rsidR="00B44672" w:rsidRDefault="00B44672" w:rsidP="00CB6E83">
            <w:pPr>
              <w:pStyle w:val="Compact"/>
            </w:pPr>
            <w:r>
              <w:t>Quint 3</w:t>
            </w:r>
          </w:p>
        </w:tc>
        <w:tc>
          <w:tcPr>
            <w:tcW w:w="1144" w:type="pct"/>
          </w:tcPr>
          <w:p w14:paraId="3EA823C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22.48</w:t>
            </w:r>
          </w:p>
        </w:tc>
        <w:tc>
          <w:tcPr>
            <w:tcW w:w="1527" w:type="pct"/>
          </w:tcPr>
          <w:p w14:paraId="5371785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23.14</w:t>
            </w:r>
          </w:p>
        </w:tc>
        <w:tc>
          <w:tcPr>
            <w:cnfStyle w:val="000100000000" w:firstRow="0" w:lastRow="0" w:firstColumn="0" w:lastColumn="1" w:oddVBand="0" w:evenVBand="0" w:oddHBand="0" w:evenHBand="0" w:firstRowFirstColumn="0" w:firstRowLastColumn="0" w:lastRowFirstColumn="0" w:lastRowLastColumn="0"/>
            <w:tcW w:w="726" w:type="pct"/>
          </w:tcPr>
          <w:p w14:paraId="43225C6D" w14:textId="77777777" w:rsidR="00B44672" w:rsidRDefault="00B44672" w:rsidP="00CB6E83">
            <w:pPr>
              <w:pStyle w:val="Compact"/>
              <w:jc w:val="center"/>
            </w:pPr>
            <w:r>
              <w:t>-0.66</w:t>
            </w:r>
          </w:p>
        </w:tc>
      </w:tr>
      <w:tr w:rsidR="00B44672" w14:paraId="09B5CA5E"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7F3964A5" w14:textId="77777777" w:rsidR="00B44672" w:rsidRDefault="00B44672" w:rsidP="00CB6E83">
            <w:pPr>
              <w:pStyle w:val="Compact"/>
            </w:pPr>
            <w:r>
              <w:t>Quint 4</w:t>
            </w:r>
          </w:p>
        </w:tc>
        <w:tc>
          <w:tcPr>
            <w:tcW w:w="1144" w:type="pct"/>
          </w:tcPr>
          <w:p w14:paraId="57D700E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27.66</w:t>
            </w:r>
          </w:p>
        </w:tc>
        <w:tc>
          <w:tcPr>
            <w:tcW w:w="1527" w:type="pct"/>
          </w:tcPr>
          <w:p w14:paraId="6E49AA2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27.38</w:t>
            </w:r>
          </w:p>
        </w:tc>
        <w:tc>
          <w:tcPr>
            <w:cnfStyle w:val="000100000000" w:firstRow="0" w:lastRow="0" w:firstColumn="0" w:lastColumn="1" w:oddVBand="0" w:evenVBand="0" w:oddHBand="0" w:evenHBand="0" w:firstRowFirstColumn="0" w:firstRowLastColumn="0" w:lastRowFirstColumn="0" w:lastRowLastColumn="0"/>
            <w:tcW w:w="726" w:type="pct"/>
          </w:tcPr>
          <w:p w14:paraId="1B118205" w14:textId="77777777" w:rsidR="00B44672" w:rsidRDefault="00B44672" w:rsidP="00CB6E83">
            <w:pPr>
              <w:pStyle w:val="Compact"/>
              <w:jc w:val="center"/>
            </w:pPr>
            <w:r>
              <w:t>0.28</w:t>
            </w:r>
          </w:p>
        </w:tc>
      </w:tr>
      <w:tr w:rsidR="00B44672" w14:paraId="54C7DF23"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1E2135BE" w14:textId="77777777" w:rsidR="00B44672" w:rsidRDefault="00B44672" w:rsidP="00CB6E83">
            <w:pPr>
              <w:pStyle w:val="Compact"/>
            </w:pPr>
            <w:r>
              <w:t>Quint 5</w:t>
            </w:r>
          </w:p>
        </w:tc>
        <w:tc>
          <w:tcPr>
            <w:tcW w:w="1144" w:type="pct"/>
          </w:tcPr>
          <w:p w14:paraId="7B17795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39.28</w:t>
            </w:r>
          </w:p>
        </w:tc>
        <w:tc>
          <w:tcPr>
            <w:tcW w:w="1527" w:type="pct"/>
          </w:tcPr>
          <w:p w14:paraId="4E96C4B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38.53</w:t>
            </w:r>
          </w:p>
        </w:tc>
        <w:tc>
          <w:tcPr>
            <w:cnfStyle w:val="000100000000" w:firstRow="0" w:lastRow="0" w:firstColumn="0" w:lastColumn="1" w:oddVBand="0" w:evenVBand="0" w:oddHBand="0" w:evenHBand="0" w:firstRowFirstColumn="0" w:firstRowLastColumn="0" w:lastRowFirstColumn="0" w:lastRowLastColumn="0"/>
            <w:tcW w:w="726" w:type="pct"/>
          </w:tcPr>
          <w:p w14:paraId="0906611A" w14:textId="77777777" w:rsidR="00B44672" w:rsidRDefault="00B44672" w:rsidP="00CB6E83">
            <w:pPr>
              <w:pStyle w:val="Compact"/>
              <w:jc w:val="center"/>
            </w:pPr>
            <w:r>
              <w:t>0.74</w:t>
            </w:r>
          </w:p>
        </w:tc>
      </w:tr>
      <w:tr w:rsidR="00B44672" w14:paraId="370075FB"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12C82081"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1144" w:type="pct"/>
          </w:tcPr>
          <w:p w14:paraId="22939FB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1527" w:type="pct"/>
          </w:tcPr>
          <w:p w14:paraId="1463522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26" w:type="pct"/>
          </w:tcPr>
          <w:p w14:paraId="415362C2" w14:textId="77777777" w:rsidR="00B44672" w:rsidRDefault="00B44672" w:rsidP="00A567C4">
            <w:pPr>
              <w:pStyle w:val="Compact"/>
              <w:jc w:val="center"/>
            </w:pPr>
          </w:p>
        </w:tc>
      </w:tr>
      <w:tr w:rsidR="00B44672" w14:paraId="6074D063"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27BAFF4B" w14:textId="77777777" w:rsidR="00B44672" w:rsidRDefault="00B44672" w:rsidP="00A567C4">
            <w:pPr>
              <w:pStyle w:val="Compact"/>
            </w:pPr>
            <w:r>
              <w:t>Quint 1</w:t>
            </w:r>
          </w:p>
        </w:tc>
        <w:tc>
          <w:tcPr>
            <w:tcW w:w="1144" w:type="pct"/>
          </w:tcPr>
          <w:p w14:paraId="4BE0A34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2.28</w:t>
            </w:r>
          </w:p>
        </w:tc>
        <w:tc>
          <w:tcPr>
            <w:tcW w:w="1527" w:type="pct"/>
          </w:tcPr>
          <w:p w14:paraId="03E5D6F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2.47</w:t>
            </w:r>
          </w:p>
        </w:tc>
        <w:tc>
          <w:tcPr>
            <w:cnfStyle w:val="000100000000" w:firstRow="0" w:lastRow="0" w:firstColumn="0" w:lastColumn="1" w:oddVBand="0" w:evenVBand="0" w:oddHBand="0" w:evenHBand="0" w:firstRowFirstColumn="0" w:firstRowLastColumn="0" w:lastRowFirstColumn="0" w:lastRowLastColumn="0"/>
            <w:tcW w:w="726" w:type="pct"/>
          </w:tcPr>
          <w:p w14:paraId="23752763" w14:textId="77777777" w:rsidR="00B44672" w:rsidRDefault="00B44672" w:rsidP="00A567C4">
            <w:pPr>
              <w:pStyle w:val="Compact"/>
              <w:jc w:val="center"/>
            </w:pPr>
            <w:r>
              <w:t>-0.19</w:t>
            </w:r>
          </w:p>
        </w:tc>
      </w:tr>
      <w:tr w:rsidR="00B44672" w14:paraId="0D444D81"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7C6B547B" w14:textId="77777777" w:rsidR="00B44672" w:rsidRDefault="00B44672" w:rsidP="00A567C4">
            <w:pPr>
              <w:pStyle w:val="Compact"/>
            </w:pPr>
            <w:r>
              <w:t>Quint 2</w:t>
            </w:r>
          </w:p>
        </w:tc>
        <w:tc>
          <w:tcPr>
            <w:tcW w:w="1144" w:type="pct"/>
          </w:tcPr>
          <w:p w14:paraId="3C94EFD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8.31</w:t>
            </w:r>
          </w:p>
        </w:tc>
        <w:tc>
          <w:tcPr>
            <w:tcW w:w="1527" w:type="pct"/>
          </w:tcPr>
          <w:p w14:paraId="38C0E59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8.54</w:t>
            </w:r>
          </w:p>
        </w:tc>
        <w:tc>
          <w:tcPr>
            <w:cnfStyle w:val="000100000000" w:firstRow="0" w:lastRow="0" w:firstColumn="0" w:lastColumn="1" w:oddVBand="0" w:evenVBand="0" w:oddHBand="0" w:evenHBand="0" w:firstRowFirstColumn="0" w:firstRowLastColumn="0" w:lastRowFirstColumn="0" w:lastRowLastColumn="0"/>
            <w:tcW w:w="726" w:type="pct"/>
          </w:tcPr>
          <w:p w14:paraId="5B34A254" w14:textId="77777777" w:rsidR="00B44672" w:rsidRDefault="00B44672" w:rsidP="00A567C4">
            <w:pPr>
              <w:pStyle w:val="Compact"/>
              <w:jc w:val="center"/>
            </w:pPr>
            <w:r>
              <w:t>-0.22</w:t>
            </w:r>
          </w:p>
        </w:tc>
      </w:tr>
      <w:tr w:rsidR="00B44672" w14:paraId="51D09952"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105E114D" w14:textId="77777777" w:rsidR="00B44672" w:rsidRDefault="00B44672" w:rsidP="00A567C4">
            <w:pPr>
              <w:pStyle w:val="Compact"/>
            </w:pPr>
            <w:r>
              <w:t>Quint 3</w:t>
            </w:r>
          </w:p>
        </w:tc>
        <w:tc>
          <w:tcPr>
            <w:tcW w:w="1144" w:type="pct"/>
          </w:tcPr>
          <w:p w14:paraId="03CA7CB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22.48</w:t>
            </w:r>
          </w:p>
        </w:tc>
        <w:tc>
          <w:tcPr>
            <w:tcW w:w="1527" w:type="pct"/>
          </w:tcPr>
          <w:p w14:paraId="0A1FEFE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23.13</w:t>
            </w:r>
          </w:p>
        </w:tc>
        <w:tc>
          <w:tcPr>
            <w:cnfStyle w:val="000100000000" w:firstRow="0" w:lastRow="0" w:firstColumn="0" w:lastColumn="1" w:oddVBand="0" w:evenVBand="0" w:oddHBand="0" w:evenHBand="0" w:firstRowFirstColumn="0" w:firstRowLastColumn="0" w:lastRowFirstColumn="0" w:lastRowLastColumn="0"/>
            <w:tcW w:w="726" w:type="pct"/>
          </w:tcPr>
          <w:p w14:paraId="0642F57E" w14:textId="77777777" w:rsidR="00B44672" w:rsidRDefault="00B44672" w:rsidP="00A567C4">
            <w:pPr>
              <w:pStyle w:val="Compact"/>
              <w:jc w:val="center"/>
            </w:pPr>
            <w:r>
              <w:t>-0.66</w:t>
            </w:r>
          </w:p>
        </w:tc>
      </w:tr>
      <w:tr w:rsidR="00B44672" w14:paraId="41AEC56B"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4A96C19F" w14:textId="77777777" w:rsidR="00B44672" w:rsidRDefault="00B44672" w:rsidP="00A567C4">
            <w:pPr>
              <w:pStyle w:val="Compact"/>
            </w:pPr>
            <w:r>
              <w:t>Quint 4</w:t>
            </w:r>
          </w:p>
        </w:tc>
        <w:tc>
          <w:tcPr>
            <w:tcW w:w="1144" w:type="pct"/>
          </w:tcPr>
          <w:p w14:paraId="148EBAA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27.66</w:t>
            </w:r>
          </w:p>
        </w:tc>
        <w:tc>
          <w:tcPr>
            <w:tcW w:w="1527" w:type="pct"/>
          </w:tcPr>
          <w:p w14:paraId="429B032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27.36</w:t>
            </w:r>
          </w:p>
        </w:tc>
        <w:tc>
          <w:tcPr>
            <w:cnfStyle w:val="000100000000" w:firstRow="0" w:lastRow="0" w:firstColumn="0" w:lastColumn="1" w:oddVBand="0" w:evenVBand="0" w:oddHBand="0" w:evenHBand="0" w:firstRowFirstColumn="0" w:firstRowLastColumn="0" w:lastRowFirstColumn="0" w:lastRowLastColumn="0"/>
            <w:tcW w:w="726" w:type="pct"/>
          </w:tcPr>
          <w:p w14:paraId="4FD53713" w14:textId="77777777" w:rsidR="00B44672" w:rsidRDefault="00B44672" w:rsidP="00A567C4">
            <w:pPr>
              <w:pStyle w:val="Compact"/>
              <w:jc w:val="center"/>
            </w:pPr>
            <w:r>
              <w:t>0.30</w:t>
            </w:r>
          </w:p>
        </w:tc>
      </w:tr>
      <w:tr w:rsidR="00B44672" w14:paraId="2708EC57"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68D87AD3" w14:textId="77777777" w:rsidR="00B44672" w:rsidRDefault="00B44672" w:rsidP="00A567C4">
            <w:pPr>
              <w:pStyle w:val="Compact"/>
            </w:pPr>
            <w:r>
              <w:t>Quint 5</w:t>
            </w:r>
          </w:p>
        </w:tc>
        <w:tc>
          <w:tcPr>
            <w:tcW w:w="1144" w:type="pct"/>
          </w:tcPr>
          <w:p w14:paraId="53ECF28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39.28</w:t>
            </w:r>
          </w:p>
        </w:tc>
        <w:tc>
          <w:tcPr>
            <w:tcW w:w="1527" w:type="pct"/>
          </w:tcPr>
          <w:p w14:paraId="4420106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38.51</w:t>
            </w:r>
          </w:p>
        </w:tc>
        <w:tc>
          <w:tcPr>
            <w:cnfStyle w:val="000100000000" w:firstRow="0" w:lastRow="0" w:firstColumn="0" w:lastColumn="1" w:oddVBand="0" w:evenVBand="0" w:oddHBand="0" w:evenHBand="0" w:firstRowFirstColumn="0" w:firstRowLastColumn="0" w:lastRowFirstColumn="0" w:lastRowLastColumn="0"/>
            <w:tcW w:w="726" w:type="pct"/>
          </w:tcPr>
          <w:p w14:paraId="1D21716C" w14:textId="77777777" w:rsidR="00B44672" w:rsidRDefault="00B44672" w:rsidP="00A567C4">
            <w:pPr>
              <w:pStyle w:val="Compact"/>
              <w:jc w:val="center"/>
            </w:pPr>
            <w:r>
              <w:t>0.77</w:t>
            </w:r>
          </w:p>
        </w:tc>
      </w:tr>
      <w:tr w:rsidR="00B44672" w14:paraId="7A65C5B4"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1C5F909C" w14:textId="77777777" w:rsidR="00B44672" w:rsidRDefault="00B44672" w:rsidP="00302865">
            <w:pPr>
              <w:pStyle w:val="Compact"/>
            </w:pPr>
            <w:r w:rsidRPr="00113FC1">
              <w:rPr>
                <w:b/>
                <w:i/>
                <w:iCs/>
                <w:color w:val="365F91" w:themeColor="accent1" w:themeShade="BF"/>
              </w:rPr>
              <w:t>1.24 – 2.19% price change</w:t>
            </w:r>
          </w:p>
        </w:tc>
        <w:tc>
          <w:tcPr>
            <w:tcW w:w="1144" w:type="pct"/>
          </w:tcPr>
          <w:p w14:paraId="193B83B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1527" w:type="pct"/>
          </w:tcPr>
          <w:p w14:paraId="1B38010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26" w:type="pct"/>
          </w:tcPr>
          <w:p w14:paraId="4E8C60AE" w14:textId="77777777" w:rsidR="00B44672" w:rsidRDefault="00B44672" w:rsidP="00302865">
            <w:pPr>
              <w:pStyle w:val="Compact"/>
              <w:jc w:val="center"/>
            </w:pPr>
          </w:p>
        </w:tc>
      </w:tr>
      <w:tr w:rsidR="00B44672" w14:paraId="64E0B935"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2D5E8A12" w14:textId="77777777" w:rsidR="00B44672" w:rsidRDefault="00B44672" w:rsidP="00302865">
            <w:pPr>
              <w:pStyle w:val="Compact"/>
            </w:pPr>
            <w:r>
              <w:t>Quint 1</w:t>
            </w:r>
          </w:p>
        </w:tc>
        <w:tc>
          <w:tcPr>
            <w:tcW w:w="1144" w:type="pct"/>
          </w:tcPr>
          <w:p w14:paraId="1EE39BC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2.28</w:t>
            </w:r>
          </w:p>
        </w:tc>
        <w:tc>
          <w:tcPr>
            <w:tcW w:w="1527" w:type="pct"/>
          </w:tcPr>
          <w:p w14:paraId="1CDCB0F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2.47</w:t>
            </w:r>
          </w:p>
        </w:tc>
        <w:tc>
          <w:tcPr>
            <w:cnfStyle w:val="000100000000" w:firstRow="0" w:lastRow="0" w:firstColumn="0" w:lastColumn="1" w:oddVBand="0" w:evenVBand="0" w:oddHBand="0" w:evenHBand="0" w:firstRowFirstColumn="0" w:firstRowLastColumn="0" w:lastRowFirstColumn="0" w:lastRowLastColumn="0"/>
            <w:tcW w:w="726" w:type="pct"/>
          </w:tcPr>
          <w:p w14:paraId="597E7F26" w14:textId="77777777" w:rsidR="00B44672" w:rsidRDefault="00B44672" w:rsidP="00302865">
            <w:pPr>
              <w:pStyle w:val="Compact"/>
              <w:jc w:val="center"/>
            </w:pPr>
            <w:r>
              <w:t>-0.19</w:t>
            </w:r>
          </w:p>
        </w:tc>
      </w:tr>
      <w:tr w:rsidR="00B44672" w14:paraId="3B17A991"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1C2E0F61" w14:textId="77777777" w:rsidR="00B44672" w:rsidRDefault="00B44672" w:rsidP="00302865">
            <w:pPr>
              <w:pStyle w:val="Compact"/>
            </w:pPr>
            <w:r>
              <w:t>Quint 2</w:t>
            </w:r>
          </w:p>
        </w:tc>
        <w:tc>
          <w:tcPr>
            <w:tcW w:w="1144" w:type="pct"/>
          </w:tcPr>
          <w:p w14:paraId="2E10D00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8.31</w:t>
            </w:r>
          </w:p>
        </w:tc>
        <w:tc>
          <w:tcPr>
            <w:tcW w:w="1527" w:type="pct"/>
          </w:tcPr>
          <w:p w14:paraId="5608B96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8.62</w:t>
            </w:r>
          </w:p>
        </w:tc>
        <w:tc>
          <w:tcPr>
            <w:cnfStyle w:val="000100000000" w:firstRow="0" w:lastRow="0" w:firstColumn="0" w:lastColumn="1" w:oddVBand="0" w:evenVBand="0" w:oddHBand="0" w:evenHBand="0" w:firstRowFirstColumn="0" w:firstRowLastColumn="0" w:lastRowFirstColumn="0" w:lastRowLastColumn="0"/>
            <w:tcW w:w="726" w:type="pct"/>
          </w:tcPr>
          <w:p w14:paraId="27BDE56F" w14:textId="77777777" w:rsidR="00B44672" w:rsidRDefault="00B44672" w:rsidP="00302865">
            <w:pPr>
              <w:pStyle w:val="Compact"/>
              <w:jc w:val="center"/>
            </w:pPr>
            <w:r>
              <w:t>-0.31</w:t>
            </w:r>
          </w:p>
        </w:tc>
      </w:tr>
      <w:tr w:rsidR="00B44672" w14:paraId="3ED19161"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15D0FC24" w14:textId="77777777" w:rsidR="00B44672" w:rsidRDefault="00B44672" w:rsidP="00302865">
            <w:pPr>
              <w:pStyle w:val="Compact"/>
            </w:pPr>
            <w:r>
              <w:t>Quint 3</w:t>
            </w:r>
          </w:p>
        </w:tc>
        <w:tc>
          <w:tcPr>
            <w:tcW w:w="1144" w:type="pct"/>
          </w:tcPr>
          <w:p w14:paraId="0D65AA1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22.48</w:t>
            </w:r>
          </w:p>
        </w:tc>
        <w:tc>
          <w:tcPr>
            <w:tcW w:w="1527" w:type="pct"/>
          </w:tcPr>
          <w:p w14:paraId="103B63B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23.08</w:t>
            </w:r>
          </w:p>
        </w:tc>
        <w:tc>
          <w:tcPr>
            <w:cnfStyle w:val="000100000000" w:firstRow="0" w:lastRow="0" w:firstColumn="0" w:lastColumn="1" w:oddVBand="0" w:evenVBand="0" w:oddHBand="0" w:evenHBand="0" w:firstRowFirstColumn="0" w:firstRowLastColumn="0" w:lastRowFirstColumn="0" w:lastRowLastColumn="0"/>
            <w:tcW w:w="726" w:type="pct"/>
          </w:tcPr>
          <w:p w14:paraId="516C3246" w14:textId="77777777" w:rsidR="00B44672" w:rsidRDefault="00B44672" w:rsidP="00302865">
            <w:pPr>
              <w:pStyle w:val="Compact"/>
              <w:jc w:val="center"/>
            </w:pPr>
            <w:r>
              <w:t>-0.60</w:t>
            </w:r>
          </w:p>
        </w:tc>
      </w:tr>
      <w:tr w:rsidR="00B44672" w14:paraId="10077EC6" w14:textId="77777777" w:rsidTr="00CB6E83">
        <w:trPr>
          <w:jc w:val="center"/>
        </w:trPr>
        <w:tc>
          <w:tcPr>
            <w:cnfStyle w:val="001000000000" w:firstRow="0" w:lastRow="0" w:firstColumn="1" w:lastColumn="0" w:oddVBand="0" w:evenVBand="0" w:oddHBand="0" w:evenHBand="0" w:firstRowFirstColumn="0" w:firstRowLastColumn="0" w:lastRowFirstColumn="0" w:lastRowLastColumn="0"/>
            <w:tcW w:w="1603" w:type="pct"/>
          </w:tcPr>
          <w:p w14:paraId="08C309F0" w14:textId="77777777" w:rsidR="00B44672" w:rsidRDefault="00B44672" w:rsidP="00302865">
            <w:pPr>
              <w:pStyle w:val="Compact"/>
            </w:pPr>
            <w:r>
              <w:t>Quint 4</w:t>
            </w:r>
          </w:p>
        </w:tc>
        <w:tc>
          <w:tcPr>
            <w:tcW w:w="1144" w:type="pct"/>
          </w:tcPr>
          <w:p w14:paraId="3D60EB8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27.66</w:t>
            </w:r>
          </w:p>
        </w:tc>
        <w:tc>
          <w:tcPr>
            <w:tcW w:w="1527" w:type="pct"/>
          </w:tcPr>
          <w:p w14:paraId="4A39058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27.32</w:t>
            </w:r>
          </w:p>
        </w:tc>
        <w:tc>
          <w:tcPr>
            <w:cnfStyle w:val="000100000000" w:firstRow="0" w:lastRow="0" w:firstColumn="0" w:lastColumn="1" w:oddVBand="0" w:evenVBand="0" w:oddHBand="0" w:evenHBand="0" w:firstRowFirstColumn="0" w:firstRowLastColumn="0" w:lastRowFirstColumn="0" w:lastRowLastColumn="0"/>
            <w:tcW w:w="726" w:type="pct"/>
          </w:tcPr>
          <w:p w14:paraId="08967B5E" w14:textId="77777777" w:rsidR="00B44672" w:rsidRDefault="00B44672" w:rsidP="00302865">
            <w:pPr>
              <w:pStyle w:val="Compact"/>
              <w:jc w:val="center"/>
            </w:pPr>
            <w:r>
              <w:t>0.34</w:t>
            </w:r>
          </w:p>
        </w:tc>
      </w:tr>
      <w:tr w:rsidR="00B44672" w14:paraId="7E5D8F87" w14:textId="77777777" w:rsidTr="00CB6E8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tcPr>
          <w:p w14:paraId="0A971932" w14:textId="77777777" w:rsidR="00B44672" w:rsidRDefault="00B44672" w:rsidP="00302865">
            <w:pPr>
              <w:pStyle w:val="Compact"/>
            </w:pPr>
            <w:r>
              <w:t>Quint 5</w:t>
            </w:r>
          </w:p>
        </w:tc>
        <w:tc>
          <w:tcPr>
            <w:tcW w:w="1144" w:type="pct"/>
          </w:tcPr>
          <w:p w14:paraId="61AE4D88"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39.28</w:t>
            </w:r>
          </w:p>
        </w:tc>
        <w:tc>
          <w:tcPr>
            <w:tcW w:w="1527" w:type="pct"/>
          </w:tcPr>
          <w:p w14:paraId="76E14759"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38.50</w:t>
            </w:r>
          </w:p>
        </w:tc>
        <w:tc>
          <w:tcPr>
            <w:cnfStyle w:val="000100000000" w:firstRow="0" w:lastRow="0" w:firstColumn="0" w:lastColumn="1" w:oddVBand="0" w:evenVBand="0" w:oddHBand="0" w:evenHBand="0" w:firstRowFirstColumn="0" w:firstRowLastColumn="0" w:lastRowFirstColumn="0" w:lastRowLastColumn="0"/>
            <w:tcW w:w="726" w:type="pct"/>
          </w:tcPr>
          <w:p w14:paraId="3B7B2595" w14:textId="77777777" w:rsidR="00B44672" w:rsidRDefault="00B44672" w:rsidP="00302865">
            <w:pPr>
              <w:pStyle w:val="Compact"/>
              <w:jc w:val="center"/>
            </w:pPr>
            <w:r>
              <w:t>0.77</w:t>
            </w:r>
          </w:p>
        </w:tc>
      </w:tr>
    </w:tbl>
    <w:p w14:paraId="66583C68" w14:textId="77777777" w:rsidR="00B44672" w:rsidRDefault="00B44672" w:rsidP="00C83581">
      <w:pPr>
        <w:pStyle w:val="BlockText"/>
      </w:pPr>
      <w:r>
        <w:rPr>
          <w:i/>
        </w:rPr>
        <w:t>Source:</w:t>
      </w:r>
      <w:r>
        <w:t xml:space="preserve"> Calculations from NATSEM microsimulation model.</w:t>
      </w:r>
      <w:r>
        <w:br/>
      </w:r>
      <w:r>
        <w:rPr>
          <w:i/>
        </w:rPr>
        <w:t>Note:</w:t>
      </w:r>
      <w:r>
        <w:t xml:space="preserve"> (</w:t>
      </w:r>
      <w:proofErr w:type="spellStart"/>
      <w:r>
        <w:t>i</w:t>
      </w:r>
      <w:proofErr w:type="spellEnd"/>
      <w:r>
        <w:t xml:space="preserve">) The % is the percent of total stamp duty paid by all the income units who paid stamp duty in each income quintile. It will sum to 100 across all income quintiles; (ii) Diff means the difference between the new and old tax policies. </w:t>
      </w:r>
    </w:p>
    <w:p w14:paraId="6212401D" w14:textId="77777777" w:rsidR="00B44672" w:rsidRDefault="00B44672">
      <w:pPr>
        <w:jc w:val="left"/>
        <w:rPr>
          <w:b/>
          <w:i/>
          <w:color w:val="365F91" w:themeColor="accent1" w:themeShade="BF"/>
        </w:rPr>
      </w:pPr>
      <w:r>
        <w:br w:type="page"/>
      </w:r>
    </w:p>
    <w:p w14:paraId="71328CAC" w14:textId="77777777" w:rsidR="00B44672" w:rsidRDefault="00B44672" w:rsidP="00C83581">
      <w:pPr>
        <w:pStyle w:val="TableCaption"/>
      </w:pPr>
      <w:r>
        <w:lastRenderedPageBreak/>
        <w:t>Table 14 - The impact of tax reform on stamp duty paid by income quintile, average 2012 – 2018</w:t>
      </w:r>
    </w:p>
    <w:tbl>
      <w:tblPr>
        <w:tblStyle w:val="Table"/>
        <w:tblW w:w="6139" w:type="pct"/>
        <w:jc w:val="center"/>
        <w:tblCellMar>
          <w:left w:w="0" w:type="dxa"/>
          <w:right w:w="0" w:type="dxa"/>
        </w:tblCellMar>
        <w:tblLook w:val="07E0" w:firstRow="1" w:lastRow="1" w:firstColumn="1" w:lastColumn="1" w:noHBand="1" w:noVBand="1"/>
        <w:tblCaption w:val="Table 14 - The impact of tax reform on stamp duty paid by income quintile, average 2012 – 2018"/>
      </w:tblPr>
      <w:tblGrid>
        <w:gridCol w:w="2601"/>
        <w:gridCol w:w="1024"/>
        <w:gridCol w:w="1006"/>
        <w:gridCol w:w="842"/>
        <w:gridCol w:w="1048"/>
        <w:gridCol w:w="1026"/>
        <w:gridCol w:w="805"/>
        <w:gridCol w:w="977"/>
        <w:gridCol w:w="957"/>
        <w:gridCol w:w="796"/>
      </w:tblGrid>
      <w:tr w:rsidR="00B44672" w14:paraId="3C414589" w14:textId="77777777" w:rsidTr="003028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3" w:type="pct"/>
            <w:tcBorders>
              <w:bottom w:val="single" w:sz="0" w:space="0" w:color="auto"/>
            </w:tcBorders>
            <w:vAlign w:val="bottom"/>
          </w:tcPr>
          <w:p w14:paraId="3B4B9127" w14:textId="77777777" w:rsidR="00B44672" w:rsidRDefault="00B44672" w:rsidP="000511CA"/>
        </w:tc>
        <w:tc>
          <w:tcPr>
            <w:tcW w:w="462" w:type="pct"/>
            <w:tcBorders>
              <w:bottom w:val="single" w:sz="0" w:space="0" w:color="auto"/>
            </w:tcBorders>
            <w:vAlign w:val="bottom"/>
          </w:tcPr>
          <w:p w14:paraId="5D0C69F2"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affected</w:t>
            </w:r>
          </w:p>
        </w:tc>
        <w:tc>
          <w:tcPr>
            <w:tcW w:w="454" w:type="pct"/>
            <w:tcBorders>
              <w:bottom w:val="single" w:sz="0" w:space="0" w:color="auto"/>
            </w:tcBorders>
            <w:vAlign w:val="bottom"/>
          </w:tcPr>
          <w:p w14:paraId="40494E84"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affected</w:t>
            </w:r>
          </w:p>
        </w:tc>
        <w:tc>
          <w:tcPr>
            <w:tcW w:w="380" w:type="pct"/>
            <w:tcBorders>
              <w:bottom w:val="single" w:sz="0" w:space="0" w:color="auto"/>
            </w:tcBorders>
            <w:vAlign w:val="bottom"/>
          </w:tcPr>
          <w:p w14:paraId="5756037B"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 affected</w:t>
            </w:r>
          </w:p>
        </w:tc>
        <w:tc>
          <w:tcPr>
            <w:tcW w:w="473" w:type="pct"/>
            <w:tcBorders>
              <w:bottom w:val="single" w:sz="0" w:space="0" w:color="auto"/>
            </w:tcBorders>
            <w:vAlign w:val="bottom"/>
          </w:tcPr>
          <w:p w14:paraId="19D0643F"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stamp duty</w:t>
            </w:r>
          </w:p>
          <w:p w14:paraId="6AA28134"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63" w:type="pct"/>
            <w:tcBorders>
              <w:bottom w:val="single" w:sz="0" w:space="0" w:color="auto"/>
            </w:tcBorders>
            <w:vAlign w:val="bottom"/>
          </w:tcPr>
          <w:p w14:paraId="77438A32"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stamp duty</w:t>
            </w:r>
          </w:p>
          <w:p w14:paraId="751985F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363" w:type="pct"/>
            <w:tcBorders>
              <w:bottom w:val="single" w:sz="0" w:space="0" w:color="auto"/>
            </w:tcBorders>
            <w:vAlign w:val="bottom"/>
          </w:tcPr>
          <w:p w14:paraId="6F36356A"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stamp duty</w:t>
            </w:r>
          </w:p>
          <w:p w14:paraId="0DAC231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41" w:type="pct"/>
            <w:tcBorders>
              <w:bottom w:val="single" w:sz="0" w:space="0" w:color="auto"/>
            </w:tcBorders>
            <w:vAlign w:val="bottom"/>
          </w:tcPr>
          <w:p w14:paraId="1FCBCFE7"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32" w:type="pct"/>
            <w:tcBorders>
              <w:bottom w:val="single" w:sz="0" w:space="0" w:color="auto"/>
            </w:tcBorders>
            <w:vAlign w:val="bottom"/>
          </w:tcPr>
          <w:p w14:paraId="68F38584"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359" w:type="pct"/>
            <w:tcBorders>
              <w:bottom w:val="single" w:sz="0" w:space="0" w:color="auto"/>
            </w:tcBorders>
            <w:vAlign w:val="bottom"/>
          </w:tcPr>
          <w:p w14:paraId="6156066C" w14:textId="77777777" w:rsidR="00B44672" w:rsidRDefault="00B44672" w:rsidP="000511CA">
            <w:pPr>
              <w:pStyle w:val="Compact"/>
              <w:jc w:val="center"/>
            </w:pPr>
            <w:r>
              <w:t>Diff - % point change in income</w:t>
            </w:r>
          </w:p>
        </w:tc>
      </w:tr>
      <w:tr w:rsidR="00B44672" w14:paraId="58CD9054"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2F156C9E" w14:textId="77777777" w:rsidR="00B44672" w:rsidRDefault="00B44672" w:rsidP="00CB6E83">
            <w:pPr>
              <w:pStyle w:val="Compact"/>
            </w:pPr>
            <w:r w:rsidRPr="00AF6491">
              <w:rPr>
                <w:b/>
                <w:i/>
                <w:iCs/>
                <w:color w:val="365F91" w:themeColor="accent1" w:themeShade="BF"/>
              </w:rPr>
              <w:t>No price change</w:t>
            </w:r>
          </w:p>
        </w:tc>
        <w:tc>
          <w:tcPr>
            <w:tcW w:w="462" w:type="pct"/>
          </w:tcPr>
          <w:p w14:paraId="63F4A6B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3BAB9E1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380" w:type="pct"/>
          </w:tcPr>
          <w:p w14:paraId="41DD486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73" w:type="pct"/>
          </w:tcPr>
          <w:p w14:paraId="6130568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63" w:type="pct"/>
          </w:tcPr>
          <w:p w14:paraId="1674B6E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363" w:type="pct"/>
          </w:tcPr>
          <w:p w14:paraId="1699ED2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41" w:type="pct"/>
          </w:tcPr>
          <w:p w14:paraId="2A2AAE5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32" w:type="pct"/>
          </w:tcPr>
          <w:p w14:paraId="426FA8B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59" w:type="pct"/>
          </w:tcPr>
          <w:p w14:paraId="50A804D0" w14:textId="77777777" w:rsidR="00B44672" w:rsidRDefault="00B44672" w:rsidP="00CB6E83">
            <w:pPr>
              <w:pStyle w:val="Compact"/>
              <w:jc w:val="center"/>
            </w:pPr>
          </w:p>
        </w:tc>
      </w:tr>
      <w:tr w:rsidR="00B44672" w14:paraId="2D26E759"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6126CE84" w14:textId="77777777" w:rsidR="00B44672" w:rsidRDefault="00B44672" w:rsidP="00CB6E83">
            <w:pPr>
              <w:pStyle w:val="Compact"/>
            </w:pPr>
            <w:r>
              <w:t>Quint 1</w:t>
            </w:r>
          </w:p>
        </w:tc>
        <w:tc>
          <w:tcPr>
            <w:tcW w:w="462" w:type="pct"/>
          </w:tcPr>
          <w:p w14:paraId="28CD7C4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797</w:t>
            </w:r>
          </w:p>
        </w:tc>
        <w:tc>
          <w:tcPr>
            <w:tcW w:w="454" w:type="pct"/>
          </w:tcPr>
          <w:p w14:paraId="6E25F0A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795</w:t>
            </w:r>
          </w:p>
        </w:tc>
        <w:tc>
          <w:tcPr>
            <w:tcW w:w="380" w:type="pct"/>
          </w:tcPr>
          <w:p w14:paraId="408E4BB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w:t>
            </w:r>
          </w:p>
        </w:tc>
        <w:tc>
          <w:tcPr>
            <w:tcW w:w="473" w:type="pct"/>
          </w:tcPr>
          <w:p w14:paraId="2DFAF6C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6,432</w:t>
            </w:r>
          </w:p>
        </w:tc>
        <w:tc>
          <w:tcPr>
            <w:tcW w:w="463" w:type="pct"/>
          </w:tcPr>
          <w:p w14:paraId="0FDB227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8,867</w:t>
            </w:r>
          </w:p>
        </w:tc>
        <w:tc>
          <w:tcPr>
            <w:tcW w:w="363" w:type="pct"/>
          </w:tcPr>
          <w:p w14:paraId="64C5083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-2,435</w:t>
            </w:r>
          </w:p>
        </w:tc>
        <w:tc>
          <w:tcPr>
            <w:tcW w:w="441" w:type="pct"/>
          </w:tcPr>
          <w:p w14:paraId="75D9048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20.95</w:t>
            </w:r>
          </w:p>
        </w:tc>
        <w:tc>
          <w:tcPr>
            <w:tcW w:w="432" w:type="pct"/>
          </w:tcPr>
          <w:p w14:paraId="219004D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28.88</w:t>
            </w:r>
          </w:p>
        </w:tc>
        <w:tc>
          <w:tcPr>
            <w:cnfStyle w:val="000100000000" w:firstRow="0" w:lastRow="0" w:firstColumn="0" w:lastColumn="1" w:oddVBand="0" w:evenVBand="0" w:oddHBand="0" w:evenHBand="0" w:firstRowFirstColumn="0" w:firstRowLastColumn="0" w:lastRowFirstColumn="0" w:lastRowLastColumn="0"/>
            <w:tcW w:w="359" w:type="pct"/>
          </w:tcPr>
          <w:p w14:paraId="2D1581F2" w14:textId="77777777" w:rsidR="00B44672" w:rsidRDefault="00B44672" w:rsidP="00CB6E83">
            <w:pPr>
              <w:pStyle w:val="Compact"/>
              <w:jc w:val="center"/>
            </w:pPr>
            <w:r>
              <w:t>-7.93</w:t>
            </w:r>
          </w:p>
        </w:tc>
      </w:tr>
      <w:tr w:rsidR="00B44672" w14:paraId="30E3D19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48861148" w14:textId="77777777" w:rsidR="00B44672" w:rsidRDefault="00B44672" w:rsidP="00CB6E83">
            <w:pPr>
              <w:pStyle w:val="Compact"/>
            </w:pPr>
            <w:r>
              <w:t>Quint 2</w:t>
            </w:r>
          </w:p>
        </w:tc>
        <w:tc>
          <w:tcPr>
            <w:tcW w:w="462" w:type="pct"/>
          </w:tcPr>
          <w:p w14:paraId="5A51C9B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1,424</w:t>
            </w:r>
          </w:p>
        </w:tc>
        <w:tc>
          <w:tcPr>
            <w:tcW w:w="454" w:type="pct"/>
          </w:tcPr>
          <w:p w14:paraId="0EB4C4D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1,386</w:t>
            </w:r>
          </w:p>
        </w:tc>
        <w:tc>
          <w:tcPr>
            <w:tcW w:w="380" w:type="pct"/>
          </w:tcPr>
          <w:p w14:paraId="47F0C8B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38</w:t>
            </w:r>
          </w:p>
        </w:tc>
        <w:tc>
          <w:tcPr>
            <w:tcW w:w="473" w:type="pct"/>
          </w:tcPr>
          <w:p w14:paraId="7B5024E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13,517</w:t>
            </w:r>
          </w:p>
        </w:tc>
        <w:tc>
          <w:tcPr>
            <w:tcW w:w="463" w:type="pct"/>
          </w:tcPr>
          <w:p w14:paraId="4CA4ED1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18,179</w:t>
            </w:r>
          </w:p>
        </w:tc>
        <w:tc>
          <w:tcPr>
            <w:tcW w:w="363" w:type="pct"/>
          </w:tcPr>
          <w:p w14:paraId="6E285B4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-4,662</w:t>
            </w:r>
          </w:p>
        </w:tc>
        <w:tc>
          <w:tcPr>
            <w:tcW w:w="441" w:type="pct"/>
          </w:tcPr>
          <w:p w14:paraId="1D4391E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20.90</w:t>
            </w:r>
          </w:p>
        </w:tc>
        <w:tc>
          <w:tcPr>
            <w:tcW w:w="432" w:type="pct"/>
          </w:tcPr>
          <w:p w14:paraId="444151B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28.20</w:t>
            </w:r>
          </w:p>
        </w:tc>
        <w:tc>
          <w:tcPr>
            <w:cnfStyle w:val="000100000000" w:firstRow="0" w:lastRow="0" w:firstColumn="0" w:lastColumn="1" w:oddVBand="0" w:evenVBand="0" w:oddHBand="0" w:evenHBand="0" w:firstRowFirstColumn="0" w:firstRowLastColumn="0" w:lastRowFirstColumn="0" w:lastRowLastColumn="0"/>
            <w:tcW w:w="359" w:type="pct"/>
          </w:tcPr>
          <w:p w14:paraId="18E8AA8E" w14:textId="77777777" w:rsidR="00B44672" w:rsidRDefault="00B44672" w:rsidP="00CB6E83">
            <w:pPr>
              <w:pStyle w:val="Compact"/>
              <w:jc w:val="center"/>
            </w:pPr>
            <w:r>
              <w:t>-7.30</w:t>
            </w:r>
          </w:p>
        </w:tc>
      </w:tr>
      <w:tr w:rsidR="00B44672" w14:paraId="7C82B6F6"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2EEC7D0D" w14:textId="77777777" w:rsidR="00B44672" w:rsidRDefault="00B44672" w:rsidP="00CB6E83">
            <w:pPr>
              <w:pStyle w:val="Compact"/>
            </w:pPr>
            <w:r>
              <w:t>Quint 3</w:t>
            </w:r>
          </w:p>
        </w:tc>
        <w:tc>
          <w:tcPr>
            <w:tcW w:w="462" w:type="pct"/>
          </w:tcPr>
          <w:p w14:paraId="4186247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3,302</w:t>
            </w:r>
          </w:p>
        </w:tc>
        <w:tc>
          <w:tcPr>
            <w:tcW w:w="454" w:type="pct"/>
          </w:tcPr>
          <w:p w14:paraId="5232447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3,222</w:t>
            </w:r>
          </w:p>
        </w:tc>
        <w:tc>
          <w:tcPr>
            <w:tcW w:w="380" w:type="pct"/>
          </w:tcPr>
          <w:p w14:paraId="6D799BD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80</w:t>
            </w:r>
          </w:p>
        </w:tc>
        <w:tc>
          <w:tcPr>
            <w:tcW w:w="473" w:type="pct"/>
          </w:tcPr>
          <w:p w14:paraId="6D5D592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15,741</w:t>
            </w:r>
          </w:p>
        </w:tc>
        <w:tc>
          <w:tcPr>
            <w:tcW w:w="463" w:type="pct"/>
          </w:tcPr>
          <w:p w14:paraId="3133292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21,466</w:t>
            </w:r>
          </w:p>
        </w:tc>
        <w:tc>
          <w:tcPr>
            <w:tcW w:w="363" w:type="pct"/>
          </w:tcPr>
          <w:p w14:paraId="12BDB4B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-5,726</w:t>
            </w:r>
          </w:p>
        </w:tc>
        <w:tc>
          <w:tcPr>
            <w:tcW w:w="441" w:type="pct"/>
          </w:tcPr>
          <w:p w14:paraId="12CAFFF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20.33</w:t>
            </w:r>
          </w:p>
        </w:tc>
        <w:tc>
          <w:tcPr>
            <w:tcW w:w="432" w:type="pct"/>
          </w:tcPr>
          <w:p w14:paraId="10CA69A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27.60</w:t>
            </w:r>
          </w:p>
        </w:tc>
        <w:tc>
          <w:tcPr>
            <w:cnfStyle w:val="000100000000" w:firstRow="0" w:lastRow="0" w:firstColumn="0" w:lastColumn="1" w:oddVBand="0" w:evenVBand="0" w:oddHBand="0" w:evenHBand="0" w:firstRowFirstColumn="0" w:firstRowLastColumn="0" w:lastRowFirstColumn="0" w:lastRowLastColumn="0"/>
            <w:tcW w:w="359" w:type="pct"/>
          </w:tcPr>
          <w:p w14:paraId="40439A49" w14:textId="77777777" w:rsidR="00B44672" w:rsidRDefault="00B44672" w:rsidP="00CB6E83">
            <w:pPr>
              <w:pStyle w:val="Compact"/>
              <w:jc w:val="center"/>
            </w:pPr>
            <w:r>
              <w:t>-7.27</w:t>
            </w:r>
          </w:p>
        </w:tc>
      </w:tr>
      <w:tr w:rsidR="00B44672" w14:paraId="66133499"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3DB1F068" w14:textId="77777777" w:rsidR="00B44672" w:rsidRDefault="00B44672" w:rsidP="00CB6E83">
            <w:pPr>
              <w:pStyle w:val="Compact"/>
            </w:pPr>
            <w:r>
              <w:t>Quint 4</w:t>
            </w:r>
          </w:p>
        </w:tc>
        <w:tc>
          <w:tcPr>
            <w:tcW w:w="462" w:type="pct"/>
          </w:tcPr>
          <w:p w14:paraId="6E60952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3,377</w:t>
            </w:r>
          </w:p>
        </w:tc>
        <w:tc>
          <w:tcPr>
            <w:tcW w:w="454" w:type="pct"/>
          </w:tcPr>
          <w:p w14:paraId="0A45FA8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3,269</w:t>
            </w:r>
          </w:p>
        </w:tc>
        <w:tc>
          <w:tcPr>
            <w:tcW w:w="380" w:type="pct"/>
          </w:tcPr>
          <w:p w14:paraId="39A95B2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108</w:t>
            </w:r>
          </w:p>
        </w:tc>
        <w:tc>
          <w:tcPr>
            <w:tcW w:w="473" w:type="pct"/>
          </w:tcPr>
          <w:p w14:paraId="311B751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19,013</w:t>
            </w:r>
          </w:p>
        </w:tc>
        <w:tc>
          <w:tcPr>
            <w:tcW w:w="463" w:type="pct"/>
          </w:tcPr>
          <w:p w14:paraId="0566A4A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25,123</w:t>
            </w:r>
          </w:p>
        </w:tc>
        <w:tc>
          <w:tcPr>
            <w:tcW w:w="363" w:type="pct"/>
          </w:tcPr>
          <w:p w14:paraId="4DC688B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-6,109</w:t>
            </w:r>
          </w:p>
        </w:tc>
        <w:tc>
          <w:tcPr>
            <w:tcW w:w="441" w:type="pct"/>
          </w:tcPr>
          <w:p w14:paraId="547767E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18.07</w:t>
            </w:r>
          </w:p>
        </w:tc>
        <w:tc>
          <w:tcPr>
            <w:tcW w:w="432" w:type="pct"/>
          </w:tcPr>
          <w:p w14:paraId="03D94B0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23.85</w:t>
            </w:r>
          </w:p>
        </w:tc>
        <w:tc>
          <w:tcPr>
            <w:cnfStyle w:val="000100000000" w:firstRow="0" w:lastRow="0" w:firstColumn="0" w:lastColumn="1" w:oddVBand="0" w:evenVBand="0" w:oddHBand="0" w:evenHBand="0" w:firstRowFirstColumn="0" w:firstRowLastColumn="0" w:lastRowFirstColumn="0" w:lastRowLastColumn="0"/>
            <w:tcW w:w="359" w:type="pct"/>
          </w:tcPr>
          <w:p w14:paraId="42202409" w14:textId="77777777" w:rsidR="00B44672" w:rsidRDefault="00B44672" w:rsidP="00CB6E83">
            <w:pPr>
              <w:pStyle w:val="Compact"/>
              <w:jc w:val="center"/>
            </w:pPr>
            <w:r>
              <w:t>-5.78</w:t>
            </w:r>
          </w:p>
        </w:tc>
      </w:tr>
      <w:tr w:rsidR="00B44672" w14:paraId="79CD18FA"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09D5CECA" w14:textId="77777777" w:rsidR="00B44672" w:rsidRDefault="00B44672" w:rsidP="00CB6E83">
            <w:pPr>
              <w:pStyle w:val="Compact"/>
            </w:pPr>
            <w:r>
              <w:t>Quint 5</w:t>
            </w:r>
          </w:p>
        </w:tc>
        <w:tc>
          <w:tcPr>
            <w:tcW w:w="462" w:type="pct"/>
          </w:tcPr>
          <w:p w14:paraId="6A6AE2D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3,924</w:t>
            </w:r>
          </w:p>
        </w:tc>
        <w:tc>
          <w:tcPr>
            <w:tcW w:w="454" w:type="pct"/>
          </w:tcPr>
          <w:p w14:paraId="218E1D1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3,823</w:t>
            </w:r>
          </w:p>
        </w:tc>
        <w:tc>
          <w:tcPr>
            <w:tcW w:w="380" w:type="pct"/>
          </w:tcPr>
          <w:p w14:paraId="63FDD46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101</w:t>
            </w:r>
          </w:p>
        </w:tc>
        <w:tc>
          <w:tcPr>
            <w:tcW w:w="473" w:type="pct"/>
          </w:tcPr>
          <w:p w14:paraId="1BCACC0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23,174</w:t>
            </w:r>
          </w:p>
        </w:tc>
        <w:tc>
          <w:tcPr>
            <w:tcW w:w="463" w:type="pct"/>
          </w:tcPr>
          <w:p w14:paraId="4E0253D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29,916</w:t>
            </w:r>
          </w:p>
        </w:tc>
        <w:tc>
          <w:tcPr>
            <w:tcW w:w="363" w:type="pct"/>
          </w:tcPr>
          <w:p w14:paraId="4A56CEB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-6,742</w:t>
            </w:r>
          </w:p>
        </w:tc>
        <w:tc>
          <w:tcPr>
            <w:tcW w:w="441" w:type="pct"/>
          </w:tcPr>
          <w:p w14:paraId="7F4464F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15.95</w:t>
            </w:r>
          </w:p>
        </w:tc>
        <w:tc>
          <w:tcPr>
            <w:tcW w:w="432" w:type="pct"/>
          </w:tcPr>
          <w:p w14:paraId="7DE263E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20.58</w:t>
            </w:r>
          </w:p>
        </w:tc>
        <w:tc>
          <w:tcPr>
            <w:cnfStyle w:val="000100000000" w:firstRow="0" w:lastRow="0" w:firstColumn="0" w:lastColumn="1" w:oddVBand="0" w:evenVBand="0" w:oddHBand="0" w:evenHBand="0" w:firstRowFirstColumn="0" w:firstRowLastColumn="0" w:lastRowFirstColumn="0" w:lastRowLastColumn="0"/>
            <w:tcW w:w="359" w:type="pct"/>
          </w:tcPr>
          <w:p w14:paraId="712028E0" w14:textId="77777777" w:rsidR="00B44672" w:rsidRDefault="00B44672" w:rsidP="00CB6E83">
            <w:pPr>
              <w:pStyle w:val="Compact"/>
              <w:jc w:val="center"/>
            </w:pPr>
            <w:r>
              <w:t>-4.63</w:t>
            </w:r>
          </w:p>
        </w:tc>
      </w:tr>
      <w:tr w:rsidR="00B44672" w14:paraId="4339EDD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4C44158C"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462" w:type="pct"/>
          </w:tcPr>
          <w:p w14:paraId="6AFB76E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4C0D23A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80" w:type="pct"/>
          </w:tcPr>
          <w:p w14:paraId="2F1CBBD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73" w:type="pct"/>
          </w:tcPr>
          <w:p w14:paraId="7C5E231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3" w:type="pct"/>
          </w:tcPr>
          <w:p w14:paraId="4274B48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63" w:type="pct"/>
          </w:tcPr>
          <w:p w14:paraId="123E2EB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41" w:type="pct"/>
          </w:tcPr>
          <w:p w14:paraId="769287C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32" w:type="pct"/>
          </w:tcPr>
          <w:p w14:paraId="6E70D08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59" w:type="pct"/>
          </w:tcPr>
          <w:p w14:paraId="78FDFF59" w14:textId="77777777" w:rsidR="00B44672" w:rsidRDefault="00B44672" w:rsidP="00A567C4">
            <w:pPr>
              <w:pStyle w:val="Compact"/>
              <w:jc w:val="center"/>
            </w:pPr>
          </w:p>
        </w:tc>
      </w:tr>
      <w:tr w:rsidR="00B44672" w14:paraId="1CC7499B"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206662B2" w14:textId="77777777" w:rsidR="00B44672" w:rsidRDefault="00B44672" w:rsidP="00A567C4">
            <w:pPr>
              <w:pStyle w:val="Compact"/>
            </w:pPr>
            <w:r>
              <w:t>Quint 1</w:t>
            </w:r>
          </w:p>
        </w:tc>
        <w:tc>
          <w:tcPr>
            <w:tcW w:w="462" w:type="pct"/>
          </w:tcPr>
          <w:p w14:paraId="12E4F75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797</w:t>
            </w:r>
          </w:p>
        </w:tc>
        <w:tc>
          <w:tcPr>
            <w:tcW w:w="454" w:type="pct"/>
          </w:tcPr>
          <w:p w14:paraId="74F2AD8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797</w:t>
            </w:r>
          </w:p>
        </w:tc>
        <w:tc>
          <w:tcPr>
            <w:tcW w:w="380" w:type="pct"/>
          </w:tcPr>
          <w:p w14:paraId="1CF8393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73" w:type="pct"/>
          </w:tcPr>
          <w:p w14:paraId="79B6A6C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6,432</w:t>
            </w:r>
          </w:p>
        </w:tc>
        <w:tc>
          <w:tcPr>
            <w:tcW w:w="463" w:type="pct"/>
          </w:tcPr>
          <w:p w14:paraId="6F29E16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8,744</w:t>
            </w:r>
          </w:p>
        </w:tc>
        <w:tc>
          <w:tcPr>
            <w:tcW w:w="363" w:type="pct"/>
          </w:tcPr>
          <w:p w14:paraId="34BA4CF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-2,313</w:t>
            </w:r>
          </w:p>
        </w:tc>
        <w:tc>
          <w:tcPr>
            <w:tcW w:w="441" w:type="pct"/>
          </w:tcPr>
          <w:p w14:paraId="6A26AFD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20.95</w:t>
            </w:r>
          </w:p>
        </w:tc>
        <w:tc>
          <w:tcPr>
            <w:tcW w:w="432" w:type="pct"/>
          </w:tcPr>
          <w:p w14:paraId="693583D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28.48</w:t>
            </w:r>
          </w:p>
        </w:tc>
        <w:tc>
          <w:tcPr>
            <w:cnfStyle w:val="000100000000" w:firstRow="0" w:lastRow="0" w:firstColumn="0" w:lastColumn="1" w:oddVBand="0" w:evenVBand="0" w:oddHBand="0" w:evenHBand="0" w:firstRowFirstColumn="0" w:firstRowLastColumn="0" w:lastRowFirstColumn="0" w:lastRowLastColumn="0"/>
            <w:tcW w:w="359" w:type="pct"/>
          </w:tcPr>
          <w:p w14:paraId="451048D7" w14:textId="77777777" w:rsidR="00B44672" w:rsidRDefault="00B44672" w:rsidP="00A567C4">
            <w:pPr>
              <w:pStyle w:val="Compact"/>
              <w:jc w:val="center"/>
            </w:pPr>
            <w:r>
              <w:t>-7.53</w:t>
            </w:r>
          </w:p>
        </w:tc>
      </w:tr>
      <w:tr w:rsidR="00B44672" w14:paraId="14828445"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245F8F8F" w14:textId="77777777" w:rsidR="00B44672" w:rsidRDefault="00B44672" w:rsidP="00A567C4">
            <w:pPr>
              <w:pStyle w:val="Compact"/>
            </w:pPr>
            <w:r>
              <w:t>Quint 2</w:t>
            </w:r>
          </w:p>
        </w:tc>
        <w:tc>
          <w:tcPr>
            <w:tcW w:w="462" w:type="pct"/>
          </w:tcPr>
          <w:p w14:paraId="0113290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1,424</w:t>
            </w:r>
          </w:p>
        </w:tc>
        <w:tc>
          <w:tcPr>
            <w:tcW w:w="454" w:type="pct"/>
          </w:tcPr>
          <w:p w14:paraId="5719E7B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1,400</w:t>
            </w:r>
          </w:p>
        </w:tc>
        <w:tc>
          <w:tcPr>
            <w:tcW w:w="380" w:type="pct"/>
          </w:tcPr>
          <w:p w14:paraId="17DACF6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w:t>
            </w:r>
          </w:p>
        </w:tc>
        <w:tc>
          <w:tcPr>
            <w:tcW w:w="473" w:type="pct"/>
          </w:tcPr>
          <w:p w14:paraId="4052FCF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13,517</w:t>
            </w:r>
          </w:p>
        </w:tc>
        <w:tc>
          <w:tcPr>
            <w:tcW w:w="463" w:type="pct"/>
          </w:tcPr>
          <w:p w14:paraId="4ABEFD5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17,928</w:t>
            </w:r>
          </w:p>
        </w:tc>
        <w:tc>
          <w:tcPr>
            <w:tcW w:w="363" w:type="pct"/>
          </w:tcPr>
          <w:p w14:paraId="1C0B127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-4,412</w:t>
            </w:r>
          </w:p>
        </w:tc>
        <w:tc>
          <w:tcPr>
            <w:tcW w:w="441" w:type="pct"/>
          </w:tcPr>
          <w:p w14:paraId="6FCFF06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20.90</w:t>
            </w:r>
          </w:p>
        </w:tc>
        <w:tc>
          <w:tcPr>
            <w:tcW w:w="432" w:type="pct"/>
          </w:tcPr>
          <w:p w14:paraId="1745F6A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27.87</w:t>
            </w:r>
          </w:p>
        </w:tc>
        <w:tc>
          <w:tcPr>
            <w:cnfStyle w:val="000100000000" w:firstRow="0" w:lastRow="0" w:firstColumn="0" w:lastColumn="1" w:oddVBand="0" w:evenVBand="0" w:oddHBand="0" w:evenHBand="0" w:firstRowFirstColumn="0" w:firstRowLastColumn="0" w:lastRowFirstColumn="0" w:lastRowLastColumn="0"/>
            <w:tcW w:w="359" w:type="pct"/>
          </w:tcPr>
          <w:p w14:paraId="72146C10" w14:textId="77777777" w:rsidR="00B44672" w:rsidRDefault="00B44672" w:rsidP="00A567C4">
            <w:pPr>
              <w:pStyle w:val="Compact"/>
              <w:jc w:val="center"/>
            </w:pPr>
            <w:r>
              <w:t>-6.97</w:t>
            </w:r>
          </w:p>
        </w:tc>
      </w:tr>
      <w:tr w:rsidR="00B44672" w14:paraId="38906C95"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6E19189D" w14:textId="77777777" w:rsidR="00B44672" w:rsidRDefault="00B44672" w:rsidP="00A567C4">
            <w:pPr>
              <w:pStyle w:val="Compact"/>
            </w:pPr>
            <w:r>
              <w:t>Quint 3</w:t>
            </w:r>
          </w:p>
        </w:tc>
        <w:tc>
          <w:tcPr>
            <w:tcW w:w="462" w:type="pct"/>
          </w:tcPr>
          <w:p w14:paraId="53D23F2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3,302</w:t>
            </w:r>
          </w:p>
        </w:tc>
        <w:tc>
          <w:tcPr>
            <w:tcW w:w="454" w:type="pct"/>
          </w:tcPr>
          <w:p w14:paraId="43CDF91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3,229</w:t>
            </w:r>
          </w:p>
        </w:tc>
        <w:tc>
          <w:tcPr>
            <w:tcW w:w="380" w:type="pct"/>
          </w:tcPr>
          <w:p w14:paraId="4FDA929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73</w:t>
            </w:r>
          </w:p>
        </w:tc>
        <w:tc>
          <w:tcPr>
            <w:tcW w:w="473" w:type="pct"/>
          </w:tcPr>
          <w:p w14:paraId="0F37A36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15,741</w:t>
            </w:r>
          </w:p>
        </w:tc>
        <w:tc>
          <w:tcPr>
            <w:tcW w:w="463" w:type="pct"/>
          </w:tcPr>
          <w:p w14:paraId="6483438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21,226</w:t>
            </w:r>
          </w:p>
        </w:tc>
        <w:tc>
          <w:tcPr>
            <w:tcW w:w="363" w:type="pct"/>
          </w:tcPr>
          <w:p w14:paraId="1AC2B85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-5,485</w:t>
            </w:r>
          </w:p>
        </w:tc>
        <w:tc>
          <w:tcPr>
            <w:tcW w:w="441" w:type="pct"/>
          </w:tcPr>
          <w:p w14:paraId="3B258AD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20.33</w:t>
            </w:r>
          </w:p>
        </w:tc>
        <w:tc>
          <w:tcPr>
            <w:tcW w:w="432" w:type="pct"/>
          </w:tcPr>
          <w:p w14:paraId="2A4D03C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27.29</w:t>
            </w:r>
          </w:p>
        </w:tc>
        <w:tc>
          <w:tcPr>
            <w:cnfStyle w:val="000100000000" w:firstRow="0" w:lastRow="0" w:firstColumn="0" w:lastColumn="1" w:oddVBand="0" w:evenVBand="0" w:oddHBand="0" w:evenHBand="0" w:firstRowFirstColumn="0" w:firstRowLastColumn="0" w:lastRowFirstColumn="0" w:lastRowLastColumn="0"/>
            <w:tcW w:w="359" w:type="pct"/>
          </w:tcPr>
          <w:p w14:paraId="679775D5" w14:textId="77777777" w:rsidR="00B44672" w:rsidRDefault="00B44672" w:rsidP="00A567C4">
            <w:pPr>
              <w:pStyle w:val="Compact"/>
              <w:jc w:val="center"/>
            </w:pPr>
            <w:r>
              <w:t>-6.97</w:t>
            </w:r>
          </w:p>
        </w:tc>
      </w:tr>
      <w:tr w:rsidR="00B44672" w14:paraId="41DB1B41"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17A261CE" w14:textId="77777777" w:rsidR="00B44672" w:rsidRDefault="00B44672" w:rsidP="00A567C4">
            <w:pPr>
              <w:pStyle w:val="Compact"/>
            </w:pPr>
            <w:r>
              <w:t>Quint 4</w:t>
            </w:r>
          </w:p>
        </w:tc>
        <w:tc>
          <w:tcPr>
            <w:tcW w:w="462" w:type="pct"/>
          </w:tcPr>
          <w:p w14:paraId="4B8ECED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3,377</w:t>
            </w:r>
          </w:p>
        </w:tc>
        <w:tc>
          <w:tcPr>
            <w:tcW w:w="454" w:type="pct"/>
          </w:tcPr>
          <w:p w14:paraId="40A2C28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3,277</w:t>
            </w:r>
          </w:p>
        </w:tc>
        <w:tc>
          <w:tcPr>
            <w:tcW w:w="380" w:type="pct"/>
          </w:tcPr>
          <w:p w14:paraId="3F0CE75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100</w:t>
            </w:r>
          </w:p>
        </w:tc>
        <w:tc>
          <w:tcPr>
            <w:tcW w:w="473" w:type="pct"/>
          </w:tcPr>
          <w:p w14:paraId="6D13E6F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19,013</w:t>
            </w:r>
          </w:p>
        </w:tc>
        <w:tc>
          <w:tcPr>
            <w:tcW w:w="463" w:type="pct"/>
          </w:tcPr>
          <w:p w14:paraId="2F8FB2C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24,826</w:t>
            </w:r>
          </w:p>
        </w:tc>
        <w:tc>
          <w:tcPr>
            <w:tcW w:w="363" w:type="pct"/>
          </w:tcPr>
          <w:p w14:paraId="36CB10B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-5,813</w:t>
            </w:r>
          </w:p>
        </w:tc>
        <w:tc>
          <w:tcPr>
            <w:tcW w:w="441" w:type="pct"/>
          </w:tcPr>
          <w:p w14:paraId="274CA60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18.07</w:t>
            </w:r>
          </w:p>
        </w:tc>
        <w:tc>
          <w:tcPr>
            <w:tcW w:w="432" w:type="pct"/>
          </w:tcPr>
          <w:p w14:paraId="42893B5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23.59</w:t>
            </w:r>
          </w:p>
        </w:tc>
        <w:tc>
          <w:tcPr>
            <w:cnfStyle w:val="000100000000" w:firstRow="0" w:lastRow="0" w:firstColumn="0" w:lastColumn="1" w:oddVBand="0" w:evenVBand="0" w:oddHBand="0" w:evenHBand="0" w:firstRowFirstColumn="0" w:firstRowLastColumn="0" w:lastRowFirstColumn="0" w:lastRowLastColumn="0"/>
            <w:tcW w:w="359" w:type="pct"/>
          </w:tcPr>
          <w:p w14:paraId="25B59328" w14:textId="77777777" w:rsidR="00B44672" w:rsidRDefault="00B44672" w:rsidP="00A567C4">
            <w:pPr>
              <w:pStyle w:val="Compact"/>
              <w:jc w:val="center"/>
            </w:pPr>
            <w:r>
              <w:t>-5.52</w:t>
            </w:r>
          </w:p>
        </w:tc>
      </w:tr>
      <w:tr w:rsidR="00B44672" w14:paraId="405D504D"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0DB16F86" w14:textId="77777777" w:rsidR="00B44672" w:rsidRDefault="00B44672" w:rsidP="00A567C4">
            <w:pPr>
              <w:pStyle w:val="Compact"/>
            </w:pPr>
            <w:r>
              <w:t>Quint 5</w:t>
            </w:r>
          </w:p>
        </w:tc>
        <w:tc>
          <w:tcPr>
            <w:tcW w:w="462" w:type="pct"/>
          </w:tcPr>
          <w:p w14:paraId="6B10122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3,924</w:t>
            </w:r>
          </w:p>
        </w:tc>
        <w:tc>
          <w:tcPr>
            <w:tcW w:w="454" w:type="pct"/>
          </w:tcPr>
          <w:p w14:paraId="6295AEB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3,830</w:t>
            </w:r>
          </w:p>
        </w:tc>
        <w:tc>
          <w:tcPr>
            <w:tcW w:w="380" w:type="pct"/>
          </w:tcPr>
          <w:p w14:paraId="235CC48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94</w:t>
            </w:r>
          </w:p>
        </w:tc>
        <w:tc>
          <w:tcPr>
            <w:tcW w:w="473" w:type="pct"/>
          </w:tcPr>
          <w:p w14:paraId="38ED2AC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23,174</w:t>
            </w:r>
          </w:p>
        </w:tc>
        <w:tc>
          <w:tcPr>
            <w:tcW w:w="463" w:type="pct"/>
          </w:tcPr>
          <w:p w14:paraId="7D8F71D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29,597</w:t>
            </w:r>
          </w:p>
        </w:tc>
        <w:tc>
          <w:tcPr>
            <w:tcW w:w="363" w:type="pct"/>
          </w:tcPr>
          <w:p w14:paraId="030FBCA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-6,423</w:t>
            </w:r>
          </w:p>
        </w:tc>
        <w:tc>
          <w:tcPr>
            <w:tcW w:w="441" w:type="pct"/>
          </w:tcPr>
          <w:p w14:paraId="0DC5CB5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15.95</w:t>
            </w:r>
          </w:p>
        </w:tc>
        <w:tc>
          <w:tcPr>
            <w:tcW w:w="432" w:type="pct"/>
          </w:tcPr>
          <w:p w14:paraId="781736B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20.36</w:t>
            </w:r>
          </w:p>
        </w:tc>
        <w:tc>
          <w:tcPr>
            <w:cnfStyle w:val="000100000000" w:firstRow="0" w:lastRow="0" w:firstColumn="0" w:lastColumn="1" w:oddVBand="0" w:evenVBand="0" w:oddHBand="0" w:evenHBand="0" w:firstRowFirstColumn="0" w:firstRowLastColumn="0" w:lastRowFirstColumn="0" w:lastRowLastColumn="0"/>
            <w:tcW w:w="359" w:type="pct"/>
          </w:tcPr>
          <w:p w14:paraId="2D9B7828" w14:textId="77777777" w:rsidR="00B44672" w:rsidRDefault="00B44672" w:rsidP="00A567C4">
            <w:pPr>
              <w:pStyle w:val="Compact"/>
              <w:jc w:val="center"/>
            </w:pPr>
            <w:r>
              <w:t>-4.41</w:t>
            </w:r>
          </w:p>
        </w:tc>
      </w:tr>
      <w:tr w:rsidR="00B44672" w14:paraId="1EEC3A4B"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56DE7589" w14:textId="77777777" w:rsidR="00B44672" w:rsidRDefault="00B44672" w:rsidP="00302865">
            <w:pPr>
              <w:pStyle w:val="Compact"/>
            </w:pPr>
            <w:r w:rsidRPr="00113FC1">
              <w:rPr>
                <w:b/>
                <w:i/>
                <w:iCs/>
                <w:color w:val="365F91" w:themeColor="accent1" w:themeShade="BF"/>
              </w:rPr>
              <w:t>1.24 – 2.19% price change</w:t>
            </w:r>
          </w:p>
        </w:tc>
        <w:tc>
          <w:tcPr>
            <w:tcW w:w="462" w:type="pct"/>
          </w:tcPr>
          <w:p w14:paraId="2F4FE14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26818EA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80" w:type="pct"/>
          </w:tcPr>
          <w:p w14:paraId="534B335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73" w:type="pct"/>
          </w:tcPr>
          <w:p w14:paraId="06FCE50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3" w:type="pct"/>
          </w:tcPr>
          <w:p w14:paraId="2EE9EF6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63" w:type="pct"/>
          </w:tcPr>
          <w:p w14:paraId="5F929B1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41" w:type="pct"/>
          </w:tcPr>
          <w:p w14:paraId="165566B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32" w:type="pct"/>
          </w:tcPr>
          <w:p w14:paraId="6551BF9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59" w:type="pct"/>
          </w:tcPr>
          <w:p w14:paraId="0C2FC02D" w14:textId="77777777" w:rsidR="00B44672" w:rsidRDefault="00B44672" w:rsidP="00302865">
            <w:pPr>
              <w:pStyle w:val="Compact"/>
              <w:jc w:val="center"/>
            </w:pPr>
          </w:p>
        </w:tc>
      </w:tr>
      <w:tr w:rsidR="00B44672" w14:paraId="3BC6519F"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67850EB5" w14:textId="77777777" w:rsidR="00B44672" w:rsidRDefault="00B44672" w:rsidP="00302865">
            <w:pPr>
              <w:pStyle w:val="Compact"/>
            </w:pPr>
            <w:r>
              <w:t>Quint 1</w:t>
            </w:r>
          </w:p>
        </w:tc>
        <w:tc>
          <w:tcPr>
            <w:tcW w:w="462" w:type="pct"/>
          </w:tcPr>
          <w:p w14:paraId="7692302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797</w:t>
            </w:r>
          </w:p>
        </w:tc>
        <w:tc>
          <w:tcPr>
            <w:tcW w:w="454" w:type="pct"/>
          </w:tcPr>
          <w:p w14:paraId="614F73A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800</w:t>
            </w:r>
          </w:p>
        </w:tc>
        <w:tc>
          <w:tcPr>
            <w:tcW w:w="380" w:type="pct"/>
          </w:tcPr>
          <w:p w14:paraId="4013F1B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w:t>
            </w:r>
          </w:p>
        </w:tc>
        <w:tc>
          <w:tcPr>
            <w:tcW w:w="473" w:type="pct"/>
          </w:tcPr>
          <w:p w14:paraId="582D71A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6,432</w:t>
            </w:r>
          </w:p>
        </w:tc>
        <w:tc>
          <w:tcPr>
            <w:tcW w:w="463" w:type="pct"/>
          </w:tcPr>
          <w:p w14:paraId="626D913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8,693</w:t>
            </w:r>
          </w:p>
        </w:tc>
        <w:tc>
          <w:tcPr>
            <w:tcW w:w="363" w:type="pct"/>
          </w:tcPr>
          <w:p w14:paraId="2068053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-2,261</w:t>
            </w:r>
          </w:p>
        </w:tc>
        <w:tc>
          <w:tcPr>
            <w:tcW w:w="441" w:type="pct"/>
          </w:tcPr>
          <w:p w14:paraId="519D68A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20.95</w:t>
            </w:r>
          </w:p>
        </w:tc>
        <w:tc>
          <w:tcPr>
            <w:tcW w:w="432" w:type="pct"/>
          </w:tcPr>
          <w:p w14:paraId="1EC4755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28.22</w:t>
            </w:r>
          </w:p>
        </w:tc>
        <w:tc>
          <w:tcPr>
            <w:cnfStyle w:val="000100000000" w:firstRow="0" w:lastRow="0" w:firstColumn="0" w:lastColumn="1" w:oddVBand="0" w:evenVBand="0" w:oddHBand="0" w:evenHBand="0" w:firstRowFirstColumn="0" w:firstRowLastColumn="0" w:lastRowFirstColumn="0" w:lastRowLastColumn="0"/>
            <w:tcW w:w="359" w:type="pct"/>
          </w:tcPr>
          <w:p w14:paraId="71D60D3A" w14:textId="77777777" w:rsidR="00B44672" w:rsidRDefault="00B44672" w:rsidP="00302865">
            <w:pPr>
              <w:pStyle w:val="Compact"/>
              <w:jc w:val="center"/>
            </w:pPr>
            <w:r>
              <w:t>-7.27</w:t>
            </w:r>
          </w:p>
        </w:tc>
      </w:tr>
      <w:tr w:rsidR="00B44672" w14:paraId="0DFD05C0"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42361BCD" w14:textId="77777777" w:rsidR="00B44672" w:rsidRDefault="00B44672" w:rsidP="00302865">
            <w:pPr>
              <w:pStyle w:val="Compact"/>
            </w:pPr>
            <w:r>
              <w:t>Quint 2</w:t>
            </w:r>
          </w:p>
        </w:tc>
        <w:tc>
          <w:tcPr>
            <w:tcW w:w="462" w:type="pct"/>
          </w:tcPr>
          <w:p w14:paraId="30D5558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1,424</w:t>
            </w:r>
          </w:p>
        </w:tc>
        <w:tc>
          <w:tcPr>
            <w:tcW w:w="454" w:type="pct"/>
          </w:tcPr>
          <w:p w14:paraId="033FC00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1,420</w:t>
            </w:r>
          </w:p>
        </w:tc>
        <w:tc>
          <w:tcPr>
            <w:tcW w:w="380" w:type="pct"/>
          </w:tcPr>
          <w:p w14:paraId="3FB713D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w:t>
            </w:r>
          </w:p>
        </w:tc>
        <w:tc>
          <w:tcPr>
            <w:tcW w:w="473" w:type="pct"/>
          </w:tcPr>
          <w:p w14:paraId="6D81725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13,517</w:t>
            </w:r>
          </w:p>
        </w:tc>
        <w:tc>
          <w:tcPr>
            <w:tcW w:w="463" w:type="pct"/>
          </w:tcPr>
          <w:p w14:paraId="1A0BF31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17,814</w:t>
            </w:r>
          </w:p>
        </w:tc>
        <w:tc>
          <w:tcPr>
            <w:tcW w:w="363" w:type="pct"/>
          </w:tcPr>
          <w:p w14:paraId="57793C2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-4,298</w:t>
            </w:r>
          </w:p>
        </w:tc>
        <w:tc>
          <w:tcPr>
            <w:tcW w:w="441" w:type="pct"/>
          </w:tcPr>
          <w:p w14:paraId="61048D1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20.90</w:t>
            </w:r>
          </w:p>
        </w:tc>
        <w:tc>
          <w:tcPr>
            <w:tcW w:w="432" w:type="pct"/>
          </w:tcPr>
          <w:p w14:paraId="06A6642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27.66</w:t>
            </w:r>
          </w:p>
        </w:tc>
        <w:tc>
          <w:tcPr>
            <w:cnfStyle w:val="000100000000" w:firstRow="0" w:lastRow="0" w:firstColumn="0" w:lastColumn="1" w:oddVBand="0" w:evenVBand="0" w:oddHBand="0" w:evenHBand="0" w:firstRowFirstColumn="0" w:firstRowLastColumn="0" w:lastRowFirstColumn="0" w:lastRowLastColumn="0"/>
            <w:tcW w:w="359" w:type="pct"/>
          </w:tcPr>
          <w:p w14:paraId="385E1FF7" w14:textId="77777777" w:rsidR="00B44672" w:rsidRDefault="00B44672" w:rsidP="00302865">
            <w:pPr>
              <w:pStyle w:val="Compact"/>
              <w:jc w:val="center"/>
            </w:pPr>
            <w:r>
              <w:t>-6.76</w:t>
            </w:r>
          </w:p>
        </w:tc>
      </w:tr>
      <w:tr w:rsidR="00B44672" w14:paraId="6B31C706"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3ED24103" w14:textId="77777777" w:rsidR="00B44672" w:rsidRDefault="00B44672" w:rsidP="00302865">
            <w:pPr>
              <w:pStyle w:val="Compact"/>
            </w:pPr>
            <w:r>
              <w:t>Quint 3</w:t>
            </w:r>
          </w:p>
        </w:tc>
        <w:tc>
          <w:tcPr>
            <w:tcW w:w="462" w:type="pct"/>
          </w:tcPr>
          <w:p w14:paraId="2314D4A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3,302</w:t>
            </w:r>
          </w:p>
        </w:tc>
        <w:tc>
          <w:tcPr>
            <w:tcW w:w="454" w:type="pct"/>
          </w:tcPr>
          <w:p w14:paraId="712EC5D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3,251</w:t>
            </w:r>
          </w:p>
        </w:tc>
        <w:tc>
          <w:tcPr>
            <w:tcW w:w="380" w:type="pct"/>
          </w:tcPr>
          <w:p w14:paraId="2A6975C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51</w:t>
            </w:r>
          </w:p>
        </w:tc>
        <w:tc>
          <w:tcPr>
            <w:tcW w:w="473" w:type="pct"/>
          </w:tcPr>
          <w:p w14:paraId="2AD8C3B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15,741</w:t>
            </w:r>
          </w:p>
        </w:tc>
        <w:tc>
          <w:tcPr>
            <w:tcW w:w="463" w:type="pct"/>
          </w:tcPr>
          <w:p w14:paraId="58D9FF1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20,953</w:t>
            </w:r>
          </w:p>
        </w:tc>
        <w:tc>
          <w:tcPr>
            <w:tcW w:w="363" w:type="pct"/>
          </w:tcPr>
          <w:p w14:paraId="3E1B7EC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-5,212</w:t>
            </w:r>
          </w:p>
        </w:tc>
        <w:tc>
          <w:tcPr>
            <w:tcW w:w="441" w:type="pct"/>
          </w:tcPr>
          <w:p w14:paraId="3FDC64D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20.33</w:t>
            </w:r>
          </w:p>
        </w:tc>
        <w:tc>
          <w:tcPr>
            <w:tcW w:w="432" w:type="pct"/>
          </w:tcPr>
          <w:p w14:paraId="0514D12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26.97</w:t>
            </w:r>
          </w:p>
        </w:tc>
        <w:tc>
          <w:tcPr>
            <w:cnfStyle w:val="000100000000" w:firstRow="0" w:lastRow="0" w:firstColumn="0" w:lastColumn="1" w:oddVBand="0" w:evenVBand="0" w:oddHBand="0" w:evenHBand="0" w:firstRowFirstColumn="0" w:firstRowLastColumn="0" w:lastRowFirstColumn="0" w:lastRowLastColumn="0"/>
            <w:tcW w:w="359" w:type="pct"/>
          </w:tcPr>
          <w:p w14:paraId="0AA8076E" w14:textId="77777777" w:rsidR="00B44672" w:rsidRDefault="00B44672" w:rsidP="00302865">
            <w:pPr>
              <w:pStyle w:val="Compact"/>
              <w:jc w:val="center"/>
            </w:pPr>
            <w:r>
              <w:t>-6.64</w:t>
            </w:r>
          </w:p>
        </w:tc>
      </w:tr>
      <w:tr w:rsidR="00B44672" w14:paraId="17C8ABD6"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6FAD16A1" w14:textId="77777777" w:rsidR="00B44672" w:rsidRDefault="00B44672" w:rsidP="00302865">
            <w:pPr>
              <w:pStyle w:val="Compact"/>
            </w:pPr>
            <w:r>
              <w:t>Quint 4</w:t>
            </w:r>
          </w:p>
        </w:tc>
        <w:tc>
          <w:tcPr>
            <w:tcW w:w="462" w:type="pct"/>
          </w:tcPr>
          <w:p w14:paraId="5E4A1C9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3,377</w:t>
            </w:r>
          </w:p>
        </w:tc>
        <w:tc>
          <w:tcPr>
            <w:tcW w:w="454" w:type="pct"/>
          </w:tcPr>
          <w:p w14:paraId="5C37C1A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3,299</w:t>
            </w:r>
          </w:p>
        </w:tc>
        <w:tc>
          <w:tcPr>
            <w:tcW w:w="380" w:type="pct"/>
          </w:tcPr>
          <w:p w14:paraId="620D9DC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78</w:t>
            </w:r>
          </w:p>
        </w:tc>
        <w:tc>
          <w:tcPr>
            <w:tcW w:w="473" w:type="pct"/>
          </w:tcPr>
          <w:p w14:paraId="3F6AC14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19,013</w:t>
            </w:r>
          </w:p>
        </w:tc>
        <w:tc>
          <w:tcPr>
            <w:tcW w:w="463" w:type="pct"/>
          </w:tcPr>
          <w:p w14:paraId="7D85561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24,518</w:t>
            </w:r>
          </w:p>
        </w:tc>
        <w:tc>
          <w:tcPr>
            <w:tcW w:w="363" w:type="pct"/>
          </w:tcPr>
          <w:p w14:paraId="7F43E0D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-5,504</w:t>
            </w:r>
          </w:p>
        </w:tc>
        <w:tc>
          <w:tcPr>
            <w:tcW w:w="441" w:type="pct"/>
          </w:tcPr>
          <w:p w14:paraId="6A16162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18.07</w:t>
            </w:r>
          </w:p>
        </w:tc>
        <w:tc>
          <w:tcPr>
            <w:tcW w:w="432" w:type="pct"/>
          </w:tcPr>
          <w:p w14:paraId="6C5E072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23.30</w:t>
            </w:r>
          </w:p>
        </w:tc>
        <w:tc>
          <w:tcPr>
            <w:cnfStyle w:val="000100000000" w:firstRow="0" w:lastRow="0" w:firstColumn="0" w:lastColumn="1" w:oddVBand="0" w:evenVBand="0" w:oddHBand="0" w:evenHBand="0" w:firstRowFirstColumn="0" w:firstRowLastColumn="0" w:lastRowFirstColumn="0" w:lastRowLastColumn="0"/>
            <w:tcW w:w="359" w:type="pct"/>
          </w:tcPr>
          <w:p w14:paraId="6E463E15" w14:textId="77777777" w:rsidR="00B44672" w:rsidRDefault="00B44672" w:rsidP="00302865">
            <w:pPr>
              <w:pStyle w:val="Compact"/>
              <w:jc w:val="center"/>
            </w:pPr>
            <w:r>
              <w:t>-5.23</w:t>
            </w:r>
          </w:p>
        </w:tc>
      </w:tr>
      <w:tr w:rsidR="00B44672" w14:paraId="48CC8124" w14:textId="77777777" w:rsidTr="0030286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3" w:type="pct"/>
          </w:tcPr>
          <w:p w14:paraId="0874DC21" w14:textId="77777777" w:rsidR="00B44672" w:rsidRDefault="00B44672" w:rsidP="00302865">
            <w:pPr>
              <w:pStyle w:val="Compact"/>
            </w:pPr>
            <w:r>
              <w:t>Quint 5</w:t>
            </w:r>
          </w:p>
        </w:tc>
        <w:tc>
          <w:tcPr>
            <w:tcW w:w="462" w:type="pct"/>
          </w:tcPr>
          <w:p w14:paraId="062D97FD"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3,924</w:t>
            </w:r>
          </w:p>
        </w:tc>
        <w:tc>
          <w:tcPr>
            <w:tcW w:w="454" w:type="pct"/>
          </w:tcPr>
          <w:p w14:paraId="1E2C68A7"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3,859</w:t>
            </w:r>
          </w:p>
        </w:tc>
        <w:tc>
          <w:tcPr>
            <w:tcW w:w="380" w:type="pct"/>
          </w:tcPr>
          <w:p w14:paraId="28B79ACC"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65</w:t>
            </w:r>
          </w:p>
        </w:tc>
        <w:tc>
          <w:tcPr>
            <w:tcW w:w="473" w:type="pct"/>
          </w:tcPr>
          <w:p w14:paraId="26BA4C91"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23,174</w:t>
            </w:r>
          </w:p>
        </w:tc>
        <w:tc>
          <w:tcPr>
            <w:tcW w:w="463" w:type="pct"/>
          </w:tcPr>
          <w:p w14:paraId="541822F4"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29,230</w:t>
            </w:r>
          </w:p>
        </w:tc>
        <w:tc>
          <w:tcPr>
            <w:tcW w:w="363" w:type="pct"/>
          </w:tcPr>
          <w:p w14:paraId="3D01C109"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-6,057</w:t>
            </w:r>
          </w:p>
        </w:tc>
        <w:tc>
          <w:tcPr>
            <w:tcW w:w="441" w:type="pct"/>
          </w:tcPr>
          <w:p w14:paraId="07573A4F"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15.95</w:t>
            </w:r>
          </w:p>
        </w:tc>
        <w:tc>
          <w:tcPr>
            <w:tcW w:w="432" w:type="pct"/>
          </w:tcPr>
          <w:p w14:paraId="3864997A"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20.10</w:t>
            </w:r>
          </w:p>
        </w:tc>
        <w:tc>
          <w:tcPr>
            <w:cnfStyle w:val="000100000000" w:firstRow="0" w:lastRow="0" w:firstColumn="0" w:lastColumn="1" w:oddVBand="0" w:evenVBand="0" w:oddHBand="0" w:evenHBand="0" w:firstRowFirstColumn="0" w:firstRowLastColumn="0" w:lastRowFirstColumn="0" w:lastRowLastColumn="0"/>
            <w:tcW w:w="359" w:type="pct"/>
          </w:tcPr>
          <w:p w14:paraId="0660C0AE" w14:textId="77777777" w:rsidR="00B44672" w:rsidRDefault="00B44672" w:rsidP="00302865">
            <w:pPr>
              <w:pStyle w:val="Compact"/>
              <w:jc w:val="center"/>
            </w:pPr>
            <w:r>
              <w:t>-4.16</w:t>
            </w:r>
          </w:p>
        </w:tc>
      </w:tr>
    </w:tbl>
    <w:p w14:paraId="6883292D"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0ACFA128" w14:textId="77777777" w:rsidR="00B44672" w:rsidRDefault="00B44672">
      <w:pPr>
        <w:jc w:val="left"/>
        <w:rPr>
          <w:b/>
          <w:i/>
          <w:color w:val="365F91" w:themeColor="accent1" w:themeShade="BF"/>
        </w:rPr>
      </w:pPr>
      <w:r>
        <w:br w:type="page"/>
      </w:r>
    </w:p>
    <w:p w14:paraId="5A662E08" w14:textId="77777777" w:rsidR="00B44672" w:rsidRDefault="00B44672" w:rsidP="00C83581">
      <w:pPr>
        <w:pStyle w:val="TableCaption"/>
      </w:pPr>
      <w:r>
        <w:lastRenderedPageBreak/>
        <w:t>Table 14a - The impact of tax reform on stamp duty paid by income quintile, average 2012 – 2018 (keeping only those income units purchasing properties in both new and old policies)</w:t>
      </w:r>
    </w:p>
    <w:tbl>
      <w:tblPr>
        <w:tblStyle w:val="Table"/>
        <w:tblW w:w="5981" w:type="pct"/>
        <w:jc w:val="center"/>
        <w:tblCellMar>
          <w:left w:w="0" w:type="dxa"/>
          <w:right w:w="0" w:type="dxa"/>
        </w:tblCellMar>
        <w:tblLook w:val="07E0" w:firstRow="1" w:lastRow="1" w:firstColumn="1" w:lastColumn="1" w:noHBand="1" w:noVBand="1"/>
        <w:tblCaption w:val="Table 14a - The impact of tax reform on stamp duty paid by income quintile, average 2012 – 2018 (keep only those purchasing properties in both new and old policies)"/>
      </w:tblPr>
      <w:tblGrid>
        <w:gridCol w:w="2599"/>
        <w:gridCol w:w="1002"/>
        <w:gridCol w:w="1326"/>
        <w:gridCol w:w="1229"/>
        <w:gridCol w:w="1095"/>
        <w:gridCol w:w="1095"/>
        <w:gridCol w:w="1093"/>
        <w:gridCol w:w="1358"/>
      </w:tblGrid>
      <w:tr w:rsidR="00B44672" w14:paraId="64591678" w14:textId="77777777" w:rsidTr="003028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4" w:type="pct"/>
            <w:tcBorders>
              <w:bottom w:val="single" w:sz="0" w:space="0" w:color="auto"/>
            </w:tcBorders>
            <w:vAlign w:val="bottom"/>
          </w:tcPr>
          <w:p w14:paraId="1D00D315" w14:textId="77777777" w:rsidR="00B44672" w:rsidRDefault="00B44672" w:rsidP="000511CA"/>
        </w:tc>
        <w:tc>
          <w:tcPr>
            <w:tcW w:w="464" w:type="pct"/>
            <w:tcBorders>
              <w:bottom w:val="single" w:sz="0" w:space="0" w:color="auto"/>
            </w:tcBorders>
            <w:vAlign w:val="bottom"/>
          </w:tcPr>
          <w:p w14:paraId="43AE8EDE"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Both tax policies - # affected</w:t>
            </w:r>
          </w:p>
        </w:tc>
        <w:tc>
          <w:tcPr>
            <w:tcW w:w="614" w:type="pct"/>
            <w:tcBorders>
              <w:bottom w:val="single" w:sz="0" w:space="0" w:color="auto"/>
            </w:tcBorders>
            <w:vAlign w:val="bottom"/>
          </w:tcPr>
          <w:p w14:paraId="1AABA401" w14:textId="77777777" w:rsidR="00B44672" w:rsidRDefault="00B44672" w:rsidP="00292140">
            <w:pPr>
              <w:pStyle w:val="Compact"/>
              <w:jc w:val="center"/>
              <w:cnfStyle w:val="100000000000" w:firstRow="1" w:lastRow="0" w:firstColumn="0" w:lastColumn="0" w:oddVBand="0" w:evenVBand="0" w:oddHBand="0" w:evenHBand="0" w:firstRowFirstColumn="0" w:firstRowLastColumn="0" w:lastRowFirstColumn="0" w:lastRowLastColumn="0"/>
            </w:pPr>
            <w:r>
              <w:t>New tax policy - Avg stamp duty $</w:t>
            </w:r>
          </w:p>
        </w:tc>
        <w:tc>
          <w:tcPr>
            <w:tcW w:w="569" w:type="pct"/>
            <w:tcBorders>
              <w:bottom w:val="single" w:sz="0" w:space="0" w:color="auto"/>
            </w:tcBorders>
            <w:vAlign w:val="bottom"/>
          </w:tcPr>
          <w:p w14:paraId="45BF8D89" w14:textId="77777777" w:rsidR="00B44672" w:rsidRDefault="00B44672" w:rsidP="00292140">
            <w:pPr>
              <w:pStyle w:val="Compact"/>
              <w:jc w:val="center"/>
              <w:cnfStyle w:val="100000000000" w:firstRow="1" w:lastRow="0" w:firstColumn="0" w:lastColumn="0" w:oddVBand="0" w:evenVBand="0" w:oddHBand="0" w:evenHBand="0" w:firstRowFirstColumn="0" w:firstRowLastColumn="0" w:lastRowFirstColumn="0" w:lastRowLastColumn="0"/>
            </w:pPr>
            <w:r>
              <w:t>Old tax policy - Avg stamp duty $</w:t>
            </w:r>
          </w:p>
        </w:tc>
        <w:tc>
          <w:tcPr>
            <w:tcW w:w="507" w:type="pct"/>
            <w:tcBorders>
              <w:bottom w:val="single" w:sz="0" w:space="0" w:color="auto"/>
            </w:tcBorders>
            <w:vAlign w:val="bottom"/>
          </w:tcPr>
          <w:p w14:paraId="60A58C12" w14:textId="77777777" w:rsidR="00B44672" w:rsidRDefault="00B44672" w:rsidP="00292140">
            <w:pPr>
              <w:pStyle w:val="Compact"/>
              <w:jc w:val="center"/>
              <w:cnfStyle w:val="100000000000" w:firstRow="1" w:lastRow="0" w:firstColumn="0" w:lastColumn="0" w:oddVBand="0" w:evenVBand="0" w:oddHBand="0" w:evenHBand="0" w:firstRowFirstColumn="0" w:firstRowLastColumn="0" w:lastRowFirstColumn="0" w:lastRowLastColumn="0"/>
            </w:pPr>
            <w:r>
              <w:t>Diff - Avg stamp duty $</w:t>
            </w:r>
          </w:p>
        </w:tc>
        <w:tc>
          <w:tcPr>
            <w:tcW w:w="507" w:type="pct"/>
            <w:tcBorders>
              <w:bottom w:val="single" w:sz="0" w:space="0" w:color="auto"/>
            </w:tcBorders>
            <w:vAlign w:val="bottom"/>
          </w:tcPr>
          <w:p w14:paraId="49FB7D6F"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506" w:type="pct"/>
            <w:tcBorders>
              <w:bottom w:val="single" w:sz="0" w:space="0" w:color="auto"/>
            </w:tcBorders>
            <w:vAlign w:val="bottom"/>
          </w:tcPr>
          <w:p w14:paraId="5007DE92"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630" w:type="pct"/>
            <w:tcBorders>
              <w:bottom w:val="single" w:sz="0" w:space="0" w:color="auto"/>
            </w:tcBorders>
            <w:vAlign w:val="bottom"/>
          </w:tcPr>
          <w:p w14:paraId="58F2594F" w14:textId="77777777" w:rsidR="00B44672" w:rsidRDefault="00B44672" w:rsidP="000511CA">
            <w:pPr>
              <w:pStyle w:val="Compact"/>
              <w:jc w:val="center"/>
            </w:pPr>
            <w:r>
              <w:t>Diff - % point change in income</w:t>
            </w:r>
          </w:p>
        </w:tc>
      </w:tr>
      <w:tr w:rsidR="00B44672" w14:paraId="4F587C80"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48BFF394" w14:textId="77777777" w:rsidR="00B44672" w:rsidRDefault="00B44672" w:rsidP="00CB6E83">
            <w:pPr>
              <w:pStyle w:val="Compact"/>
            </w:pPr>
            <w:r w:rsidRPr="00AF6491">
              <w:rPr>
                <w:b/>
                <w:i/>
                <w:iCs/>
                <w:color w:val="365F91" w:themeColor="accent1" w:themeShade="BF"/>
              </w:rPr>
              <w:t>No price change</w:t>
            </w:r>
          </w:p>
        </w:tc>
        <w:tc>
          <w:tcPr>
            <w:tcW w:w="464" w:type="pct"/>
          </w:tcPr>
          <w:p w14:paraId="06F0438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614" w:type="pct"/>
          </w:tcPr>
          <w:p w14:paraId="4A5AF51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569" w:type="pct"/>
          </w:tcPr>
          <w:p w14:paraId="1E7A7BC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507" w:type="pct"/>
          </w:tcPr>
          <w:p w14:paraId="5BEA7E9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507" w:type="pct"/>
          </w:tcPr>
          <w:p w14:paraId="4E0855A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506" w:type="pct"/>
          </w:tcPr>
          <w:p w14:paraId="30C9E05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30" w:type="pct"/>
          </w:tcPr>
          <w:p w14:paraId="4BB08E86" w14:textId="77777777" w:rsidR="00B44672" w:rsidRDefault="00B44672" w:rsidP="00CB6E83">
            <w:pPr>
              <w:pStyle w:val="Compact"/>
              <w:jc w:val="center"/>
            </w:pPr>
          </w:p>
        </w:tc>
      </w:tr>
      <w:tr w:rsidR="00B44672" w14:paraId="309E8AC0"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10AD21D4" w14:textId="77777777" w:rsidR="00B44672" w:rsidRDefault="00B44672" w:rsidP="00CB6E83">
            <w:pPr>
              <w:pStyle w:val="Compact"/>
            </w:pPr>
            <w:r>
              <w:t>Quint 1</w:t>
            </w:r>
          </w:p>
        </w:tc>
        <w:tc>
          <w:tcPr>
            <w:tcW w:w="464" w:type="pct"/>
          </w:tcPr>
          <w:p w14:paraId="5CF787F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795</w:t>
            </w:r>
          </w:p>
        </w:tc>
        <w:tc>
          <w:tcPr>
            <w:tcW w:w="614" w:type="pct"/>
          </w:tcPr>
          <w:p w14:paraId="1F29348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6,422</w:t>
            </w:r>
          </w:p>
        </w:tc>
        <w:tc>
          <w:tcPr>
            <w:tcW w:w="569" w:type="pct"/>
          </w:tcPr>
          <w:p w14:paraId="0ACFFDC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8,867</w:t>
            </w:r>
          </w:p>
        </w:tc>
        <w:tc>
          <w:tcPr>
            <w:tcW w:w="507" w:type="pct"/>
          </w:tcPr>
          <w:p w14:paraId="6848592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-2,445</w:t>
            </w:r>
          </w:p>
        </w:tc>
        <w:tc>
          <w:tcPr>
            <w:tcW w:w="507" w:type="pct"/>
          </w:tcPr>
          <w:p w14:paraId="3A90B8B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20.92</w:t>
            </w:r>
          </w:p>
        </w:tc>
        <w:tc>
          <w:tcPr>
            <w:tcW w:w="506" w:type="pct"/>
          </w:tcPr>
          <w:p w14:paraId="5D0AD08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28.88</w:t>
            </w:r>
          </w:p>
        </w:tc>
        <w:tc>
          <w:tcPr>
            <w:cnfStyle w:val="000100000000" w:firstRow="0" w:lastRow="0" w:firstColumn="0" w:lastColumn="1" w:oddVBand="0" w:evenVBand="0" w:oddHBand="0" w:evenHBand="0" w:firstRowFirstColumn="0" w:firstRowLastColumn="0" w:lastRowFirstColumn="0" w:lastRowLastColumn="0"/>
            <w:tcW w:w="630" w:type="pct"/>
          </w:tcPr>
          <w:p w14:paraId="02EF47B5" w14:textId="77777777" w:rsidR="00B44672" w:rsidRDefault="00B44672" w:rsidP="00CB6E83">
            <w:pPr>
              <w:pStyle w:val="Compact"/>
              <w:jc w:val="center"/>
            </w:pPr>
            <w:r>
              <w:t>-7.96</w:t>
            </w:r>
          </w:p>
        </w:tc>
      </w:tr>
      <w:tr w:rsidR="00B44672" w14:paraId="4DE13337"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4D3DB0BB" w14:textId="77777777" w:rsidR="00B44672" w:rsidRDefault="00B44672" w:rsidP="00CB6E83">
            <w:pPr>
              <w:pStyle w:val="Compact"/>
            </w:pPr>
            <w:r>
              <w:t>Quint 2</w:t>
            </w:r>
          </w:p>
        </w:tc>
        <w:tc>
          <w:tcPr>
            <w:tcW w:w="464" w:type="pct"/>
          </w:tcPr>
          <w:p w14:paraId="52B1E3A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1,386</w:t>
            </w:r>
          </w:p>
        </w:tc>
        <w:tc>
          <w:tcPr>
            <w:tcW w:w="614" w:type="pct"/>
          </w:tcPr>
          <w:p w14:paraId="0D766E5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13,388</w:t>
            </w:r>
          </w:p>
        </w:tc>
        <w:tc>
          <w:tcPr>
            <w:tcW w:w="569" w:type="pct"/>
          </w:tcPr>
          <w:p w14:paraId="13737A5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18,179</w:t>
            </w:r>
          </w:p>
        </w:tc>
        <w:tc>
          <w:tcPr>
            <w:tcW w:w="507" w:type="pct"/>
          </w:tcPr>
          <w:p w14:paraId="502A003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-4,790</w:t>
            </w:r>
          </w:p>
        </w:tc>
        <w:tc>
          <w:tcPr>
            <w:tcW w:w="507" w:type="pct"/>
          </w:tcPr>
          <w:p w14:paraId="76568A2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20.77</w:t>
            </w:r>
          </w:p>
        </w:tc>
        <w:tc>
          <w:tcPr>
            <w:tcW w:w="506" w:type="pct"/>
          </w:tcPr>
          <w:p w14:paraId="70FDF98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28.20</w:t>
            </w:r>
          </w:p>
        </w:tc>
        <w:tc>
          <w:tcPr>
            <w:cnfStyle w:val="000100000000" w:firstRow="0" w:lastRow="0" w:firstColumn="0" w:lastColumn="1" w:oddVBand="0" w:evenVBand="0" w:oddHBand="0" w:evenHBand="0" w:firstRowFirstColumn="0" w:firstRowLastColumn="0" w:lastRowFirstColumn="0" w:lastRowLastColumn="0"/>
            <w:tcW w:w="630" w:type="pct"/>
          </w:tcPr>
          <w:p w14:paraId="5A5A1B96" w14:textId="77777777" w:rsidR="00B44672" w:rsidRDefault="00B44672" w:rsidP="00CB6E83">
            <w:pPr>
              <w:pStyle w:val="Compact"/>
              <w:jc w:val="center"/>
            </w:pPr>
            <w:r>
              <w:t>-7.43</w:t>
            </w:r>
          </w:p>
        </w:tc>
      </w:tr>
      <w:tr w:rsidR="00B44672" w14:paraId="057361F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5376AA22" w14:textId="77777777" w:rsidR="00B44672" w:rsidRDefault="00B44672" w:rsidP="00CB6E83">
            <w:pPr>
              <w:pStyle w:val="Compact"/>
            </w:pPr>
            <w:r>
              <w:t>Quint 3</w:t>
            </w:r>
          </w:p>
        </w:tc>
        <w:tc>
          <w:tcPr>
            <w:tcW w:w="464" w:type="pct"/>
          </w:tcPr>
          <w:p w14:paraId="0A69BC7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3,222</w:t>
            </w:r>
          </w:p>
        </w:tc>
        <w:tc>
          <w:tcPr>
            <w:tcW w:w="614" w:type="pct"/>
          </w:tcPr>
          <w:p w14:paraId="156EBF4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15,880</w:t>
            </w:r>
          </w:p>
        </w:tc>
        <w:tc>
          <w:tcPr>
            <w:tcW w:w="569" w:type="pct"/>
          </w:tcPr>
          <w:p w14:paraId="54ABB45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21,466</w:t>
            </w:r>
          </w:p>
        </w:tc>
        <w:tc>
          <w:tcPr>
            <w:tcW w:w="507" w:type="pct"/>
          </w:tcPr>
          <w:p w14:paraId="5A317ED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-5,586</w:t>
            </w:r>
          </w:p>
        </w:tc>
        <w:tc>
          <w:tcPr>
            <w:tcW w:w="507" w:type="pct"/>
          </w:tcPr>
          <w:p w14:paraId="37DCAC4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20.41</w:t>
            </w:r>
          </w:p>
        </w:tc>
        <w:tc>
          <w:tcPr>
            <w:tcW w:w="506" w:type="pct"/>
          </w:tcPr>
          <w:p w14:paraId="27CA821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27.60</w:t>
            </w:r>
          </w:p>
        </w:tc>
        <w:tc>
          <w:tcPr>
            <w:cnfStyle w:val="000100000000" w:firstRow="0" w:lastRow="0" w:firstColumn="0" w:lastColumn="1" w:oddVBand="0" w:evenVBand="0" w:oddHBand="0" w:evenHBand="0" w:firstRowFirstColumn="0" w:firstRowLastColumn="0" w:lastRowFirstColumn="0" w:lastRowLastColumn="0"/>
            <w:tcW w:w="630" w:type="pct"/>
          </w:tcPr>
          <w:p w14:paraId="1EED0206" w14:textId="77777777" w:rsidR="00B44672" w:rsidRDefault="00B44672" w:rsidP="00CB6E83">
            <w:pPr>
              <w:pStyle w:val="Compact"/>
              <w:jc w:val="center"/>
            </w:pPr>
            <w:r>
              <w:t>-7.18</w:t>
            </w:r>
          </w:p>
        </w:tc>
      </w:tr>
      <w:tr w:rsidR="00B44672" w14:paraId="539BCCB6"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36822D01" w14:textId="77777777" w:rsidR="00B44672" w:rsidRDefault="00B44672" w:rsidP="00CB6E83">
            <w:pPr>
              <w:pStyle w:val="Compact"/>
            </w:pPr>
            <w:r>
              <w:t>Quint 4</w:t>
            </w:r>
          </w:p>
        </w:tc>
        <w:tc>
          <w:tcPr>
            <w:tcW w:w="464" w:type="pct"/>
          </w:tcPr>
          <w:p w14:paraId="3B0544E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3,269</w:t>
            </w:r>
          </w:p>
        </w:tc>
        <w:tc>
          <w:tcPr>
            <w:tcW w:w="614" w:type="pct"/>
          </w:tcPr>
          <w:p w14:paraId="5430F49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19,111</w:t>
            </w:r>
          </w:p>
        </w:tc>
        <w:tc>
          <w:tcPr>
            <w:tcW w:w="569" w:type="pct"/>
          </w:tcPr>
          <w:p w14:paraId="7524E25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25,123</w:t>
            </w:r>
          </w:p>
        </w:tc>
        <w:tc>
          <w:tcPr>
            <w:tcW w:w="507" w:type="pct"/>
          </w:tcPr>
          <w:p w14:paraId="230BB2A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-6,012</w:t>
            </w:r>
          </w:p>
        </w:tc>
        <w:tc>
          <w:tcPr>
            <w:tcW w:w="507" w:type="pct"/>
          </w:tcPr>
          <w:p w14:paraId="12D2113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18.14</w:t>
            </w:r>
          </w:p>
        </w:tc>
        <w:tc>
          <w:tcPr>
            <w:tcW w:w="506" w:type="pct"/>
          </w:tcPr>
          <w:p w14:paraId="1FEBC65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23.85</w:t>
            </w:r>
          </w:p>
        </w:tc>
        <w:tc>
          <w:tcPr>
            <w:cnfStyle w:val="000100000000" w:firstRow="0" w:lastRow="0" w:firstColumn="0" w:lastColumn="1" w:oddVBand="0" w:evenVBand="0" w:oddHBand="0" w:evenHBand="0" w:firstRowFirstColumn="0" w:firstRowLastColumn="0" w:lastRowFirstColumn="0" w:lastRowLastColumn="0"/>
            <w:tcW w:w="630" w:type="pct"/>
          </w:tcPr>
          <w:p w14:paraId="3325FE5C" w14:textId="77777777" w:rsidR="00B44672" w:rsidRDefault="00B44672" w:rsidP="00CB6E83">
            <w:pPr>
              <w:pStyle w:val="Compact"/>
              <w:jc w:val="center"/>
            </w:pPr>
            <w:r>
              <w:t>-5.71</w:t>
            </w:r>
          </w:p>
        </w:tc>
      </w:tr>
      <w:tr w:rsidR="00B44672" w14:paraId="18C0B169"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1B09524A" w14:textId="77777777" w:rsidR="00B44672" w:rsidRDefault="00B44672" w:rsidP="00CB6E83">
            <w:pPr>
              <w:pStyle w:val="Compact"/>
            </w:pPr>
            <w:r>
              <w:t>Quint 5</w:t>
            </w:r>
          </w:p>
        </w:tc>
        <w:tc>
          <w:tcPr>
            <w:tcW w:w="464" w:type="pct"/>
          </w:tcPr>
          <w:p w14:paraId="4FA6912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3,823</w:t>
            </w:r>
          </w:p>
        </w:tc>
        <w:tc>
          <w:tcPr>
            <w:tcW w:w="614" w:type="pct"/>
          </w:tcPr>
          <w:p w14:paraId="441AC4A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23,282</w:t>
            </w:r>
          </w:p>
        </w:tc>
        <w:tc>
          <w:tcPr>
            <w:tcW w:w="569" w:type="pct"/>
          </w:tcPr>
          <w:p w14:paraId="51F72BC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29,916</w:t>
            </w:r>
          </w:p>
        </w:tc>
        <w:tc>
          <w:tcPr>
            <w:tcW w:w="507" w:type="pct"/>
          </w:tcPr>
          <w:p w14:paraId="125888A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-6,634</w:t>
            </w:r>
          </w:p>
        </w:tc>
        <w:tc>
          <w:tcPr>
            <w:tcW w:w="507" w:type="pct"/>
          </w:tcPr>
          <w:p w14:paraId="698044F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16.01</w:t>
            </w:r>
          </w:p>
        </w:tc>
        <w:tc>
          <w:tcPr>
            <w:tcW w:w="506" w:type="pct"/>
          </w:tcPr>
          <w:p w14:paraId="78E1A13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20.58</w:t>
            </w:r>
          </w:p>
        </w:tc>
        <w:tc>
          <w:tcPr>
            <w:cnfStyle w:val="000100000000" w:firstRow="0" w:lastRow="0" w:firstColumn="0" w:lastColumn="1" w:oddVBand="0" w:evenVBand="0" w:oddHBand="0" w:evenHBand="0" w:firstRowFirstColumn="0" w:firstRowLastColumn="0" w:lastRowFirstColumn="0" w:lastRowLastColumn="0"/>
            <w:tcW w:w="630" w:type="pct"/>
          </w:tcPr>
          <w:p w14:paraId="02F1FE98" w14:textId="77777777" w:rsidR="00B44672" w:rsidRDefault="00B44672" w:rsidP="00CB6E83">
            <w:pPr>
              <w:pStyle w:val="Compact"/>
              <w:jc w:val="center"/>
            </w:pPr>
            <w:r>
              <w:t>-4.56</w:t>
            </w:r>
          </w:p>
        </w:tc>
      </w:tr>
      <w:tr w:rsidR="00B44672" w14:paraId="68CAB437"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3362D8B9"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464" w:type="pct"/>
          </w:tcPr>
          <w:p w14:paraId="7220F7F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614" w:type="pct"/>
          </w:tcPr>
          <w:p w14:paraId="75D49E0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69" w:type="pct"/>
          </w:tcPr>
          <w:p w14:paraId="78BE9B4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07" w:type="pct"/>
          </w:tcPr>
          <w:p w14:paraId="4356CF1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07" w:type="pct"/>
          </w:tcPr>
          <w:p w14:paraId="7452EA3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06" w:type="pct"/>
          </w:tcPr>
          <w:p w14:paraId="2BF0F3F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30" w:type="pct"/>
          </w:tcPr>
          <w:p w14:paraId="55CB06A4" w14:textId="77777777" w:rsidR="00B44672" w:rsidRDefault="00B44672" w:rsidP="00A567C4">
            <w:pPr>
              <w:pStyle w:val="Compact"/>
              <w:jc w:val="center"/>
            </w:pPr>
          </w:p>
        </w:tc>
      </w:tr>
      <w:tr w:rsidR="00B44672" w14:paraId="16AA717D"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43709EBC" w14:textId="77777777" w:rsidR="00B44672" w:rsidRDefault="00B44672" w:rsidP="00A567C4">
            <w:pPr>
              <w:pStyle w:val="Compact"/>
            </w:pPr>
            <w:r>
              <w:t>Quint 1</w:t>
            </w:r>
          </w:p>
        </w:tc>
        <w:tc>
          <w:tcPr>
            <w:tcW w:w="464" w:type="pct"/>
          </w:tcPr>
          <w:p w14:paraId="52867CB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795</w:t>
            </w:r>
          </w:p>
        </w:tc>
        <w:tc>
          <w:tcPr>
            <w:tcW w:w="614" w:type="pct"/>
          </w:tcPr>
          <w:p w14:paraId="0C6A8FC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6,427</w:t>
            </w:r>
          </w:p>
        </w:tc>
        <w:tc>
          <w:tcPr>
            <w:tcW w:w="569" w:type="pct"/>
          </w:tcPr>
          <w:p w14:paraId="6F1BB53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8,770</w:t>
            </w:r>
          </w:p>
        </w:tc>
        <w:tc>
          <w:tcPr>
            <w:tcW w:w="507" w:type="pct"/>
          </w:tcPr>
          <w:p w14:paraId="1502ED1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-2,343</w:t>
            </w:r>
          </w:p>
        </w:tc>
        <w:tc>
          <w:tcPr>
            <w:tcW w:w="507" w:type="pct"/>
          </w:tcPr>
          <w:p w14:paraId="2C4E98E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20.93</w:t>
            </w:r>
          </w:p>
        </w:tc>
        <w:tc>
          <w:tcPr>
            <w:tcW w:w="506" w:type="pct"/>
          </w:tcPr>
          <w:p w14:paraId="5E4C679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28.56</w:t>
            </w:r>
          </w:p>
        </w:tc>
        <w:tc>
          <w:tcPr>
            <w:cnfStyle w:val="000100000000" w:firstRow="0" w:lastRow="0" w:firstColumn="0" w:lastColumn="1" w:oddVBand="0" w:evenVBand="0" w:oddHBand="0" w:evenHBand="0" w:firstRowFirstColumn="0" w:firstRowLastColumn="0" w:lastRowFirstColumn="0" w:lastRowLastColumn="0"/>
            <w:tcW w:w="630" w:type="pct"/>
          </w:tcPr>
          <w:p w14:paraId="342F53B1" w14:textId="77777777" w:rsidR="00B44672" w:rsidRDefault="00B44672" w:rsidP="00A567C4">
            <w:pPr>
              <w:pStyle w:val="Compact"/>
              <w:jc w:val="center"/>
            </w:pPr>
            <w:r>
              <w:t>-7.63</w:t>
            </w:r>
          </w:p>
        </w:tc>
      </w:tr>
      <w:tr w:rsidR="00B44672" w14:paraId="3209DC03"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23D08721" w14:textId="77777777" w:rsidR="00B44672" w:rsidRDefault="00B44672" w:rsidP="00A567C4">
            <w:pPr>
              <w:pStyle w:val="Compact"/>
            </w:pPr>
            <w:r>
              <w:t>Quint 2</w:t>
            </w:r>
          </w:p>
        </w:tc>
        <w:tc>
          <w:tcPr>
            <w:tcW w:w="464" w:type="pct"/>
          </w:tcPr>
          <w:p w14:paraId="11DCB1B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1,395</w:t>
            </w:r>
          </w:p>
        </w:tc>
        <w:tc>
          <w:tcPr>
            <w:tcW w:w="614" w:type="pct"/>
          </w:tcPr>
          <w:p w14:paraId="5A9B74B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13,397</w:t>
            </w:r>
          </w:p>
        </w:tc>
        <w:tc>
          <w:tcPr>
            <w:tcW w:w="569" w:type="pct"/>
          </w:tcPr>
          <w:p w14:paraId="18D8FD7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17,982</w:t>
            </w:r>
          </w:p>
        </w:tc>
        <w:tc>
          <w:tcPr>
            <w:tcW w:w="507" w:type="pct"/>
          </w:tcPr>
          <w:p w14:paraId="577FF95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-4,585</w:t>
            </w:r>
          </w:p>
        </w:tc>
        <w:tc>
          <w:tcPr>
            <w:tcW w:w="507" w:type="pct"/>
          </w:tcPr>
          <w:p w14:paraId="638E8E1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20.80</w:t>
            </w:r>
          </w:p>
        </w:tc>
        <w:tc>
          <w:tcPr>
            <w:tcW w:w="506" w:type="pct"/>
          </w:tcPr>
          <w:p w14:paraId="6EEF289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27.92</w:t>
            </w:r>
          </w:p>
        </w:tc>
        <w:tc>
          <w:tcPr>
            <w:cnfStyle w:val="000100000000" w:firstRow="0" w:lastRow="0" w:firstColumn="0" w:lastColumn="1" w:oddVBand="0" w:evenVBand="0" w:oddHBand="0" w:evenHBand="0" w:firstRowFirstColumn="0" w:firstRowLastColumn="0" w:lastRowFirstColumn="0" w:lastRowLastColumn="0"/>
            <w:tcW w:w="630" w:type="pct"/>
          </w:tcPr>
          <w:p w14:paraId="67F4B67E" w14:textId="77777777" w:rsidR="00B44672" w:rsidRDefault="00B44672" w:rsidP="00A567C4">
            <w:pPr>
              <w:pStyle w:val="Compact"/>
              <w:jc w:val="center"/>
            </w:pPr>
            <w:r>
              <w:t>-7.12</w:t>
            </w:r>
          </w:p>
        </w:tc>
      </w:tr>
      <w:tr w:rsidR="00B44672" w14:paraId="7CB3FDF4"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3F4A2992" w14:textId="77777777" w:rsidR="00B44672" w:rsidRDefault="00B44672" w:rsidP="00A567C4">
            <w:pPr>
              <w:pStyle w:val="Compact"/>
            </w:pPr>
            <w:r>
              <w:t>Quint 3</w:t>
            </w:r>
          </w:p>
        </w:tc>
        <w:tc>
          <w:tcPr>
            <w:tcW w:w="464" w:type="pct"/>
          </w:tcPr>
          <w:p w14:paraId="1B298EA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3,226</w:t>
            </w:r>
          </w:p>
        </w:tc>
        <w:tc>
          <w:tcPr>
            <w:tcW w:w="614" w:type="pct"/>
          </w:tcPr>
          <w:p w14:paraId="24522A2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15,882</w:t>
            </w:r>
          </w:p>
        </w:tc>
        <w:tc>
          <w:tcPr>
            <w:tcW w:w="569" w:type="pct"/>
          </w:tcPr>
          <w:p w14:paraId="7F280EA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21,222</w:t>
            </w:r>
          </w:p>
        </w:tc>
        <w:tc>
          <w:tcPr>
            <w:tcW w:w="507" w:type="pct"/>
          </w:tcPr>
          <w:p w14:paraId="3EC8145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-5,340</w:t>
            </w:r>
          </w:p>
        </w:tc>
        <w:tc>
          <w:tcPr>
            <w:tcW w:w="507" w:type="pct"/>
          </w:tcPr>
          <w:p w14:paraId="1CC1DDA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20.42</w:t>
            </w:r>
          </w:p>
        </w:tc>
        <w:tc>
          <w:tcPr>
            <w:tcW w:w="506" w:type="pct"/>
          </w:tcPr>
          <w:p w14:paraId="5461D79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27.29</w:t>
            </w:r>
          </w:p>
        </w:tc>
        <w:tc>
          <w:tcPr>
            <w:cnfStyle w:val="000100000000" w:firstRow="0" w:lastRow="0" w:firstColumn="0" w:lastColumn="1" w:oddVBand="0" w:evenVBand="0" w:oddHBand="0" w:evenHBand="0" w:firstRowFirstColumn="0" w:firstRowLastColumn="0" w:lastRowFirstColumn="0" w:lastRowLastColumn="0"/>
            <w:tcW w:w="630" w:type="pct"/>
          </w:tcPr>
          <w:p w14:paraId="4897A579" w14:textId="77777777" w:rsidR="00B44672" w:rsidRDefault="00B44672" w:rsidP="00A567C4">
            <w:pPr>
              <w:pStyle w:val="Compact"/>
              <w:jc w:val="center"/>
            </w:pPr>
            <w:r>
              <w:t>-6.87</w:t>
            </w:r>
          </w:p>
        </w:tc>
      </w:tr>
      <w:tr w:rsidR="00B44672" w14:paraId="654A13F7"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2022622B" w14:textId="77777777" w:rsidR="00B44672" w:rsidRDefault="00B44672" w:rsidP="00A567C4">
            <w:pPr>
              <w:pStyle w:val="Compact"/>
            </w:pPr>
            <w:r>
              <w:t>Quint 4</w:t>
            </w:r>
          </w:p>
        </w:tc>
        <w:tc>
          <w:tcPr>
            <w:tcW w:w="464" w:type="pct"/>
          </w:tcPr>
          <w:p w14:paraId="621CCE1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3,276</w:t>
            </w:r>
          </w:p>
        </w:tc>
        <w:tc>
          <w:tcPr>
            <w:tcW w:w="614" w:type="pct"/>
          </w:tcPr>
          <w:p w14:paraId="061AD9E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19,096</w:t>
            </w:r>
          </w:p>
        </w:tc>
        <w:tc>
          <w:tcPr>
            <w:tcW w:w="569" w:type="pct"/>
          </w:tcPr>
          <w:p w14:paraId="4F25C6A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24,827</w:t>
            </w:r>
          </w:p>
        </w:tc>
        <w:tc>
          <w:tcPr>
            <w:tcW w:w="507" w:type="pct"/>
          </w:tcPr>
          <w:p w14:paraId="774227A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-5,731</w:t>
            </w:r>
          </w:p>
        </w:tc>
        <w:tc>
          <w:tcPr>
            <w:tcW w:w="507" w:type="pct"/>
          </w:tcPr>
          <w:p w14:paraId="3FF7A2E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18.14</w:t>
            </w:r>
          </w:p>
        </w:tc>
        <w:tc>
          <w:tcPr>
            <w:tcW w:w="506" w:type="pct"/>
          </w:tcPr>
          <w:p w14:paraId="1A31808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23.58</w:t>
            </w:r>
          </w:p>
        </w:tc>
        <w:tc>
          <w:tcPr>
            <w:cnfStyle w:val="000100000000" w:firstRow="0" w:lastRow="0" w:firstColumn="0" w:lastColumn="1" w:oddVBand="0" w:evenVBand="0" w:oddHBand="0" w:evenHBand="0" w:firstRowFirstColumn="0" w:firstRowLastColumn="0" w:lastRowFirstColumn="0" w:lastRowLastColumn="0"/>
            <w:tcW w:w="630" w:type="pct"/>
          </w:tcPr>
          <w:p w14:paraId="781C0072" w14:textId="77777777" w:rsidR="00B44672" w:rsidRDefault="00B44672" w:rsidP="00A567C4">
            <w:pPr>
              <w:pStyle w:val="Compact"/>
              <w:jc w:val="center"/>
            </w:pPr>
            <w:r>
              <w:t>-5.44</w:t>
            </w:r>
          </w:p>
        </w:tc>
      </w:tr>
      <w:tr w:rsidR="00B44672" w14:paraId="75E40629"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65ECE2FD" w14:textId="77777777" w:rsidR="00B44672" w:rsidRDefault="00B44672" w:rsidP="00A567C4">
            <w:pPr>
              <w:pStyle w:val="Compact"/>
            </w:pPr>
            <w:r>
              <w:t>Quint 5</w:t>
            </w:r>
          </w:p>
        </w:tc>
        <w:tc>
          <w:tcPr>
            <w:tcW w:w="464" w:type="pct"/>
          </w:tcPr>
          <w:p w14:paraId="4BCCF23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3,828</w:t>
            </w:r>
          </w:p>
        </w:tc>
        <w:tc>
          <w:tcPr>
            <w:tcW w:w="614" w:type="pct"/>
          </w:tcPr>
          <w:p w14:paraId="10749D1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23,281</w:t>
            </w:r>
          </w:p>
        </w:tc>
        <w:tc>
          <w:tcPr>
            <w:tcW w:w="569" w:type="pct"/>
          </w:tcPr>
          <w:p w14:paraId="64BC54C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29,596</w:t>
            </w:r>
          </w:p>
        </w:tc>
        <w:tc>
          <w:tcPr>
            <w:tcW w:w="507" w:type="pct"/>
          </w:tcPr>
          <w:p w14:paraId="280D17B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-6,314</w:t>
            </w:r>
          </w:p>
        </w:tc>
        <w:tc>
          <w:tcPr>
            <w:tcW w:w="507" w:type="pct"/>
          </w:tcPr>
          <w:p w14:paraId="1953443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16.01</w:t>
            </w:r>
          </w:p>
        </w:tc>
        <w:tc>
          <w:tcPr>
            <w:tcW w:w="506" w:type="pct"/>
          </w:tcPr>
          <w:p w14:paraId="2A6B993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20.36</w:t>
            </w:r>
          </w:p>
        </w:tc>
        <w:tc>
          <w:tcPr>
            <w:cnfStyle w:val="000100000000" w:firstRow="0" w:lastRow="0" w:firstColumn="0" w:lastColumn="1" w:oddVBand="0" w:evenVBand="0" w:oddHBand="0" w:evenHBand="0" w:firstRowFirstColumn="0" w:firstRowLastColumn="0" w:lastRowFirstColumn="0" w:lastRowLastColumn="0"/>
            <w:tcW w:w="630" w:type="pct"/>
          </w:tcPr>
          <w:p w14:paraId="7CE19A29" w14:textId="77777777" w:rsidR="00B44672" w:rsidRDefault="00B44672" w:rsidP="00A567C4">
            <w:pPr>
              <w:pStyle w:val="Compact"/>
              <w:jc w:val="center"/>
            </w:pPr>
            <w:r>
              <w:t>-4.34</w:t>
            </w:r>
          </w:p>
        </w:tc>
      </w:tr>
      <w:tr w:rsidR="00B44672" w14:paraId="4969833C"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47CD490E" w14:textId="77777777" w:rsidR="00B44672" w:rsidRDefault="00B44672" w:rsidP="00302865">
            <w:pPr>
              <w:pStyle w:val="Compact"/>
            </w:pPr>
            <w:r w:rsidRPr="00113FC1">
              <w:rPr>
                <w:b/>
                <w:i/>
                <w:iCs/>
                <w:color w:val="365F91" w:themeColor="accent1" w:themeShade="BF"/>
              </w:rPr>
              <w:t>1.24 – 2.19% price change</w:t>
            </w:r>
          </w:p>
        </w:tc>
        <w:tc>
          <w:tcPr>
            <w:tcW w:w="464" w:type="pct"/>
          </w:tcPr>
          <w:p w14:paraId="2978892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614" w:type="pct"/>
          </w:tcPr>
          <w:p w14:paraId="1032B30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69" w:type="pct"/>
          </w:tcPr>
          <w:p w14:paraId="040AD1D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07" w:type="pct"/>
          </w:tcPr>
          <w:p w14:paraId="2E1FC9D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07" w:type="pct"/>
          </w:tcPr>
          <w:p w14:paraId="1490110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06" w:type="pct"/>
          </w:tcPr>
          <w:p w14:paraId="75EB23E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30" w:type="pct"/>
          </w:tcPr>
          <w:p w14:paraId="58CCF1EA" w14:textId="77777777" w:rsidR="00B44672" w:rsidRDefault="00B44672" w:rsidP="00302865">
            <w:pPr>
              <w:pStyle w:val="Compact"/>
              <w:jc w:val="center"/>
            </w:pPr>
          </w:p>
        </w:tc>
      </w:tr>
      <w:tr w:rsidR="00B44672" w14:paraId="0DD61CF6"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6FDC7DD8" w14:textId="77777777" w:rsidR="00B44672" w:rsidRDefault="00B44672" w:rsidP="00302865">
            <w:pPr>
              <w:pStyle w:val="Compact"/>
            </w:pPr>
            <w:r>
              <w:t>Quint 1</w:t>
            </w:r>
          </w:p>
        </w:tc>
        <w:tc>
          <w:tcPr>
            <w:tcW w:w="464" w:type="pct"/>
          </w:tcPr>
          <w:p w14:paraId="78D4BAA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796</w:t>
            </w:r>
          </w:p>
        </w:tc>
        <w:tc>
          <w:tcPr>
            <w:tcW w:w="614" w:type="pct"/>
          </w:tcPr>
          <w:p w14:paraId="1408B9B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6,423</w:t>
            </w:r>
          </w:p>
        </w:tc>
        <w:tc>
          <w:tcPr>
            <w:tcW w:w="569" w:type="pct"/>
          </w:tcPr>
          <w:p w14:paraId="2DCA35E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8,657</w:t>
            </w:r>
          </w:p>
        </w:tc>
        <w:tc>
          <w:tcPr>
            <w:tcW w:w="507" w:type="pct"/>
          </w:tcPr>
          <w:p w14:paraId="4182487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-2,234</w:t>
            </w:r>
          </w:p>
        </w:tc>
        <w:tc>
          <w:tcPr>
            <w:tcW w:w="507" w:type="pct"/>
          </w:tcPr>
          <w:p w14:paraId="3E21DE0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20.91</w:t>
            </w:r>
          </w:p>
        </w:tc>
        <w:tc>
          <w:tcPr>
            <w:tcW w:w="506" w:type="pct"/>
          </w:tcPr>
          <w:p w14:paraId="344ECD1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28.19</w:t>
            </w:r>
          </w:p>
        </w:tc>
        <w:tc>
          <w:tcPr>
            <w:cnfStyle w:val="000100000000" w:firstRow="0" w:lastRow="0" w:firstColumn="0" w:lastColumn="1" w:oddVBand="0" w:evenVBand="0" w:oddHBand="0" w:evenHBand="0" w:firstRowFirstColumn="0" w:firstRowLastColumn="0" w:lastRowFirstColumn="0" w:lastRowLastColumn="0"/>
            <w:tcW w:w="630" w:type="pct"/>
          </w:tcPr>
          <w:p w14:paraId="4E1EC771" w14:textId="77777777" w:rsidR="00B44672" w:rsidRDefault="00B44672" w:rsidP="00302865">
            <w:pPr>
              <w:pStyle w:val="Compact"/>
              <w:jc w:val="center"/>
            </w:pPr>
            <w:r>
              <w:t>-7.27</w:t>
            </w:r>
          </w:p>
        </w:tc>
      </w:tr>
      <w:tr w:rsidR="00B44672" w14:paraId="0B7160CF"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6A21B3D9" w14:textId="77777777" w:rsidR="00B44672" w:rsidRDefault="00B44672" w:rsidP="00302865">
            <w:pPr>
              <w:pStyle w:val="Compact"/>
            </w:pPr>
            <w:r>
              <w:t>Quint 2</w:t>
            </w:r>
          </w:p>
        </w:tc>
        <w:tc>
          <w:tcPr>
            <w:tcW w:w="464" w:type="pct"/>
          </w:tcPr>
          <w:p w14:paraId="29FD8BA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1,407</w:t>
            </w:r>
          </w:p>
        </w:tc>
        <w:tc>
          <w:tcPr>
            <w:tcW w:w="614" w:type="pct"/>
          </w:tcPr>
          <w:p w14:paraId="7EE3A79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13,479</w:t>
            </w:r>
          </w:p>
        </w:tc>
        <w:tc>
          <w:tcPr>
            <w:tcW w:w="569" w:type="pct"/>
          </w:tcPr>
          <w:p w14:paraId="7EA1137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17,864</w:t>
            </w:r>
          </w:p>
        </w:tc>
        <w:tc>
          <w:tcPr>
            <w:tcW w:w="507" w:type="pct"/>
          </w:tcPr>
          <w:p w14:paraId="04756EC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-4,385</w:t>
            </w:r>
          </w:p>
        </w:tc>
        <w:tc>
          <w:tcPr>
            <w:tcW w:w="507" w:type="pct"/>
          </w:tcPr>
          <w:p w14:paraId="28270C4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20.88</w:t>
            </w:r>
          </w:p>
        </w:tc>
        <w:tc>
          <w:tcPr>
            <w:tcW w:w="506" w:type="pct"/>
          </w:tcPr>
          <w:p w14:paraId="7D0EC6A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27.67</w:t>
            </w:r>
          </w:p>
        </w:tc>
        <w:tc>
          <w:tcPr>
            <w:cnfStyle w:val="000100000000" w:firstRow="0" w:lastRow="0" w:firstColumn="0" w:lastColumn="1" w:oddVBand="0" w:evenVBand="0" w:oddHBand="0" w:evenHBand="0" w:firstRowFirstColumn="0" w:firstRowLastColumn="0" w:lastRowFirstColumn="0" w:lastRowLastColumn="0"/>
            <w:tcW w:w="630" w:type="pct"/>
          </w:tcPr>
          <w:p w14:paraId="3AE8AE3E" w14:textId="77777777" w:rsidR="00B44672" w:rsidRDefault="00B44672" w:rsidP="00302865">
            <w:pPr>
              <w:pStyle w:val="Compact"/>
              <w:jc w:val="center"/>
            </w:pPr>
            <w:r>
              <w:t>-6.79</w:t>
            </w:r>
          </w:p>
        </w:tc>
      </w:tr>
      <w:tr w:rsidR="00B44672" w14:paraId="7AB45CF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179BA856" w14:textId="77777777" w:rsidR="00B44672" w:rsidRDefault="00B44672" w:rsidP="00302865">
            <w:pPr>
              <w:pStyle w:val="Compact"/>
            </w:pPr>
            <w:r>
              <w:t>Quint 3</w:t>
            </w:r>
          </w:p>
        </w:tc>
        <w:tc>
          <w:tcPr>
            <w:tcW w:w="464" w:type="pct"/>
          </w:tcPr>
          <w:p w14:paraId="4995BB7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3,226</w:t>
            </w:r>
          </w:p>
        </w:tc>
        <w:tc>
          <w:tcPr>
            <w:tcW w:w="614" w:type="pct"/>
          </w:tcPr>
          <w:p w14:paraId="104698D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15,882</w:t>
            </w:r>
          </w:p>
        </w:tc>
        <w:tc>
          <w:tcPr>
            <w:tcW w:w="569" w:type="pct"/>
          </w:tcPr>
          <w:p w14:paraId="7F62D95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20,971</w:t>
            </w:r>
          </w:p>
        </w:tc>
        <w:tc>
          <w:tcPr>
            <w:tcW w:w="507" w:type="pct"/>
          </w:tcPr>
          <w:p w14:paraId="0E39630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-5,088</w:t>
            </w:r>
          </w:p>
        </w:tc>
        <w:tc>
          <w:tcPr>
            <w:tcW w:w="507" w:type="pct"/>
          </w:tcPr>
          <w:p w14:paraId="4A99F89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20.42</w:t>
            </w:r>
          </w:p>
        </w:tc>
        <w:tc>
          <w:tcPr>
            <w:tcW w:w="506" w:type="pct"/>
          </w:tcPr>
          <w:p w14:paraId="0FE3616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26.96</w:t>
            </w:r>
          </w:p>
        </w:tc>
        <w:tc>
          <w:tcPr>
            <w:cnfStyle w:val="000100000000" w:firstRow="0" w:lastRow="0" w:firstColumn="0" w:lastColumn="1" w:oddVBand="0" w:evenVBand="0" w:oddHBand="0" w:evenHBand="0" w:firstRowFirstColumn="0" w:firstRowLastColumn="0" w:lastRowFirstColumn="0" w:lastRowLastColumn="0"/>
            <w:tcW w:w="630" w:type="pct"/>
          </w:tcPr>
          <w:p w14:paraId="211D4387" w14:textId="77777777" w:rsidR="00B44672" w:rsidRDefault="00B44672" w:rsidP="00302865">
            <w:pPr>
              <w:pStyle w:val="Compact"/>
              <w:jc w:val="center"/>
            </w:pPr>
            <w:r>
              <w:t>-6.54</w:t>
            </w:r>
          </w:p>
        </w:tc>
      </w:tr>
      <w:tr w:rsidR="00B44672" w14:paraId="7CC3AC7F"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745F8882" w14:textId="77777777" w:rsidR="00B44672" w:rsidRDefault="00B44672" w:rsidP="00302865">
            <w:pPr>
              <w:pStyle w:val="Compact"/>
            </w:pPr>
            <w:r>
              <w:t>Quint 4</w:t>
            </w:r>
          </w:p>
        </w:tc>
        <w:tc>
          <w:tcPr>
            <w:tcW w:w="464" w:type="pct"/>
          </w:tcPr>
          <w:p w14:paraId="1004CB2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3,296</w:t>
            </w:r>
          </w:p>
        </w:tc>
        <w:tc>
          <w:tcPr>
            <w:tcW w:w="614" w:type="pct"/>
          </w:tcPr>
          <w:p w14:paraId="22F26E9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19,078</w:t>
            </w:r>
          </w:p>
        </w:tc>
        <w:tc>
          <w:tcPr>
            <w:tcW w:w="569" w:type="pct"/>
          </w:tcPr>
          <w:p w14:paraId="498A2F8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24,517</w:t>
            </w:r>
          </w:p>
        </w:tc>
        <w:tc>
          <w:tcPr>
            <w:tcW w:w="507" w:type="pct"/>
          </w:tcPr>
          <w:p w14:paraId="554E84F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-5,439</w:t>
            </w:r>
          </w:p>
        </w:tc>
        <w:tc>
          <w:tcPr>
            <w:tcW w:w="507" w:type="pct"/>
          </w:tcPr>
          <w:p w14:paraId="404EFA2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18.12</w:t>
            </w:r>
          </w:p>
        </w:tc>
        <w:tc>
          <w:tcPr>
            <w:tcW w:w="506" w:type="pct"/>
          </w:tcPr>
          <w:p w14:paraId="30DF738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23.29</w:t>
            </w:r>
          </w:p>
        </w:tc>
        <w:tc>
          <w:tcPr>
            <w:cnfStyle w:val="000100000000" w:firstRow="0" w:lastRow="0" w:firstColumn="0" w:lastColumn="1" w:oddVBand="0" w:evenVBand="0" w:oddHBand="0" w:evenHBand="0" w:firstRowFirstColumn="0" w:firstRowLastColumn="0" w:lastRowFirstColumn="0" w:lastRowLastColumn="0"/>
            <w:tcW w:w="630" w:type="pct"/>
          </w:tcPr>
          <w:p w14:paraId="075FAEDB" w14:textId="77777777" w:rsidR="00B44672" w:rsidRDefault="00B44672" w:rsidP="00302865">
            <w:pPr>
              <w:pStyle w:val="Compact"/>
              <w:jc w:val="center"/>
            </w:pPr>
            <w:r>
              <w:t>-5.17</w:t>
            </w:r>
          </w:p>
        </w:tc>
      </w:tr>
      <w:tr w:rsidR="00B44672" w14:paraId="3F63AF4F" w14:textId="77777777" w:rsidTr="0030286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4" w:type="pct"/>
          </w:tcPr>
          <w:p w14:paraId="79BD7307" w14:textId="77777777" w:rsidR="00B44672" w:rsidRDefault="00B44672" w:rsidP="00302865">
            <w:pPr>
              <w:pStyle w:val="Compact"/>
            </w:pPr>
            <w:r>
              <w:t>Quint 5</w:t>
            </w:r>
          </w:p>
        </w:tc>
        <w:tc>
          <w:tcPr>
            <w:tcW w:w="464" w:type="pct"/>
          </w:tcPr>
          <w:p w14:paraId="73F2CD26"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3,855</w:t>
            </w:r>
          </w:p>
        </w:tc>
        <w:tc>
          <w:tcPr>
            <w:tcW w:w="614" w:type="pct"/>
          </w:tcPr>
          <w:p w14:paraId="44B52384"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23,256</w:t>
            </w:r>
          </w:p>
        </w:tc>
        <w:tc>
          <w:tcPr>
            <w:tcW w:w="569" w:type="pct"/>
          </w:tcPr>
          <w:p w14:paraId="74204A67"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29,230</w:t>
            </w:r>
          </w:p>
        </w:tc>
        <w:tc>
          <w:tcPr>
            <w:tcW w:w="507" w:type="pct"/>
          </w:tcPr>
          <w:p w14:paraId="15D34E40"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-5,974</w:t>
            </w:r>
          </w:p>
        </w:tc>
        <w:tc>
          <w:tcPr>
            <w:tcW w:w="507" w:type="pct"/>
          </w:tcPr>
          <w:p w14:paraId="666DB867"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15.99</w:t>
            </w:r>
          </w:p>
        </w:tc>
        <w:tc>
          <w:tcPr>
            <w:tcW w:w="506" w:type="pct"/>
          </w:tcPr>
          <w:p w14:paraId="1A482861"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20.10</w:t>
            </w:r>
          </w:p>
        </w:tc>
        <w:tc>
          <w:tcPr>
            <w:cnfStyle w:val="000100000000" w:firstRow="0" w:lastRow="0" w:firstColumn="0" w:lastColumn="1" w:oddVBand="0" w:evenVBand="0" w:oddHBand="0" w:evenHBand="0" w:firstRowFirstColumn="0" w:firstRowLastColumn="0" w:lastRowFirstColumn="0" w:lastRowLastColumn="0"/>
            <w:tcW w:w="630" w:type="pct"/>
          </w:tcPr>
          <w:p w14:paraId="5D41C65C" w14:textId="77777777" w:rsidR="00B44672" w:rsidRDefault="00B44672" w:rsidP="00302865">
            <w:pPr>
              <w:pStyle w:val="Compact"/>
              <w:jc w:val="center"/>
            </w:pPr>
            <w:r>
              <w:t>-4.11</w:t>
            </w:r>
          </w:p>
        </w:tc>
      </w:tr>
    </w:tbl>
    <w:p w14:paraId="6E493526"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0988EFA4" w14:textId="77777777" w:rsidR="00B44672" w:rsidRDefault="00B44672">
      <w:pPr>
        <w:jc w:val="left"/>
        <w:rPr>
          <w:b/>
        </w:rPr>
      </w:pPr>
      <w:r>
        <w:rPr>
          <w:b/>
        </w:rPr>
        <w:br w:type="page"/>
      </w:r>
    </w:p>
    <w:p w14:paraId="655E0B5E" w14:textId="77777777" w:rsidR="00B44672" w:rsidRDefault="00B44672" w:rsidP="00C83581">
      <w:pPr>
        <w:pStyle w:val="FirstParagraph"/>
      </w:pPr>
      <w:r>
        <w:rPr>
          <w:b/>
        </w:rPr>
        <w:lastRenderedPageBreak/>
        <w:t>Rate payment distribution</w:t>
      </w:r>
    </w:p>
    <w:p w14:paraId="63E6F61B" w14:textId="77777777" w:rsidR="00B44672" w:rsidRDefault="00B44672" w:rsidP="00C83581">
      <w:pPr>
        <w:pStyle w:val="TableCaption"/>
      </w:pPr>
      <w:r>
        <w:t>Table 15 - The impact of tax reform on the general rate distribution (net of rebate) by income quintile, average 2012 - 2018</w:t>
      </w:r>
    </w:p>
    <w:tbl>
      <w:tblPr>
        <w:tblStyle w:val="Table"/>
        <w:tblW w:w="5038" w:type="pct"/>
        <w:jc w:val="center"/>
        <w:tblCellMar>
          <w:left w:w="0" w:type="dxa"/>
          <w:right w:w="0" w:type="dxa"/>
        </w:tblCellMar>
        <w:tblLook w:val="07E0" w:firstRow="1" w:lastRow="1" w:firstColumn="1" w:lastColumn="1" w:noHBand="1" w:noVBand="1"/>
        <w:tblCaption w:val="Table 15 - The impact of tax reform on the general rate distribution (net of rebate) by income quintile, average 2012 - 2018"/>
      </w:tblPr>
      <w:tblGrid>
        <w:gridCol w:w="2597"/>
        <w:gridCol w:w="2598"/>
        <w:gridCol w:w="2598"/>
        <w:gridCol w:w="1302"/>
      </w:tblGrid>
      <w:tr w:rsidR="00B44672" w14:paraId="7C94B535" w14:textId="77777777" w:rsidTr="003028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8" w:type="pct"/>
            <w:tcBorders>
              <w:bottom w:val="single" w:sz="0" w:space="0" w:color="auto"/>
            </w:tcBorders>
            <w:vAlign w:val="bottom"/>
          </w:tcPr>
          <w:p w14:paraId="2E7C454C" w14:textId="77777777" w:rsidR="00B44672" w:rsidRDefault="00B44672" w:rsidP="000511CA"/>
        </w:tc>
        <w:tc>
          <w:tcPr>
            <w:tcW w:w="1428" w:type="pct"/>
            <w:tcBorders>
              <w:bottom w:val="single" w:sz="0" w:space="0" w:color="auto"/>
            </w:tcBorders>
            <w:vAlign w:val="bottom"/>
          </w:tcPr>
          <w:p w14:paraId="707B462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w:t>
            </w:r>
          </w:p>
        </w:tc>
        <w:tc>
          <w:tcPr>
            <w:tcW w:w="1428" w:type="pct"/>
            <w:tcBorders>
              <w:bottom w:val="single" w:sz="0" w:space="0" w:color="auto"/>
            </w:tcBorders>
            <w:vAlign w:val="bottom"/>
          </w:tcPr>
          <w:p w14:paraId="443E51CE"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w:t>
            </w:r>
          </w:p>
        </w:tc>
        <w:tc>
          <w:tcPr>
            <w:cnfStyle w:val="000100000000" w:firstRow="0" w:lastRow="0" w:firstColumn="0" w:lastColumn="1" w:oddVBand="0" w:evenVBand="0" w:oddHBand="0" w:evenHBand="0" w:firstRowFirstColumn="0" w:firstRowLastColumn="0" w:lastRowFirstColumn="0" w:lastRowLastColumn="0"/>
            <w:tcW w:w="716" w:type="pct"/>
            <w:tcBorders>
              <w:bottom w:val="single" w:sz="0" w:space="0" w:color="auto"/>
            </w:tcBorders>
            <w:vAlign w:val="bottom"/>
          </w:tcPr>
          <w:p w14:paraId="25D52261" w14:textId="77777777" w:rsidR="00B44672" w:rsidRDefault="00B44672" w:rsidP="000511CA">
            <w:pPr>
              <w:pStyle w:val="Compact"/>
              <w:jc w:val="center"/>
            </w:pPr>
            <w:r>
              <w:t>Diff (% point)</w:t>
            </w:r>
          </w:p>
        </w:tc>
      </w:tr>
      <w:tr w:rsidR="00B44672" w14:paraId="4522F970"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6FF8A784" w14:textId="77777777" w:rsidR="00B44672" w:rsidRDefault="00B44672" w:rsidP="00CB6E83">
            <w:pPr>
              <w:pStyle w:val="Compact"/>
            </w:pPr>
            <w:r w:rsidRPr="00AF6491">
              <w:rPr>
                <w:b/>
                <w:i/>
                <w:iCs/>
                <w:color w:val="365F91" w:themeColor="accent1" w:themeShade="BF"/>
              </w:rPr>
              <w:t>No price change</w:t>
            </w:r>
          </w:p>
        </w:tc>
        <w:tc>
          <w:tcPr>
            <w:tcW w:w="1428" w:type="pct"/>
          </w:tcPr>
          <w:p w14:paraId="313F572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1428" w:type="pct"/>
          </w:tcPr>
          <w:p w14:paraId="65FE87A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16" w:type="pct"/>
          </w:tcPr>
          <w:p w14:paraId="70A6AC0A" w14:textId="77777777" w:rsidR="00B44672" w:rsidRDefault="00B44672" w:rsidP="00CB6E83">
            <w:pPr>
              <w:pStyle w:val="Compact"/>
              <w:jc w:val="center"/>
            </w:pPr>
          </w:p>
        </w:tc>
      </w:tr>
      <w:tr w:rsidR="00B44672" w14:paraId="0AFCBC7D"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69C816A0" w14:textId="77777777" w:rsidR="00B44672" w:rsidRDefault="00B44672" w:rsidP="00CB6E83">
            <w:pPr>
              <w:pStyle w:val="Compact"/>
            </w:pPr>
            <w:r>
              <w:t>Quint 1</w:t>
            </w:r>
          </w:p>
        </w:tc>
        <w:tc>
          <w:tcPr>
            <w:tcW w:w="1428" w:type="pct"/>
          </w:tcPr>
          <w:p w14:paraId="3C18E94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8.73</w:t>
            </w:r>
          </w:p>
        </w:tc>
        <w:tc>
          <w:tcPr>
            <w:tcW w:w="1428" w:type="pct"/>
          </w:tcPr>
          <w:p w14:paraId="22B9BA2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9.02</w:t>
            </w:r>
          </w:p>
        </w:tc>
        <w:tc>
          <w:tcPr>
            <w:cnfStyle w:val="000100000000" w:firstRow="0" w:lastRow="0" w:firstColumn="0" w:lastColumn="1" w:oddVBand="0" w:evenVBand="0" w:oddHBand="0" w:evenHBand="0" w:firstRowFirstColumn="0" w:firstRowLastColumn="0" w:lastRowFirstColumn="0" w:lastRowLastColumn="0"/>
            <w:tcW w:w="716" w:type="pct"/>
          </w:tcPr>
          <w:p w14:paraId="4A2866CE" w14:textId="77777777" w:rsidR="00B44672" w:rsidRDefault="00B44672" w:rsidP="00CB6E83">
            <w:pPr>
              <w:pStyle w:val="Compact"/>
              <w:jc w:val="center"/>
            </w:pPr>
            <w:r>
              <w:t>-0.29</w:t>
            </w:r>
          </w:p>
        </w:tc>
      </w:tr>
      <w:tr w:rsidR="00B44672" w14:paraId="2B8963E4"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1CD7BE1C" w14:textId="77777777" w:rsidR="00B44672" w:rsidRDefault="00B44672" w:rsidP="00CB6E83">
            <w:pPr>
              <w:pStyle w:val="Compact"/>
            </w:pPr>
            <w:r>
              <w:t>Quint 2</w:t>
            </w:r>
          </w:p>
        </w:tc>
        <w:tc>
          <w:tcPr>
            <w:tcW w:w="1428" w:type="pct"/>
          </w:tcPr>
          <w:p w14:paraId="1BA5029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12.03</w:t>
            </w:r>
          </w:p>
        </w:tc>
        <w:tc>
          <w:tcPr>
            <w:tcW w:w="1428" w:type="pct"/>
          </w:tcPr>
          <w:p w14:paraId="2460A96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12.51</w:t>
            </w:r>
          </w:p>
        </w:tc>
        <w:tc>
          <w:tcPr>
            <w:cnfStyle w:val="000100000000" w:firstRow="0" w:lastRow="0" w:firstColumn="0" w:lastColumn="1" w:oddVBand="0" w:evenVBand="0" w:oddHBand="0" w:evenHBand="0" w:firstRowFirstColumn="0" w:firstRowLastColumn="0" w:lastRowFirstColumn="0" w:lastRowLastColumn="0"/>
            <w:tcW w:w="716" w:type="pct"/>
          </w:tcPr>
          <w:p w14:paraId="2B4FB2C1" w14:textId="77777777" w:rsidR="00B44672" w:rsidRDefault="00B44672" w:rsidP="00CB6E83">
            <w:pPr>
              <w:pStyle w:val="Compact"/>
              <w:jc w:val="center"/>
            </w:pPr>
            <w:r>
              <w:t>-0.48</w:t>
            </w:r>
          </w:p>
        </w:tc>
      </w:tr>
      <w:tr w:rsidR="00B44672" w14:paraId="1D5A95D5"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50C9EA22" w14:textId="77777777" w:rsidR="00B44672" w:rsidRDefault="00B44672" w:rsidP="00CB6E83">
            <w:pPr>
              <w:pStyle w:val="Compact"/>
            </w:pPr>
            <w:r>
              <w:t>Quint 3</w:t>
            </w:r>
          </w:p>
        </w:tc>
        <w:tc>
          <w:tcPr>
            <w:tcW w:w="1428" w:type="pct"/>
          </w:tcPr>
          <w:p w14:paraId="6D27FF0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17.54</w:t>
            </w:r>
          </w:p>
        </w:tc>
        <w:tc>
          <w:tcPr>
            <w:tcW w:w="1428" w:type="pct"/>
          </w:tcPr>
          <w:p w14:paraId="32709AB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18.40</w:t>
            </w:r>
          </w:p>
        </w:tc>
        <w:tc>
          <w:tcPr>
            <w:cnfStyle w:val="000100000000" w:firstRow="0" w:lastRow="0" w:firstColumn="0" w:lastColumn="1" w:oddVBand="0" w:evenVBand="0" w:oddHBand="0" w:evenHBand="0" w:firstRowFirstColumn="0" w:firstRowLastColumn="0" w:lastRowFirstColumn="0" w:lastRowLastColumn="0"/>
            <w:tcW w:w="716" w:type="pct"/>
          </w:tcPr>
          <w:p w14:paraId="24EC6E92" w14:textId="77777777" w:rsidR="00B44672" w:rsidRDefault="00B44672" w:rsidP="00CB6E83">
            <w:pPr>
              <w:pStyle w:val="Compact"/>
              <w:jc w:val="center"/>
            </w:pPr>
            <w:r>
              <w:t>-0.87</w:t>
            </w:r>
          </w:p>
        </w:tc>
      </w:tr>
      <w:tr w:rsidR="00B44672" w14:paraId="65F0983A"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3732C819" w14:textId="77777777" w:rsidR="00B44672" w:rsidRDefault="00B44672" w:rsidP="00CB6E83">
            <w:pPr>
              <w:pStyle w:val="Compact"/>
            </w:pPr>
            <w:r>
              <w:t>Quint 4</w:t>
            </w:r>
          </w:p>
        </w:tc>
        <w:tc>
          <w:tcPr>
            <w:tcW w:w="1428" w:type="pct"/>
          </w:tcPr>
          <w:p w14:paraId="3233380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21.93</w:t>
            </w:r>
          </w:p>
        </w:tc>
        <w:tc>
          <w:tcPr>
            <w:tcW w:w="1428" w:type="pct"/>
          </w:tcPr>
          <w:p w14:paraId="71F85EC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22.71</w:t>
            </w:r>
          </w:p>
        </w:tc>
        <w:tc>
          <w:tcPr>
            <w:cnfStyle w:val="000100000000" w:firstRow="0" w:lastRow="0" w:firstColumn="0" w:lastColumn="1" w:oddVBand="0" w:evenVBand="0" w:oddHBand="0" w:evenHBand="0" w:firstRowFirstColumn="0" w:firstRowLastColumn="0" w:lastRowFirstColumn="0" w:lastRowLastColumn="0"/>
            <w:tcW w:w="716" w:type="pct"/>
          </w:tcPr>
          <w:p w14:paraId="6059892E" w14:textId="77777777" w:rsidR="00B44672" w:rsidRDefault="00B44672" w:rsidP="00CB6E83">
            <w:pPr>
              <w:pStyle w:val="Compact"/>
              <w:jc w:val="center"/>
            </w:pPr>
            <w:r>
              <w:t>-0.78</w:t>
            </w:r>
          </w:p>
        </w:tc>
      </w:tr>
      <w:tr w:rsidR="00B44672" w14:paraId="22B76CB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5A0CE633" w14:textId="77777777" w:rsidR="00B44672" w:rsidRDefault="00B44672" w:rsidP="00CB6E83">
            <w:pPr>
              <w:pStyle w:val="Compact"/>
            </w:pPr>
            <w:r>
              <w:t>Quint 5</w:t>
            </w:r>
          </w:p>
        </w:tc>
        <w:tc>
          <w:tcPr>
            <w:tcW w:w="1428" w:type="pct"/>
          </w:tcPr>
          <w:p w14:paraId="3BE8196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39.78</w:t>
            </w:r>
          </w:p>
        </w:tc>
        <w:tc>
          <w:tcPr>
            <w:tcW w:w="1428" w:type="pct"/>
          </w:tcPr>
          <w:p w14:paraId="52236D5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37.36</w:t>
            </w:r>
          </w:p>
        </w:tc>
        <w:tc>
          <w:tcPr>
            <w:cnfStyle w:val="000100000000" w:firstRow="0" w:lastRow="0" w:firstColumn="0" w:lastColumn="1" w:oddVBand="0" w:evenVBand="0" w:oddHBand="0" w:evenHBand="0" w:firstRowFirstColumn="0" w:firstRowLastColumn="0" w:lastRowFirstColumn="0" w:lastRowLastColumn="0"/>
            <w:tcW w:w="716" w:type="pct"/>
          </w:tcPr>
          <w:p w14:paraId="3425A1A8" w14:textId="77777777" w:rsidR="00B44672" w:rsidRDefault="00B44672" w:rsidP="00CB6E83">
            <w:pPr>
              <w:pStyle w:val="Compact"/>
              <w:jc w:val="center"/>
            </w:pPr>
            <w:r>
              <w:t>2.42</w:t>
            </w:r>
          </w:p>
        </w:tc>
      </w:tr>
      <w:tr w:rsidR="00B44672" w14:paraId="233C0C5E"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71D29BA4"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1428" w:type="pct"/>
          </w:tcPr>
          <w:p w14:paraId="37A9E9C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1428" w:type="pct"/>
          </w:tcPr>
          <w:p w14:paraId="0C79384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16" w:type="pct"/>
          </w:tcPr>
          <w:p w14:paraId="2171BBBD" w14:textId="77777777" w:rsidR="00B44672" w:rsidRDefault="00B44672" w:rsidP="00A567C4">
            <w:pPr>
              <w:pStyle w:val="Compact"/>
              <w:jc w:val="center"/>
            </w:pPr>
          </w:p>
        </w:tc>
      </w:tr>
      <w:tr w:rsidR="00B44672" w14:paraId="30829F6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51B3294B" w14:textId="77777777" w:rsidR="00B44672" w:rsidRDefault="00B44672" w:rsidP="00A567C4">
            <w:pPr>
              <w:pStyle w:val="Compact"/>
            </w:pPr>
            <w:r>
              <w:t>Quint 1</w:t>
            </w:r>
          </w:p>
        </w:tc>
        <w:tc>
          <w:tcPr>
            <w:tcW w:w="1428" w:type="pct"/>
          </w:tcPr>
          <w:p w14:paraId="6144167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8.73</w:t>
            </w:r>
          </w:p>
        </w:tc>
        <w:tc>
          <w:tcPr>
            <w:tcW w:w="1428" w:type="pct"/>
          </w:tcPr>
          <w:p w14:paraId="0C1E7C2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9.02</w:t>
            </w:r>
          </w:p>
        </w:tc>
        <w:tc>
          <w:tcPr>
            <w:cnfStyle w:val="000100000000" w:firstRow="0" w:lastRow="0" w:firstColumn="0" w:lastColumn="1" w:oddVBand="0" w:evenVBand="0" w:oddHBand="0" w:evenHBand="0" w:firstRowFirstColumn="0" w:firstRowLastColumn="0" w:lastRowFirstColumn="0" w:lastRowLastColumn="0"/>
            <w:tcW w:w="716" w:type="pct"/>
          </w:tcPr>
          <w:p w14:paraId="088D51AA" w14:textId="77777777" w:rsidR="00B44672" w:rsidRDefault="00B44672" w:rsidP="00A567C4">
            <w:pPr>
              <w:pStyle w:val="Compact"/>
              <w:jc w:val="center"/>
            </w:pPr>
            <w:r>
              <w:t>-0.29</w:t>
            </w:r>
          </w:p>
        </w:tc>
      </w:tr>
      <w:tr w:rsidR="00B44672" w14:paraId="43E0D719"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1E2A188C" w14:textId="77777777" w:rsidR="00B44672" w:rsidRDefault="00B44672" w:rsidP="00A567C4">
            <w:pPr>
              <w:pStyle w:val="Compact"/>
            </w:pPr>
            <w:r>
              <w:t>Quint 2</w:t>
            </w:r>
          </w:p>
        </w:tc>
        <w:tc>
          <w:tcPr>
            <w:tcW w:w="1428" w:type="pct"/>
          </w:tcPr>
          <w:p w14:paraId="4FFC7C7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12.03</w:t>
            </w:r>
          </w:p>
        </w:tc>
        <w:tc>
          <w:tcPr>
            <w:tcW w:w="1428" w:type="pct"/>
          </w:tcPr>
          <w:p w14:paraId="243EBCC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12.51</w:t>
            </w:r>
          </w:p>
        </w:tc>
        <w:tc>
          <w:tcPr>
            <w:cnfStyle w:val="000100000000" w:firstRow="0" w:lastRow="0" w:firstColumn="0" w:lastColumn="1" w:oddVBand="0" w:evenVBand="0" w:oddHBand="0" w:evenHBand="0" w:firstRowFirstColumn="0" w:firstRowLastColumn="0" w:lastRowFirstColumn="0" w:lastRowLastColumn="0"/>
            <w:tcW w:w="716" w:type="pct"/>
          </w:tcPr>
          <w:p w14:paraId="15DC6A25" w14:textId="77777777" w:rsidR="00B44672" w:rsidRDefault="00B44672" w:rsidP="00A567C4">
            <w:pPr>
              <w:pStyle w:val="Compact"/>
              <w:jc w:val="center"/>
            </w:pPr>
            <w:r>
              <w:t>-0.49</w:t>
            </w:r>
          </w:p>
        </w:tc>
      </w:tr>
      <w:tr w:rsidR="00B44672" w14:paraId="43127EDF"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23A8A2C4" w14:textId="77777777" w:rsidR="00B44672" w:rsidRDefault="00B44672" w:rsidP="00A567C4">
            <w:pPr>
              <w:pStyle w:val="Compact"/>
            </w:pPr>
            <w:r>
              <w:t>Quint 3</w:t>
            </w:r>
          </w:p>
        </w:tc>
        <w:tc>
          <w:tcPr>
            <w:tcW w:w="1428" w:type="pct"/>
          </w:tcPr>
          <w:p w14:paraId="1778F40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17.54</w:t>
            </w:r>
          </w:p>
        </w:tc>
        <w:tc>
          <w:tcPr>
            <w:tcW w:w="1428" w:type="pct"/>
          </w:tcPr>
          <w:p w14:paraId="1636543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18.40</w:t>
            </w:r>
          </w:p>
        </w:tc>
        <w:tc>
          <w:tcPr>
            <w:cnfStyle w:val="000100000000" w:firstRow="0" w:lastRow="0" w:firstColumn="0" w:lastColumn="1" w:oddVBand="0" w:evenVBand="0" w:oddHBand="0" w:evenHBand="0" w:firstRowFirstColumn="0" w:firstRowLastColumn="0" w:lastRowFirstColumn="0" w:lastRowLastColumn="0"/>
            <w:tcW w:w="716" w:type="pct"/>
          </w:tcPr>
          <w:p w14:paraId="3D4960C7" w14:textId="77777777" w:rsidR="00B44672" w:rsidRDefault="00B44672" w:rsidP="00A567C4">
            <w:pPr>
              <w:pStyle w:val="Compact"/>
              <w:jc w:val="center"/>
            </w:pPr>
            <w:r>
              <w:t>-0.87</w:t>
            </w:r>
          </w:p>
        </w:tc>
      </w:tr>
      <w:tr w:rsidR="00B44672" w14:paraId="66D86630"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3799FCEA" w14:textId="77777777" w:rsidR="00B44672" w:rsidRDefault="00B44672" w:rsidP="00A567C4">
            <w:pPr>
              <w:pStyle w:val="Compact"/>
            </w:pPr>
            <w:r>
              <w:t>Quint 4</w:t>
            </w:r>
          </w:p>
        </w:tc>
        <w:tc>
          <w:tcPr>
            <w:tcW w:w="1428" w:type="pct"/>
          </w:tcPr>
          <w:p w14:paraId="298876E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21.93</w:t>
            </w:r>
          </w:p>
        </w:tc>
        <w:tc>
          <w:tcPr>
            <w:tcW w:w="1428" w:type="pct"/>
          </w:tcPr>
          <w:p w14:paraId="7347145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22.71</w:t>
            </w:r>
          </w:p>
        </w:tc>
        <w:tc>
          <w:tcPr>
            <w:cnfStyle w:val="000100000000" w:firstRow="0" w:lastRow="0" w:firstColumn="0" w:lastColumn="1" w:oddVBand="0" w:evenVBand="0" w:oddHBand="0" w:evenHBand="0" w:firstRowFirstColumn="0" w:firstRowLastColumn="0" w:lastRowFirstColumn="0" w:lastRowLastColumn="0"/>
            <w:tcW w:w="716" w:type="pct"/>
          </w:tcPr>
          <w:p w14:paraId="08E57C26" w14:textId="77777777" w:rsidR="00B44672" w:rsidRDefault="00B44672" w:rsidP="00A567C4">
            <w:pPr>
              <w:pStyle w:val="Compact"/>
              <w:jc w:val="center"/>
            </w:pPr>
            <w:r>
              <w:t>-0.78</w:t>
            </w:r>
          </w:p>
        </w:tc>
      </w:tr>
      <w:tr w:rsidR="00B44672" w14:paraId="72BF0681"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16D53BF9" w14:textId="77777777" w:rsidR="00B44672" w:rsidRDefault="00B44672" w:rsidP="00A567C4">
            <w:pPr>
              <w:pStyle w:val="Compact"/>
            </w:pPr>
            <w:r>
              <w:t>Quint 5</w:t>
            </w:r>
          </w:p>
        </w:tc>
        <w:tc>
          <w:tcPr>
            <w:tcW w:w="1428" w:type="pct"/>
          </w:tcPr>
          <w:p w14:paraId="0D6A6E9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39.78</w:t>
            </w:r>
          </w:p>
        </w:tc>
        <w:tc>
          <w:tcPr>
            <w:tcW w:w="1428" w:type="pct"/>
          </w:tcPr>
          <w:p w14:paraId="472153F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37.35</w:t>
            </w:r>
          </w:p>
        </w:tc>
        <w:tc>
          <w:tcPr>
            <w:cnfStyle w:val="000100000000" w:firstRow="0" w:lastRow="0" w:firstColumn="0" w:lastColumn="1" w:oddVBand="0" w:evenVBand="0" w:oddHBand="0" w:evenHBand="0" w:firstRowFirstColumn="0" w:firstRowLastColumn="0" w:lastRowFirstColumn="0" w:lastRowLastColumn="0"/>
            <w:tcW w:w="716" w:type="pct"/>
          </w:tcPr>
          <w:p w14:paraId="64A03FDE" w14:textId="77777777" w:rsidR="00B44672" w:rsidRDefault="00B44672" w:rsidP="00A567C4">
            <w:pPr>
              <w:pStyle w:val="Compact"/>
              <w:jc w:val="center"/>
            </w:pPr>
            <w:r>
              <w:t>2.42</w:t>
            </w:r>
          </w:p>
        </w:tc>
      </w:tr>
      <w:tr w:rsidR="00B44672" w14:paraId="134DF4AA"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2569816B" w14:textId="77777777" w:rsidR="00B44672" w:rsidRDefault="00B44672" w:rsidP="00302865">
            <w:pPr>
              <w:pStyle w:val="Compact"/>
            </w:pPr>
            <w:r w:rsidRPr="00113FC1">
              <w:rPr>
                <w:b/>
                <w:i/>
                <w:iCs/>
                <w:color w:val="365F91" w:themeColor="accent1" w:themeShade="BF"/>
              </w:rPr>
              <w:t>1.24 – 2.19% price change</w:t>
            </w:r>
          </w:p>
        </w:tc>
        <w:tc>
          <w:tcPr>
            <w:tcW w:w="1428" w:type="pct"/>
          </w:tcPr>
          <w:p w14:paraId="5B96B7C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1428" w:type="pct"/>
          </w:tcPr>
          <w:p w14:paraId="4014C87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16" w:type="pct"/>
          </w:tcPr>
          <w:p w14:paraId="785C985C" w14:textId="77777777" w:rsidR="00B44672" w:rsidRDefault="00B44672" w:rsidP="00302865">
            <w:pPr>
              <w:pStyle w:val="Compact"/>
              <w:jc w:val="center"/>
            </w:pPr>
          </w:p>
        </w:tc>
      </w:tr>
      <w:tr w:rsidR="00B44672" w14:paraId="60AB6E0D"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30AFDF52" w14:textId="77777777" w:rsidR="00B44672" w:rsidRDefault="00B44672" w:rsidP="00302865">
            <w:pPr>
              <w:pStyle w:val="Compact"/>
            </w:pPr>
            <w:r>
              <w:t>Quint 1</w:t>
            </w:r>
          </w:p>
        </w:tc>
        <w:tc>
          <w:tcPr>
            <w:tcW w:w="1428" w:type="pct"/>
          </w:tcPr>
          <w:p w14:paraId="6617242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8.73</w:t>
            </w:r>
          </w:p>
        </w:tc>
        <w:tc>
          <w:tcPr>
            <w:tcW w:w="1428" w:type="pct"/>
          </w:tcPr>
          <w:p w14:paraId="20D2E46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9.01</w:t>
            </w:r>
          </w:p>
        </w:tc>
        <w:tc>
          <w:tcPr>
            <w:cnfStyle w:val="000100000000" w:firstRow="0" w:lastRow="0" w:firstColumn="0" w:lastColumn="1" w:oddVBand="0" w:evenVBand="0" w:oddHBand="0" w:evenHBand="0" w:firstRowFirstColumn="0" w:firstRowLastColumn="0" w:lastRowFirstColumn="0" w:lastRowLastColumn="0"/>
            <w:tcW w:w="716" w:type="pct"/>
          </w:tcPr>
          <w:p w14:paraId="559217E4" w14:textId="77777777" w:rsidR="00B44672" w:rsidRDefault="00B44672" w:rsidP="00302865">
            <w:pPr>
              <w:pStyle w:val="Compact"/>
              <w:jc w:val="center"/>
            </w:pPr>
            <w:r>
              <w:t>-0.29</w:t>
            </w:r>
          </w:p>
        </w:tc>
      </w:tr>
      <w:tr w:rsidR="00B44672" w14:paraId="7431486C"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2BA9DBF7" w14:textId="77777777" w:rsidR="00B44672" w:rsidRDefault="00B44672" w:rsidP="00302865">
            <w:pPr>
              <w:pStyle w:val="Compact"/>
            </w:pPr>
            <w:r>
              <w:t>Quint 2</w:t>
            </w:r>
          </w:p>
        </w:tc>
        <w:tc>
          <w:tcPr>
            <w:tcW w:w="1428" w:type="pct"/>
          </w:tcPr>
          <w:p w14:paraId="2E68542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12.03</w:t>
            </w:r>
          </w:p>
        </w:tc>
        <w:tc>
          <w:tcPr>
            <w:tcW w:w="1428" w:type="pct"/>
          </w:tcPr>
          <w:p w14:paraId="7370D8D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12.52</w:t>
            </w:r>
          </w:p>
        </w:tc>
        <w:tc>
          <w:tcPr>
            <w:cnfStyle w:val="000100000000" w:firstRow="0" w:lastRow="0" w:firstColumn="0" w:lastColumn="1" w:oddVBand="0" w:evenVBand="0" w:oddHBand="0" w:evenHBand="0" w:firstRowFirstColumn="0" w:firstRowLastColumn="0" w:lastRowFirstColumn="0" w:lastRowLastColumn="0"/>
            <w:tcW w:w="716" w:type="pct"/>
          </w:tcPr>
          <w:p w14:paraId="4B3CBD26" w14:textId="77777777" w:rsidR="00B44672" w:rsidRDefault="00B44672" w:rsidP="00302865">
            <w:pPr>
              <w:pStyle w:val="Compact"/>
              <w:jc w:val="center"/>
            </w:pPr>
            <w:r>
              <w:t>-0.49</w:t>
            </w:r>
          </w:p>
        </w:tc>
      </w:tr>
      <w:tr w:rsidR="00B44672" w14:paraId="6EC67D76"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21B44D79" w14:textId="77777777" w:rsidR="00B44672" w:rsidRDefault="00B44672" w:rsidP="00302865">
            <w:pPr>
              <w:pStyle w:val="Compact"/>
            </w:pPr>
            <w:r>
              <w:t>Quint 3</w:t>
            </w:r>
          </w:p>
        </w:tc>
        <w:tc>
          <w:tcPr>
            <w:tcW w:w="1428" w:type="pct"/>
          </w:tcPr>
          <w:p w14:paraId="1D0CE6B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17.54</w:t>
            </w:r>
          </w:p>
        </w:tc>
        <w:tc>
          <w:tcPr>
            <w:tcW w:w="1428" w:type="pct"/>
          </w:tcPr>
          <w:p w14:paraId="12FBA01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18.41</w:t>
            </w:r>
          </w:p>
        </w:tc>
        <w:tc>
          <w:tcPr>
            <w:cnfStyle w:val="000100000000" w:firstRow="0" w:lastRow="0" w:firstColumn="0" w:lastColumn="1" w:oddVBand="0" w:evenVBand="0" w:oddHBand="0" w:evenHBand="0" w:firstRowFirstColumn="0" w:firstRowLastColumn="0" w:lastRowFirstColumn="0" w:lastRowLastColumn="0"/>
            <w:tcW w:w="716" w:type="pct"/>
          </w:tcPr>
          <w:p w14:paraId="5A39999A" w14:textId="77777777" w:rsidR="00B44672" w:rsidRDefault="00B44672" w:rsidP="00302865">
            <w:pPr>
              <w:pStyle w:val="Compact"/>
              <w:jc w:val="center"/>
            </w:pPr>
            <w:r>
              <w:t>-0.87</w:t>
            </w:r>
          </w:p>
        </w:tc>
      </w:tr>
      <w:tr w:rsidR="00B44672" w14:paraId="0FBC66EF"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28" w:type="pct"/>
          </w:tcPr>
          <w:p w14:paraId="4FC813DF" w14:textId="77777777" w:rsidR="00B44672" w:rsidRDefault="00B44672" w:rsidP="00302865">
            <w:pPr>
              <w:pStyle w:val="Compact"/>
            </w:pPr>
            <w:r>
              <w:t>Quint 4</w:t>
            </w:r>
          </w:p>
        </w:tc>
        <w:tc>
          <w:tcPr>
            <w:tcW w:w="1428" w:type="pct"/>
          </w:tcPr>
          <w:p w14:paraId="49AF438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21.93</w:t>
            </w:r>
          </w:p>
        </w:tc>
        <w:tc>
          <w:tcPr>
            <w:tcW w:w="1428" w:type="pct"/>
          </w:tcPr>
          <w:p w14:paraId="63BE730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22.71</w:t>
            </w:r>
          </w:p>
        </w:tc>
        <w:tc>
          <w:tcPr>
            <w:cnfStyle w:val="000100000000" w:firstRow="0" w:lastRow="0" w:firstColumn="0" w:lastColumn="1" w:oddVBand="0" w:evenVBand="0" w:oddHBand="0" w:evenHBand="0" w:firstRowFirstColumn="0" w:firstRowLastColumn="0" w:lastRowFirstColumn="0" w:lastRowLastColumn="0"/>
            <w:tcW w:w="716" w:type="pct"/>
          </w:tcPr>
          <w:p w14:paraId="1C4EA27D" w14:textId="77777777" w:rsidR="00B44672" w:rsidRDefault="00B44672" w:rsidP="00302865">
            <w:pPr>
              <w:pStyle w:val="Compact"/>
              <w:jc w:val="center"/>
            </w:pPr>
            <w:r>
              <w:t>-0.78</w:t>
            </w:r>
          </w:p>
        </w:tc>
      </w:tr>
      <w:tr w:rsidR="00B44672" w14:paraId="49AAF0A4" w14:textId="77777777" w:rsidTr="0030286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8" w:type="pct"/>
          </w:tcPr>
          <w:p w14:paraId="49C5AA47" w14:textId="77777777" w:rsidR="00B44672" w:rsidRDefault="00B44672" w:rsidP="00302865">
            <w:pPr>
              <w:pStyle w:val="Compact"/>
            </w:pPr>
            <w:r>
              <w:t>Quint 5</w:t>
            </w:r>
          </w:p>
        </w:tc>
        <w:tc>
          <w:tcPr>
            <w:tcW w:w="1428" w:type="pct"/>
          </w:tcPr>
          <w:p w14:paraId="3F223C43"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39.78</w:t>
            </w:r>
          </w:p>
        </w:tc>
        <w:tc>
          <w:tcPr>
            <w:tcW w:w="1428" w:type="pct"/>
          </w:tcPr>
          <w:p w14:paraId="1F6EA158"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37.35</w:t>
            </w:r>
          </w:p>
        </w:tc>
        <w:tc>
          <w:tcPr>
            <w:cnfStyle w:val="000100000000" w:firstRow="0" w:lastRow="0" w:firstColumn="0" w:lastColumn="1" w:oddVBand="0" w:evenVBand="0" w:oddHBand="0" w:evenHBand="0" w:firstRowFirstColumn="0" w:firstRowLastColumn="0" w:lastRowFirstColumn="0" w:lastRowLastColumn="0"/>
            <w:tcW w:w="716" w:type="pct"/>
          </w:tcPr>
          <w:p w14:paraId="72307FFD" w14:textId="77777777" w:rsidR="00B44672" w:rsidRDefault="00B44672" w:rsidP="00302865">
            <w:pPr>
              <w:pStyle w:val="Compact"/>
              <w:jc w:val="center"/>
            </w:pPr>
            <w:r>
              <w:t>2.43</w:t>
            </w:r>
          </w:p>
        </w:tc>
      </w:tr>
    </w:tbl>
    <w:p w14:paraId="3DDE946D" w14:textId="77777777" w:rsidR="00B44672" w:rsidRDefault="00B44672" w:rsidP="008254C4">
      <w:pPr>
        <w:pStyle w:val="BlockText"/>
      </w:pPr>
      <w:r>
        <w:rPr>
          <w:i/>
        </w:rPr>
        <w:t>Source:</w:t>
      </w:r>
      <w:r>
        <w:t xml:space="preserve"> Calculations from NATSEM microsimulation model.</w:t>
      </w:r>
      <w:r>
        <w:br/>
      </w:r>
      <w:r>
        <w:rPr>
          <w:i/>
        </w:rPr>
        <w:t>Note:</w:t>
      </w:r>
      <w:r>
        <w:t xml:space="preserve"> (</w:t>
      </w:r>
      <w:proofErr w:type="spellStart"/>
      <w:r>
        <w:t>i</w:t>
      </w:r>
      <w:proofErr w:type="spellEnd"/>
      <w:r>
        <w:t xml:space="preserve">) The % is the percent of total rates paid by all the income units who paid rates in each income quintile. It will sum to 100 across all income quintiles; (ii) Diff means the difference between the new and old tax policies. </w:t>
      </w:r>
    </w:p>
    <w:p w14:paraId="1EF0F310" w14:textId="77777777" w:rsidR="00B44672" w:rsidRDefault="00B44672">
      <w:pPr>
        <w:jc w:val="left"/>
        <w:rPr>
          <w:b/>
          <w:i/>
          <w:color w:val="365F91" w:themeColor="accent1" w:themeShade="BF"/>
        </w:rPr>
      </w:pPr>
      <w:r>
        <w:br w:type="page"/>
      </w:r>
    </w:p>
    <w:p w14:paraId="1CA98202" w14:textId="77777777" w:rsidR="00B44672" w:rsidRDefault="00B44672" w:rsidP="00C83581">
      <w:pPr>
        <w:pStyle w:val="TableCaption"/>
      </w:pPr>
      <w:r>
        <w:lastRenderedPageBreak/>
        <w:t>Table 16 - The impact of tax reform on rate paid by income quintile, average 2012 – 2018</w:t>
      </w:r>
    </w:p>
    <w:tbl>
      <w:tblPr>
        <w:tblStyle w:val="Table"/>
        <w:tblW w:w="5972" w:type="pct"/>
        <w:jc w:val="center"/>
        <w:tblCellMar>
          <w:left w:w="0" w:type="dxa"/>
          <w:right w:w="0" w:type="dxa"/>
        </w:tblCellMar>
        <w:tblLook w:val="07E0" w:firstRow="1" w:lastRow="1" w:firstColumn="1" w:lastColumn="1" w:noHBand="1" w:noVBand="1"/>
        <w:tblCaption w:val="Table 16 - The impact of tax reform on rate paid by income quintile, average 2012 – 2018"/>
      </w:tblPr>
      <w:tblGrid>
        <w:gridCol w:w="2597"/>
        <w:gridCol w:w="958"/>
        <w:gridCol w:w="955"/>
        <w:gridCol w:w="880"/>
        <w:gridCol w:w="949"/>
        <w:gridCol w:w="923"/>
        <w:gridCol w:w="574"/>
        <w:gridCol w:w="1069"/>
        <w:gridCol w:w="1048"/>
        <w:gridCol w:w="828"/>
      </w:tblGrid>
      <w:tr w:rsidR="00B44672" w14:paraId="1853610C" w14:textId="77777777" w:rsidTr="003028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4" w:type="pct"/>
            <w:tcBorders>
              <w:bottom w:val="single" w:sz="0" w:space="0" w:color="auto"/>
            </w:tcBorders>
            <w:vAlign w:val="bottom"/>
          </w:tcPr>
          <w:p w14:paraId="2DED4E5C" w14:textId="77777777" w:rsidR="00B44672" w:rsidRDefault="00B44672" w:rsidP="000511CA"/>
        </w:tc>
        <w:tc>
          <w:tcPr>
            <w:tcW w:w="444" w:type="pct"/>
            <w:tcBorders>
              <w:bottom w:val="single" w:sz="0" w:space="0" w:color="auto"/>
            </w:tcBorders>
            <w:vAlign w:val="bottom"/>
          </w:tcPr>
          <w:p w14:paraId="03E3EBC7"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affected</w:t>
            </w:r>
          </w:p>
        </w:tc>
        <w:tc>
          <w:tcPr>
            <w:tcW w:w="443" w:type="pct"/>
            <w:tcBorders>
              <w:bottom w:val="single" w:sz="0" w:space="0" w:color="auto"/>
            </w:tcBorders>
            <w:vAlign w:val="bottom"/>
          </w:tcPr>
          <w:p w14:paraId="59D8E84A"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affected</w:t>
            </w:r>
          </w:p>
        </w:tc>
        <w:tc>
          <w:tcPr>
            <w:tcW w:w="408" w:type="pct"/>
            <w:tcBorders>
              <w:bottom w:val="single" w:sz="0" w:space="0" w:color="auto"/>
            </w:tcBorders>
            <w:vAlign w:val="bottom"/>
          </w:tcPr>
          <w:p w14:paraId="71544528"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 affected</w:t>
            </w:r>
          </w:p>
        </w:tc>
        <w:tc>
          <w:tcPr>
            <w:tcW w:w="440" w:type="pct"/>
            <w:tcBorders>
              <w:bottom w:val="single" w:sz="0" w:space="0" w:color="auto"/>
            </w:tcBorders>
            <w:vAlign w:val="bottom"/>
          </w:tcPr>
          <w:p w14:paraId="48EE0D69"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rate</w:t>
            </w:r>
          </w:p>
          <w:p w14:paraId="6F8554FA"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28" w:type="pct"/>
            <w:tcBorders>
              <w:bottom w:val="single" w:sz="0" w:space="0" w:color="auto"/>
            </w:tcBorders>
            <w:vAlign w:val="bottom"/>
          </w:tcPr>
          <w:p w14:paraId="6919E0DF"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rate</w:t>
            </w:r>
          </w:p>
          <w:p w14:paraId="20D4B423"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266" w:type="pct"/>
            <w:tcBorders>
              <w:bottom w:val="single" w:sz="0" w:space="0" w:color="auto"/>
            </w:tcBorders>
            <w:vAlign w:val="bottom"/>
          </w:tcPr>
          <w:p w14:paraId="1B0F767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rate</w:t>
            </w:r>
          </w:p>
          <w:p w14:paraId="3B414FB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96" w:type="pct"/>
            <w:tcBorders>
              <w:bottom w:val="single" w:sz="0" w:space="0" w:color="auto"/>
            </w:tcBorders>
            <w:vAlign w:val="bottom"/>
          </w:tcPr>
          <w:p w14:paraId="539CAD39"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86" w:type="pct"/>
            <w:tcBorders>
              <w:bottom w:val="single" w:sz="0" w:space="0" w:color="auto"/>
            </w:tcBorders>
            <w:vAlign w:val="bottom"/>
          </w:tcPr>
          <w:p w14:paraId="3CAE39F3"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384" w:type="pct"/>
            <w:tcBorders>
              <w:bottom w:val="single" w:sz="0" w:space="0" w:color="auto"/>
            </w:tcBorders>
            <w:vAlign w:val="bottom"/>
          </w:tcPr>
          <w:p w14:paraId="02F1FBBE" w14:textId="77777777" w:rsidR="00B44672" w:rsidRDefault="00B44672" w:rsidP="000511CA">
            <w:pPr>
              <w:pStyle w:val="Compact"/>
              <w:jc w:val="center"/>
            </w:pPr>
            <w:r>
              <w:t>Diff - % point change in income</w:t>
            </w:r>
          </w:p>
        </w:tc>
      </w:tr>
      <w:tr w:rsidR="00B44672" w14:paraId="753BC46D"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51BEC59A" w14:textId="77777777" w:rsidR="00B44672" w:rsidRDefault="00B44672" w:rsidP="00CB6E83">
            <w:pPr>
              <w:pStyle w:val="Compact"/>
            </w:pPr>
            <w:r w:rsidRPr="00AF6491">
              <w:rPr>
                <w:b/>
                <w:i/>
                <w:iCs/>
                <w:color w:val="365F91" w:themeColor="accent1" w:themeShade="BF"/>
              </w:rPr>
              <w:t>No price change</w:t>
            </w:r>
          </w:p>
        </w:tc>
        <w:tc>
          <w:tcPr>
            <w:tcW w:w="444" w:type="pct"/>
          </w:tcPr>
          <w:p w14:paraId="1EAF974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43" w:type="pct"/>
          </w:tcPr>
          <w:p w14:paraId="514BAC6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08" w:type="pct"/>
          </w:tcPr>
          <w:p w14:paraId="5F21BFE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40" w:type="pct"/>
          </w:tcPr>
          <w:p w14:paraId="2CCD2FD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28" w:type="pct"/>
          </w:tcPr>
          <w:p w14:paraId="56B0C97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266" w:type="pct"/>
          </w:tcPr>
          <w:p w14:paraId="572D677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96" w:type="pct"/>
          </w:tcPr>
          <w:p w14:paraId="03E82C6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86" w:type="pct"/>
          </w:tcPr>
          <w:p w14:paraId="7CFB7CB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84" w:type="pct"/>
          </w:tcPr>
          <w:p w14:paraId="56EDA0B9" w14:textId="77777777" w:rsidR="00B44672" w:rsidRDefault="00B44672" w:rsidP="00CB6E83">
            <w:pPr>
              <w:pStyle w:val="Compact"/>
              <w:jc w:val="center"/>
            </w:pPr>
          </w:p>
        </w:tc>
      </w:tr>
      <w:tr w:rsidR="00B44672" w14:paraId="49568C8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10EB8708" w14:textId="77777777" w:rsidR="00B44672" w:rsidRDefault="00B44672" w:rsidP="00CB6E83">
            <w:pPr>
              <w:pStyle w:val="Compact"/>
            </w:pPr>
            <w:r>
              <w:t>Quint 1</w:t>
            </w:r>
          </w:p>
        </w:tc>
        <w:tc>
          <w:tcPr>
            <w:tcW w:w="444" w:type="pct"/>
          </w:tcPr>
          <w:p w14:paraId="36A7F41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443" w:type="pct"/>
          </w:tcPr>
          <w:p w14:paraId="644B899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408" w:type="pct"/>
          </w:tcPr>
          <w:p w14:paraId="40EB50E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0" w:type="pct"/>
          </w:tcPr>
          <w:p w14:paraId="1E8AC9D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1,238</w:t>
            </w:r>
          </w:p>
        </w:tc>
        <w:tc>
          <w:tcPr>
            <w:tcW w:w="428" w:type="pct"/>
          </w:tcPr>
          <w:p w14:paraId="4D6D16F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972</w:t>
            </w:r>
          </w:p>
        </w:tc>
        <w:tc>
          <w:tcPr>
            <w:tcW w:w="266" w:type="pct"/>
          </w:tcPr>
          <w:p w14:paraId="6D17CD5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266</w:t>
            </w:r>
          </w:p>
        </w:tc>
        <w:tc>
          <w:tcPr>
            <w:tcW w:w="496" w:type="pct"/>
          </w:tcPr>
          <w:p w14:paraId="452E406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4.78</w:t>
            </w:r>
          </w:p>
        </w:tc>
        <w:tc>
          <w:tcPr>
            <w:tcW w:w="486" w:type="pct"/>
          </w:tcPr>
          <w:p w14:paraId="1A6889C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3.75</w:t>
            </w:r>
          </w:p>
        </w:tc>
        <w:tc>
          <w:tcPr>
            <w:cnfStyle w:val="000100000000" w:firstRow="0" w:lastRow="0" w:firstColumn="0" w:lastColumn="1" w:oddVBand="0" w:evenVBand="0" w:oddHBand="0" w:evenHBand="0" w:firstRowFirstColumn="0" w:firstRowLastColumn="0" w:lastRowFirstColumn="0" w:lastRowLastColumn="0"/>
            <w:tcW w:w="384" w:type="pct"/>
          </w:tcPr>
          <w:p w14:paraId="377973A7" w14:textId="77777777" w:rsidR="00B44672" w:rsidRDefault="00B44672" w:rsidP="00CB6E83">
            <w:pPr>
              <w:pStyle w:val="Compact"/>
              <w:jc w:val="center"/>
            </w:pPr>
            <w:r>
              <w:t>1.03</w:t>
            </w:r>
          </w:p>
        </w:tc>
      </w:tr>
      <w:tr w:rsidR="00B44672" w14:paraId="13E30F5B"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185A2675" w14:textId="77777777" w:rsidR="00B44672" w:rsidRDefault="00B44672" w:rsidP="00CB6E83">
            <w:pPr>
              <w:pStyle w:val="Compact"/>
            </w:pPr>
            <w:r>
              <w:t>Quint 2</w:t>
            </w:r>
          </w:p>
        </w:tc>
        <w:tc>
          <w:tcPr>
            <w:tcW w:w="444" w:type="pct"/>
          </w:tcPr>
          <w:p w14:paraId="5582234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17,956</w:t>
            </w:r>
          </w:p>
        </w:tc>
        <w:tc>
          <w:tcPr>
            <w:tcW w:w="443" w:type="pct"/>
          </w:tcPr>
          <w:p w14:paraId="7C91482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17,928</w:t>
            </w:r>
          </w:p>
        </w:tc>
        <w:tc>
          <w:tcPr>
            <w:tcW w:w="408" w:type="pct"/>
          </w:tcPr>
          <w:p w14:paraId="6C8980F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28</w:t>
            </w:r>
          </w:p>
        </w:tc>
        <w:tc>
          <w:tcPr>
            <w:tcW w:w="440" w:type="pct"/>
          </w:tcPr>
          <w:p w14:paraId="72266A1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1,698</w:t>
            </w:r>
          </w:p>
        </w:tc>
        <w:tc>
          <w:tcPr>
            <w:tcW w:w="428" w:type="pct"/>
          </w:tcPr>
          <w:p w14:paraId="46C1AC4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1,340</w:t>
            </w:r>
          </w:p>
        </w:tc>
        <w:tc>
          <w:tcPr>
            <w:tcW w:w="266" w:type="pct"/>
          </w:tcPr>
          <w:p w14:paraId="0EFB269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357</w:t>
            </w:r>
          </w:p>
        </w:tc>
        <w:tc>
          <w:tcPr>
            <w:tcW w:w="496" w:type="pct"/>
          </w:tcPr>
          <w:p w14:paraId="54043FE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2.88</w:t>
            </w:r>
          </w:p>
        </w:tc>
        <w:tc>
          <w:tcPr>
            <w:tcW w:w="486" w:type="pct"/>
          </w:tcPr>
          <w:p w14:paraId="4215557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2.28</w:t>
            </w:r>
          </w:p>
        </w:tc>
        <w:tc>
          <w:tcPr>
            <w:cnfStyle w:val="000100000000" w:firstRow="0" w:lastRow="0" w:firstColumn="0" w:lastColumn="1" w:oddVBand="0" w:evenVBand="0" w:oddHBand="0" w:evenHBand="0" w:firstRowFirstColumn="0" w:firstRowLastColumn="0" w:lastRowFirstColumn="0" w:lastRowLastColumn="0"/>
            <w:tcW w:w="384" w:type="pct"/>
          </w:tcPr>
          <w:p w14:paraId="477CA56D" w14:textId="77777777" w:rsidR="00B44672" w:rsidRDefault="00B44672" w:rsidP="00CB6E83">
            <w:pPr>
              <w:pStyle w:val="Compact"/>
              <w:jc w:val="center"/>
            </w:pPr>
            <w:r>
              <w:t>0.60</w:t>
            </w:r>
          </w:p>
        </w:tc>
      </w:tr>
      <w:tr w:rsidR="00B44672" w14:paraId="013A674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08D0D7D9" w14:textId="77777777" w:rsidR="00B44672" w:rsidRDefault="00B44672" w:rsidP="00CB6E83">
            <w:pPr>
              <w:pStyle w:val="Compact"/>
            </w:pPr>
            <w:r>
              <w:t>Quint 3</w:t>
            </w:r>
          </w:p>
        </w:tc>
        <w:tc>
          <w:tcPr>
            <w:tcW w:w="444" w:type="pct"/>
          </w:tcPr>
          <w:p w14:paraId="4EF565B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23,559</w:t>
            </w:r>
          </w:p>
        </w:tc>
        <w:tc>
          <w:tcPr>
            <w:tcW w:w="443" w:type="pct"/>
          </w:tcPr>
          <w:p w14:paraId="374CEF8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23,500</w:t>
            </w:r>
          </w:p>
        </w:tc>
        <w:tc>
          <w:tcPr>
            <w:tcW w:w="408" w:type="pct"/>
          </w:tcPr>
          <w:p w14:paraId="1D8F0A0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440" w:type="pct"/>
          </w:tcPr>
          <w:p w14:paraId="137FA60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1,888</w:t>
            </w:r>
          </w:p>
        </w:tc>
        <w:tc>
          <w:tcPr>
            <w:tcW w:w="428" w:type="pct"/>
          </w:tcPr>
          <w:p w14:paraId="23110FF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1,505</w:t>
            </w:r>
          </w:p>
        </w:tc>
        <w:tc>
          <w:tcPr>
            <w:tcW w:w="266" w:type="pct"/>
          </w:tcPr>
          <w:p w14:paraId="609E642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383</w:t>
            </w:r>
          </w:p>
        </w:tc>
        <w:tc>
          <w:tcPr>
            <w:tcW w:w="496" w:type="pct"/>
          </w:tcPr>
          <w:p w14:paraId="377400F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2.34</w:t>
            </w:r>
          </w:p>
        </w:tc>
        <w:tc>
          <w:tcPr>
            <w:tcW w:w="486" w:type="pct"/>
          </w:tcPr>
          <w:p w14:paraId="78558EF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1.86</w:t>
            </w:r>
          </w:p>
        </w:tc>
        <w:tc>
          <w:tcPr>
            <w:cnfStyle w:val="000100000000" w:firstRow="0" w:lastRow="0" w:firstColumn="0" w:lastColumn="1" w:oddVBand="0" w:evenVBand="0" w:oddHBand="0" w:evenHBand="0" w:firstRowFirstColumn="0" w:firstRowLastColumn="0" w:lastRowFirstColumn="0" w:lastRowLastColumn="0"/>
            <w:tcW w:w="384" w:type="pct"/>
          </w:tcPr>
          <w:p w14:paraId="055AA361" w14:textId="77777777" w:rsidR="00B44672" w:rsidRDefault="00B44672" w:rsidP="00CB6E83">
            <w:pPr>
              <w:pStyle w:val="Compact"/>
              <w:jc w:val="center"/>
            </w:pPr>
            <w:r>
              <w:t>0.47</w:t>
            </w:r>
          </w:p>
        </w:tc>
      </w:tr>
      <w:tr w:rsidR="00B44672" w14:paraId="7A42271D"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3898DA9F" w14:textId="77777777" w:rsidR="00B44672" w:rsidRDefault="00B44672" w:rsidP="00CB6E83">
            <w:pPr>
              <w:pStyle w:val="Compact"/>
            </w:pPr>
            <w:r>
              <w:t>Quint 4</w:t>
            </w:r>
          </w:p>
        </w:tc>
        <w:tc>
          <w:tcPr>
            <w:tcW w:w="444" w:type="pct"/>
          </w:tcPr>
          <w:p w14:paraId="5B07D8B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23,877</w:t>
            </w:r>
          </w:p>
        </w:tc>
        <w:tc>
          <w:tcPr>
            <w:tcW w:w="443" w:type="pct"/>
          </w:tcPr>
          <w:p w14:paraId="57117FF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23,796</w:t>
            </w:r>
          </w:p>
        </w:tc>
        <w:tc>
          <w:tcPr>
            <w:tcW w:w="408" w:type="pct"/>
          </w:tcPr>
          <w:p w14:paraId="55678D0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81</w:t>
            </w:r>
          </w:p>
        </w:tc>
        <w:tc>
          <w:tcPr>
            <w:tcW w:w="440" w:type="pct"/>
          </w:tcPr>
          <w:p w14:paraId="009B603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2,334</w:t>
            </w:r>
          </w:p>
        </w:tc>
        <w:tc>
          <w:tcPr>
            <w:tcW w:w="428" w:type="pct"/>
          </w:tcPr>
          <w:p w14:paraId="63C75A8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1,836</w:t>
            </w:r>
          </w:p>
        </w:tc>
        <w:tc>
          <w:tcPr>
            <w:tcW w:w="266" w:type="pct"/>
          </w:tcPr>
          <w:p w14:paraId="71E7BAA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499</w:t>
            </w:r>
          </w:p>
        </w:tc>
        <w:tc>
          <w:tcPr>
            <w:tcW w:w="496" w:type="pct"/>
          </w:tcPr>
          <w:p w14:paraId="61EFF83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2.13</w:t>
            </w:r>
          </w:p>
        </w:tc>
        <w:tc>
          <w:tcPr>
            <w:tcW w:w="486" w:type="pct"/>
          </w:tcPr>
          <w:p w14:paraId="4E128A0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cnfStyle w:val="000100000000" w:firstRow="0" w:lastRow="0" w:firstColumn="0" w:lastColumn="1" w:oddVBand="0" w:evenVBand="0" w:oddHBand="0" w:evenHBand="0" w:firstRowFirstColumn="0" w:firstRowLastColumn="0" w:lastRowFirstColumn="0" w:lastRowLastColumn="0"/>
            <w:tcW w:w="384" w:type="pct"/>
          </w:tcPr>
          <w:p w14:paraId="38464141" w14:textId="77777777" w:rsidR="00B44672" w:rsidRDefault="00B44672" w:rsidP="00CB6E83">
            <w:pPr>
              <w:pStyle w:val="Compact"/>
              <w:jc w:val="center"/>
            </w:pPr>
            <w:r>
              <w:t>0.46</w:t>
            </w:r>
          </w:p>
        </w:tc>
      </w:tr>
      <w:tr w:rsidR="00B44672" w14:paraId="2D02EADC"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56E36ED5" w14:textId="77777777" w:rsidR="00B44672" w:rsidRDefault="00B44672" w:rsidP="00CB6E83">
            <w:pPr>
              <w:pStyle w:val="Compact"/>
            </w:pPr>
            <w:r>
              <w:t>Quint 5</w:t>
            </w:r>
          </w:p>
        </w:tc>
        <w:tc>
          <w:tcPr>
            <w:tcW w:w="444" w:type="pct"/>
          </w:tcPr>
          <w:p w14:paraId="6E1FBF6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29,468</w:t>
            </w:r>
          </w:p>
        </w:tc>
        <w:tc>
          <w:tcPr>
            <w:tcW w:w="443" w:type="pct"/>
          </w:tcPr>
          <w:p w14:paraId="52FF1DC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29,408</w:t>
            </w:r>
          </w:p>
        </w:tc>
        <w:tc>
          <w:tcPr>
            <w:tcW w:w="408" w:type="pct"/>
          </w:tcPr>
          <w:p w14:paraId="20260DD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440" w:type="pct"/>
          </w:tcPr>
          <w:p w14:paraId="6EEEEEC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3,425</w:t>
            </w:r>
          </w:p>
        </w:tc>
        <w:tc>
          <w:tcPr>
            <w:tcW w:w="428" w:type="pct"/>
          </w:tcPr>
          <w:p w14:paraId="5F4B9FD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2,442</w:t>
            </w:r>
          </w:p>
        </w:tc>
        <w:tc>
          <w:tcPr>
            <w:tcW w:w="266" w:type="pct"/>
          </w:tcPr>
          <w:p w14:paraId="7340AB1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983</w:t>
            </w:r>
          </w:p>
        </w:tc>
        <w:tc>
          <w:tcPr>
            <w:tcW w:w="496" w:type="pct"/>
          </w:tcPr>
          <w:p w14:paraId="12F067F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2.17</w:t>
            </w:r>
          </w:p>
        </w:tc>
        <w:tc>
          <w:tcPr>
            <w:tcW w:w="486" w:type="pct"/>
          </w:tcPr>
          <w:p w14:paraId="2BD1946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1.55</w:t>
            </w:r>
          </w:p>
        </w:tc>
        <w:tc>
          <w:tcPr>
            <w:cnfStyle w:val="000100000000" w:firstRow="0" w:lastRow="0" w:firstColumn="0" w:lastColumn="1" w:oddVBand="0" w:evenVBand="0" w:oddHBand="0" w:evenHBand="0" w:firstRowFirstColumn="0" w:firstRowLastColumn="0" w:lastRowFirstColumn="0" w:lastRowLastColumn="0"/>
            <w:tcW w:w="384" w:type="pct"/>
          </w:tcPr>
          <w:p w14:paraId="2236D7D6" w14:textId="77777777" w:rsidR="00B44672" w:rsidRDefault="00B44672" w:rsidP="00CB6E83">
            <w:pPr>
              <w:pStyle w:val="Compact"/>
              <w:jc w:val="center"/>
            </w:pPr>
            <w:r>
              <w:t>0.62</w:t>
            </w:r>
          </w:p>
        </w:tc>
      </w:tr>
      <w:tr w:rsidR="00B44672" w14:paraId="49FD55DE"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63F8C3A6"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444" w:type="pct"/>
          </w:tcPr>
          <w:p w14:paraId="5976AD5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43" w:type="pct"/>
          </w:tcPr>
          <w:p w14:paraId="38E3D97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08" w:type="pct"/>
          </w:tcPr>
          <w:p w14:paraId="181B5AD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40" w:type="pct"/>
          </w:tcPr>
          <w:p w14:paraId="6C77C59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28" w:type="pct"/>
          </w:tcPr>
          <w:p w14:paraId="49E303A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266" w:type="pct"/>
          </w:tcPr>
          <w:p w14:paraId="250FC52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96" w:type="pct"/>
          </w:tcPr>
          <w:p w14:paraId="690B5EC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86" w:type="pct"/>
          </w:tcPr>
          <w:p w14:paraId="7440E56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84" w:type="pct"/>
          </w:tcPr>
          <w:p w14:paraId="78AE18E1" w14:textId="77777777" w:rsidR="00B44672" w:rsidRDefault="00B44672" w:rsidP="00A567C4">
            <w:pPr>
              <w:pStyle w:val="Compact"/>
              <w:jc w:val="center"/>
            </w:pPr>
          </w:p>
        </w:tc>
      </w:tr>
      <w:tr w:rsidR="00B44672" w14:paraId="724BF2FB"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16D3EF4E" w14:textId="77777777" w:rsidR="00B44672" w:rsidRDefault="00B44672" w:rsidP="00A567C4">
            <w:pPr>
              <w:pStyle w:val="Compact"/>
            </w:pPr>
            <w:r>
              <w:t>Quint 1</w:t>
            </w:r>
          </w:p>
        </w:tc>
        <w:tc>
          <w:tcPr>
            <w:tcW w:w="444" w:type="pct"/>
          </w:tcPr>
          <w:p w14:paraId="5B904C0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443" w:type="pct"/>
          </w:tcPr>
          <w:p w14:paraId="49C116A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408" w:type="pct"/>
          </w:tcPr>
          <w:p w14:paraId="0F8E353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0" w:type="pct"/>
          </w:tcPr>
          <w:p w14:paraId="5D9D770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1,238</w:t>
            </w:r>
          </w:p>
        </w:tc>
        <w:tc>
          <w:tcPr>
            <w:tcW w:w="428" w:type="pct"/>
          </w:tcPr>
          <w:p w14:paraId="7CECD3E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972</w:t>
            </w:r>
          </w:p>
        </w:tc>
        <w:tc>
          <w:tcPr>
            <w:tcW w:w="266" w:type="pct"/>
          </w:tcPr>
          <w:p w14:paraId="248B6A1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266</w:t>
            </w:r>
          </w:p>
        </w:tc>
        <w:tc>
          <w:tcPr>
            <w:tcW w:w="496" w:type="pct"/>
          </w:tcPr>
          <w:p w14:paraId="1371CE5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4.78</w:t>
            </w:r>
          </w:p>
        </w:tc>
        <w:tc>
          <w:tcPr>
            <w:tcW w:w="486" w:type="pct"/>
          </w:tcPr>
          <w:p w14:paraId="1005E59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3.75</w:t>
            </w:r>
          </w:p>
        </w:tc>
        <w:tc>
          <w:tcPr>
            <w:cnfStyle w:val="000100000000" w:firstRow="0" w:lastRow="0" w:firstColumn="0" w:lastColumn="1" w:oddVBand="0" w:evenVBand="0" w:oddHBand="0" w:evenHBand="0" w:firstRowFirstColumn="0" w:firstRowLastColumn="0" w:lastRowFirstColumn="0" w:lastRowLastColumn="0"/>
            <w:tcW w:w="384" w:type="pct"/>
          </w:tcPr>
          <w:p w14:paraId="4D452FEA" w14:textId="77777777" w:rsidR="00B44672" w:rsidRDefault="00B44672" w:rsidP="00A567C4">
            <w:pPr>
              <w:pStyle w:val="Compact"/>
              <w:jc w:val="center"/>
            </w:pPr>
            <w:r>
              <w:t>1.03</w:t>
            </w:r>
          </w:p>
        </w:tc>
      </w:tr>
      <w:tr w:rsidR="00B44672" w14:paraId="64C34C57"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66B57241" w14:textId="77777777" w:rsidR="00B44672" w:rsidRDefault="00B44672" w:rsidP="00A567C4">
            <w:pPr>
              <w:pStyle w:val="Compact"/>
            </w:pPr>
            <w:r>
              <w:t>Quint 2</w:t>
            </w:r>
          </w:p>
        </w:tc>
        <w:tc>
          <w:tcPr>
            <w:tcW w:w="444" w:type="pct"/>
          </w:tcPr>
          <w:p w14:paraId="59ED172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17,956</w:t>
            </w:r>
          </w:p>
        </w:tc>
        <w:tc>
          <w:tcPr>
            <w:tcW w:w="443" w:type="pct"/>
          </w:tcPr>
          <w:p w14:paraId="779F2B4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17,936</w:t>
            </w:r>
          </w:p>
        </w:tc>
        <w:tc>
          <w:tcPr>
            <w:tcW w:w="408" w:type="pct"/>
          </w:tcPr>
          <w:p w14:paraId="304D493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w:t>
            </w:r>
          </w:p>
        </w:tc>
        <w:tc>
          <w:tcPr>
            <w:tcW w:w="440" w:type="pct"/>
          </w:tcPr>
          <w:p w14:paraId="1FFFBDB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1,698</w:t>
            </w:r>
          </w:p>
        </w:tc>
        <w:tc>
          <w:tcPr>
            <w:tcW w:w="428" w:type="pct"/>
          </w:tcPr>
          <w:p w14:paraId="311F034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1,341</w:t>
            </w:r>
          </w:p>
        </w:tc>
        <w:tc>
          <w:tcPr>
            <w:tcW w:w="266" w:type="pct"/>
          </w:tcPr>
          <w:p w14:paraId="0DCDB22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357</w:t>
            </w:r>
          </w:p>
        </w:tc>
        <w:tc>
          <w:tcPr>
            <w:tcW w:w="496" w:type="pct"/>
          </w:tcPr>
          <w:p w14:paraId="2738699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2.88</w:t>
            </w:r>
          </w:p>
        </w:tc>
        <w:tc>
          <w:tcPr>
            <w:tcW w:w="486" w:type="pct"/>
          </w:tcPr>
          <w:p w14:paraId="3A36D2F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2.28</w:t>
            </w:r>
          </w:p>
        </w:tc>
        <w:tc>
          <w:tcPr>
            <w:cnfStyle w:val="000100000000" w:firstRow="0" w:lastRow="0" w:firstColumn="0" w:lastColumn="1" w:oddVBand="0" w:evenVBand="0" w:oddHBand="0" w:evenHBand="0" w:firstRowFirstColumn="0" w:firstRowLastColumn="0" w:lastRowFirstColumn="0" w:lastRowLastColumn="0"/>
            <w:tcW w:w="384" w:type="pct"/>
          </w:tcPr>
          <w:p w14:paraId="644922A7" w14:textId="77777777" w:rsidR="00B44672" w:rsidRDefault="00B44672" w:rsidP="00A567C4">
            <w:pPr>
              <w:pStyle w:val="Compact"/>
              <w:jc w:val="center"/>
            </w:pPr>
            <w:r>
              <w:t>0.60</w:t>
            </w:r>
          </w:p>
        </w:tc>
      </w:tr>
      <w:tr w:rsidR="00B44672" w14:paraId="29C2E7BA"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3354801F" w14:textId="77777777" w:rsidR="00B44672" w:rsidRDefault="00B44672" w:rsidP="00A567C4">
            <w:pPr>
              <w:pStyle w:val="Compact"/>
            </w:pPr>
            <w:r>
              <w:t>Quint 3</w:t>
            </w:r>
          </w:p>
        </w:tc>
        <w:tc>
          <w:tcPr>
            <w:tcW w:w="444" w:type="pct"/>
          </w:tcPr>
          <w:p w14:paraId="4BC3E8E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23,559</w:t>
            </w:r>
          </w:p>
        </w:tc>
        <w:tc>
          <w:tcPr>
            <w:tcW w:w="443" w:type="pct"/>
          </w:tcPr>
          <w:p w14:paraId="35CB806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23,500</w:t>
            </w:r>
          </w:p>
        </w:tc>
        <w:tc>
          <w:tcPr>
            <w:tcW w:w="408" w:type="pct"/>
          </w:tcPr>
          <w:p w14:paraId="5B099AA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440" w:type="pct"/>
          </w:tcPr>
          <w:p w14:paraId="1A7ECB1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1,888</w:t>
            </w:r>
          </w:p>
        </w:tc>
        <w:tc>
          <w:tcPr>
            <w:tcW w:w="428" w:type="pct"/>
          </w:tcPr>
          <w:p w14:paraId="0D4203B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1,506</w:t>
            </w:r>
          </w:p>
        </w:tc>
        <w:tc>
          <w:tcPr>
            <w:tcW w:w="266" w:type="pct"/>
          </w:tcPr>
          <w:p w14:paraId="3894DBC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382</w:t>
            </w:r>
          </w:p>
        </w:tc>
        <w:tc>
          <w:tcPr>
            <w:tcW w:w="496" w:type="pct"/>
          </w:tcPr>
          <w:p w14:paraId="41BFE41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2.34</w:t>
            </w:r>
          </w:p>
        </w:tc>
        <w:tc>
          <w:tcPr>
            <w:tcW w:w="486" w:type="pct"/>
          </w:tcPr>
          <w:p w14:paraId="799D2F4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1.86</w:t>
            </w:r>
          </w:p>
        </w:tc>
        <w:tc>
          <w:tcPr>
            <w:cnfStyle w:val="000100000000" w:firstRow="0" w:lastRow="0" w:firstColumn="0" w:lastColumn="1" w:oddVBand="0" w:evenVBand="0" w:oddHBand="0" w:evenHBand="0" w:firstRowFirstColumn="0" w:firstRowLastColumn="0" w:lastRowFirstColumn="0" w:lastRowLastColumn="0"/>
            <w:tcW w:w="384" w:type="pct"/>
          </w:tcPr>
          <w:p w14:paraId="1E2C6F9F" w14:textId="77777777" w:rsidR="00B44672" w:rsidRDefault="00B44672" w:rsidP="00A567C4">
            <w:pPr>
              <w:pStyle w:val="Compact"/>
              <w:jc w:val="center"/>
            </w:pPr>
            <w:r>
              <w:t>0.47</w:t>
            </w:r>
          </w:p>
        </w:tc>
      </w:tr>
      <w:tr w:rsidR="00B44672" w14:paraId="26352794"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3540908E" w14:textId="77777777" w:rsidR="00B44672" w:rsidRDefault="00B44672" w:rsidP="00A567C4">
            <w:pPr>
              <w:pStyle w:val="Compact"/>
            </w:pPr>
            <w:r>
              <w:t>Quint 4</w:t>
            </w:r>
          </w:p>
        </w:tc>
        <w:tc>
          <w:tcPr>
            <w:tcW w:w="444" w:type="pct"/>
          </w:tcPr>
          <w:p w14:paraId="08F6641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23,877</w:t>
            </w:r>
          </w:p>
        </w:tc>
        <w:tc>
          <w:tcPr>
            <w:tcW w:w="443" w:type="pct"/>
          </w:tcPr>
          <w:p w14:paraId="6F6A8B4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23,802</w:t>
            </w:r>
          </w:p>
        </w:tc>
        <w:tc>
          <w:tcPr>
            <w:tcW w:w="408" w:type="pct"/>
          </w:tcPr>
          <w:p w14:paraId="656E73E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75</w:t>
            </w:r>
          </w:p>
        </w:tc>
        <w:tc>
          <w:tcPr>
            <w:tcW w:w="440" w:type="pct"/>
          </w:tcPr>
          <w:p w14:paraId="5961D6B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2,334</w:t>
            </w:r>
          </w:p>
        </w:tc>
        <w:tc>
          <w:tcPr>
            <w:tcW w:w="428" w:type="pct"/>
          </w:tcPr>
          <w:p w14:paraId="1976E3E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1,836</w:t>
            </w:r>
          </w:p>
        </w:tc>
        <w:tc>
          <w:tcPr>
            <w:tcW w:w="266" w:type="pct"/>
          </w:tcPr>
          <w:p w14:paraId="0110E77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499</w:t>
            </w:r>
          </w:p>
        </w:tc>
        <w:tc>
          <w:tcPr>
            <w:tcW w:w="496" w:type="pct"/>
          </w:tcPr>
          <w:p w14:paraId="008C609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2.13</w:t>
            </w:r>
          </w:p>
        </w:tc>
        <w:tc>
          <w:tcPr>
            <w:tcW w:w="486" w:type="pct"/>
          </w:tcPr>
          <w:p w14:paraId="2462B96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cnfStyle w:val="000100000000" w:firstRow="0" w:lastRow="0" w:firstColumn="0" w:lastColumn="1" w:oddVBand="0" w:evenVBand="0" w:oddHBand="0" w:evenHBand="0" w:firstRowFirstColumn="0" w:firstRowLastColumn="0" w:lastRowFirstColumn="0" w:lastRowLastColumn="0"/>
            <w:tcW w:w="384" w:type="pct"/>
          </w:tcPr>
          <w:p w14:paraId="7A6F985D" w14:textId="77777777" w:rsidR="00B44672" w:rsidRDefault="00B44672" w:rsidP="00A567C4">
            <w:pPr>
              <w:pStyle w:val="Compact"/>
              <w:jc w:val="center"/>
            </w:pPr>
            <w:r>
              <w:t>0.46</w:t>
            </w:r>
          </w:p>
        </w:tc>
      </w:tr>
      <w:tr w:rsidR="00B44672" w14:paraId="60724C19"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603C1754" w14:textId="77777777" w:rsidR="00B44672" w:rsidRDefault="00B44672" w:rsidP="00A567C4">
            <w:pPr>
              <w:pStyle w:val="Compact"/>
            </w:pPr>
            <w:r>
              <w:t>Quint 5</w:t>
            </w:r>
          </w:p>
        </w:tc>
        <w:tc>
          <w:tcPr>
            <w:tcW w:w="444" w:type="pct"/>
          </w:tcPr>
          <w:p w14:paraId="7C57E50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29,468</w:t>
            </w:r>
          </w:p>
        </w:tc>
        <w:tc>
          <w:tcPr>
            <w:tcW w:w="443" w:type="pct"/>
          </w:tcPr>
          <w:p w14:paraId="52FB275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29,410</w:t>
            </w:r>
          </w:p>
        </w:tc>
        <w:tc>
          <w:tcPr>
            <w:tcW w:w="408" w:type="pct"/>
          </w:tcPr>
          <w:p w14:paraId="082246E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58</w:t>
            </w:r>
          </w:p>
        </w:tc>
        <w:tc>
          <w:tcPr>
            <w:tcW w:w="440" w:type="pct"/>
          </w:tcPr>
          <w:p w14:paraId="2606A1C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3,425</w:t>
            </w:r>
          </w:p>
        </w:tc>
        <w:tc>
          <w:tcPr>
            <w:tcW w:w="428" w:type="pct"/>
          </w:tcPr>
          <w:p w14:paraId="6779EA7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2,442</w:t>
            </w:r>
          </w:p>
        </w:tc>
        <w:tc>
          <w:tcPr>
            <w:tcW w:w="266" w:type="pct"/>
          </w:tcPr>
          <w:p w14:paraId="4B24015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983</w:t>
            </w:r>
          </w:p>
        </w:tc>
        <w:tc>
          <w:tcPr>
            <w:tcW w:w="496" w:type="pct"/>
          </w:tcPr>
          <w:p w14:paraId="3F55207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2.17</w:t>
            </w:r>
          </w:p>
        </w:tc>
        <w:tc>
          <w:tcPr>
            <w:tcW w:w="486" w:type="pct"/>
          </w:tcPr>
          <w:p w14:paraId="3FCBE46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1.55</w:t>
            </w:r>
          </w:p>
        </w:tc>
        <w:tc>
          <w:tcPr>
            <w:cnfStyle w:val="000100000000" w:firstRow="0" w:lastRow="0" w:firstColumn="0" w:lastColumn="1" w:oddVBand="0" w:evenVBand="0" w:oddHBand="0" w:evenHBand="0" w:firstRowFirstColumn="0" w:firstRowLastColumn="0" w:lastRowFirstColumn="0" w:lastRowLastColumn="0"/>
            <w:tcW w:w="384" w:type="pct"/>
          </w:tcPr>
          <w:p w14:paraId="0C061578" w14:textId="77777777" w:rsidR="00B44672" w:rsidRDefault="00B44672" w:rsidP="00A567C4">
            <w:pPr>
              <w:pStyle w:val="Compact"/>
              <w:jc w:val="center"/>
            </w:pPr>
            <w:r>
              <w:t>0.62</w:t>
            </w:r>
          </w:p>
        </w:tc>
      </w:tr>
      <w:tr w:rsidR="00B44672" w14:paraId="5728573B"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1BDE3B11" w14:textId="77777777" w:rsidR="00B44672" w:rsidRDefault="00B44672" w:rsidP="00302865">
            <w:pPr>
              <w:pStyle w:val="Compact"/>
            </w:pPr>
            <w:r w:rsidRPr="00113FC1">
              <w:rPr>
                <w:b/>
                <w:i/>
                <w:iCs/>
                <w:color w:val="365F91" w:themeColor="accent1" w:themeShade="BF"/>
              </w:rPr>
              <w:t>1.24 – 2.19% price change</w:t>
            </w:r>
          </w:p>
        </w:tc>
        <w:tc>
          <w:tcPr>
            <w:tcW w:w="444" w:type="pct"/>
          </w:tcPr>
          <w:p w14:paraId="378CC8C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43" w:type="pct"/>
          </w:tcPr>
          <w:p w14:paraId="2F00413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08" w:type="pct"/>
          </w:tcPr>
          <w:p w14:paraId="37D254D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40" w:type="pct"/>
          </w:tcPr>
          <w:p w14:paraId="1B0D73A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28" w:type="pct"/>
          </w:tcPr>
          <w:p w14:paraId="6E19B1D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266" w:type="pct"/>
          </w:tcPr>
          <w:p w14:paraId="6AC77FF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96" w:type="pct"/>
          </w:tcPr>
          <w:p w14:paraId="0284BC8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86" w:type="pct"/>
          </w:tcPr>
          <w:p w14:paraId="3941A83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84" w:type="pct"/>
          </w:tcPr>
          <w:p w14:paraId="26DF14A9" w14:textId="77777777" w:rsidR="00B44672" w:rsidRDefault="00B44672" w:rsidP="00302865">
            <w:pPr>
              <w:pStyle w:val="Compact"/>
              <w:jc w:val="center"/>
            </w:pPr>
          </w:p>
        </w:tc>
      </w:tr>
      <w:tr w:rsidR="00B44672" w14:paraId="0BB798BB"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41A76958" w14:textId="77777777" w:rsidR="00B44672" w:rsidRDefault="00B44672" w:rsidP="00302865">
            <w:pPr>
              <w:pStyle w:val="Compact"/>
            </w:pPr>
            <w:r>
              <w:t>Quint 1</w:t>
            </w:r>
          </w:p>
        </w:tc>
        <w:tc>
          <w:tcPr>
            <w:tcW w:w="444" w:type="pct"/>
          </w:tcPr>
          <w:p w14:paraId="4E8138E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443" w:type="pct"/>
          </w:tcPr>
          <w:p w14:paraId="4E719B6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408" w:type="pct"/>
          </w:tcPr>
          <w:p w14:paraId="7763F7A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0" w:type="pct"/>
          </w:tcPr>
          <w:p w14:paraId="5120290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1,238</w:t>
            </w:r>
          </w:p>
        </w:tc>
        <w:tc>
          <w:tcPr>
            <w:tcW w:w="428" w:type="pct"/>
          </w:tcPr>
          <w:p w14:paraId="59D2619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972</w:t>
            </w:r>
          </w:p>
        </w:tc>
        <w:tc>
          <w:tcPr>
            <w:tcW w:w="266" w:type="pct"/>
          </w:tcPr>
          <w:p w14:paraId="76F676E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266</w:t>
            </w:r>
          </w:p>
        </w:tc>
        <w:tc>
          <w:tcPr>
            <w:tcW w:w="496" w:type="pct"/>
          </w:tcPr>
          <w:p w14:paraId="683B893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4.78</w:t>
            </w:r>
          </w:p>
        </w:tc>
        <w:tc>
          <w:tcPr>
            <w:tcW w:w="486" w:type="pct"/>
          </w:tcPr>
          <w:p w14:paraId="4F0B664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3.75</w:t>
            </w:r>
          </w:p>
        </w:tc>
        <w:tc>
          <w:tcPr>
            <w:cnfStyle w:val="000100000000" w:firstRow="0" w:lastRow="0" w:firstColumn="0" w:lastColumn="1" w:oddVBand="0" w:evenVBand="0" w:oddHBand="0" w:evenHBand="0" w:firstRowFirstColumn="0" w:firstRowLastColumn="0" w:lastRowFirstColumn="0" w:lastRowLastColumn="0"/>
            <w:tcW w:w="384" w:type="pct"/>
          </w:tcPr>
          <w:p w14:paraId="035FC28F" w14:textId="77777777" w:rsidR="00B44672" w:rsidRDefault="00B44672" w:rsidP="00302865">
            <w:pPr>
              <w:pStyle w:val="Compact"/>
              <w:jc w:val="center"/>
            </w:pPr>
            <w:r>
              <w:t>1.03</w:t>
            </w:r>
          </w:p>
        </w:tc>
      </w:tr>
      <w:tr w:rsidR="00B44672" w14:paraId="5944A792"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1D6AFAED" w14:textId="77777777" w:rsidR="00B44672" w:rsidRDefault="00B44672" w:rsidP="00302865">
            <w:pPr>
              <w:pStyle w:val="Compact"/>
            </w:pPr>
            <w:r>
              <w:t>Quint 2</w:t>
            </w:r>
          </w:p>
        </w:tc>
        <w:tc>
          <w:tcPr>
            <w:tcW w:w="444" w:type="pct"/>
          </w:tcPr>
          <w:p w14:paraId="2C292A6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17,956</w:t>
            </w:r>
          </w:p>
        </w:tc>
        <w:tc>
          <w:tcPr>
            <w:tcW w:w="443" w:type="pct"/>
          </w:tcPr>
          <w:p w14:paraId="424C256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17,948</w:t>
            </w:r>
          </w:p>
        </w:tc>
        <w:tc>
          <w:tcPr>
            <w:tcW w:w="408" w:type="pct"/>
          </w:tcPr>
          <w:p w14:paraId="7E44C46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440" w:type="pct"/>
          </w:tcPr>
          <w:p w14:paraId="2F2F7C4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1,698</w:t>
            </w:r>
          </w:p>
        </w:tc>
        <w:tc>
          <w:tcPr>
            <w:tcW w:w="428" w:type="pct"/>
          </w:tcPr>
          <w:p w14:paraId="4BBFC07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1,341</w:t>
            </w:r>
          </w:p>
        </w:tc>
        <w:tc>
          <w:tcPr>
            <w:tcW w:w="266" w:type="pct"/>
          </w:tcPr>
          <w:p w14:paraId="1647FED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356</w:t>
            </w:r>
          </w:p>
        </w:tc>
        <w:tc>
          <w:tcPr>
            <w:tcW w:w="496" w:type="pct"/>
          </w:tcPr>
          <w:p w14:paraId="6308FF0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2.88</w:t>
            </w:r>
          </w:p>
        </w:tc>
        <w:tc>
          <w:tcPr>
            <w:tcW w:w="486" w:type="pct"/>
          </w:tcPr>
          <w:p w14:paraId="6B2CD03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2.28</w:t>
            </w:r>
          </w:p>
        </w:tc>
        <w:tc>
          <w:tcPr>
            <w:cnfStyle w:val="000100000000" w:firstRow="0" w:lastRow="0" w:firstColumn="0" w:lastColumn="1" w:oddVBand="0" w:evenVBand="0" w:oddHBand="0" w:evenHBand="0" w:firstRowFirstColumn="0" w:firstRowLastColumn="0" w:lastRowFirstColumn="0" w:lastRowLastColumn="0"/>
            <w:tcW w:w="384" w:type="pct"/>
          </w:tcPr>
          <w:p w14:paraId="313BAC10" w14:textId="77777777" w:rsidR="00B44672" w:rsidRDefault="00B44672" w:rsidP="00302865">
            <w:pPr>
              <w:pStyle w:val="Compact"/>
              <w:jc w:val="center"/>
            </w:pPr>
            <w:r>
              <w:t>0.60</w:t>
            </w:r>
          </w:p>
        </w:tc>
      </w:tr>
      <w:tr w:rsidR="00B44672" w14:paraId="00C6C677"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39DD6A00" w14:textId="77777777" w:rsidR="00B44672" w:rsidRDefault="00B44672" w:rsidP="00302865">
            <w:pPr>
              <w:pStyle w:val="Compact"/>
            </w:pPr>
            <w:r>
              <w:t>Quint 3</w:t>
            </w:r>
          </w:p>
        </w:tc>
        <w:tc>
          <w:tcPr>
            <w:tcW w:w="444" w:type="pct"/>
          </w:tcPr>
          <w:p w14:paraId="7E38534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23,559</w:t>
            </w:r>
          </w:p>
        </w:tc>
        <w:tc>
          <w:tcPr>
            <w:tcW w:w="443" w:type="pct"/>
          </w:tcPr>
          <w:p w14:paraId="51E0678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23,512</w:t>
            </w:r>
          </w:p>
        </w:tc>
        <w:tc>
          <w:tcPr>
            <w:tcW w:w="408" w:type="pct"/>
          </w:tcPr>
          <w:p w14:paraId="28F03C2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48</w:t>
            </w:r>
          </w:p>
        </w:tc>
        <w:tc>
          <w:tcPr>
            <w:tcW w:w="440" w:type="pct"/>
          </w:tcPr>
          <w:p w14:paraId="234047B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1,888</w:t>
            </w:r>
          </w:p>
        </w:tc>
        <w:tc>
          <w:tcPr>
            <w:tcW w:w="428" w:type="pct"/>
          </w:tcPr>
          <w:p w14:paraId="740AE22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1,506</w:t>
            </w:r>
          </w:p>
        </w:tc>
        <w:tc>
          <w:tcPr>
            <w:tcW w:w="266" w:type="pct"/>
          </w:tcPr>
          <w:p w14:paraId="609313B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382</w:t>
            </w:r>
          </w:p>
        </w:tc>
        <w:tc>
          <w:tcPr>
            <w:tcW w:w="496" w:type="pct"/>
          </w:tcPr>
          <w:p w14:paraId="05681EA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2.34</w:t>
            </w:r>
          </w:p>
        </w:tc>
        <w:tc>
          <w:tcPr>
            <w:tcW w:w="486" w:type="pct"/>
          </w:tcPr>
          <w:p w14:paraId="066C0DD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1.86</w:t>
            </w:r>
          </w:p>
        </w:tc>
        <w:tc>
          <w:tcPr>
            <w:cnfStyle w:val="000100000000" w:firstRow="0" w:lastRow="0" w:firstColumn="0" w:lastColumn="1" w:oddVBand="0" w:evenVBand="0" w:oddHBand="0" w:evenHBand="0" w:firstRowFirstColumn="0" w:firstRowLastColumn="0" w:lastRowFirstColumn="0" w:lastRowLastColumn="0"/>
            <w:tcW w:w="384" w:type="pct"/>
          </w:tcPr>
          <w:p w14:paraId="7A5A99AF" w14:textId="77777777" w:rsidR="00B44672" w:rsidRDefault="00B44672" w:rsidP="00302865">
            <w:pPr>
              <w:pStyle w:val="Compact"/>
              <w:jc w:val="center"/>
            </w:pPr>
            <w:r>
              <w:t>0.47</w:t>
            </w:r>
          </w:p>
        </w:tc>
      </w:tr>
      <w:tr w:rsidR="00B44672" w14:paraId="4789201E"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4" w:type="pct"/>
          </w:tcPr>
          <w:p w14:paraId="64B86851" w14:textId="77777777" w:rsidR="00B44672" w:rsidRDefault="00B44672" w:rsidP="00302865">
            <w:pPr>
              <w:pStyle w:val="Compact"/>
            </w:pPr>
            <w:r>
              <w:t>Quint 4</w:t>
            </w:r>
          </w:p>
        </w:tc>
        <w:tc>
          <w:tcPr>
            <w:tcW w:w="444" w:type="pct"/>
          </w:tcPr>
          <w:p w14:paraId="1186E84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23,877</w:t>
            </w:r>
          </w:p>
        </w:tc>
        <w:tc>
          <w:tcPr>
            <w:tcW w:w="443" w:type="pct"/>
          </w:tcPr>
          <w:p w14:paraId="7F89027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23,819</w:t>
            </w:r>
          </w:p>
        </w:tc>
        <w:tc>
          <w:tcPr>
            <w:tcW w:w="408" w:type="pct"/>
          </w:tcPr>
          <w:p w14:paraId="462F9A6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58</w:t>
            </w:r>
          </w:p>
        </w:tc>
        <w:tc>
          <w:tcPr>
            <w:tcW w:w="440" w:type="pct"/>
          </w:tcPr>
          <w:p w14:paraId="2B43CDF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2,334</w:t>
            </w:r>
          </w:p>
        </w:tc>
        <w:tc>
          <w:tcPr>
            <w:tcW w:w="428" w:type="pct"/>
          </w:tcPr>
          <w:p w14:paraId="6341676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1,836</w:t>
            </w:r>
          </w:p>
        </w:tc>
        <w:tc>
          <w:tcPr>
            <w:tcW w:w="266" w:type="pct"/>
          </w:tcPr>
          <w:p w14:paraId="5F29B39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499</w:t>
            </w:r>
          </w:p>
        </w:tc>
        <w:tc>
          <w:tcPr>
            <w:tcW w:w="496" w:type="pct"/>
          </w:tcPr>
          <w:p w14:paraId="5DDC60E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2.13</w:t>
            </w:r>
          </w:p>
        </w:tc>
        <w:tc>
          <w:tcPr>
            <w:tcW w:w="486" w:type="pct"/>
          </w:tcPr>
          <w:p w14:paraId="6A7E7A1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cnfStyle w:val="000100000000" w:firstRow="0" w:lastRow="0" w:firstColumn="0" w:lastColumn="1" w:oddVBand="0" w:evenVBand="0" w:oddHBand="0" w:evenHBand="0" w:firstRowFirstColumn="0" w:firstRowLastColumn="0" w:lastRowFirstColumn="0" w:lastRowLastColumn="0"/>
            <w:tcW w:w="384" w:type="pct"/>
          </w:tcPr>
          <w:p w14:paraId="111E03EC" w14:textId="77777777" w:rsidR="00B44672" w:rsidRDefault="00B44672" w:rsidP="00302865">
            <w:pPr>
              <w:pStyle w:val="Compact"/>
              <w:jc w:val="center"/>
            </w:pPr>
            <w:r>
              <w:t>0.46</w:t>
            </w:r>
          </w:p>
        </w:tc>
      </w:tr>
      <w:tr w:rsidR="00B44672" w14:paraId="5635DCB0" w14:textId="77777777" w:rsidTr="0030286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4" w:type="pct"/>
          </w:tcPr>
          <w:p w14:paraId="72A1FF41" w14:textId="77777777" w:rsidR="00B44672" w:rsidRDefault="00B44672" w:rsidP="00302865">
            <w:pPr>
              <w:pStyle w:val="Compact"/>
            </w:pPr>
            <w:r>
              <w:t>Quint 5</w:t>
            </w:r>
          </w:p>
        </w:tc>
        <w:tc>
          <w:tcPr>
            <w:tcW w:w="444" w:type="pct"/>
          </w:tcPr>
          <w:p w14:paraId="4BCA5115"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29,468</w:t>
            </w:r>
          </w:p>
        </w:tc>
        <w:tc>
          <w:tcPr>
            <w:tcW w:w="443" w:type="pct"/>
          </w:tcPr>
          <w:p w14:paraId="2B955ED5"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29,431</w:t>
            </w:r>
          </w:p>
        </w:tc>
        <w:tc>
          <w:tcPr>
            <w:tcW w:w="408" w:type="pct"/>
          </w:tcPr>
          <w:p w14:paraId="1C63E0CE"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37</w:t>
            </w:r>
          </w:p>
        </w:tc>
        <w:tc>
          <w:tcPr>
            <w:tcW w:w="440" w:type="pct"/>
          </w:tcPr>
          <w:p w14:paraId="3EB406FE"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3,425</w:t>
            </w:r>
          </w:p>
        </w:tc>
        <w:tc>
          <w:tcPr>
            <w:tcW w:w="428" w:type="pct"/>
          </w:tcPr>
          <w:p w14:paraId="1B7D150B"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2,441</w:t>
            </w:r>
          </w:p>
        </w:tc>
        <w:tc>
          <w:tcPr>
            <w:tcW w:w="266" w:type="pct"/>
          </w:tcPr>
          <w:p w14:paraId="289D0783"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983</w:t>
            </w:r>
          </w:p>
        </w:tc>
        <w:tc>
          <w:tcPr>
            <w:tcW w:w="496" w:type="pct"/>
          </w:tcPr>
          <w:p w14:paraId="2B35EF21"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2.17</w:t>
            </w:r>
          </w:p>
        </w:tc>
        <w:tc>
          <w:tcPr>
            <w:tcW w:w="486" w:type="pct"/>
          </w:tcPr>
          <w:p w14:paraId="4F2383DA"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1.55</w:t>
            </w:r>
          </w:p>
        </w:tc>
        <w:tc>
          <w:tcPr>
            <w:cnfStyle w:val="000100000000" w:firstRow="0" w:lastRow="0" w:firstColumn="0" w:lastColumn="1" w:oddVBand="0" w:evenVBand="0" w:oddHBand="0" w:evenHBand="0" w:firstRowFirstColumn="0" w:firstRowLastColumn="0" w:lastRowFirstColumn="0" w:lastRowLastColumn="0"/>
            <w:tcW w:w="384" w:type="pct"/>
          </w:tcPr>
          <w:p w14:paraId="20862B3F" w14:textId="77777777" w:rsidR="00B44672" w:rsidRDefault="00B44672" w:rsidP="00302865">
            <w:pPr>
              <w:pStyle w:val="Compact"/>
              <w:jc w:val="center"/>
            </w:pPr>
            <w:r>
              <w:t>0.62</w:t>
            </w:r>
          </w:p>
        </w:tc>
      </w:tr>
    </w:tbl>
    <w:p w14:paraId="6B602CBE"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63A168F0" w14:textId="77777777" w:rsidR="00B44672" w:rsidRDefault="00B44672">
      <w:pPr>
        <w:jc w:val="left"/>
        <w:rPr>
          <w:b/>
          <w:i/>
          <w:color w:val="365F91" w:themeColor="accent1" w:themeShade="BF"/>
        </w:rPr>
      </w:pPr>
      <w:r>
        <w:br w:type="page"/>
      </w:r>
    </w:p>
    <w:p w14:paraId="42439907" w14:textId="77777777" w:rsidR="00B44672" w:rsidRDefault="00B44672" w:rsidP="00C83581">
      <w:pPr>
        <w:pStyle w:val="TableCaption"/>
      </w:pPr>
      <w:r>
        <w:lastRenderedPageBreak/>
        <w:t>Table 16a - The impact of tax reform on rate paid by income quintile, average 2012 – 2018 (keeping only those income units purchasing properties in both new and old policies)</w:t>
      </w:r>
    </w:p>
    <w:tbl>
      <w:tblPr>
        <w:tblStyle w:val="Table"/>
        <w:tblW w:w="5748" w:type="pct"/>
        <w:jc w:val="center"/>
        <w:tblCellMar>
          <w:left w:w="0" w:type="dxa"/>
          <w:right w:w="0" w:type="dxa"/>
        </w:tblCellMar>
        <w:tblLook w:val="07E0" w:firstRow="1" w:lastRow="1" w:firstColumn="1" w:lastColumn="1" w:noHBand="1" w:noVBand="1"/>
        <w:tblCaption w:val="Table 16a - The impact of tax reform on rate paid by income quintile, average 2012 – 2018 (keep only those purchasing properties in both new and old policies)"/>
      </w:tblPr>
      <w:tblGrid>
        <w:gridCol w:w="2600"/>
        <w:gridCol w:w="1237"/>
        <w:gridCol w:w="1085"/>
        <w:gridCol w:w="1092"/>
        <w:gridCol w:w="822"/>
        <w:gridCol w:w="1089"/>
        <w:gridCol w:w="1009"/>
        <w:gridCol w:w="1442"/>
      </w:tblGrid>
      <w:tr w:rsidR="00B44672" w14:paraId="13893519" w14:textId="77777777" w:rsidTr="003028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3" w:type="pct"/>
            <w:tcBorders>
              <w:bottom w:val="single" w:sz="0" w:space="0" w:color="auto"/>
            </w:tcBorders>
            <w:vAlign w:val="bottom"/>
          </w:tcPr>
          <w:p w14:paraId="36527337" w14:textId="77777777" w:rsidR="00B44672" w:rsidRDefault="00B44672" w:rsidP="000511CA"/>
        </w:tc>
        <w:tc>
          <w:tcPr>
            <w:tcW w:w="596" w:type="pct"/>
            <w:tcBorders>
              <w:bottom w:val="single" w:sz="0" w:space="0" w:color="auto"/>
            </w:tcBorders>
            <w:vAlign w:val="bottom"/>
          </w:tcPr>
          <w:p w14:paraId="141ADE5F"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Both tax policies - # affected</w:t>
            </w:r>
          </w:p>
        </w:tc>
        <w:tc>
          <w:tcPr>
            <w:tcW w:w="523" w:type="pct"/>
            <w:tcBorders>
              <w:bottom w:val="single" w:sz="0" w:space="0" w:color="auto"/>
            </w:tcBorders>
            <w:vAlign w:val="bottom"/>
          </w:tcPr>
          <w:p w14:paraId="65D1B0BC" w14:textId="77777777" w:rsidR="00B44672" w:rsidRDefault="00B44672" w:rsidP="007518AF">
            <w:pPr>
              <w:pStyle w:val="Compact"/>
              <w:jc w:val="center"/>
              <w:cnfStyle w:val="100000000000" w:firstRow="1" w:lastRow="0" w:firstColumn="0" w:lastColumn="0" w:oddVBand="0" w:evenVBand="0" w:oddHBand="0" w:evenHBand="0" w:firstRowFirstColumn="0" w:firstRowLastColumn="0" w:lastRowFirstColumn="0" w:lastRowLastColumn="0"/>
            </w:pPr>
            <w:r>
              <w:t>New tax policy - Avg rate $</w:t>
            </w:r>
          </w:p>
        </w:tc>
        <w:tc>
          <w:tcPr>
            <w:tcW w:w="526" w:type="pct"/>
            <w:tcBorders>
              <w:bottom w:val="single" w:sz="0" w:space="0" w:color="auto"/>
            </w:tcBorders>
            <w:vAlign w:val="bottom"/>
          </w:tcPr>
          <w:p w14:paraId="38760E6A" w14:textId="77777777" w:rsidR="00B44672" w:rsidRDefault="00B44672" w:rsidP="007518AF">
            <w:pPr>
              <w:pStyle w:val="Compact"/>
              <w:jc w:val="center"/>
              <w:cnfStyle w:val="100000000000" w:firstRow="1" w:lastRow="0" w:firstColumn="0" w:lastColumn="0" w:oddVBand="0" w:evenVBand="0" w:oddHBand="0" w:evenHBand="0" w:firstRowFirstColumn="0" w:firstRowLastColumn="0" w:lastRowFirstColumn="0" w:lastRowLastColumn="0"/>
            </w:pPr>
            <w:r>
              <w:t>Old tax policy - Avg rate $</w:t>
            </w:r>
          </w:p>
        </w:tc>
        <w:tc>
          <w:tcPr>
            <w:tcW w:w="396" w:type="pct"/>
            <w:tcBorders>
              <w:bottom w:val="single" w:sz="0" w:space="0" w:color="auto"/>
            </w:tcBorders>
            <w:vAlign w:val="bottom"/>
          </w:tcPr>
          <w:p w14:paraId="2413C47D" w14:textId="77777777" w:rsidR="00B44672" w:rsidRDefault="00B44672" w:rsidP="007518AF">
            <w:pPr>
              <w:pStyle w:val="Compact"/>
              <w:jc w:val="center"/>
              <w:cnfStyle w:val="100000000000" w:firstRow="1" w:lastRow="0" w:firstColumn="0" w:lastColumn="0" w:oddVBand="0" w:evenVBand="0" w:oddHBand="0" w:evenHBand="0" w:firstRowFirstColumn="0" w:firstRowLastColumn="0" w:lastRowFirstColumn="0" w:lastRowLastColumn="0"/>
            </w:pPr>
            <w:r>
              <w:t>Diff - Avg rate $</w:t>
            </w:r>
          </w:p>
        </w:tc>
        <w:tc>
          <w:tcPr>
            <w:tcW w:w="525" w:type="pct"/>
            <w:tcBorders>
              <w:bottom w:val="single" w:sz="0" w:space="0" w:color="auto"/>
            </w:tcBorders>
            <w:vAlign w:val="bottom"/>
          </w:tcPr>
          <w:p w14:paraId="2565A9EE"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86" w:type="pct"/>
            <w:tcBorders>
              <w:bottom w:val="single" w:sz="0" w:space="0" w:color="auto"/>
            </w:tcBorders>
            <w:vAlign w:val="bottom"/>
          </w:tcPr>
          <w:p w14:paraId="4834E3FB"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695" w:type="pct"/>
            <w:tcBorders>
              <w:bottom w:val="single" w:sz="0" w:space="0" w:color="auto"/>
            </w:tcBorders>
            <w:vAlign w:val="bottom"/>
          </w:tcPr>
          <w:p w14:paraId="301AE9D4" w14:textId="77777777" w:rsidR="00B44672" w:rsidRDefault="00B44672" w:rsidP="000511CA">
            <w:pPr>
              <w:pStyle w:val="Compact"/>
              <w:jc w:val="center"/>
            </w:pPr>
            <w:r>
              <w:t>Diff - % point change in income</w:t>
            </w:r>
          </w:p>
        </w:tc>
      </w:tr>
      <w:tr w:rsidR="00B44672" w14:paraId="31F324F4"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11C6B3B6" w14:textId="77777777" w:rsidR="00B44672" w:rsidRDefault="00B44672" w:rsidP="00CB6E83">
            <w:pPr>
              <w:pStyle w:val="Compact"/>
            </w:pPr>
            <w:r w:rsidRPr="00AF6491">
              <w:rPr>
                <w:b/>
                <w:i/>
                <w:iCs/>
                <w:color w:val="365F91" w:themeColor="accent1" w:themeShade="BF"/>
              </w:rPr>
              <w:t>No price change</w:t>
            </w:r>
          </w:p>
        </w:tc>
        <w:tc>
          <w:tcPr>
            <w:tcW w:w="596" w:type="pct"/>
          </w:tcPr>
          <w:p w14:paraId="0EE9065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523" w:type="pct"/>
          </w:tcPr>
          <w:p w14:paraId="1CA5EEE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526" w:type="pct"/>
          </w:tcPr>
          <w:p w14:paraId="24CC15C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396" w:type="pct"/>
          </w:tcPr>
          <w:p w14:paraId="446D1E2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525" w:type="pct"/>
          </w:tcPr>
          <w:p w14:paraId="292BBA3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86" w:type="pct"/>
          </w:tcPr>
          <w:p w14:paraId="0D93418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95" w:type="pct"/>
          </w:tcPr>
          <w:p w14:paraId="654562FB" w14:textId="77777777" w:rsidR="00B44672" w:rsidRDefault="00B44672" w:rsidP="00CB6E83">
            <w:pPr>
              <w:pStyle w:val="Compact"/>
              <w:jc w:val="center"/>
            </w:pPr>
          </w:p>
        </w:tc>
      </w:tr>
      <w:tr w:rsidR="00B44672" w14:paraId="02AE8270"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57DD8273" w14:textId="77777777" w:rsidR="00B44672" w:rsidRDefault="00B44672" w:rsidP="00CB6E83">
            <w:pPr>
              <w:pStyle w:val="Compact"/>
            </w:pPr>
            <w:r>
              <w:t>Quint 1</w:t>
            </w:r>
          </w:p>
        </w:tc>
        <w:tc>
          <w:tcPr>
            <w:tcW w:w="596" w:type="pct"/>
          </w:tcPr>
          <w:p w14:paraId="67E25F8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523" w:type="pct"/>
          </w:tcPr>
          <w:p w14:paraId="727696A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1,238</w:t>
            </w:r>
          </w:p>
        </w:tc>
        <w:tc>
          <w:tcPr>
            <w:tcW w:w="526" w:type="pct"/>
          </w:tcPr>
          <w:p w14:paraId="4A7E66C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972</w:t>
            </w:r>
          </w:p>
        </w:tc>
        <w:tc>
          <w:tcPr>
            <w:tcW w:w="396" w:type="pct"/>
          </w:tcPr>
          <w:p w14:paraId="6E38A4B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266</w:t>
            </w:r>
          </w:p>
        </w:tc>
        <w:tc>
          <w:tcPr>
            <w:tcW w:w="525" w:type="pct"/>
          </w:tcPr>
          <w:p w14:paraId="0E151AC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4.78</w:t>
            </w:r>
          </w:p>
        </w:tc>
        <w:tc>
          <w:tcPr>
            <w:tcW w:w="486" w:type="pct"/>
          </w:tcPr>
          <w:p w14:paraId="5AB1845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3.75</w:t>
            </w:r>
          </w:p>
        </w:tc>
        <w:tc>
          <w:tcPr>
            <w:cnfStyle w:val="000100000000" w:firstRow="0" w:lastRow="0" w:firstColumn="0" w:lastColumn="1" w:oddVBand="0" w:evenVBand="0" w:oddHBand="0" w:evenHBand="0" w:firstRowFirstColumn="0" w:firstRowLastColumn="0" w:lastRowFirstColumn="0" w:lastRowLastColumn="0"/>
            <w:tcW w:w="695" w:type="pct"/>
          </w:tcPr>
          <w:p w14:paraId="672E9F9F" w14:textId="77777777" w:rsidR="00B44672" w:rsidRDefault="00B44672" w:rsidP="00CB6E83">
            <w:pPr>
              <w:pStyle w:val="Compact"/>
              <w:jc w:val="center"/>
            </w:pPr>
            <w:r>
              <w:t>1.03</w:t>
            </w:r>
          </w:p>
        </w:tc>
      </w:tr>
      <w:tr w:rsidR="00B44672" w14:paraId="17CB98A5"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7BCEB6D6" w14:textId="77777777" w:rsidR="00B44672" w:rsidRDefault="00B44672" w:rsidP="00CB6E83">
            <w:pPr>
              <w:pStyle w:val="Compact"/>
            </w:pPr>
            <w:r>
              <w:t>Quint 2</w:t>
            </w:r>
          </w:p>
        </w:tc>
        <w:tc>
          <w:tcPr>
            <w:tcW w:w="596" w:type="pct"/>
          </w:tcPr>
          <w:p w14:paraId="444919C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17,928</w:t>
            </w:r>
          </w:p>
        </w:tc>
        <w:tc>
          <w:tcPr>
            <w:tcW w:w="523" w:type="pct"/>
          </w:tcPr>
          <w:p w14:paraId="436E65D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1,698</w:t>
            </w:r>
          </w:p>
        </w:tc>
        <w:tc>
          <w:tcPr>
            <w:tcW w:w="526" w:type="pct"/>
          </w:tcPr>
          <w:p w14:paraId="7D46E48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1,340</w:t>
            </w:r>
          </w:p>
        </w:tc>
        <w:tc>
          <w:tcPr>
            <w:tcW w:w="396" w:type="pct"/>
          </w:tcPr>
          <w:p w14:paraId="23BA7BB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357</w:t>
            </w:r>
          </w:p>
        </w:tc>
        <w:tc>
          <w:tcPr>
            <w:tcW w:w="525" w:type="pct"/>
          </w:tcPr>
          <w:p w14:paraId="4429FA5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2.88</w:t>
            </w:r>
          </w:p>
        </w:tc>
        <w:tc>
          <w:tcPr>
            <w:tcW w:w="486" w:type="pct"/>
          </w:tcPr>
          <w:p w14:paraId="1976D9E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2.28</w:t>
            </w:r>
          </w:p>
        </w:tc>
        <w:tc>
          <w:tcPr>
            <w:cnfStyle w:val="000100000000" w:firstRow="0" w:lastRow="0" w:firstColumn="0" w:lastColumn="1" w:oddVBand="0" w:evenVBand="0" w:oddHBand="0" w:evenHBand="0" w:firstRowFirstColumn="0" w:firstRowLastColumn="0" w:lastRowFirstColumn="0" w:lastRowLastColumn="0"/>
            <w:tcW w:w="695" w:type="pct"/>
          </w:tcPr>
          <w:p w14:paraId="7F91CF53" w14:textId="77777777" w:rsidR="00B44672" w:rsidRDefault="00B44672" w:rsidP="00CB6E83">
            <w:pPr>
              <w:pStyle w:val="Compact"/>
              <w:jc w:val="center"/>
            </w:pPr>
            <w:r>
              <w:t>0.61</w:t>
            </w:r>
          </w:p>
        </w:tc>
      </w:tr>
      <w:tr w:rsidR="00B44672" w14:paraId="1BAA56A5"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78AB9E39" w14:textId="77777777" w:rsidR="00B44672" w:rsidRDefault="00B44672" w:rsidP="00CB6E83">
            <w:pPr>
              <w:pStyle w:val="Compact"/>
            </w:pPr>
            <w:r>
              <w:t>Quint 3</w:t>
            </w:r>
          </w:p>
        </w:tc>
        <w:tc>
          <w:tcPr>
            <w:tcW w:w="596" w:type="pct"/>
          </w:tcPr>
          <w:p w14:paraId="6AE1D7F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23,500</w:t>
            </w:r>
          </w:p>
        </w:tc>
        <w:tc>
          <w:tcPr>
            <w:tcW w:w="523" w:type="pct"/>
          </w:tcPr>
          <w:p w14:paraId="7526B78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1,890</w:t>
            </w:r>
          </w:p>
        </w:tc>
        <w:tc>
          <w:tcPr>
            <w:tcW w:w="526" w:type="pct"/>
          </w:tcPr>
          <w:p w14:paraId="695BBB0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1,505</w:t>
            </w:r>
          </w:p>
        </w:tc>
        <w:tc>
          <w:tcPr>
            <w:tcW w:w="396" w:type="pct"/>
          </w:tcPr>
          <w:p w14:paraId="7F23585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384</w:t>
            </w:r>
          </w:p>
        </w:tc>
        <w:tc>
          <w:tcPr>
            <w:tcW w:w="525" w:type="pct"/>
          </w:tcPr>
          <w:p w14:paraId="0A01803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2.34</w:t>
            </w:r>
          </w:p>
        </w:tc>
        <w:tc>
          <w:tcPr>
            <w:tcW w:w="486" w:type="pct"/>
          </w:tcPr>
          <w:p w14:paraId="76A079D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1.86</w:t>
            </w:r>
          </w:p>
        </w:tc>
        <w:tc>
          <w:tcPr>
            <w:cnfStyle w:val="000100000000" w:firstRow="0" w:lastRow="0" w:firstColumn="0" w:lastColumn="1" w:oddVBand="0" w:evenVBand="0" w:oddHBand="0" w:evenHBand="0" w:firstRowFirstColumn="0" w:firstRowLastColumn="0" w:lastRowFirstColumn="0" w:lastRowLastColumn="0"/>
            <w:tcW w:w="695" w:type="pct"/>
          </w:tcPr>
          <w:p w14:paraId="056F58B2" w14:textId="77777777" w:rsidR="00B44672" w:rsidRDefault="00B44672" w:rsidP="00CB6E83">
            <w:pPr>
              <w:pStyle w:val="Compact"/>
              <w:jc w:val="center"/>
            </w:pPr>
            <w:r>
              <w:t>0.48</w:t>
            </w:r>
          </w:p>
        </w:tc>
      </w:tr>
      <w:tr w:rsidR="00B44672" w14:paraId="6B1584E6"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70CAB155" w14:textId="77777777" w:rsidR="00B44672" w:rsidRDefault="00B44672" w:rsidP="00CB6E83">
            <w:pPr>
              <w:pStyle w:val="Compact"/>
            </w:pPr>
            <w:r>
              <w:t>Quint 4</w:t>
            </w:r>
          </w:p>
        </w:tc>
        <w:tc>
          <w:tcPr>
            <w:tcW w:w="596" w:type="pct"/>
          </w:tcPr>
          <w:p w14:paraId="2B020F5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23,796</w:t>
            </w:r>
          </w:p>
        </w:tc>
        <w:tc>
          <w:tcPr>
            <w:tcW w:w="523" w:type="pct"/>
          </w:tcPr>
          <w:p w14:paraId="0912D05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2,337</w:t>
            </w:r>
          </w:p>
        </w:tc>
        <w:tc>
          <w:tcPr>
            <w:tcW w:w="526" w:type="pct"/>
          </w:tcPr>
          <w:p w14:paraId="31CECC9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1,836</w:t>
            </w:r>
          </w:p>
        </w:tc>
        <w:tc>
          <w:tcPr>
            <w:tcW w:w="396" w:type="pct"/>
          </w:tcPr>
          <w:p w14:paraId="658B2E1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502</w:t>
            </w:r>
          </w:p>
        </w:tc>
        <w:tc>
          <w:tcPr>
            <w:tcW w:w="525" w:type="pct"/>
          </w:tcPr>
          <w:p w14:paraId="277430E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2.13</w:t>
            </w:r>
          </w:p>
        </w:tc>
        <w:tc>
          <w:tcPr>
            <w:tcW w:w="486" w:type="pct"/>
          </w:tcPr>
          <w:p w14:paraId="2F83D94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cnfStyle w:val="000100000000" w:firstRow="0" w:lastRow="0" w:firstColumn="0" w:lastColumn="1" w:oddVBand="0" w:evenVBand="0" w:oddHBand="0" w:evenHBand="0" w:firstRowFirstColumn="0" w:firstRowLastColumn="0" w:lastRowFirstColumn="0" w:lastRowLastColumn="0"/>
            <w:tcW w:w="695" w:type="pct"/>
          </w:tcPr>
          <w:p w14:paraId="7032E203" w14:textId="77777777" w:rsidR="00B44672" w:rsidRDefault="00B44672" w:rsidP="00CB6E83">
            <w:pPr>
              <w:pStyle w:val="Compact"/>
              <w:jc w:val="center"/>
            </w:pPr>
            <w:r>
              <w:t>0.46</w:t>
            </w:r>
          </w:p>
        </w:tc>
      </w:tr>
      <w:tr w:rsidR="00B44672" w14:paraId="45117D96"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3398567A" w14:textId="77777777" w:rsidR="00B44672" w:rsidRDefault="00B44672" w:rsidP="00CB6E83">
            <w:pPr>
              <w:pStyle w:val="Compact"/>
            </w:pPr>
            <w:r>
              <w:t>Quint 5</w:t>
            </w:r>
          </w:p>
        </w:tc>
        <w:tc>
          <w:tcPr>
            <w:tcW w:w="596" w:type="pct"/>
          </w:tcPr>
          <w:p w14:paraId="763A67F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29,408</w:t>
            </w:r>
          </w:p>
        </w:tc>
        <w:tc>
          <w:tcPr>
            <w:tcW w:w="523" w:type="pct"/>
          </w:tcPr>
          <w:p w14:paraId="39B2C91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3,429</w:t>
            </w:r>
          </w:p>
        </w:tc>
        <w:tc>
          <w:tcPr>
            <w:tcW w:w="526" w:type="pct"/>
          </w:tcPr>
          <w:p w14:paraId="1ADA56D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2,442</w:t>
            </w:r>
          </w:p>
        </w:tc>
        <w:tc>
          <w:tcPr>
            <w:tcW w:w="396" w:type="pct"/>
          </w:tcPr>
          <w:p w14:paraId="4542793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987</w:t>
            </w:r>
          </w:p>
        </w:tc>
        <w:tc>
          <w:tcPr>
            <w:tcW w:w="525" w:type="pct"/>
          </w:tcPr>
          <w:p w14:paraId="2231A15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2.17</w:t>
            </w:r>
          </w:p>
        </w:tc>
        <w:tc>
          <w:tcPr>
            <w:tcW w:w="486" w:type="pct"/>
          </w:tcPr>
          <w:p w14:paraId="6506E5A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1.55</w:t>
            </w:r>
          </w:p>
        </w:tc>
        <w:tc>
          <w:tcPr>
            <w:cnfStyle w:val="000100000000" w:firstRow="0" w:lastRow="0" w:firstColumn="0" w:lastColumn="1" w:oddVBand="0" w:evenVBand="0" w:oddHBand="0" w:evenHBand="0" w:firstRowFirstColumn="0" w:firstRowLastColumn="0" w:lastRowFirstColumn="0" w:lastRowLastColumn="0"/>
            <w:tcW w:w="695" w:type="pct"/>
          </w:tcPr>
          <w:p w14:paraId="54A47B0D" w14:textId="77777777" w:rsidR="00B44672" w:rsidRDefault="00B44672" w:rsidP="00CB6E83">
            <w:pPr>
              <w:pStyle w:val="Compact"/>
              <w:jc w:val="center"/>
            </w:pPr>
            <w:r>
              <w:t>0.63</w:t>
            </w:r>
          </w:p>
        </w:tc>
      </w:tr>
      <w:tr w:rsidR="00B44672" w14:paraId="1FB00B0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4B0BB17E"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596" w:type="pct"/>
          </w:tcPr>
          <w:p w14:paraId="1AA50BF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23" w:type="pct"/>
          </w:tcPr>
          <w:p w14:paraId="48C99AE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26" w:type="pct"/>
          </w:tcPr>
          <w:p w14:paraId="7947D63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96" w:type="pct"/>
          </w:tcPr>
          <w:p w14:paraId="53F227C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25" w:type="pct"/>
          </w:tcPr>
          <w:p w14:paraId="0BED5D8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86" w:type="pct"/>
          </w:tcPr>
          <w:p w14:paraId="2C2ADD0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95" w:type="pct"/>
          </w:tcPr>
          <w:p w14:paraId="036DA06C" w14:textId="77777777" w:rsidR="00B44672" w:rsidRDefault="00B44672" w:rsidP="00A567C4">
            <w:pPr>
              <w:pStyle w:val="Compact"/>
              <w:jc w:val="center"/>
            </w:pPr>
          </w:p>
        </w:tc>
      </w:tr>
      <w:tr w:rsidR="00B44672" w14:paraId="6497B084"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3FA3E36F" w14:textId="77777777" w:rsidR="00B44672" w:rsidRDefault="00B44672" w:rsidP="00A567C4">
            <w:pPr>
              <w:pStyle w:val="Compact"/>
            </w:pPr>
            <w:r>
              <w:t>Quint 1</w:t>
            </w:r>
          </w:p>
        </w:tc>
        <w:tc>
          <w:tcPr>
            <w:tcW w:w="596" w:type="pct"/>
          </w:tcPr>
          <w:p w14:paraId="0D58F5A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523" w:type="pct"/>
          </w:tcPr>
          <w:p w14:paraId="28D43FA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1,238</w:t>
            </w:r>
          </w:p>
        </w:tc>
        <w:tc>
          <w:tcPr>
            <w:tcW w:w="526" w:type="pct"/>
          </w:tcPr>
          <w:p w14:paraId="719B213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972</w:t>
            </w:r>
          </w:p>
        </w:tc>
        <w:tc>
          <w:tcPr>
            <w:tcW w:w="396" w:type="pct"/>
          </w:tcPr>
          <w:p w14:paraId="6757221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266</w:t>
            </w:r>
          </w:p>
        </w:tc>
        <w:tc>
          <w:tcPr>
            <w:tcW w:w="525" w:type="pct"/>
          </w:tcPr>
          <w:p w14:paraId="14C47D3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4.78</w:t>
            </w:r>
          </w:p>
        </w:tc>
        <w:tc>
          <w:tcPr>
            <w:tcW w:w="486" w:type="pct"/>
          </w:tcPr>
          <w:p w14:paraId="51056AA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3.75</w:t>
            </w:r>
          </w:p>
        </w:tc>
        <w:tc>
          <w:tcPr>
            <w:cnfStyle w:val="000100000000" w:firstRow="0" w:lastRow="0" w:firstColumn="0" w:lastColumn="1" w:oddVBand="0" w:evenVBand="0" w:oddHBand="0" w:evenHBand="0" w:firstRowFirstColumn="0" w:firstRowLastColumn="0" w:lastRowFirstColumn="0" w:lastRowLastColumn="0"/>
            <w:tcW w:w="695" w:type="pct"/>
          </w:tcPr>
          <w:p w14:paraId="57DA1655" w14:textId="77777777" w:rsidR="00B44672" w:rsidRDefault="00B44672" w:rsidP="00A567C4">
            <w:pPr>
              <w:pStyle w:val="Compact"/>
              <w:jc w:val="center"/>
            </w:pPr>
            <w:r>
              <w:t>1.03</w:t>
            </w:r>
          </w:p>
        </w:tc>
      </w:tr>
      <w:tr w:rsidR="00B44672" w14:paraId="29E0870C"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2A5B988A" w14:textId="77777777" w:rsidR="00B44672" w:rsidRDefault="00B44672" w:rsidP="00A567C4">
            <w:pPr>
              <w:pStyle w:val="Compact"/>
            </w:pPr>
            <w:r>
              <w:t>Quint 2</w:t>
            </w:r>
          </w:p>
        </w:tc>
        <w:tc>
          <w:tcPr>
            <w:tcW w:w="596" w:type="pct"/>
          </w:tcPr>
          <w:p w14:paraId="16F79EC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17,933</w:t>
            </w:r>
          </w:p>
        </w:tc>
        <w:tc>
          <w:tcPr>
            <w:tcW w:w="523" w:type="pct"/>
          </w:tcPr>
          <w:p w14:paraId="34931E6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1,697</w:t>
            </w:r>
          </w:p>
        </w:tc>
        <w:tc>
          <w:tcPr>
            <w:tcW w:w="526" w:type="pct"/>
          </w:tcPr>
          <w:p w14:paraId="0B02DED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1,341</w:t>
            </w:r>
          </w:p>
        </w:tc>
        <w:tc>
          <w:tcPr>
            <w:tcW w:w="396" w:type="pct"/>
          </w:tcPr>
          <w:p w14:paraId="082AB9A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357</w:t>
            </w:r>
          </w:p>
        </w:tc>
        <w:tc>
          <w:tcPr>
            <w:tcW w:w="525" w:type="pct"/>
          </w:tcPr>
          <w:p w14:paraId="6A20878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2.88</w:t>
            </w:r>
          </w:p>
        </w:tc>
        <w:tc>
          <w:tcPr>
            <w:tcW w:w="486" w:type="pct"/>
          </w:tcPr>
          <w:p w14:paraId="7CFBC2F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2.28</w:t>
            </w:r>
          </w:p>
        </w:tc>
        <w:tc>
          <w:tcPr>
            <w:cnfStyle w:val="000100000000" w:firstRow="0" w:lastRow="0" w:firstColumn="0" w:lastColumn="1" w:oddVBand="0" w:evenVBand="0" w:oddHBand="0" w:evenHBand="0" w:firstRowFirstColumn="0" w:firstRowLastColumn="0" w:lastRowFirstColumn="0" w:lastRowLastColumn="0"/>
            <w:tcW w:w="695" w:type="pct"/>
          </w:tcPr>
          <w:p w14:paraId="61739323" w14:textId="77777777" w:rsidR="00B44672" w:rsidRDefault="00B44672" w:rsidP="00A567C4">
            <w:pPr>
              <w:pStyle w:val="Compact"/>
              <w:jc w:val="center"/>
            </w:pPr>
            <w:r>
              <w:t>0.61</w:t>
            </w:r>
          </w:p>
        </w:tc>
      </w:tr>
      <w:tr w:rsidR="00B44672" w14:paraId="31EECC8E"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25A9AF54" w14:textId="77777777" w:rsidR="00B44672" w:rsidRDefault="00B44672" w:rsidP="00A567C4">
            <w:pPr>
              <w:pStyle w:val="Compact"/>
            </w:pPr>
            <w:r>
              <w:t>Quint 3</w:t>
            </w:r>
          </w:p>
        </w:tc>
        <w:tc>
          <w:tcPr>
            <w:tcW w:w="596" w:type="pct"/>
          </w:tcPr>
          <w:p w14:paraId="79B7E66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23,500</w:t>
            </w:r>
          </w:p>
        </w:tc>
        <w:tc>
          <w:tcPr>
            <w:tcW w:w="523" w:type="pct"/>
          </w:tcPr>
          <w:p w14:paraId="1F0FFDA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1,890</w:t>
            </w:r>
          </w:p>
        </w:tc>
        <w:tc>
          <w:tcPr>
            <w:tcW w:w="526" w:type="pct"/>
          </w:tcPr>
          <w:p w14:paraId="4382B48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1,506</w:t>
            </w:r>
          </w:p>
        </w:tc>
        <w:tc>
          <w:tcPr>
            <w:tcW w:w="396" w:type="pct"/>
          </w:tcPr>
          <w:p w14:paraId="0854761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384</w:t>
            </w:r>
          </w:p>
        </w:tc>
        <w:tc>
          <w:tcPr>
            <w:tcW w:w="525" w:type="pct"/>
          </w:tcPr>
          <w:p w14:paraId="2B43EC8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2.34</w:t>
            </w:r>
          </w:p>
        </w:tc>
        <w:tc>
          <w:tcPr>
            <w:tcW w:w="486" w:type="pct"/>
          </w:tcPr>
          <w:p w14:paraId="67D7025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1.86</w:t>
            </w:r>
          </w:p>
        </w:tc>
        <w:tc>
          <w:tcPr>
            <w:cnfStyle w:val="000100000000" w:firstRow="0" w:lastRow="0" w:firstColumn="0" w:lastColumn="1" w:oddVBand="0" w:evenVBand="0" w:oddHBand="0" w:evenHBand="0" w:firstRowFirstColumn="0" w:firstRowLastColumn="0" w:lastRowFirstColumn="0" w:lastRowLastColumn="0"/>
            <w:tcW w:w="695" w:type="pct"/>
          </w:tcPr>
          <w:p w14:paraId="3E829083" w14:textId="77777777" w:rsidR="00B44672" w:rsidRDefault="00B44672" w:rsidP="00A567C4">
            <w:pPr>
              <w:pStyle w:val="Compact"/>
              <w:jc w:val="center"/>
            </w:pPr>
            <w:r>
              <w:t>0.47</w:t>
            </w:r>
          </w:p>
        </w:tc>
      </w:tr>
      <w:tr w:rsidR="00B44672" w14:paraId="409BF485"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312A2AB2" w14:textId="77777777" w:rsidR="00B44672" w:rsidRDefault="00B44672" w:rsidP="00A567C4">
            <w:pPr>
              <w:pStyle w:val="Compact"/>
            </w:pPr>
            <w:r>
              <w:t>Quint 4</w:t>
            </w:r>
          </w:p>
        </w:tc>
        <w:tc>
          <w:tcPr>
            <w:tcW w:w="596" w:type="pct"/>
          </w:tcPr>
          <w:p w14:paraId="39B4B09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23,802</w:t>
            </w:r>
          </w:p>
        </w:tc>
        <w:tc>
          <w:tcPr>
            <w:tcW w:w="523" w:type="pct"/>
          </w:tcPr>
          <w:p w14:paraId="63E7D7C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2,337</w:t>
            </w:r>
          </w:p>
        </w:tc>
        <w:tc>
          <w:tcPr>
            <w:tcW w:w="526" w:type="pct"/>
          </w:tcPr>
          <w:p w14:paraId="504E440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1,836</w:t>
            </w:r>
          </w:p>
        </w:tc>
        <w:tc>
          <w:tcPr>
            <w:tcW w:w="396" w:type="pct"/>
          </w:tcPr>
          <w:p w14:paraId="6594FD6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502</w:t>
            </w:r>
          </w:p>
        </w:tc>
        <w:tc>
          <w:tcPr>
            <w:tcW w:w="525" w:type="pct"/>
          </w:tcPr>
          <w:p w14:paraId="1FCB884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2.13</w:t>
            </w:r>
          </w:p>
        </w:tc>
        <w:tc>
          <w:tcPr>
            <w:tcW w:w="486" w:type="pct"/>
          </w:tcPr>
          <w:p w14:paraId="5E38F14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cnfStyle w:val="000100000000" w:firstRow="0" w:lastRow="0" w:firstColumn="0" w:lastColumn="1" w:oddVBand="0" w:evenVBand="0" w:oddHBand="0" w:evenHBand="0" w:firstRowFirstColumn="0" w:firstRowLastColumn="0" w:lastRowFirstColumn="0" w:lastRowLastColumn="0"/>
            <w:tcW w:w="695" w:type="pct"/>
          </w:tcPr>
          <w:p w14:paraId="498CFB92" w14:textId="77777777" w:rsidR="00B44672" w:rsidRDefault="00B44672" w:rsidP="00A567C4">
            <w:pPr>
              <w:pStyle w:val="Compact"/>
              <w:jc w:val="center"/>
            </w:pPr>
            <w:r>
              <w:t>0.46</w:t>
            </w:r>
          </w:p>
        </w:tc>
      </w:tr>
      <w:tr w:rsidR="00B44672" w14:paraId="2DB9F4F1"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3A005C0C" w14:textId="77777777" w:rsidR="00B44672" w:rsidRDefault="00B44672" w:rsidP="00A567C4">
            <w:pPr>
              <w:pStyle w:val="Compact"/>
            </w:pPr>
            <w:r>
              <w:t>Quint 5</w:t>
            </w:r>
          </w:p>
        </w:tc>
        <w:tc>
          <w:tcPr>
            <w:tcW w:w="596" w:type="pct"/>
          </w:tcPr>
          <w:p w14:paraId="3AD8080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29,410</w:t>
            </w:r>
          </w:p>
        </w:tc>
        <w:tc>
          <w:tcPr>
            <w:tcW w:w="523" w:type="pct"/>
          </w:tcPr>
          <w:p w14:paraId="0CB811C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3,428</w:t>
            </w:r>
          </w:p>
        </w:tc>
        <w:tc>
          <w:tcPr>
            <w:tcW w:w="526" w:type="pct"/>
          </w:tcPr>
          <w:p w14:paraId="0C8F3CC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2,442</w:t>
            </w:r>
          </w:p>
        </w:tc>
        <w:tc>
          <w:tcPr>
            <w:tcW w:w="396" w:type="pct"/>
          </w:tcPr>
          <w:p w14:paraId="6E1BD30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987</w:t>
            </w:r>
          </w:p>
        </w:tc>
        <w:tc>
          <w:tcPr>
            <w:tcW w:w="525" w:type="pct"/>
          </w:tcPr>
          <w:p w14:paraId="3C7B452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2.17</w:t>
            </w:r>
          </w:p>
        </w:tc>
        <w:tc>
          <w:tcPr>
            <w:tcW w:w="486" w:type="pct"/>
          </w:tcPr>
          <w:p w14:paraId="6018B70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1.55</w:t>
            </w:r>
          </w:p>
        </w:tc>
        <w:tc>
          <w:tcPr>
            <w:cnfStyle w:val="000100000000" w:firstRow="0" w:lastRow="0" w:firstColumn="0" w:lastColumn="1" w:oddVBand="0" w:evenVBand="0" w:oddHBand="0" w:evenHBand="0" w:firstRowFirstColumn="0" w:firstRowLastColumn="0" w:lastRowFirstColumn="0" w:lastRowLastColumn="0"/>
            <w:tcW w:w="695" w:type="pct"/>
          </w:tcPr>
          <w:p w14:paraId="2F320A18" w14:textId="77777777" w:rsidR="00B44672" w:rsidRDefault="00B44672" w:rsidP="00A567C4">
            <w:pPr>
              <w:pStyle w:val="Compact"/>
              <w:jc w:val="center"/>
            </w:pPr>
            <w:r>
              <w:t>0.63</w:t>
            </w:r>
          </w:p>
        </w:tc>
      </w:tr>
      <w:tr w:rsidR="00B44672" w14:paraId="170DBBC4"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51F67A32" w14:textId="77777777" w:rsidR="00B44672" w:rsidRDefault="00B44672" w:rsidP="00302865">
            <w:pPr>
              <w:pStyle w:val="Compact"/>
            </w:pPr>
            <w:r w:rsidRPr="00113FC1">
              <w:rPr>
                <w:b/>
                <w:i/>
                <w:iCs/>
                <w:color w:val="365F91" w:themeColor="accent1" w:themeShade="BF"/>
              </w:rPr>
              <w:t>1.24 – 2.19% price change</w:t>
            </w:r>
          </w:p>
        </w:tc>
        <w:tc>
          <w:tcPr>
            <w:tcW w:w="596" w:type="pct"/>
          </w:tcPr>
          <w:p w14:paraId="77BAB64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23" w:type="pct"/>
          </w:tcPr>
          <w:p w14:paraId="50F024D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26" w:type="pct"/>
          </w:tcPr>
          <w:p w14:paraId="27C19AE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96" w:type="pct"/>
          </w:tcPr>
          <w:p w14:paraId="495F769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25" w:type="pct"/>
          </w:tcPr>
          <w:p w14:paraId="6E564CC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86" w:type="pct"/>
          </w:tcPr>
          <w:p w14:paraId="7FCD90F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95" w:type="pct"/>
          </w:tcPr>
          <w:p w14:paraId="0C403A6A" w14:textId="77777777" w:rsidR="00B44672" w:rsidRDefault="00B44672" w:rsidP="00302865">
            <w:pPr>
              <w:pStyle w:val="Compact"/>
              <w:jc w:val="center"/>
            </w:pPr>
          </w:p>
        </w:tc>
      </w:tr>
      <w:tr w:rsidR="00B44672" w14:paraId="5705D83B"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04E91E15" w14:textId="77777777" w:rsidR="00B44672" w:rsidRDefault="00B44672" w:rsidP="00302865">
            <w:pPr>
              <w:pStyle w:val="Compact"/>
            </w:pPr>
            <w:r>
              <w:t>Quint 1</w:t>
            </w:r>
          </w:p>
        </w:tc>
        <w:tc>
          <w:tcPr>
            <w:tcW w:w="596" w:type="pct"/>
          </w:tcPr>
          <w:p w14:paraId="7E33B0D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523" w:type="pct"/>
          </w:tcPr>
          <w:p w14:paraId="2015190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1,238</w:t>
            </w:r>
          </w:p>
        </w:tc>
        <w:tc>
          <w:tcPr>
            <w:tcW w:w="526" w:type="pct"/>
          </w:tcPr>
          <w:p w14:paraId="646EF0D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972</w:t>
            </w:r>
          </w:p>
        </w:tc>
        <w:tc>
          <w:tcPr>
            <w:tcW w:w="396" w:type="pct"/>
          </w:tcPr>
          <w:p w14:paraId="0F1A889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266</w:t>
            </w:r>
          </w:p>
        </w:tc>
        <w:tc>
          <w:tcPr>
            <w:tcW w:w="525" w:type="pct"/>
          </w:tcPr>
          <w:p w14:paraId="07F758A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4.78</w:t>
            </w:r>
          </w:p>
        </w:tc>
        <w:tc>
          <w:tcPr>
            <w:tcW w:w="486" w:type="pct"/>
          </w:tcPr>
          <w:p w14:paraId="37100CC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3.75</w:t>
            </w:r>
          </w:p>
        </w:tc>
        <w:tc>
          <w:tcPr>
            <w:cnfStyle w:val="000100000000" w:firstRow="0" w:lastRow="0" w:firstColumn="0" w:lastColumn="1" w:oddVBand="0" w:evenVBand="0" w:oddHBand="0" w:evenHBand="0" w:firstRowFirstColumn="0" w:firstRowLastColumn="0" w:lastRowFirstColumn="0" w:lastRowLastColumn="0"/>
            <w:tcW w:w="695" w:type="pct"/>
          </w:tcPr>
          <w:p w14:paraId="7DC70488" w14:textId="77777777" w:rsidR="00B44672" w:rsidRDefault="00B44672" w:rsidP="00302865">
            <w:pPr>
              <w:pStyle w:val="Compact"/>
              <w:jc w:val="center"/>
            </w:pPr>
            <w:r>
              <w:t>1.03</w:t>
            </w:r>
          </w:p>
        </w:tc>
      </w:tr>
      <w:tr w:rsidR="00B44672" w14:paraId="0FF3AEE2"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16452EF8" w14:textId="77777777" w:rsidR="00B44672" w:rsidRDefault="00B44672" w:rsidP="00302865">
            <w:pPr>
              <w:pStyle w:val="Compact"/>
            </w:pPr>
            <w:r>
              <w:t>Quint 2</w:t>
            </w:r>
          </w:p>
        </w:tc>
        <w:tc>
          <w:tcPr>
            <w:tcW w:w="596" w:type="pct"/>
          </w:tcPr>
          <w:p w14:paraId="7727AA4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17,943</w:t>
            </w:r>
          </w:p>
        </w:tc>
        <w:tc>
          <w:tcPr>
            <w:tcW w:w="523" w:type="pct"/>
          </w:tcPr>
          <w:p w14:paraId="47BC128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1,697</w:t>
            </w:r>
          </w:p>
        </w:tc>
        <w:tc>
          <w:tcPr>
            <w:tcW w:w="526" w:type="pct"/>
          </w:tcPr>
          <w:p w14:paraId="151F897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1,341</w:t>
            </w:r>
          </w:p>
        </w:tc>
        <w:tc>
          <w:tcPr>
            <w:tcW w:w="396" w:type="pct"/>
          </w:tcPr>
          <w:p w14:paraId="75E8FAC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356</w:t>
            </w:r>
          </w:p>
        </w:tc>
        <w:tc>
          <w:tcPr>
            <w:tcW w:w="525" w:type="pct"/>
          </w:tcPr>
          <w:p w14:paraId="05E8D99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2.88</w:t>
            </w:r>
          </w:p>
        </w:tc>
        <w:tc>
          <w:tcPr>
            <w:tcW w:w="486" w:type="pct"/>
          </w:tcPr>
          <w:p w14:paraId="50F04C1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2.28</w:t>
            </w:r>
          </w:p>
        </w:tc>
        <w:tc>
          <w:tcPr>
            <w:cnfStyle w:val="000100000000" w:firstRow="0" w:lastRow="0" w:firstColumn="0" w:lastColumn="1" w:oddVBand="0" w:evenVBand="0" w:oddHBand="0" w:evenHBand="0" w:firstRowFirstColumn="0" w:firstRowLastColumn="0" w:lastRowFirstColumn="0" w:lastRowLastColumn="0"/>
            <w:tcW w:w="695" w:type="pct"/>
          </w:tcPr>
          <w:p w14:paraId="2DA4378C" w14:textId="77777777" w:rsidR="00B44672" w:rsidRDefault="00B44672" w:rsidP="00302865">
            <w:pPr>
              <w:pStyle w:val="Compact"/>
              <w:jc w:val="center"/>
            </w:pPr>
            <w:r>
              <w:t>0.60</w:t>
            </w:r>
          </w:p>
        </w:tc>
      </w:tr>
      <w:tr w:rsidR="00B44672" w14:paraId="5DA498E3"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1288D059" w14:textId="77777777" w:rsidR="00B44672" w:rsidRDefault="00B44672" w:rsidP="00302865">
            <w:pPr>
              <w:pStyle w:val="Compact"/>
            </w:pPr>
            <w:r>
              <w:t>Quint 3</w:t>
            </w:r>
          </w:p>
        </w:tc>
        <w:tc>
          <w:tcPr>
            <w:tcW w:w="596" w:type="pct"/>
          </w:tcPr>
          <w:p w14:paraId="25AD9B4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23,500</w:t>
            </w:r>
          </w:p>
        </w:tc>
        <w:tc>
          <w:tcPr>
            <w:tcW w:w="523" w:type="pct"/>
          </w:tcPr>
          <w:p w14:paraId="102BE94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1,890</w:t>
            </w:r>
          </w:p>
        </w:tc>
        <w:tc>
          <w:tcPr>
            <w:tcW w:w="526" w:type="pct"/>
          </w:tcPr>
          <w:p w14:paraId="7FA1693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1,506</w:t>
            </w:r>
          </w:p>
        </w:tc>
        <w:tc>
          <w:tcPr>
            <w:tcW w:w="396" w:type="pct"/>
          </w:tcPr>
          <w:p w14:paraId="6E4E38B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383</w:t>
            </w:r>
          </w:p>
        </w:tc>
        <w:tc>
          <w:tcPr>
            <w:tcW w:w="525" w:type="pct"/>
          </w:tcPr>
          <w:p w14:paraId="49E1FD1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2.34</w:t>
            </w:r>
          </w:p>
        </w:tc>
        <w:tc>
          <w:tcPr>
            <w:tcW w:w="486" w:type="pct"/>
          </w:tcPr>
          <w:p w14:paraId="7DB697D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1.86</w:t>
            </w:r>
          </w:p>
        </w:tc>
        <w:tc>
          <w:tcPr>
            <w:cnfStyle w:val="000100000000" w:firstRow="0" w:lastRow="0" w:firstColumn="0" w:lastColumn="1" w:oddVBand="0" w:evenVBand="0" w:oddHBand="0" w:evenHBand="0" w:firstRowFirstColumn="0" w:firstRowLastColumn="0" w:lastRowFirstColumn="0" w:lastRowLastColumn="0"/>
            <w:tcW w:w="695" w:type="pct"/>
          </w:tcPr>
          <w:p w14:paraId="60EC206B" w14:textId="77777777" w:rsidR="00B44672" w:rsidRDefault="00B44672" w:rsidP="00302865">
            <w:pPr>
              <w:pStyle w:val="Compact"/>
              <w:jc w:val="center"/>
            </w:pPr>
            <w:r>
              <w:t>0.47</w:t>
            </w:r>
          </w:p>
        </w:tc>
      </w:tr>
      <w:tr w:rsidR="00B44672" w14:paraId="3784A444"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53" w:type="pct"/>
          </w:tcPr>
          <w:p w14:paraId="0E8A2B83" w14:textId="77777777" w:rsidR="00B44672" w:rsidRDefault="00B44672" w:rsidP="00302865">
            <w:pPr>
              <w:pStyle w:val="Compact"/>
            </w:pPr>
            <w:r>
              <w:t>Quint 4</w:t>
            </w:r>
          </w:p>
        </w:tc>
        <w:tc>
          <w:tcPr>
            <w:tcW w:w="596" w:type="pct"/>
          </w:tcPr>
          <w:p w14:paraId="65B3FB6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23,819</w:t>
            </w:r>
          </w:p>
        </w:tc>
        <w:tc>
          <w:tcPr>
            <w:tcW w:w="523" w:type="pct"/>
          </w:tcPr>
          <w:p w14:paraId="44C0B52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2,337</w:t>
            </w:r>
          </w:p>
        </w:tc>
        <w:tc>
          <w:tcPr>
            <w:tcW w:w="526" w:type="pct"/>
          </w:tcPr>
          <w:p w14:paraId="2FF3448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1,836</w:t>
            </w:r>
          </w:p>
        </w:tc>
        <w:tc>
          <w:tcPr>
            <w:tcW w:w="396" w:type="pct"/>
          </w:tcPr>
          <w:p w14:paraId="2297FBC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501</w:t>
            </w:r>
          </w:p>
        </w:tc>
        <w:tc>
          <w:tcPr>
            <w:tcW w:w="525" w:type="pct"/>
          </w:tcPr>
          <w:p w14:paraId="3BA3D9B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2.13</w:t>
            </w:r>
          </w:p>
        </w:tc>
        <w:tc>
          <w:tcPr>
            <w:tcW w:w="486" w:type="pct"/>
          </w:tcPr>
          <w:p w14:paraId="17E5019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cnfStyle w:val="000100000000" w:firstRow="0" w:lastRow="0" w:firstColumn="0" w:lastColumn="1" w:oddVBand="0" w:evenVBand="0" w:oddHBand="0" w:evenHBand="0" w:firstRowFirstColumn="0" w:firstRowLastColumn="0" w:lastRowFirstColumn="0" w:lastRowLastColumn="0"/>
            <w:tcW w:w="695" w:type="pct"/>
          </w:tcPr>
          <w:p w14:paraId="477A3D0B" w14:textId="77777777" w:rsidR="00B44672" w:rsidRDefault="00B44672" w:rsidP="00302865">
            <w:pPr>
              <w:pStyle w:val="Compact"/>
              <w:jc w:val="center"/>
            </w:pPr>
            <w:r>
              <w:t>0.46</w:t>
            </w:r>
          </w:p>
        </w:tc>
      </w:tr>
      <w:tr w:rsidR="00B44672" w14:paraId="17B7CAE9" w14:textId="77777777" w:rsidTr="0030286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3" w:type="pct"/>
          </w:tcPr>
          <w:p w14:paraId="769E934D" w14:textId="77777777" w:rsidR="00B44672" w:rsidRDefault="00B44672" w:rsidP="00302865">
            <w:pPr>
              <w:pStyle w:val="Compact"/>
            </w:pPr>
            <w:r>
              <w:t>Quint 5</w:t>
            </w:r>
          </w:p>
        </w:tc>
        <w:tc>
          <w:tcPr>
            <w:tcW w:w="596" w:type="pct"/>
          </w:tcPr>
          <w:p w14:paraId="3C85DF91"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29,431</w:t>
            </w:r>
          </w:p>
        </w:tc>
        <w:tc>
          <w:tcPr>
            <w:tcW w:w="523" w:type="pct"/>
          </w:tcPr>
          <w:p w14:paraId="76DE9B68"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3,427</w:t>
            </w:r>
          </w:p>
        </w:tc>
        <w:tc>
          <w:tcPr>
            <w:tcW w:w="526" w:type="pct"/>
          </w:tcPr>
          <w:p w14:paraId="54FCEDE6"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2,441</w:t>
            </w:r>
          </w:p>
        </w:tc>
        <w:tc>
          <w:tcPr>
            <w:tcW w:w="396" w:type="pct"/>
          </w:tcPr>
          <w:p w14:paraId="063F79FC"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986</w:t>
            </w:r>
          </w:p>
        </w:tc>
        <w:tc>
          <w:tcPr>
            <w:tcW w:w="525" w:type="pct"/>
          </w:tcPr>
          <w:p w14:paraId="4C375B77"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2.17</w:t>
            </w:r>
          </w:p>
        </w:tc>
        <w:tc>
          <w:tcPr>
            <w:tcW w:w="486" w:type="pct"/>
          </w:tcPr>
          <w:p w14:paraId="02BCB070"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1.55</w:t>
            </w:r>
          </w:p>
        </w:tc>
        <w:tc>
          <w:tcPr>
            <w:cnfStyle w:val="000100000000" w:firstRow="0" w:lastRow="0" w:firstColumn="0" w:lastColumn="1" w:oddVBand="0" w:evenVBand="0" w:oddHBand="0" w:evenHBand="0" w:firstRowFirstColumn="0" w:firstRowLastColumn="0" w:lastRowFirstColumn="0" w:lastRowLastColumn="0"/>
            <w:tcW w:w="695" w:type="pct"/>
          </w:tcPr>
          <w:p w14:paraId="1BC961C0" w14:textId="77777777" w:rsidR="00B44672" w:rsidRDefault="00B44672" w:rsidP="00302865">
            <w:pPr>
              <w:pStyle w:val="Compact"/>
              <w:jc w:val="center"/>
            </w:pPr>
            <w:r>
              <w:t>0.63</w:t>
            </w:r>
          </w:p>
        </w:tc>
      </w:tr>
    </w:tbl>
    <w:p w14:paraId="00F0140E"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153E1489" w14:textId="77777777" w:rsidR="00B44672" w:rsidRDefault="00B44672">
      <w:pPr>
        <w:jc w:val="left"/>
        <w:rPr>
          <w:b/>
        </w:rPr>
      </w:pPr>
      <w:r>
        <w:rPr>
          <w:b/>
        </w:rPr>
        <w:br w:type="page"/>
      </w:r>
    </w:p>
    <w:p w14:paraId="09A68F23" w14:textId="77777777" w:rsidR="00B44672" w:rsidRDefault="00B44672" w:rsidP="00C83581">
      <w:pPr>
        <w:pStyle w:val="FirstParagraph"/>
      </w:pPr>
      <w:r>
        <w:rPr>
          <w:b/>
        </w:rPr>
        <w:lastRenderedPageBreak/>
        <w:t>Stamp duty and rate payment distribution</w:t>
      </w:r>
    </w:p>
    <w:p w14:paraId="55CDD5A4" w14:textId="77777777" w:rsidR="00B44672" w:rsidRDefault="00B44672" w:rsidP="00C83581">
      <w:pPr>
        <w:pStyle w:val="TableCaption"/>
      </w:pPr>
      <w:r>
        <w:t>Table 17 - The impact of tax reform on the stamp duty and general rate distribution by income quintile, average 2012 - 2018</w:t>
      </w:r>
    </w:p>
    <w:tbl>
      <w:tblPr>
        <w:tblStyle w:val="Table"/>
        <w:tblW w:w="5038" w:type="pct"/>
        <w:jc w:val="center"/>
        <w:tblCellMar>
          <w:left w:w="0" w:type="dxa"/>
          <w:right w:w="0" w:type="dxa"/>
        </w:tblCellMar>
        <w:tblLook w:val="07E0" w:firstRow="1" w:lastRow="1" w:firstColumn="1" w:lastColumn="1" w:noHBand="1" w:noVBand="1"/>
        <w:tblCaption w:val="Table 17 - The impact of tax reform on the stamp duty and general rate distribution by income quintile, average 2012 - 2018"/>
      </w:tblPr>
      <w:tblGrid>
        <w:gridCol w:w="2736"/>
        <w:gridCol w:w="2459"/>
        <w:gridCol w:w="2598"/>
        <w:gridCol w:w="1302"/>
      </w:tblGrid>
      <w:tr w:rsidR="00B44672" w14:paraId="4C5A0C62" w14:textId="77777777" w:rsidTr="003028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4" w:type="pct"/>
            <w:tcBorders>
              <w:bottom w:val="single" w:sz="0" w:space="0" w:color="auto"/>
            </w:tcBorders>
            <w:vAlign w:val="bottom"/>
          </w:tcPr>
          <w:p w14:paraId="5489E54F" w14:textId="77777777" w:rsidR="00B44672" w:rsidRDefault="00B44672" w:rsidP="000511CA"/>
        </w:tc>
        <w:tc>
          <w:tcPr>
            <w:tcW w:w="1352" w:type="pct"/>
            <w:tcBorders>
              <w:bottom w:val="single" w:sz="0" w:space="0" w:color="auto"/>
            </w:tcBorders>
            <w:vAlign w:val="bottom"/>
          </w:tcPr>
          <w:p w14:paraId="492ED912"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w:t>
            </w:r>
          </w:p>
        </w:tc>
        <w:tc>
          <w:tcPr>
            <w:tcW w:w="1428" w:type="pct"/>
            <w:tcBorders>
              <w:bottom w:val="single" w:sz="0" w:space="0" w:color="auto"/>
            </w:tcBorders>
            <w:vAlign w:val="bottom"/>
          </w:tcPr>
          <w:p w14:paraId="254A6B6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w:t>
            </w:r>
          </w:p>
        </w:tc>
        <w:tc>
          <w:tcPr>
            <w:cnfStyle w:val="000100000000" w:firstRow="0" w:lastRow="0" w:firstColumn="0" w:lastColumn="1" w:oddVBand="0" w:evenVBand="0" w:oddHBand="0" w:evenHBand="0" w:firstRowFirstColumn="0" w:firstRowLastColumn="0" w:lastRowFirstColumn="0" w:lastRowLastColumn="0"/>
            <w:tcW w:w="716" w:type="pct"/>
            <w:tcBorders>
              <w:bottom w:val="single" w:sz="0" w:space="0" w:color="auto"/>
            </w:tcBorders>
            <w:vAlign w:val="bottom"/>
          </w:tcPr>
          <w:p w14:paraId="3307C695" w14:textId="77777777" w:rsidR="00B44672" w:rsidRDefault="00B44672" w:rsidP="000511CA">
            <w:pPr>
              <w:pStyle w:val="Compact"/>
              <w:jc w:val="center"/>
            </w:pPr>
            <w:r>
              <w:t>Diff (% point)</w:t>
            </w:r>
          </w:p>
        </w:tc>
      </w:tr>
      <w:tr w:rsidR="00B44672" w14:paraId="60CB9D0F"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3599E5AB" w14:textId="77777777" w:rsidR="00B44672" w:rsidRDefault="00B44672" w:rsidP="00CB6E83">
            <w:pPr>
              <w:pStyle w:val="Compact"/>
            </w:pPr>
            <w:r w:rsidRPr="00AF6491">
              <w:rPr>
                <w:b/>
                <w:i/>
                <w:iCs/>
                <w:color w:val="365F91" w:themeColor="accent1" w:themeShade="BF"/>
              </w:rPr>
              <w:t>No price change</w:t>
            </w:r>
          </w:p>
        </w:tc>
        <w:tc>
          <w:tcPr>
            <w:tcW w:w="1352" w:type="pct"/>
          </w:tcPr>
          <w:p w14:paraId="6C0C915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1428" w:type="pct"/>
          </w:tcPr>
          <w:p w14:paraId="39305D4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16" w:type="pct"/>
          </w:tcPr>
          <w:p w14:paraId="0F76EF6B" w14:textId="77777777" w:rsidR="00B44672" w:rsidRDefault="00B44672" w:rsidP="00CB6E83">
            <w:pPr>
              <w:pStyle w:val="Compact"/>
              <w:jc w:val="center"/>
            </w:pPr>
          </w:p>
        </w:tc>
      </w:tr>
      <w:tr w:rsidR="00B44672" w14:paraId="3FACDA6E"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7E552355" w14:textId="77777777" w:rsidR="00B44672" w:rsidRDefault="00B44672" w:rsidP="00CB6E83">
            <w:pPr>
              <w:pStyle w:val="Compact"/>
            </w:pPr>
            <w:r>
              <w:t>Quint 1</w:t>
            </w:r>
          </w:p>
        </w:tc>
        <w:tc>
          <w:tcPr>
            <w:tcW w:w="1352" w:type="pct"/>
          </w:tcPr>
          <w:p w14:paraId="233980B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5.66</w:t>
            </w:r>
          </w:p>
        </w:tc>
        <w:tc>
          <w:tcPr>
            <w:tcW w:w="1428" w:type="pct"/>
          </w:tcPr>
          <w:p w14:paraId="700CE57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5.05</w:t>
            </w:r>
          </w:p>
        </w:tc>
        <w:tc>
          <w:tcPr>
            <w:cnfStyle w:val="000100000000" w:firstRow="0" w:lastRow="0" w:firstColumn="0" w:lastColumn="1" w:oddVBand="0" w:evenVBand="0" w:oddHBand="0" w:evenHBand="0" w:firstRowFirstColumn="0" w:firstRowLastColumn="0" w:lastRowFirstColumn="0" w:lastRowLastColumn="0"/>
            <w:tcW w:w="716" w:type="pct"/>
          </w:tcPr>
          <w:p w14:paraId="39CB19E3" w14:textId="77777777" w:rsidR="00B44672" w:rsidRDefault="00B44672" w:rsidP="00CB6E83">
            <w:pPr>
              <w:pStyle w:val="Compact"/>
              <w:jc w:val="center"/>
            </w:pPr>
            <w:r>
              <w:t>0.61</w:t>
            </w:r>
          </w:p>
        </w:tc>
      </w:tr>
      <w:tr w:rsidR="00B44672" w14:paraId="1B8BB74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654473F1" w14:textId="77777777" w:rsidR="00B44672" w:rsidRDefault="00B44672" w:rsidP="00CB6E83">
            <w:pPr>
              <w:pStyle w:val="Compact"/>
            </w:pPr>
            <w:r>
              <w:t>Quint 2</w:t>
            </w:r>
          </w:p>
        </w:tc>
        <w:tc>
          <w:tcPr>
            <w:tcW w:w="1352" w:type="pct"/>
          </w:tcPr>
          <w:p w14:paraId="0E20D76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10.26</w:t>
            </w:r>
          </w:p>
        </w:tc>
        <w:tc>
          <w:tcPr>
            <w:tcW w:w="1428" w:type="pct"/>
          </w:tcPr>
          <w:p w14:paraId="1CF4E8C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10.06</w:t>
            </w:r>
          </w:p>
        </w:tc>
        <w:tc>
          <w:tcPr>
            <w:cnfStyle w:val="000100000000" w:firstRow="0" w:lastRow="0" w:firstColumn="0" w:lastColumn="1" w:oddVBand="0" w:evenVBand="0" w:oddHBand="0" w:evenHBand="0" w:firstRowFirstColumn="0" w:firstRowLastColumn="0" w:lastRowFirstColumn="0" w:lastRowLastColumn="0"/>
            <w:tcW w:w="716" w:type="pct"/>
          </w:tcPr>
          <w:p w14:paraId="7A9404DE" w14:textId="77777777" w:rsidR="00B44672" w:rsidRDefault="00B44672" w:rsidP="00CB6E83">
            <w:pPr>
              <w:pStyle w:val="Compact"/>
              <w:jc w:val="center"/>
            </w:pPr>
            <w:r>
              <w:t>0.19</w:t>
            </w:r>
          </w:p>
        </w:tc>
      </w:tr>
      <w:tr w:rsidR="00B44672" w14:paraId="1480608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5A02F7BB" w14:textId="77777777" w:rsidR="00B44672" w:rsidRDefault="00B44672" w:rsidP="00CB6E83">
            <w:pPr>
              <w:pStyle w:val="Compact"/>
            </w:pPr>
            <w:r>
              <w:t>Quint 3</w:t>
            </w:r>
          </w:p>
        </w:tc>
        <w:tc>
          <w:tcPr>
            <w:tcW w:w="1352" w:type="pct"/>
          </w:tcPr>
          <w:p w14:paraId="3EE6B21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19.89</w:t>
            </w:r>
          </w:p>
        </w:tc>
        <w:tc>
          <w:tcPr>
            <w:tcW w:w="1428" w:type="pct"/>
          </w:tcPr>
          <w:p w14:paraId="334A676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21.28</w:t>
            </w:r>
          </w:p>
        </w:tc>
        <w:tc>
          <w:tcPr>
            <w:cnfStyle w:val="000100000000" w:firstRow="0" w:lastRow="0" w:firstColumn="0" w:lastColumn="1" w:oddVBand="0" w:evenVBand="0" w:oddHBand="0" w:evenHBand="0" w:firstRowFirstColumn="0" w:firstRowLastColumn="0" w:lastRowFirstColumn="0" w:lastRowLastColumn="0"/>
            <w:tcW w:w="716" w:type="pct"/>
          </w:tcPr>
          <w:p w14:paraId="486CE455" w14:textId="77777777" w:rsidR="00B44672" w:rsidRDefault="00B44672" w:rsidP="00CB6E83">
            <w:pPr>
              <w:pStyle w:val="Compact"/>
              <w:jc w:val="center"/>
            </w:pPr>
            <w:r>
              <w:t>-1.39</w:t>
            </w:r>
          </w:p>
        </w:tc>
      </w:tr>
      <w:tr w:rsidR="00B44672" w14:paraId="715A5612"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1C03F81B" w14:textId="77777777" w:rsidR="00B44672" w:rsidRDefault="00B44672" w:rsidP="00CB6E83">
            <w:pPr>
              <w:pStyle w:val="Compact"/>
            </w:pPr>
            <w:r>
              <w:t>Quint 4</w:t>
            </w:r>
          </w:p>
        </w:tc>
        <w:tc>
          <w:tcPr>
            <w:tcW w:w="1352" w:type="pct"/>
          </w:tcPr>
          <w:p w14:paraId="5F51EE3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24.66</w:t>
            </w:r>
          </w:p>
        </w:tc>
        <w:tc>
          <w:tcPr>
            <w:tcW w:w="1428" w:type="pct"/>
          </w:tcPr>
          <w:p w14:paraId="652C759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25.54</w:t>
            </w:r>
          </w:p>
        </w:tc>
        <w:tc>
          <w:tcPr>
            <w:cnfStyle w:val="000100000000" w:firstRow="0" w:lastRow="0" w:firstColumn="0" w:lastColumn="1" w:oddVBand="0" w:evenVBand="0" w:oddHBand="0" w:evenHBand="0" w:firstRowFirstColumn="0" w:firstRowLastColumn="0" w:lastRowFirstColumn="0" w:lastRowLastColumn="0"/>
            <w:tcW w:w="716" w:type="pct"/>
          </w:tcPr>
          <w:p w14:paraId="75A90CBB" w14:textId="77777777" w:rsidR="00B44672" w:rsidRDefault="00B44672" w:rsidP="00CB6E83">
            <w:pPr>
              <w:pStyle w:val="Compact"/>
              <w:jc w:val="center"/>
            </w:pPr>
            <w:r>
              <w:t>-0.88</w:t>
            </w:r>
          </w:p>
        </w:tc>
      </w:tr>
      <w:tr w:rsidR="00B44672" w14:paraId="4D226E7C"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31A4DF5C" w14:textId="77777777" w:rsidR="00B44672" w:rsidRDefault="00B44672" w:rsidP="00CB6E83">
            <w:pPr>
              <w:pStyle w:val="Compact"/>
            </w:pPr>
            <w:r>
              <w:t>Quint 5</w:t>
            </w:r>
          </w:p>
        </w:tc>
        <w:tc>
          <w:tcPr>
            <w:tcW w:w="1352" w:type="pct"/>
          </w:tcPr>
          <w:p w14:paraId="1D1998C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39.54</w:t>
            </w:r>
          </w:p>
        </w:tc>
        <w:tc>
          <w:tcPr>
            <w:tcW w:w="1428" w:type="pct"/>
          </w:tcPr>
          <w:p w14:paraId="7A06C14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38.07</w:t>
            </w:r>
          </w:p>
        </w:tc>
        <w:tc>
          <w:tcPr>
            <w:cnfStyle w:val="000100000000" w:firstRow="0" w:lastRow="0" w:firstColumn="0" w:lastColumn="1" w:oddVBand="0" w:evenVBand="0" w:oddHBand="0" w:evenHBand="0" w:firstRowFirstColumn="0" w:firstRowLastColumn="0" w:lastRowFirstColumn="0" w:lastRowLastColumn="0"/>
            <w:tcW w:w="716" w:type="pct"/>
          </w:tcPr>
          <w:p w14:paraId="70321A28" w14:textId="77777777" w:rsidR="00B44672" w:rsidRDefault="00B44672" w:rsidP="00CB6E83">
            <w:pPr>
              <w:pStyle w:val="Compact"/>
              <w:jc w:val="center"/>
            </w:pPr>
            <w:r>
              <w:t>1.47</w:t>
            </w:r>
          </w:p>
        </w:tc>
      </w:tr>
      <w:tr w:rsidR="00B44672" w14:paraId="77756339"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3CF571ED"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1352" w:type="pct"/>
          </w:tcPr>
          <w:p w14:paraId="2F2053A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1428" w:type="pct"/>
          </w:tcPr>
          <w:p w14:paraId="0635531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16" w:type="pct"/>
          </w:tcPr>
          <w:p w14:paraId="46C10F51" w14:textId="77777777" w:rsidR="00B44672" w:rsidRDefault="00B44672" w:rsidP="00A567C4">
            <w:pPr>
              <w:pStyle w:val="Compact"/>
              <w:jc w:val="center"/>
            </w:pPr>
          </w:p>
        </w:tc>
      </w:tr>
      <w:tr w:rsidR="00B44672" w14:paraId="7E86A3FF"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6D6C88E0" w14:textId="77777777" w:rsidR="00B44672" w:rsidRDefault="00B44672" w:rsidP="00A567C4">
            <w:pPr>
              <w:pStyle w:val="Compact"/>
            </w:pPr>
            <w:r>
              <w:t>Quint 1</w:t>
            </w:r>
          </w:p>
        </w:tc>
        <w:tc>
          <w:tcPr>
            <w:tcW w:w="1352" w:type="pct"/>
          </w:tcPr>
          <w:p w14:paraId="77CBED4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5.66</w:t>
            </w:r>
          </w:p>
        </w:tc>
        <w:tc>
          <w:tcPr>
            <w:tcW w:w="1428" w:type="pct"/>
          </w:tcPr>
          <w:p w14:paraId="655B09B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5.06</w:t>
            </w:r>
          </w:p>
        </w:tc>
        <w:tc>
          <w:tcPr>
            <w:cnfStyle w:val="000100000000" w:firstRow="0" w:lastRow="0" w:firstColumn="0" w:lastColumn="1" w:oddVBand="0" w:evenVBand="0" w:oddHBand="0" w:evenHBand="0" w:firstRowFirstColumn="0" w:firstRowLastColumn="0" w:lastRowFirstColumn="0" w:lastRowLastColumn="0"/>
            <w:tcW w:w="716" w:type="pct"/>
          </w:tcPr>
          <w:p w14:paraId="7090CFF3" w14:textId="77777777" w:rsidR="00B44672" w:rsidRDefault="00B44672" w:rsidP="00A567C4">
            <w:pPr>
              <w:pStyle w:val="Compact"/>
              <w:jc w:val="center"/>
            </w:pPr>
            <w:r>
              <w:t>0.60</w:t>
            </w:r>
          </w:p>
        </w:tc>
      </w:tr>
      <w:tr w:rsidR="00B44672" w14:paraId="4B908F6B"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0E4E5E42" w14:textId="77777777" w:rsidR="00B44672" w:rsidRDefault="00B44672" w:rsidP="00A567C4">
            <w:pPr>
              <w:pStyle w:val="Compact"/>
            </w:pPr>
            <w:r>
              <w:t>Quint 2</w:t>
            </w:r>
          </w:p>
        </w:tc>
        <w:tc>
          <w:tcPr>
            <w:tcW w:w="1352" w:type="pct"/>
          </w:tcPr>
          <w:p w14:paraId="6F82BDC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10.26</w:t>
            </w:r>
          </w:p>
        </w:tc>
        <w:tc>
          <w:tcPr>
            <w:tcW w:w="1428" w:type="pct"/>
          </w:tcPr>
          <w:p w14:paraId="05B65C4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10.11</w:t>
            </w:r>
          </w:p>
        </w:tc>
        <w:tc>
          <w:tcPr>
            <w:cnfStyle w:val="000100000000" w:firstRow="0" w:lastRow="0" w:firstColumn="0" w:lastColumn="1" w:oddVBand="0" w:evenVBand="0" w:oddHBand="0" w:evenHBand="0" w:firstRowFirstColumn="0" w:firstRowLastColumn="0" w:lastRowFirstColumn="0" w:lastRowLastColumn="0"/>
            <w:tcW w:w="716" w:type="pct"/>
          </w:tcPr>
          <w:p w14:paraId="3FFF98AA" w14:textId="77777777" w:rsidR="00B44672" w:rsidRDefault="00B44672" w:rsidP="00A567C4">
            <w:pPr>
              <w:pStyle w:val="Compact"/>
              <w:jc w:val="center"/>
            </w:pPr>
            <w:r>
              <w:t>0.15</w:t>
            </w:r>
          </w:p>
        </w:tc>
      </w:tr>
      <w:tr w:rsidR="00B44672" w14:paraId="2011C1C0"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03DAD7AA" w14:textId="77777777" w:rsidR="00B44672" w:rsidRDefault="00B44672" w:rsidP="00A567C4">
            <w:pPr>
              <w:pStyle w:val="Compact"/>
            </w:pPr>
            <w:r>
              <w:t>Quint 3</w:t>
            </w:r>
          </w:p>
        </w:tc>
        <w:tc>
          <w:tcPr>
            <w:tcW w:w="1352" w:type="pct"/>
          </w:tcPr>
          <w:p w14:paraId="7D90356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19.89</w:t>
            </w:r>
          </w:p>
        </w:tc>
        <w:tc>
          <w:tcPr>
            <w:tcW w:w="1428" w:type="pct"/>
          </w:tcPr>
          <w:p w14:paraId="205E77E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21.26</w:t>
            </w:r>
          </w:p>
        </w:tc>
        <w:tc>
          <w:tcPr>
            <w:cnfStyle w:val="000100000000" w:firstRow="0" w:lastRow="0" w:firstColumn="0" w:lastColumn="1" w:oddVBand="0" w:evenVBand="0" w:oddHBand="0" w:evenHBand="0" w:firstRowFirstColumn="0" w:firstRowLastColumn="0" w:lastRowFirstColumn="0" w:lastRowLastColumn="0"/>
            <w:tcW w:w="716" w:type="pct"/>
          </w:tcPr>
          <w:p w14:paraId="632BBD80" w14:textId="77777777" w:rsidR="00B44672" w:rsidRDefault="00B44672" w:rsidP="00A567C4">
            <w:pPr>
              <w:pStyle w:val="Compact"/>
              <w:jc w:val="center"/>
            </w:pPr>
            <w:r>
              <w:t>-1.37</w:t>
            </w:r>
          </w:p>
        </w:tc>
      </w:tr>
      <w:tr w:rsidR="00B44672" w14:paraId="1B9922EE"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6442ABF4" w14:textId="77777777" w:rsidR="00B44672" w:rsidRDefault="00B44672" w:rsidP="00A567C4">
            <w:pPr>
              <w:pStyle w:val="Compact"/>
            </w:pPr>
            <w:r>
              <w:t>Quint 4</w:t>
            </w:r>
          </w:p>
        </w:tc>
        <w:tc>
          <w:tcPr>
            <w:tcW w:w="1352" w:type="pct"/>
          </w:tcPr>
          <w:p w14:paraId="6CCB9B3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24.66</w:t>
            </w:r>
          </w:p>
        </w:tc>
        <w:tc>
          <w:tcPr>
            <w:tcW w:w="1428" w:type="pct"/>
          </w:tcPr>
          <w:p w14:paraId="5A0F46B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25.52</w:t>
            </w:r>
          </w:p>
        </w:tc>
        <w:tc>
          <w:tcPr>
            <w:cnfStyle w:val="000100000000" w:firstRow="0" w:lastRow="0" w:firstColumn="0" w:lastColumn="1" w:oddVBand="0" w:evenVBand="0" w:oddHBand="0" w:evenHBand="0" w:firstRowFirstColumn="0" w:firstRowLastColumn="0" w:lastRowFirstColumn="0" w:lastRowLastColumn="0"/>
            <w:tcW w:w="716" w:type="pct"/>
          </w:tcPr>
          <w:p w14:paraId="1718559D" w14:textId="77777777" w:rsidR="00B44672" w:rsidRDefault="00B44672" w:rsidP="00A567C4">
            <w:pPr>
              <w:pStyle w:val="Compact"/>
              <w:jc w:val="center"/>
            </w:pPr>
            <w:r>
              <w:t>-0.86</w:t>
            </w:r>
          </w:p>
        </w:tc>
      </w:tr>
      <w:tr w:rsidR="00B44672" w14:paraId="4FE48105"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5CDDD575" w14:textId="77777777" w:rsidR="00B44672" w:rsidRDefault="00B44672" w:rsidP="00A567C4">
            <w:pPr>
              <w:pStyle w:val="Compact"/>
            </w:pPr>
            <w:r>
              <w:t>Quint 5</w:t>
            </w:r>
          </w:p>
        </w:tc>
        <w:tc>
          <w:tcPr>
            <w:tcW w:w="1352" w:type="pct"/>
          </w:tcPr>
          <w:p w14:paraId="4552D0E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39.54</w:t>
            </w:r>
          </w:p>
        </w:tc>
        <w:tc>
          <w:tcPr>
            <w:tcW w:w="1428" w:type="pct"/>
          </w:tcPr>
          <w:p w14:paraId="1525213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38.05</w:t>
            </w:r>
          </w:p>
        </w:tc>
        <w:tc>
          <w:tcPr>
            <w:cnfStyle w:val="000100000000" w:firstRow="0" w:lastRow="0" w:firstColumn="0" w:lastColumn="1" w:oddVBand="0" w:evenVBand="0" w:oddHBand="0" w:evenHBand="0" w:firstRowFirstColumn="0" w:firstRowLastColumn="0" w:lastRowFirstColumn="0" w:lastRowLastColumn="0"/>
            <w:tcW w:w="716" w:type="pct"/>
          </w:tcPr>
          <w:p w14:paraId="4C78C32D" w14:textId="77777777" w:rsidR="00B44672" w:rsidRDefault="00B44672" w:rsidP="00A567C4">
            <w:pPr>
              <w:pStyle w:val="Compact"/>
              <w:jc w:val="center"/>
            </w:pPr>
            <w:r>
              <w:t>1.49</w:t>
            </w:r>
          </w:p>
        </w:tc>
      </w:tr>
      <w:tr w:rsidR="00B44672" w14:paraId="2730582D"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0C367755" w14:textId="77777777" w:rsidR="00B44672" w:rsidRDefault="00B44672" w:rsidP="00302865">
            <w:pPr>
              <w:pStyle w:val="Compact"/>
            </w:pPr>
            <w:r w:rsidRPr="00113FC1">
              <w:rPr>
                <w:b/>
                <w:i/>
                <w:iCs/>
                <w:color w:val="365F91" w:themeColor="accent1" w:themeShade="BF"/>
              </w:rPr>
              <w:t>1.24 – 2.19% price change</w:t>
            </w:r>
          </w:p>
        </w:tc>
        <w:tc>
          <w:tcPr>
            <w:tcW w:w="1352" w:type="pct"/>
          </w:tcPr>
          <w:p w14:paraId="208CBB8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1428" w:type="pct"/>
          </w:tcPr>
          <w:p w14:paraId="520377C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16" w:type="pct"/>
          </w:tcPr>
          <w:p w14:paraId="6A179EB4" w14:textId="77777777" w:rsidR="00B44672" w:rsidRDefault="00B44672" w:rsidP="00302865">
            <w:pPr>
              <w:pStyle w:val="Compact"/>
              <w:jc w:val="center"/>
            </w:pPr>
          </w:p>
        </w:tc>
      </w:tr>
      <w:tr w:rsidR="00B44672" w14:paraId="3D1F14DB"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04B388B3" w14:textId="77777777" w:rsidR="00B44672" w:rsidRDefault="00B44672" w:rsidP="00302865">
            <w:pPr>
              <w:pStyle w:val="Compact"/>
            </w:pPr>
            <w:r>
              <w:t>Quint 1</w:t>
            </w:r>
          </w:p>
        </w:tc>
        <w:tc>
          <w:tcPr>
            <w:tcW w:w="1352" w:type="pct"/>
          </w:tcPr>
          <w:p w14:paraId="768FE00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5.66</w:t>
            </w:r>
          </w:p>
        </w:tc>
        <w:tc>
          <w:tcPr>
            <w:tcW w:w="1428" w:type="pct"/>
          </w:tcPr>
          <w:p w14:paraId="0892D58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5.07</w:t>
            </w:r>
          </w:p>
        </w:tc>
        <w:tc>
          <w:tcPr>
            <w:cnfStyle w:val="000100000000" w:firstRow="0" w:lastRow="0" w:firstColumn="0" w:lastColumn="1" w:oddVBand="0" w:evenVBand="0" w:oddHBand="0" w:evenHBand="0" w:firstRowFirstColumn="0" w:firstRowLastColumn="0" w:lastRowFirstColumn="0" w:lastRowLastColumn="0"/>
            <w:tcW w:w="716" w:type="pct"/>
          </w:tcPr>
          <w:p w14:paraId="04153857" w14:textId="77777777" w:rsidR="00B44672" w:rsidRDefault="00B44672" w:rsidP="00302865">
            <w:pPr>
              <w:pStyle w:val="Compact"/>
              <w:jc w:val="center"/>
            </w:pPr>
            <w:r>
              <w:t>0.59</w:t>
            </w:r>
          </w:p>
        </w:tc>
      </w:tr>
      <w:tr w:rsidR="00B44672" w14:paraId="733DF081"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6C6FF8B0" w14:textId="77777777" w:rsidR="00B44672" w:rsidRDefault="00B44672" w:rsidP="00302865">
            <w:pPr>
              <w:pStyle w:val="Compact"/>
            </w:pPr>
            <w:r>
              <w:t>Quint 2</w:t>
            </w:r>
          </w:p>
        </w:tc>
        <w:tc>
          <w:tcPr>
            <w:tcW w:w="1352" w:type="pct"/>
          </w:tcPr>
          <w:p w14:paraId="1EA45DB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10.26</w:t>
            </w:r>
          </w:p>
        </w:tc>
        <w:tc>
          <w:tcPr>
            <w:tcW w:w="1428" w:type="pct"/>
          </w:tcPr>
          <w:p w14:paraId="22AB1C8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10.17</w:t>
            </w:r>
          </w:p>
        </w:tc>
        <w:tc>
          <w:tcPr>
            <w:cnfStyle w:val="000100000000" w:firstRow="0" w:lastRow="0" w:firstColumn="0" w:lastColumn="1" w:oddVBand="0" w:evenVBand="0" w:oddHBand="0" w:evenHBand="0" w:firstRowFirstColumn="0" w:firstRowLastColumn="0" w:lastRowFirstColumn="0" w:lastRowLastColumn="0"/>
            <w:tcW w:w="716" w:type="pct"/>
          </w:tcPr>
          <w:p w14:paraId="1973317B" w14:textId="77777777" w:rsidR="00B44672" w:rsidRDefault="00B44672" w:rsidP="00302865">
            <w:pPr>
              <w:pStyle w:val="Compact"/>
              <w:jc w:val="center"/>
            </w:pPr>
            <w:r>
              <w:t>0.09</w:t>
            </w:r>
          </w:p>
        </w:tc>
      </w:tr>
      <w:tr w:rsidR="00B44672" w14:paraId="17632E4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2A40873D" w14:textId="77777777" w:rsidR="00B44672" w:rsidRDefault="00B44672" w:rsidP="00302865">
            <w:pPr>
              <w:pStyle w:val="Compact"/>
            </w:pPr>
            <w:r>
              <w:t>Quint 3</w:t>
            </w:r>
          </w:p>
        </w:tc>
        <w:tc>
          <w:tcPr>
            <w:tcW w:w="1352" w:type="pct"/>
          </w:tcPr>
          <w:p w14:paraId="08910B1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19.89</w:t>
            </w:r>
          </w:p>
        </w:tc>
        <w:tc>
          <w:tcPr>
            <w:tcW w:w="1428" w:type="pct"/>
          </w:tcPr>
          <w:p w14:paraId="3F63930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21.23</w:t>
            </w:r>
          </w:p>
        </w:tc>
        <w:tc>
          <w:tcPr>
            <w:cnfStyle w:val="000100000000" w:firstRow="0" w:lastRow="0" w:firstColumn="0" w:lastColumn="1" w:oddVBand="0" w:evenVBand="0" w:oddHBand="0" w:evenHBand="0" w:firstRowFirstColumn="0" w:firstRowLastColumn="0" w:lastRowFirstColumn="0" w:lastRowLastColumn="0"/>
            <w:tcW w:w="716" w:type="pct"/>
          </w:tcPr>
          <w:p w14:paraId="6A0D32CF" w14:textId="77777777" w:rsidR="00B44672" w:rsidRDefault="00B44672" w:rsidP="00302865">
            <w:pPr>
              <w:pStyle w:val="Compact"/>
              <w:jc w:val="center"/>
            </w:pPr>
            <w:r>
              <w:t>-1.34</w:t>
            </w:r>
          </w:p>
        </w:tc>
      </w:tr>
      <w:tr w:rsidR="00B44672" w14:paraId="7C028FC3"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504" w:type="pct"/>
          </w:tcPr>
          <w:p w14:paraId="52F33607" w14:textId="77777777" w:rsidR="00B44672" w:rsidRDefault="00B44672" w:rsidP="00302865">
            <w:pPr>
              <w:pStyle w:val="Compact"/>
            </w:pPr>
            <w:r>
              <w:t>Quint 4</w:t>
            </w:r>
          </w:p>
        </w:tc>
        <w:tc>
          <w:tcPr>
            <w:tcW w:w="1352" w:type="pct"/>
          </w:tcPr>
          <w:p w14:paraId="576C9B6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24.66</w:t>
            </w:r>
          </w:p>
        </w:tc>
        <w:tc>
          <w:tcPr>
            <w:tcW w:w="1428" w:type="pct"/>
          </w:tcPr>
          <w:p w14:paraId="7C91ED9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25.49</w:t>
            </w:r>
          </w:p>
        </w:tc>
        <w:tc>
          <w:tcPr>
            <w:cnfStyle w:val="000100000000" w:firstRow="0" w:lastRow="0" w:firstColumn="0" w:lastColumn="1" w:oddVBand="0" w:evenVBand="0" w:oddHBand="0" w:evenHBand="0" w:firstRowFirstColumn="0" w:firstRowLastColumn="0" w:lastRowFirstColumn="0" w:lastRowLastColumn="0"/>
            <w:tcW w:w="716" w:type="pct"/>
          </w:tcPr>
          <w:p w14:paraId="0553D442" w14:textId="77777777" w:rsidR="00B44672" w:rsidRDefault="00B44672" w:rsidP="00302865">
            <w:pPr>
              <w:pStyle w:val="Compact"/>
              <w:jc w:val="center"/>
            </w:pPr>
            <w:r>
              <w:t>-0.83</w:t>
            </w:r>
          </w:p>
        </w:tc>
      </w:tr>
      <w:tr w:rsidR="00B44672" w14:paraId="1B0EEA66" w14:textId="77777777" w:rsidTr="0030286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4" w:type="pct"/>
          </w:tcPr>
          <w:p w14:paraId="095216FE" w14:textId="77777777" w:rsidR="00B44672" w:rsidRDefault="00B44672" w:rsidP="00302865">
            <w:pPr>
              <w:pStyle w:val="Compact"/>
            </w:pPr>
            <w:r>
              <w:t>Quint 5</w:t>
            </w:r>
          </w:p>
        </w:tc>
        <w:tc>
          <w:tcPr>
            <w:tcW w:w="1352" w:type="pct"/>
          </w:tcPr>
          <w:p w14:paraId="2D48B829"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39.54</w:t>
            </w:r>
          </w:p>
        </w:tc>
        <w:tc>
          <w:tcPr>
            <w:tcW w:w="1428" w:type="pct"/>
          </w:tcPr>
          <w:p w14:paraId="59CDC4F9"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38.04</w:t>
            </w:r>
          </w:p>
        </w:tc>
        <w:tc>
          <w:tcPr>
            <w:cnfStyle w:val="000100000000" w:firstRow="0" w:lastRow="0" w:firstColumn="0" w:lastColumn="1" w:oddVBand="0" w:evenVBand="0" w:oddHBand="0" w:evenHBand="0" w:firstRowFirstColumn="0" w:firstRowLastColumn="0" w:lastRowFirstColumn="0" w:lastRowLastColumn="0"/>
            <w:tcW w:w="716" w:type="pct"/>
          </w:tcPr>
          <w:p w14:paraId="460A7A9E" w14:textId="77777777" w:rsidR="00B44672" w:rsidRDefault="00B44672" w:rsidP="00302865">
            <w:pPr>
              <w:pStyle w:val="Compact"/>
              <w:jc w:val="center"/>
            </w:pPr>
            <w:r>
              <w:t>1.49</w:t>
            </w:r>
          </w:p>
        </w:tc>
      </w:tr>
    </w:tbl>
    <w:p w14:paraId="26430D38" w14:textId="77777777" w:rsidR="00B44672" w:rsidRDefault="00B44672" w:rsidP="0030459E">
      <w:pPr>
        <w:pStyle w:val="BlockText"/>
      </w:pPr>
      <w:r>
        <w:rPr>
          <w:i/>
        </w:rPr>
        <w:t>Source:</w:t>
      </w:r>
      <w:r>
        <w:t xml:space="preserve"> Calculations from NATSEM microsimulation model.</w:t>
      </w:r>
      <w:r>
        <w:br/>
      </w:r>
      <w:r>
        <w:rPr>
          <w:i/>
        </w:rPr>
        <w:t>Note:</w:t>
      </w:r>
      <w:r>
        <w:t xml:space="preserve"> </w:t>
      </w:r>
      <w:bookmarkStart w:id="126" w:name="_Hlk39236531"/>
      <w:r>
        <w:t>(</w:t>
      </w:r>
      <w:proofErr w:type="spellStart"/>
      <w:r>
        <w:t>i</w:t>
      </w:r>
      <w:proofErr w:type="spellEnd"/>
      <w:r>
        <w:t xml:space="preserve">) The % is the percent of total stamp duty and rates paid by all the income units who paid stamp duty and/or rates in each income quintile. It will sum to 100 across all income quintiles; (ii) Diff means the difference between the new and old tax policies. </w:t>
      </w:r>
    </w:p>
    <w:bookmarkEnd w:id="126"/>
    <w:p w14:paraId="755EDFBA" w14:textId="77777777" w:rsidR="00B44672" w:rsidRDefault="00B44672">
      <w:pPr>
        <w:jc w:val="left"/>
        <w:rPr>
          <w:b/>
          <w:i/>
          <w:color w:val="365F91" w:themeColor="accent1" w:themeShade="BF"/>
        </w:rPr>
      </w:pPr>
      <w:r>
        <w:br w:type="page"/>
      </w:r>
    </w:p>
    <w:p w14:paraId="53B9E039" w14:textId="77777777" w:rsidR="00B44672" w:rsidRDefault="00B44672" w:rsidP="00C83581">
      <w:pPr>
        <w:pStyle w:val="TableCaption"/>
      </w:pPr>
      <w:r>
        <w:lastRenderedPageBreak/>
        <w:t>Table 18 - The impact of tax reform on stamp duty and rate paid by income quintile, average 2012 – 2018</w:t>
      </w:r>
    </w:p>
    <w:tbl>
      <w:tblPr>
        <w:tblStyle w:val="Table"/>
        <w:tblW w:w="5964" w:type="pct"/>
        <w:jc w:val="center"/>
        <w:tblCellMar>
          <w:left w:w="0" w:type="dxa"/>
          <w:right w:w="0" w:type="dxa"/>
        </w:tblCellMar>
        <w:tblLook w:val="07E0" w:firstRow="1" w:lastRow="1" w:firstColumn="1" w:lastColumn="1" w:noHBand="1" w:noVBand="1"/>
        <w:tblCaption w:val="Table 18 - The impact of tax reform on stamp duty and rate paid by income quintile, average 2012 – 2018"/>
      </w:tblPr>
      <w:tblGrid>
        <w:gridCol w:w="2597"/>
        <w:gridCol w:w="954"/>
        <w:gridCol w:w="954"/>
        <w:gridCol w:w="741"/>
        <w:gridCol w:w="1014"/>
        <w:gridCol w:w="997"/>
        <w:gridCol w:w="706"/>
        <w:gridCol w:w="1006"/>
        <w:gridCol w:w="988"/>
        <w:gridCol w:w="809"/>
      </w:tblGrid>
      <w:tr w:rsidR="00B44672" w14:paraId="277556F1" w14:textId="77777777" w:rsidTr="003028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7" w:type="pct"/>
            <w:tcBorders>
              <w:bottom w:val="single" w:sz="0" w:space="0" w:color="auto"/>
            </w:tcBorders>
            <w:vAlign w:val="bottom"/>
          </w:tcPr>
          <w:p w14:paraId="1CDBDC13" w14:textId="77777777" w:rsidR="00B44672" w:rsidRDefault="00B44672" w:rsidP="000511CA"/>
        </w:tc>
        <w:tc>
          <w:tcPr>
            <w:tcW w:w="444" w:type="pct"/>
            <w:tcBorders>
              <w:bottom w:val="single" w:sz="0" w:space="0" w:color="auto"/>
            </w:tcBorders>
            <w:vAlign w:val="bottom"/>
          </w:tcPr>
          <w:p w14:paraId="399697E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affected</w:t>
            </w:r>
          </w:p>
        </w:tc>
        <w:tc>
          <w:tcPr>
            <w:tcW w:w="444" w:type="pct"/>
            <w:tcBorders>
              <w:bottom w:val="single" w:sz="0" w:space="0" w:color="auto"/>
            </w:tcBorders>
            <w:vAlign w:val="bottom"/>
          </w:tcPr>
          <w:p w14:paraId="614F1C76"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affected</w:t>
            </w:r>
          </w:p>
        </w:tc>
        <w:tc>
          <w:tcPr>
            <w:tcW w:w="336" w:type="pct"/>
            <w:tcBorders>
              <w:bottom w:val="single" w:sz="0" w:space="0" w:color="auto"/>
            </w:tcBorders>
            <w:vAlign w:val="bottom"/>
          </w:tcPr>
          <w:p w14:paraId="3303D20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 affected</w:t>
            </w:r>
          </w:p>
        </w:tc>
        <w:tc>
          <w:tcPr>
            <w:tcW w:w="472" w:type="pct"/>
            <w:tcBorders>
              <w:bottom w:val="single" w:sz="0" w:space="0" w:color="auto"/>
            </w:tcBorders>
            <w:vAlign w:val="bottom"/>
          </w:tcPr>
          <w:p w14:paraId="349C42D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duty &amp; rate</w:t>
            </w:r>
          </w:p>
          <w:p w14:paraId="69BDCB3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64" w:type="pct"/>
            <w:tcBorders>
              <w:bottom w:val="single" w:sz="0" w:space="0" w:color="auto"/>
            </w:tcBorders>
            <w:vAlign w:val="bottom"/>
          </w:tcPr>
          <w:p w14:paraId="312AAA6B"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duty &amp; rate</w:t>
            </w:r>
          </w:p>
          <w:p w14:paraId="4CD89ABF"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329" w:type="pct"/>
            <w:tcBorders>
              <w:bottom w:val="single" w:sz="0" w:space="0" w:color="auto"/>
            </w:tcBorders>
            <w:vAlign w:val="bottom"/>
          </w:tcPr>
          <w:p w14:paraId="2CB55CFE"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duty &amp; rate</w:t>
            </w:r>
            <w:r>
              <w:br/>
              <w:t>$</w:t>
            </w:r>
          </w:p>
        </w:tc>
        <w:tc>
          <w:tcPr>
            <w:tcW w:w="468" w:type="pct"/>
            <w:tcBorders>
              <w:bottom w:val="single" w:sz="0" w:space="0" w:color="auto"/>
            </w:tcBorders>
            <w:vAlign w:val="bottom"/>
          </w:tcPr>
          <w:p w14:paraId="44BD3A50"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60" w:type="pct"/>
            <w:tcBorders>
              <w:bottom w:val="single" w:sz="0" w:space="0" w:color="auto"/>
            </w:tcBorders>
            <w:vAlign w:val="bottom"/>
          </w:tcPr>
          <w:p w14:paraId="2A72F830"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376" w:type="pct"/>
            <w:tcBorders>
              <w:bottom w:val="single" w:sz="0" w:space="0" w:color="auto"/>
            </w:tcBorders>
            <w:vAlign w:val="bottom"/>
          </w:tcPr>
          <w:p w14:paraId="17A81D36" w14:textId="77777777" w:rsidR="00B44672" w:rsidRDefault="00B44672" w:rsidP="000511CA">
            <w:pPr>
              <w:pStyle w:val="Compact"/>
              <w:jc w:val="center"/>
            </w:pPr>
            <w:r>
              <w:t>Diff - % point change in income</w:t>
            </w:r>
          </w:p>
        </w:tc>
      </w:tr>
      <w:tr w:rsidR="00B44672" w14:paraId="6B9E351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5B95297A" w14:textId="77777777" w:rsidR="00B44672" w:rsidRDefault="00B44672" w:rsidP="00CB6E83">
            <w:pPr>
              <w:pStyle w:val="Compact"/>
            </w:pPr>
            <w:r w:rsidRPr="00AF6491">
              <w:rPr>
                <w:b/>
                <w:i/>
                <w:iCs/>
                <w:color w:val="365F91" w:themeColor="accent1" w:themeShade="BF"/>
              </w:rPr>
              <w:t>No price change</w:t>
            </w:r>
          </w:p>
        </w:tc>
        <w:tc>
          <w:tcPr>
            <w:tcW w:w="444" w:type="pct"/>
          </w:tcPr>
          <w:p w14:paraId="0465039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44" w:type="pct"/>
          </w:tcPr>
          <w:p w14:paraId="324687C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336" w:type="pct"/>
          </w:tcPr>
          <w:p w14:paraId="56D3965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72" w:type="pct"/>
          </w:tcPr>
          <w:p w14:paraId="0E3A5DA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64" w:type="pct"/>
          </w:tcPr>
          <w:p w14:paraId="7028447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329" w:type="pct"/>
          </w:tcPr>
          <w:p w14:paraId="53D7267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68" w:type="pct"/>
          </w:tcPr>
          <w:p w14:paraId="7FEB03F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60" w:type="pct"/>
          </w:tcPr>
          <w:p w14:paraId="7604BE3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76" w:type="pct"/>
          </w:tcPr>
          <w:p w14:paraId="2F019AD9" w14:textId="77777777" w:rsidR="00B44672" w:rsidRDefault="00B44672" w:rsidP="00CB6E83">
            <w:pPr>
              <w:pStyle w:val="Compact"/>
              <w:jc w:val="center"/>
            </w:pPr>
          </w:p>
        </w:tc>
      </w:tr>
      <w:tr w:rsidR="00B44672" w14:paraId="4C31F48F"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2F67D7C0" w14:textId="77777777" w:rsidR="00B44672" w:rsidRDefault="00B44672" w:rsidP="00CB6E83">
            <w:pPr>
              <w:pStyle w:val="Compact"/>
            </w:pPr>
            <w:r>
              <w:t>Quint 1</w:t>
            </w:r>
          </w:p>
        </w:tc>
        <w:tc>
          <w:tcPr>
            <w:tcW w:w="444" w:type="pct"/>
          </w:tcPr>
          <w:p w14:paraId="3DCCA84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444" w:type="pct"/>
          </w:tcPr>
          <w:p w14:paraId="6F61A41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336" w:type="pct"/>
          </w:tcPr>
          <w:p w14:paraId="0FE09B1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72" w:type="pct"/>
          </w:tcPr>
          <w:p w14:paraId="36AB672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1,532</w:t>
            </w:r>
          </w:p>
        </w:tc>
        <w:tc>
          <w:tcPr>
            <w:tcW w:w="464" w:type="pct"/>
          </w:tcPr>
          <w:p w14:paraId="68A0FEC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1,378</w:t>
            </w:r>
          </w:p>
        </w:tc>
        <w:tc>
          <w:tcPr>
            <w:tcW w:w="329" w:type="pct"/>
          </w:tcPr>
          <w:p w14:paraId="035C3B8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153</w:t>
            </w:r>
          </w:p>
        </w:tc>
        <w:tc>
          <w:tcPr>
            <w:tcW w:w="468" w:type="pct"/>
          </w:tcPr>
          <w:p w14:paraId="04641B8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5.91</w:t>
            </w:r>
          </w:p>
        </w:tc>
        <w:tc>
          <w:tcPr>
            <w:tcW w:w="460" w:type="pct"/>
          </w:tcPr>
          <w:p w14:paraId="0F801AE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5.32</w:t>
            </w:r>
          </w:p>
        </w:tc>
        <w:tc>
          <w:tcPr>
            <w:cnfStyle w:val="000100000000" w:firstRow="0" w:lastRow="0" w:firstColumn="0" w:lastColumn="1" w:oddVBand="0" w:evenVBand="0" w:oddHBand="0" w:evenHBand="0" w:firstRowFirstColumn="0" w:firstRowLastColumn="0" w:lastRowFirstColumn="0" w:lastRowLastColumn="0"/>
            <w:tcW w:w="376" w:type="pct"/>
          </w:tcPr>
          <w:p w14:paraId="4095C1A0" w14:textId="77777777" w:rsidR="00B44672" w:rsidRDefault="00B44672" w:rsidP="00CB6E83">
            <w:pPr>
              <w:pStyle w:val="Compact"/>
              <w:jc w:val="center"/>
            </w:pPr>
            <w:r>
              <w:t>0.59</w:t>
            </w:r>
          </w:p>
        </w:tc>
      </w:tr>
      <w:tr w:rsidR="00B44672" w14:paraId="089B511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337FFF32" w14:textId="77777777" w:rsidR="00B44672" w:rsidRDefault="00B44672" w:rsidP="00CB6E83">
            <w:pPr>
              <w:pStyle w:val="Compact"/>
            </w:pPr>
            <w:r>
              <w:t>Quint 2</w:t>
            </w:r>
          </w:p>
        </w:tc>
        <w:tc>
          <w:tcPr>
            <w:tcW w:w="444" w:type="pct"/>
          </w:tcPr>
          <w:p w14:paraId="506DF48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17,956</w:t>
            </w:r>
          </w:p>
        </w:tc>
        <w:tc>
          <w:tcPr>
            <w:tcW w:w="444" w:type="pct"/>
          </w:tcPr>
          <w:p w14:paraId="254BF22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17,928</w:t>
            </w:r>
          </w:p>
        </w:tc>
        <w:tc>
          <w:tcPr>
            <w:tcW w:w="336" w:type="pct"/>
          </w:tcPr>
          <w:p w14:paraId="6D95CB0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28</w:t>
            </w:r>
          </w:p>
        </w:tc>
        <w:tc>
          <w:tcPr>
            <w:tcW w:w="472" w:type="pct"/>
          </w:tcPr>
          <w:p w14:paraId="269BF92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2,768</w:t>
            </w:r>
          </w:p>
        </w:tc>
        <w:tc>
          <w:tcPr>
            <w:tcW w:w="464" w:type="pct"/>
          </w:tcPr>
          <w:p w14:paraId="48B347E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2,738</w:t>
            </w:r>
          </w:p>
        </w:tc>
        <w:tc>
          <w:tcPr>
            <w:tcW w:w="329" w:type="pct"/>
          </w:tcPr>
          <w:p w14:paraId="20DB56B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31</w:t>
            </w:r>
          </w:p>
        </w:tc>
        <w:tc>
          <w:tcPr>
            <w:tcW w:w="468" w:type="pct"/>
          </w:tcPr>
          <w:p w14:paraId="199AA1D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4.70</w:t>
            </w:r>
          </w:p>
        </w:tc>
        <w:tc>
          <w:tcPr>
            <w:tcW w:w="460" w:type="pct"/>
          </w:tcPr>
          <w:p w14:paraId="5C3F9C8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4.65</w:t>
            </w:r>
          </w:p>
        </w:tc>
        <w:tc>
          <w:tcPr>
            <w:cnfStyle w:val="000100000000" w:firstRow="0" w:lastRow="0" w:firstColumn="0" w:lastColumn="1" w:oddVBand="0" w:evenVBand="0" w:oddHBand="0" w:evenHBand="0" w:firstRowFirstColumn="0" w:firstRowLastColumn="0" w:lastRowFirstColumn="0" w:lastRowLastColumn="0"/>
            <w:tcW w:w="376" w:type="pct"/>
          </w:tcPr>
          <w:p w14:paraId="0F63F42E" w14:textId="77777777" w:rsidR="00B44672" w:rsidRDefault="00B44672" w:rsidP="00CB6E83">
            <w:pPr>
              <w:pStyle w:val="Compact"/>
              <w:jc w:val="center"/>
            </w:pPr>
            <w:r>
              <w:t>0.05</w:t>
            </w:r>
          </w:p>
        </w:tc>
      </w:tr>
      <w:tr w:rsidR="00B44672" w14:paraId="06DEB8B7"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4982CB07" w14:textId="77777777" w:rsidR="00B44672" w:rsidRDefault="00B44672" w:rsidP="00CB6E83">
            <w:pPr>
              <w:pStyle w:val="Compact"/>
            </w:pPr>
            <w:r>
              <w:t>Quint 3</w:t>
            </w:r>
          </w:p>
        </w:tc>
        <w:tc>
          <w:tcPr>
            <w:tcW w:w="444" w:type="pct"/>
          </w:tcPr>
          <w:p w14:paraId="39B3A60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23,559</w:t>
            </w:r>
          </w:p>
        </w:tc>
        <w:tc>
          <w:tcPr>
            <w:tcW w:w="444" w:type="pct"/>
          </w:tcPr>
          <w:p w14:paraId="3BF6511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23,500</w:t>
            </w:r>
          </w:p>
        </w:tc>
        <w:tc>
          <w:tcPr>
            <w:tcW w:w="336" w:type="pct"/>
          </w:tcPr>
          <w:p w14:paraId="739279D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472" w:type="pct"/>
          </w:tcPr>
          <w:p w14:paraId="5558D85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4,096</w:t>
            </w:r>
          </w:p>
        </w:tc>
        <w:tc>
          <w:tcPr>
            <w:tcW w:w="464" w:type="pct"/>
          </w:tcPr>
          <w:p w14:paraId="4C70541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4,420</w:t>
            </w:r>
          </w:p>
        </w:tc>
        <w:tc>
          <w:tcPr>
            <w:tcW w:w="329" w:type="pct"/>
          </w:tcPr>
          <w:p w14:paraId="0C5742C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-324</w:t>
            </w:r>
          </w:p>
        </w:tc>
        <w:tc>
          <w:tcPr>
            <w:tcW w:w="468" w:type="pct"/>
          </w:tcPr>
          <w:p w14:paraId="0AA8FA1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5.07</w:t>
            </w:r>
          </w:p>
        </w:tc>
        <w:tc>
          <w:tcPr>
            <w:tcW w:w="460" w:type="pct"/>
          </w:tcPr>
          <w:p w14:paraId="0F8F60F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5.47</w:t>
            </w:r>
          </w:p>
        </w:tc>
        <w:tc>
          <w:tcPr>
            <w:cnfStyle w:val="000100000000" w:firstRow="0" w:lastRow="0" w:firstColumn="0" w:lastColumn="1" w:oddVBand="0" w:evenVBand="0" w:oddHBand="0" w:evenHBand="0" w:firstRowFirstColumn="0" w:firstRowLastColumn="0" w:lastRowFirstColumn="0" w:lastRowLastColumn="0"/>
            <w:tcW w:w="376" w:type="pct"/>
          </w:tcPr>
          <w:p w14:paraId="0A87629C" w14:textId="77777777" w:rsidR="00B44672" w:rsidRDefault="00B44672" w:rsidP="00CB6E83">
            <w:pPr>
              <w:pStyle w:val="Compact"/>
              <w:jc w:val="center"/>
            </w:pPr>
            <w:r>
              <w:t>-0.40</w:t>
            </w:r>
          </w:p>
        </w:tc>
      </w:tr>
      <w:tr w:rsidR="00B44672" w14:paraId="7A297A93"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2961073E" w14:textId="77777777" w:rsidR="00B44672" w:rsidRDefault="00B44672" w:rsidP="00CB6E83">
            <w:pPr>
              <w:pStyle w:val="Compact"/>
            </w:pPr>
            <w:r>
              <w:t>Quint 4</w:t>
            </w:r>
          </w:p>
        </w:tc>
        <w:tc>
          <w:tcPr>
            <w:tcW w:w="444" w:type="pct"/>
          </w:tcPr>
          <w:p w14:paraId="0A5FA94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23,877</w:t>
            </w:r>
          </w:p>
        </w:tc>
        <w:tc>
          <w:tcPr>
            <w:tcW w:w="444" w:type="pct"/>
          </w:tcPr>
          <w:p w14:paraId="12EE7EE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23,796</w:t>
            </w:r>
          </w:p>
        </w:tc>
        <w:tc>
          <w:tcPr>
            <w:tcW w:w="336" w:type="pct"/>
          </w:tcPr>
          <w:p w14:paraId="628864B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81</w:t>
            </w:r>
          </w:p>
        </w:tc>
        <w:tc>
          <w:tcPr>
            <w:tcW w:w="472" w:type="pct"/>
          </w:tcPr>
          <w:p w14:paraId="258DEFF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5,019</w:t>
            </w:r>
          </w:p>
        </w:tc>
        <w:tc>
          <w:tcPr>
            <w:tcW w:w="464" w:type="pct"/>
          </w:tcPr>
          <w:p w14:paraId="513CBFB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5,250</w:t>
            </w:r>
          </w:p>
        </w:tc>
        <w:tc>
          <w:tcPr>
            <w:tcW w:w="329" w:type="pct"/>
          </w:tcPr>
          <w:p w14:paraId="22946EA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-231</w:t>
            </w:r>
          </w:p>
        </w:tc>
        <w:tc>
          <w:tcPr>
            <w:tcW w:w="468" w:type="pct"/>
          </w:tcPr>
          <w:p w14:paraId="3366EBD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4.59</w:t>
            </w:r>
          </w:p>
        </w:tc>
        <w:tc>
          <w:tcPr>
            <w:tcW w:w="460" w:type="pct"/>
          </w:tcPr>
          <w:p w14:paraId="0E718C4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4.79</w:t>
            </w:r>
          </w:p>
        </w:tc>
        <w:tc>
          <w:tcPr>
            <w:cnfStyle w:val="000100000000" w:firstRow="0" w:lastRow="0" w:firstColumn="0" w:lastColumn="1" w:oddVBand="0" w:evenVBand="0" w:oddHBand="0" w:evenHBand="0" w:firstRowFirstColumn="0" w:firstRowLastColumn="0" w:lastRowFirstColumn="0" w:lastRowLastColumn="0"/>
            <w:tcW w:w="376" w:type="pct"/>
          </w:tcPr>
          <w:p w14:paraId="351ED04A" w14:textId="77777777" w:rsidR="00B44672" w:rsidRDefault="00B44672" w:rsidP="00CB6E83">
            <w:pPr>
              <w:pStyle w:val="Compact"/>
              <w:jc w:val="center"/>
            </w:pPr>
            <w:r>
              <w:t>-0.21</w:t>
            </w:r>
          </w:p>
        </w:tc>
      </w:tr>
      <w:tr w:rsidR="00B44672" w14:paraId="1BA60D13"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2450557C" w14:textId="77777777" w:rsidR="00B44672" w:rsidRDefault="00B44672" w:rsidP="00CB6E83">
            <w:pPr>
              <w:pStyle w:val="Compact"/>
            </w:pPr>
            <w:r>
              <w:t>Quint 5</w:t>
            </w:r>
          </w:p>
        </w:tc>
        <w:tc>
          <w:tcPr>
            <w:tcW w:w="444" w:type="pct"/>
          </w:tcPr>
          <w:p w14:paraId="38EC481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29,468</w:t>
            </w:r>
          </w:p>
        </w:tc>
        <w:tc>
          <w:tcPr>
            <w:tcW w:w="444" w:type="pct"/>
          </w:tcPr>
          <w:p w14:paraId="5B96969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29,408</w:t>
            </w:r>
          </w:p>
        </w:tc>
        <w:tc>
          <w:tcPr>
            <w:tcW w:w="336" w:type="pct"/>
          </w:tcPr>
          <w:p w14:paraId="3B1BD87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472" w:type="pct"/>
          </w:tcPr>
          <w:p w14:paraId="364C8DF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6,511</w:t>
            </w:r>
          </w:p>
        </w:tc>
        <w:tc>
          <w:tcPr>
            <w:tcW w:w="464" w:type="pct"/>
          </w:tcPr>
          <w:p w14:paraId="31EE5DA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6,325</w:t>
            </w:r>
          </w:p>
        </w:tc>
        <w:tc>
          <w:tcPr>
            <w:tcW w:w="329" w:type="pct"/>
          </w:tcPr>
          <w:p w14:paraId="208B6FE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186</w:t>
            </w:r>
          </w:p>
        </w:tc>
        <w:tc>
          <w:tcPr>
            <w:tcW w:w="468" w:type="pct"/>
          </w:tcPr>
          <w:p w14:paraId="2050355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4.13</w:t>
            </w:r>
          </w:p>
        </w:tc>
        <w:tc>
          <w:tcPr>
            <w:tcW w:w="460" w:type="pct"/>
          </w:tcPr>
          <w:p w14:paraId="401B880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4.01</w:t>
            </w:r>
          </w:p>
        </w:tc>
        <w:tc>
          <w:tcPr>
            <w:cnfStyle w:val="000100000000" w:firstRow="0" w:lastRow="0" w:firstColumn="0" w:lastColumn="1" w:oddVBand="0" w:evenVBand="0" w:oddHBand="0" w:evenHBand="0" w:firstRowFirstColumn="0" w:firstRowLastColumn="0" w:lastRowFirstColumn="0" w:lastRowLastColumn="0"/>
            <w:tcW w:w="376" w:type="pct"/>
          </w:tcPr>
          <w:p w14:paraId="7B3E2F35" w14:textId="77777777" w:rsidR="00B44672" w:rsidRDefault="00B44672" w:rsidP="00CB6E83">
            <w:pPr>
              <w:pStyle w:val="Compact"/>
              <w:jc w:val="center"/>
            </w:pPr>
            <w:r>
              <w:t>0.12</w:t>
            </w:r>
          </w:p>
        </w:tc>
      </w:tr>
      <w:tr w:rsidR="00B44672" w14:paraId="2DCFD0C3"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4C505F74"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444" w:type="pct"/>
          </w:tcPr>
          <w:p w14:paraId="426ABEE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44" w:type="pct"/>
          </w:tcPr>
          <w:p w14:paraId="142A94F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36" w:type="pct"/>
          </w:tcPr>
          <w:p w14:paraId="40A2650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72" w:type="pct"/>
          </w:tcPr>
          <w:p w14:paraId="310BBE4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4" w:type="pct"/>
          </w:tcPr>
          <w:p w14:paraId="2A905F4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29" w:type="pct"/>
          </w:tcPr>
          <w:p w14:paraId="7FA2D47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8" w:type="pct"/>
          </w:tcPr>
          <w:p w14:paraId="24BDDE9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0" w:type="pct"/>
          </w:tcPr>
          <w:p w14:paraId="2311A01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76" w:type="pct"/>
          </w:tcPr>
          <w:p w14:paraId="7636C27B" w14:textId="77777777" w:rsidR="00B44672" w:rsidRDefault="00B44672" w:rsidP="00A567C4">
            <w:pPr>
              <w:pStyle w:val="Compact"/>
              <w:jc w:val="center"/>
            </w:pPr>
          </w:p>
        </w:tc>
      </w:tr>
      <w:tr w:rsidR="00B44672" w14:paraId="49E70635"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188887DB" w14:textId="77777777" w:rsidR="00B44672" w:rsidRDefault="00B44672" w:rsidP="00A567C4">
            <w:pPr>
              <w:pStyle w:val="Compact"/>
            </w:pPr>
            <w:r>
              <w:t>Quint 1</w:t>
            </w:r>
          </w:p>
        </w:tc>
        <w:tc>
          <w:tcPr>
            <w:tcW w:w="444" w:type="pct"/>
          </w:tcPr>
          <w:p w14:paraId="48D0AD2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444" w:type="pct"/>
          </w:tcPr>
          <w:p w14:paraId="0890A8A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336" w:type="pct"/>
          </w:tcPr>
          <w:p w14:paraId="30A2306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72" w:type="pct"/>
          </w:tcPr>
          <w:p w14:paraId="5927F2A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1,532</w:t>
            </w:r>
          </w:p>
        </w:tc>
        <w:tc>
          <w:tcPr>
            <w:tcW w:w="464" w:type="pct"/>
          </w:tcPr>
          <w:p w14:paraId="6C94C79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1,374</w:t>
            </w:r>
          </w:p>
        </w:tc>
        <w:tc>
          <w:tcPr>
            <w:tcW w:w="329" w:type="pct"/>
          </w:tcPr>
          <w:p w14:paraId="22B993F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157</w:t>
            </w:r>
          </w:p>
        </w:tc>
        <w:tc>
          <w:tcPr>
            <w:tcW w:w="468" w:type="pct"/>
          </w:tcPr>
          <w:p w14:paraId="446D654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5.91</w:t>
            </w:r>
          </w:p>
        </w:tc>
        <w:tc>
          <w:tcPr>
            <w:tcW w:w="460" w:type="pct"/>
          </w:tcPr>
          <w:p w14:paraId="33D3681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5.31</w:t>
            </w:r>
          </w:p>
        </w:tc>
        <w:tc>
          <w:tcPr>
            <w:cnfStyle w:val="000100000000" w:firstRow="0" w:lastRow="0" w:firstColumn="0" w:lastColumn="1" w:oddVBand="0" w:evenVBand="0" w:oddHBand="0" w:evenHBand="0" w:firstRowFirstColumn="0" w:firstRowLastColumn="0" w:lastRowFirstColumn="0" w:lastRowLastColumn="0"/>
            <w:tcW w:w="376" w:type="pct"/>
          </w:tcPr>
          <w:p w14:paraId="504D8B54" w14:textId="77777777" w:rsidR="00B44672" w:rsidRDefault="00B44672" w:rsidP="00A567C4">
            <w:pPr>
              <w:pStyle w:val="Compact"/>
              <w:jc w:val="center"/>
            </w:pPr>
            <w:r>
              <w:t>0.61</w:t>
            </w:r>
          </w:p>
        </w:tc>
      </w:tr>
      <w:tr w:rsidR="00B44672" w14:paraId="432B4D02"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3EE60049" w14:textId="77777777" w:rsidR="00B44672" w:rsidRDefault="00B44672" w:rsidP="00A567C4">
            <w:pPr>
              <w:pStyle w:val="Compact"/>
            </w:pPr>
            <w:r>
              <w:t>Quint 2</w:t>
            </w:r>
          </w:p>
        </w:tc>
        <w:tc>
          <w:tcPr>
            <w:tcW w:w="444" w:type="pct"/>
          </w:tcPr>
          <w:p w14:paraId="18A5D2F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17,956</w:t>
            </w:r>
          </w:p>
        </w:tc>
        <w:tc>
          <w:tcPr>
            <w:tcW w:w="444" w:type="pct"/>
          </w:tcPr>
          <w:p w14:paraId="2C9B8E3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17,936</w:t>
            </w:r>
          </w:p>
        </w:tc>
        <w:tc>
          <w:tcPr>
            <w:tcW w:w="336" w:type="pct"/>
          </w:tcPr>
          <w:p w14:paraId="66ABEC8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w:t>
            </w:r>
          </w:p>
        </w:tc>
        <w:tc>
          <w:tcPr>
            <w:tcW w:w="472" w:type="pct"/>
          </w:tcPr>
          <w:p w14:paraId="6C9E16B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2,768</w:t>
            </w:r>
          </w:p>
        </w:tc>
        <w:tc>
          <w:tcPr>
            <w:tcW w:w="464" w:type="pct"/>
          </w:tcPr>
          <w:p w14:paraId="07DA473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2,735</w:t>
            </w:r>
          </w:p>
        </w:tc>
        <w:tc>
          <w:tcPr>
            <w:tcW w:w="329" w:type="pct"/>
          </w:tcPr>
          <w:p w14:paraId="5BEBEA9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w:t>
            </w:r>
          </w:p>
        </w:tc>
        <w:tc>
          <w:tcPr>
            <w:tcW w:w="468" w:type="pct"/>
          </w:tcPr>
          <w:p w14:paraId="04929CB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4.70</w:t>
            </w:r>
          </w:p>
        </w:tc>
        <w:tc>
          <w:tcPr>
            <w:tcW w:w="460" w:type="pct"/>
          </w:tcPr>
          <w:p w14:paraId="0793ACE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4.64</w:t>
            </w:r>
          </w:p>
        </w:tc>
        <w:tc>
          <w:tcPr>
            <w:cnfStyle w:val="000100000000" w:firstRow="0" w:lastRow="0" w:firstColumn="0" w:lastColumn="1" w:oddVBand="0" w:evenVBand="0" w:oddHBand="0" w:evenHBand="0" w:firstRowFirstColumn="0" w:firstRowLastColumn="0" w:lastRowFirstColumn="0" w:lastRowLastColumn="0"/>
            <w:tcW w:w="376" w:type="pct"/>
          </w:tcPr>
          <w:p w14:paraId="475C8370" w14:textId="77777777" w:rsidR="00B44672" w:rsidRDefault="00B44672" w:rsidP="00A567C4">
            <w:pPr>
              <w:pStyle w:val="Compact"/>
              <w:jc w:val="center"/>
            </w:pPr>
            <w:r>
              <w:t>0.05</w:t>
            </w:r>
          </w:p>
        </w:tc>
      </w:tr>
      <w:tr w:rsidR="00B44672" w14:paraId="3C4B716E"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6F362016" w14:textId="77777777" w:rsidR="00B44672" w:rsidRDefault="00B44672" w:rsidP="00A567C4">
            <w:pPr>
              <w:pStyle w:val="Compact"/>
            </w:pPr>
            <w:r>
              <w:t>Quint 3</w:t>
            </w:r>
          </w:p>
        </w:tc>
        <w:tc>
          <w:tcPr>
            <w:tcW w:w="444" w:type="pct"/>
          </w:tcPr>
          <w:p w14:paraId="0A79EE7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23,559</w:t>
            </w:r>
          </w:p>
        </w:tc>
        <w:tc>
          <w:tcPr>
            <w:tcW w:w="444" w:type="pct"/>
          </w:tcPr>
          <w:p w14:paraId="02BD480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23,500</w:t>
            </w:r>
          </w:p>
        </w:tc>
        <w:tc>
          <w:tcPr>
            <w:tcW w:w="336" w:type="pct"/>
          </w:tcPr>
          <w:p w14:paraId="328132B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472" w:type="pct"/>
          </w:tcPr>
          <w:p w14:paraId="2183B88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4,096</w:t>
            </w:r>
          </w:p>
        </w:tc>
        <w:tc>
          <w:tcPr>
            <w:tcW w:w="464" w:type="pct"/>
          </w:tcPr>
          <w:p w14:paraId="554BE5C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4,396</w:t>
            </w:r>
          </w:p>
        </w:tc>
        <w:tc>
          <w:tcPr>
            <w:tcW w:w="329" w:type="pct"/>
          </w:tcPr>
          <w:p w14:paraId="5BBB7E2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-299</w:t>
            </w:r>
          </w:p>
        </w:tc>
        <w:tc>
          <w:tcPr>
            <w:tcW w:w="468" w:type="pct"/>
          </w:tcPr>
          <w:p w14:paraId="42E37D1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5.07</w:t>
            </w:r>
          </w:p>
        </w:tc>
        <w:tc>
          <w:tcPr>
            <w:tcW w:w="460" w:type="pct"/>
          </w:tcPr>
          <w:p w14:paraId="2C432D9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5.44</w:t>
            </w:r>
          </w:p>
        </w:tc>
        <w:tc>
          <w:tcPr>
            <w:cnfStyle w:val="000100000000" w:firstRow="0" w:lastRow="0" w:firstColumn="0" w:lastColumn="1" w:oddVBand="0" w:evenVBand="0" w:oddHBand="0" w:evenHBand="0" w:firstRowFirstColumn="0" w:firstRowLastColumn="0" w:lastRowFirstColumn="0" w:lastRowLastColumn="0"/>
            <w:tcW w:w="376" w:type="pct"/>
          </w:tcPr>
          <w:p w14:paraId="28396103" w14:textId="77777777" w:rsidR="00B44672" w:rsidRDefault="00B44672" w:rsidP="00A567C4">
            <w:pPr>
              <w:pStyle w:val="Compact"/>
              <w:jc w:val="center"/>
            </w:pPr>
            <w:r>
              <w:t>-0.37</w:t>
            </w:r>
          </w:p>
        </w:tc>
      </w:tr>
      <w:tr w:rsidR="00B44672" w14:paraId="357AEE01"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354B4B6C" w14:textId="77777777" w:rsidR="00B44672" w:rsidRDefault="00B44672" w:rsidP="00A567C4">
            <w:pPr>
              <w:pStyle w:val="Compact"/>
            </w:pPr>
            <w:r>
              <w:t>Quint 4</w:t>
            </w:r>
          </w:p>
        </w:tc>
        <w:tc>
          <w:tcPr>
            <w:tcW w:w="444" w:type="pct"/>
          </w:tcPr>
          <w:p w14:paraId="24994C7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23,877</w:t>
            </w:r>
          </w:p>
        </w:tc>
        <w:tc>
          <w:tcPr>
            <w:tcW w:w="444" w:type="pct"/>
          </w:tcPr>
          <w:p w14:paraId="28186AF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23,802</w:t>
            </w:r>
          </w:p>
        </w:tc>
        <w:tc>
          <w:tcPr>
            <w:tcW w:w="336" w:type="pct"/>
          </w:tcPr>
          <w:p w14:paraId="4BCB925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75</w:t>
            </w:r>
          </w:p>
        </w:tc>
        <w:tc>
          <w:tcPr>
            <w:tcW w:w="472" w:type="pct"/>
          </w:tcPr>
          <w:p w14:paraId="5BB9F7E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5,019</w:t>
            </w:r>
          </w:p>
        </w:tc>
        <w:tc>
          <w:tcPr>
            <w:tcW w:w="464" w:type="pct"/>
          </w:tcPr>
          <w:p w14:paraId="08696DF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5,219</w:t>
            </w:r>
          </w:p>
        </w:tc>
        <w:tc>
          <w:tcPr>
            <w:tcW w:w="329" w:type="pct"/>
          </w:tcPr>
          <w:p w14:paraId="4FAD0E1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-200</w:t>
            </w:r>
          </w:p>
        </w:tc>
        <w:tc>
          <w:tcPr>
            <w:tcW w:w="468" w:type="pct"/>
          </w:tcPr>
          <w:p w14:paraId="3D01CB3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4.59</w:t>
            </w:r>
          </w:p>
        </w:tc>
        <w:tc>
          <w:tcPr>
            <w:tcW w:w="460" w:type="pct"/>
          </w:tcPr>
          <w:p w14:paraId="08DDCE6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4.77</w:t>
            </w:r>
          </w:p>
        </w:tc>
        <w:tc>
          <w:tcPr>
            <w:cnfStyle w:val="000100000000" w:firstRow="0" w:lastRow="0" w:firstColumn="0" w:lastColumn="1" w:oddVBand="0" w:evenVBand="0" w:oddHBand="0" w:evenHBand="0" w:firstRowFirstColumn="0" w:firstRowLastColumn="0" w:lastRowFirstColumn="0" w:lastRowLastColumn="0"/>
            <w:tcW w:w="376" w:type="pct"/>
          </w:tcPr>
          <w:p w14:paraId="40451672" w14:textId="77777777" w:rsidR="00B44672" w:rsidRDefault="00B44672" w:rsidP="00A567C4">
            <w:pPr>
              <w:pStyle w:val="Compact"/>
              <w:jc w:val="center"/>
            </w:pPr>
            <w:r>
              <w:t>-0.18</w:t>
            </w:r>
          </w:p>
        </w:tc>
      </w:tr>
      <w:tr w:rsidR="00B44672" w14:paraId="28E08DEB"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480966FE" w14:textId="77777777" w:rsidR="00B44672" w:rsidRDefault="00B44672" w:rsidP="00A567C4">
            <w:pPr>
              <w:pStyle w:val="Compact"/>
            </w:pPr>
            <w:r>
              <w:t>Quint 5</w:t>
            </w:r>
          </w:p>
        </w:tc>
        <w:tc>
          <w:tcPr>
            <w:tcW w:w="444" w:type="pct"/>
          </w:tcPr>
          <w:p w14:paraId="2BC0F4D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29,468</w:t>
            </w:r>
          </w:p>
        </w:tc>
        <w:tc>
          <w:tcPr>
            <w:tcW w:w="444" w:type="pct"/>
          </w:tcPr>
          <w:p w14:paraId="247CC7E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29,410</w:t>
            </w:r>
          </w:p>
        </w:tc>
        <w:tc>
          <w:tcPr>
            <w:tcW w:w="336" w:type="pct"/>
          </w:tcPr>
          <w:p w14:paraId="620D917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58</w:t>
            </w:r>
          </w:p>
        </w:tc>
        <w:tc>
          <w:tcPr>
            <w:tcW w:w="472" w:type="pct"/>
          </w:tcPr>
          <w:p w14:paraId="3D91F33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6,511</w:t>
            </w:r>
          </w:p>
        </w:tc>
        <w:tc>
          <w:tcPr>
            <w:tcW w:w="464" w:type="pct"/>
          </w:tcPr>
          <w:p w14:paraId="232D852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6,290</w:t>
            </w:r>
          </w:p>
        </w:tc>
        <w:tc>
          <w:tcPr>
            <w:tcW w:w="329" w:type="pct"/>
          </w:tcPr>
          <w:p w14:paraId="245973F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221</w:t>
            </w:r>
          </w:p>
        </w:tc>
        <w:tc>
          <w:tcPr>
            <w:tcW w:w="468" w:type="pct"/>
          </w:tcPr>
          <w:p w14:paraId="16C2CC4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4.13</w:t>
            </w:r>
          </w:p>
        </w:tc>
        <w:tc>
          <w:tcPr>
            <w:tcW w:w="460" w:type="pct"/>
          </w:tcPr>
          <w:p w14:paraId="4A23C22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3.99</w:t>
            </w:r>
          </w:p>
        </w:tc>
        <w:tc>
          <w:tcPr>
            <w:cnfStyle w:val="000100000000" w:firstRow="0" w:lastRow="0" w:firstColumn="0" w:lastColumn="1" w:oddVBand="0" w:evenVBand="0" w:oddHBand="0" w:evenHBand="0" w:firstRowFirstColumn="0" w:firstRowLastColumn="0" w:lastRowFirstColumn="0" w:lastRowLastColumn="0"/>
            <w:tcW w:w="376" w:type="pct"/>
          </w:tcPr>
          <w:p w14:paraId="58DCC78F" w14:textId="77777777" w:rsidR="00B44672" w:rsidRDefault="00B44672" w:rsidP="00A567C4">
            <w:pPr>
              <w:pStyle w:val="Compact"/>
              <w:jc w:val="center"/>
            </w:pPr>
            <w:r>
              <w:t>0.14</w:t>
            </w:r>
          </w:p>
        </w:tc>
      </w:tr>
      <w:tr w:rsidR="00B44672" w14:paraId="01DD62CC"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49B14976" w14:textId="77777777" w:rsidR="00B44672" w:rsidRDefault="00B44672" w:rsidP="00302865">
            <w:pPr>
              <w:pStyle w:val="Compact"/>
            </w:pPr>
            <w:r w:rsidRPr="00113FC1">
              <w:rPr>
                <w:b/>
                <w:i/>
                <w:iCs/>
                <w:color w:val="365F91" w:themeColor="accent1" w:themeShade="BF"/>
              </w:rPr>
              <w:t>1.24 – 2.19% price change</w:t>
            </w:r>
          </w:p>
        </w:tc>
        <w:tc>
          <w:tcPr>
            <w:tcW w:w="444" w:type="pct"/>
          </w:tcPr>
          <w:p w14:paraId="315C0C9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44" w:type="pct"/>
          </w:tcPr>
          <w:p w14:paraId="335B8C5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36" w:type="pct"/>
          </w:tcPr>
          <w:p w14:paraId="5A24BCA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72" w:type="pct"/>
          </w:tcPr>
          <w:p w14:paraId="4E65351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4" w:type="pct"/>
          </w:tcPr>
          <w:p w14:paraId="1BB2B3E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29" w:type="pct"/>
          </w:tcPr>
          <w:p w14:paraId="31ADA5F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8" w:type="pct"/>
          </w:tcPr>
          <w:p w14:paraId="6DC52C9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0" w:type="pct"/>
          </w:tcPr>
          <w:p w14:paraId="404D066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76" w:type="pct"/>
          </w:tcPr>
          <w:p w14:paraId="65FBA45D" w14:textId="77777777" w:rsidR="00B44672" w:rsidRDefault="00B44672" w:rsidP="00302865">
            <w:pPr>
              <w:pStyle w:val="Compact"/>
              <w:jc w:val="center"/>
            </w:pPr>
          </w:p>
        </w:tc>
      </w:tr>
      <w:tr w:rsidR="00B44672" w14:paraId="63386430"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2523EBE0" w14:textId="77777777" w:rsidR="00B44672" w:rsidRDefault="00B44672" w:rsidP="00302865">
            <w:pPr>
              <w:pStyle w:val="Compact"/>
            </w:pPr>
            <w:r>
              <w:t>Quint 1</w:t>
            </w:r>
          </w:p>
        </w:tc>
        <w:tc>
          <w:tcPr>
            <w:tcW w:w="444" w:type="pct"/>
          </w:tcPr>
          <w:p w14:paraId="6E1CB9F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444" w:type="pct"/>
          </w:tcPr>
          <w:p w14:paraId="5F16C4B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336" w:type="pct"/>
          </w:tcPr>
          <w:p w14:paraId="0785A31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72" w:type="pct"/>
          </w:tcPr>
          <w:p w14:paraId="2CCE271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1,532</w:t>
            </w:r>
          </w:p>
        </w:tc>
        <w:tc>
          <w:tcPr>
            <w:tcW w:w="464" w:type="pct"/>
          </w:tcPr>
          <w:p w14:paraId="7BBF25C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1,374</w:t>
            </w:r>
          </w:p>
        </w:tc>
        <w:tc>
          <w:tcPr>
            <w:tcW w:w="329" w:type="pct"/>
          </w:tcPr>
          <w:p w14:paraId="6F191D8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158</w:t>
            </w:r>
          </w:p>
        </w:tc>
        <w:tc>
          <w:tcPr>
            <w:tcW w:w="468" w:type="pct"/>
          </w:tcPr>
          <w:p w14:paraId="318DD26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5.91</w:t>
            </w:r>
          </w:p>
        </w:tc>
        <w:tc>
          <w:tcPr>
            <w:tcW w:w="460" w:type="pct"/>
          </w:tcPr>
          <w:p w14:paraId="28CC981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5.30</w:t>
            </w:r>
          </w:p>
        </w:tc>
        <w:tc>
          <w:tcPr>
            <w:cnfStyle w:val="000100000000" w:firstRow="0" w:lastRow="0" w:firstColumn="0" w:lastColumn="1" w:oddVBand="0" w:evenVBand="0" w:oddHBand="0" w:evenHBand="0" w:firstRowFirstColumn="0" w:firstRowLastColumn="0" w:lastRowFirstColumn="0" w:lastRowLastColumn="0"/>
            <w:tcW w:w="376" w:type="pct"/>
          </w:tcPr>
          <w:p w14:paraId="4BF3CE26" w14:textId="77777777" w:rsidR="00B44672" w:rsidRDefault="00B44672" w:rsidP="00302865">
            <w:pPr>
              <w:pStyle w:val="Compact"/>
              <w:jc w:val="center"/>
            </w:pPr>
            <w:r>
              <w:t>0.61</w:t>
            </w:r>
          </w:p>
        </w:tc>
      </w:tr>
      <w:tr w:rsidR="00B44672" w14:paraId="6B9DDB29"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05688438" w14:textId="77777777" w:rsidR="00B44672" w:rsidRDefault="00B44672" w:rsidP="00302865">
            <w:pPr>
              <w:pStyle w:val="Compact"/>
            </w:pPr>
            <w:r>
              <w:t>Quint 2</w:t>
            </w:r>
          </w:p>
        </w:tc>
        <w:tc>
          <w:tcPr>
            <w:tcW w:w="444" w:type="pct"/>
          </w:tcPr>
          <w:p w14:paraId="15A518B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17,956</w:t>
            </w:r>
          </w:p>
        </w:tc>
        <w:tc>
          <w:tcPr>
            <w:tcW w:w="444" w:type="pct"/>
          </w:tcPr>
          <w:p w14:paraId="79B1B2B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17,948</w:t>
            </w:r>
          </w:p>
        </w:tc>
        <w:tc>
          <w:tcPr>
            <w:tcW w:w="336" w:type="pct"/>
          </w:tcPr>
          <w:p w14:paraId="312203F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472" w:type="pct"/>
          </w:tcPr>
          <w:p w14:paraId="00FE69A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2,768</w:t>
            </w:r>
          </w:p>
        </w:tc>
        <w:tc>
          <w:tcPr>
            <w:tcW w:w="464" w:type="pct"/>
          </w:tcPr>
          <w:p w14:paraId="3B28067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2,743</w:t>
            </w:r>
          </w:p>
        </w:tc>
        <w:tc>
          <w:tcPr>
            <w:tcW w:w="329" w:type="pct"/>
          </w:tcPr>
          <w:p w14:paraId="098D7C3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26</w:t>
            </w:r>
          </w:p>
        </w:tc>
        <w:tc>
          <w:tcPr>
            <w:tcW w:w="468" w:type="pct"/>
          </w:tcPr>
          <w:p w14:paraId="13E345F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4.70</w:t>
            </w:r>
          </w:p>
        </w:tc>
        <w:tc>
          <w:tcPr>
            <w:tcW w:w="460" w:type="pct"/>
          </w:tcPr>
          <w:p w14:paraId="1100C5F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4.65</w:t>
            </w:r>
          </w:p>
        </w:tc>
        <w:tc>
          <w:tcPr>
            <w:cnfStyle w:val="000100000000" w:firstRow="0" w:lastRow="0" w:firstColumn="0" w:lastColumn="1" w:oddVBand="0" w:evenVBand="0" w:oddHBand="0" w:evenHBand="0" w:firstRowFirstColumn="0" w:firstRowLastColumn="0" w:lastRowFirstColumn="0" w:lastRowLastColumn="0"/>
            <w:tcW w:w="376" w:type="pct"/>
          </w:tcPr>
          <w:p w14:paraId="65B854E6" w14:textId="77777777" w:rsidR="00B44672" w:rsidRDefault="00B44672" w:rsidP="00302865">
            <w:pPr>
              <w:pStyle w:val="Compact"/>
              <w:jc w:val="center"/>
            </w:pPr>
            <w:r>
              <w:t>0.04</w:t>
            </w:r>
          </w:p>
        </w:tc>
      </w:tr>
      <w:tr w:rsidR="00B44672" w14:paraId="178572DC"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21EDAB68" w14:textId="77777777" w:rsidR="00B44672" w:rsidRDefault="00B44672" w:rsidP="00302865">
            <w:pPr>
              <w:pStyle w:val="Compact"/>
            </w:pPr>
            <w:r>
              <w:t>Quint 3</w:t>
            </w:r>
          </w:p>
        </w:tc>
        <w:tc>
          <w:tcPr>
            <w:tcW w:w="444" w:type="pct"/>
          </w:tcPr>
          <w:p w14:paraId="35D583D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23,559</w:t>
            </w:r>
          </w:p>
        </w:tc>
        <w:tc>
          <w:tcPr>
            <w:tcW w:w="444" w:type="pct"/>
          </w:tcPr>
          <w:p w14:paraId="5B2F4E0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23,512</w:t>
            </w:r>
          </w:p>
        </w:tc>
        <w:tc>
          <w:tcPr>
            <w:tcW w:w="336" w:type="pct"/>
          </w:tcPr>
          <w:p w14:paraId="40D25A7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48</w:t>
            </w:r>
          </w:p>
        </w:tc>
        <w:tc>
          <w:tcPr>
            <w:tcW w:w="472" w:type="pct"/>
          </w:tcPr>
          <w:p w14:paraId="60E51F8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4,096</w:t>
            </w:r>
          </w:p>
        </w:tc>
        <w:tc>
          <w:tcPr>
            <w:tcW w:w="464" w:type="pct"/>
          </w:tcPr>
          <w:p w14:paraId="50F6925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4,375</w:t>
            </w:r>
          </w:p>
        </w:tc>
        <w:tc>
          <w:tcPr>
            <w:tcW w:w="329" w:type="pct"/>
          </w:tcPr>
          <w:p w14:paraId="1E5A1FA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-278</w:t>
            </w:r>
          </w:p>
        </w:tc>
        <w:tc>
          <w:tcPr>
            <w:tcW w:w="468" w:type="pct"/>
          </w:tcPr>
          <w:p w14:paraId="027E0F8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5.07</w:t>
            </w:r>
          </w:p>
        </w:tc>
        <w:tc>
          <w:tcPr>
            <w:tcW w:w="460" w:type="pct"/>
          </w:tcPr>
          <w:p w14:paraId="3926AC8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5.41</w:t>
            </w:r>
          </w:p>
        </w:tc>
        <w:tc>
          <w:tcPr>
            <w:cnfStyle w:val="000100000000" w:firstRow="0" w:lastRow="0" w:firstColumn="0" w:lastColumn="1" w:oddVBand="0" w:evenVBand="0" w:oddHBand="0" w:evenHBand="0" w:firstRowFirstColumn="0" w:firstRowLastColumn="0" w:lastRowFirstColumn="0" w:lastRowLastColumn="0"/>
            <w:tcW w:w="376" w:type="pct"/>
          </w:tcPr>
          <w:p w14:paraId="1BB55B8A" w14:textId="77777777" w:rsidR="00B44672" w:rsidRDefault="00B44672" w:rsidP="00302865">
            <w:pPr>
              <w:pStyle w:val="Compact"/>
              <w:jc w:val="center"/>
            </w:pPr>
            <w:r>
              <w:t>-0.34</w:t>
            </w:r>
          </w:p>
        </w:tc>
      </w:tr>
      <w:tr w:rsidR="00B44672" w14:paraId="64E4BB15"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207" w:type="pct"/>
          </w:tcPr>
          <w:p w14:paraId="75941E76" w14:textId="77777777" w:rsidR="00B44672" w:rsidRDefault="00B44672" w:rsidP="00302865">
            <w:pPr>
              <w:pStyle w:val="Compact"/>
            </w:pPr>
            <w:r>
              <w:t>Quint 4</w:t>
            </w:r>
          </w:p>
        </w:tc>
        <w:tc>
          <w:tcPr>
            <w:tcW w:w="444" w:type="pct"/>
          </w:tcPr>
          <w:p w14:paraId="4E618C1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23,877</w:t>
            </w:r>
          </w:p>
        </w:tc>
        <w:tc>
          <w:tcPr>
            <w:tcW w:w="444" w:type="pct"/>
          </w:tcPr>
          <w:p w14:paraId="0F47B4C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23,819</w:t>
            </w:r>
          </w:p>
        </w:tc>
        <w:tc>
          <w:tcPr>
            <w:tcW w:w="336" w:type="pct"/>
          </w:tcPr>
          <w:p w14:paraId="4CF01EF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58</w:t>
            </w:r>
          </w:p>
        </w:tc>
        <w:tc>
          <w:tcPr>
            <w:tcW w:w="472" w:type="pct"/>
          </w:tcPr>
          <w:p w14:paraId="32E2068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5,019</w:t>
            </w:r>
          </w:p>
        </w:tc>
        <w:tc>
          <w:tcPr>
            <w:tcW w:w="464" w:type="pct"/>
          </w:tcPr>
          <w:p w14:paraId="24209C5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5,195</w:t>
            </w:r>
          </w:p>
        </w:tc>
        <w:tc>
          <w:tcPr>
            <w:tcW w:w="329" w:type="pct"/>
          </w:tcPr>
          <w:p w14:paraId="1219A94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-176</w:t>
            </w:r>
          </w:p>
        </w:tc>
        <w:tc>
          <w:tcPr>
            <w:tcW w:w="468" w:type="pct"/>
          </w:tcPr>
          <w:p w14:paraId="7D7F675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4.59</w:t>
            </w:r>
          </w:p>
        </w:tc>
        <w:tc>
          <w:tcPr>
            <w:tcW w:w="460" w:type="pct"/>
          </w:tcPr>
          <w:p w14:paraId="1BADA74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4.74</w:t>
            </w:r>
          </w:p>
        </w:tc>
        <w:tc>
          <w:tcPr>
            <w:cnfStyle w:val="000100000000" w:firstRow="0" w:lastRow="0" w:firstColumn="0" w:lastColumn="1" w:oddVBand="0" w:evenVBand="0" w:oddHBand="0" w:evenHBand="0" w:firstRowFirstColumn="0" w:firstRowLastColumn="0" w:lastRowFirstColumn="0" w:lastRowLastColumn="0"/>
            <w:tcW w:w="376" w:type="pct"/>
          </w:tcPr>
          <w:p w14:paraId="6FF6AA00" w14:textId="77777777" w:rsidR="00B44672" w:rsidRDefault="00B44672" w:rsidP="00302865">
            <w:pPr>
              <w:pStyle w:val="Compact"/>
              <w:jc w:val="center"/>
            </w:pPr>
            <w:r>
              <w:t>-0.16</w:t>
            </w:r>
          </w:p>
        </w:tc>
      </w:tr>
      <w:tr w:rsidR="00B44672" w14:paraId="5E68E10E" w14:textId="77777777" w:rsidTr="0030286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7" w:type="pct"/>
          </w:tcPr>
          <w:p w14:paraId="35EA02D9" w14:textId="77777777" w:rsidR="00B44672" w:rsidRDefault="00B44672" w:rsidP="00302865">
            <w:pPr>
              <w:pStyle w:val="Compact"/>
            </w:pPr>
            <w:r>
              <w:t>Quint 5</w:t>
            </w:r>
          </w:p>
        </w:tc>
        <w:tc>
          <w:tcPr>
            <w:tcW w:w="444" w:type="pct"/>
          </w:tcPr>
          <w:p w14:paraId="6D7C2016"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29,468</w:t>
            </w:r>
          </w:p>
        </w:tc>
        <w:tc>
          <w:tcPr>
            <w:tcW w:w="444" w:type="pct"/>
          </w:tcPr>
          <w:p w14:paraId="4DE7E35A"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29,431</w:t>
            </w:r>
          </w:p>
        </w:tc>
        <w:tc>
          <w:tcPr>
            <w:tcW w:w="336" w:type="pct"/>
          </w:tcPr>
          <w:p w14:paraId="5409DB2C"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37</w:t>
            </w:r>
          </w:p>
        </w:tc>
        <w:tc>
          <w:tcPr>
            <w:tcW w:w="472" w:type="pct"/>
          </w:tcPr>
          <w:p w14:paraId="1929FAE8"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6,511</w:t>
            </w:r>
          </w:p>
        </w:tc>
        <w:tc>
          <w:tcPr>
            <w:tcW w:w="464" w:type="pct"/>
          </w:tcPr>
          <w:p w14:paraId="7A8B5A8A"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6,267</w:t>
            </w:r>
          </w:p>
        </w:tc>
        <w:tc>
          <w:tcPr>
            <w:tcW w:w="329" w:type="pct"/>
          </w:tcPr>
          <w:p w14:paraId="4F1D4C2E"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244</w:t>
            </w:r>
          </w:p>
        </w:tc>
        <w:tc>
          <w:tcPr>
            <w:tcW w:w="468" w:type="pct"/>
          </w:tcPr>
          <w:p w14:paraId="320057DB"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4.13</w:t>
            </w:r>
          </w:p>
        </w:tc>
        <w:tc>
          <w:tcPr>
            <w:tcW w:w="460" w:type="pct"/>
          </w:tcPr>
          <w:p w14:paraId="5237298D"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3.98</w:t>
            </w:r>
          </w:p>
        </w:tc>
        <w:tc>
          <w:tcPr>
            <w:cnfStyle w:val="000100000000" w:firstRow="0" w:lastRow="0" w:firstColumn="0" w:lastColumn="1" w:oddVBand="0" w:evenVBand="0" w:oddHBand="0" w:evenHBand="0" w:firstRowFirstColumn="0" w:firstRowLastColumn="0" w:lastRowFirstColumn="0" w:lastRowLastColumn="0"/>
            <w:tcW w:w="376" w:type="pct"/>
          </w:tcPr>
          <w:p w14:paraId="2941DA85" w14:textId="77777777" w:rsidR="00B44672" w:rsidRDefault="00B44672" w:rsidP="00302865">
            <w:pPr>
              <w:pStyle w:val="Compact"/>
              <w:jc w:val="center"/>
            </w:pPr>
            <w:r>
              <w:t>0.15</w:t>
            </w:r>
          </w:p>
        </w:tc>
      </w:tr>
    </w:tbl>
    <w:p w14:paraId="788EAD86"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14A3ECE9" w14:textId="77777777" w:rsidR="00B44672" w:rsidRDefault="00B44672">
      <w:pPr>
        <w:jc w:val="left"/>
        <w:rPr>
          <w:b/>
          <w:i/>
          <w:color w:val="365F91" w:themeColor="accent1" w:themeShade="BF"/>
        </w:rPr>
      </w:pPr>
      <w:r>
        <w:br w:type="page"/>
      </w:r>
    </w:p>
    <w:p w14:paraId="6FC46A9A" w14:textId="77777777" w:rsidR="00B44672" w:rsidRDefault="00B44672" w:rsidP="00C83581">
      <w:pPr>
        <w:pStyle w:val="TableCaption"/>
      </w:pPr>
      <w:r>
        <w:lastRenderedPageBreak/>
        <w:t>Table 18a - The impact of tax reform on stamp duty and rate paid by income quintile, average 2012 – 2018 (keeping only those income units purchasing properties in both new and old policies)</w:t>
      </w:r>
    </w:p>
    <w:tbl>
      <w:tblPr>
        <w:tblStyle w:val="Table"/>
        <w:tblW w:w="5675" w:type="pct"/>
        <w:jc w:val="center"/>
        <w:tblCellMar>
          <w:left w:w="0" w:type="dxa"/>
          <w:right w:w="0" w:type="dxa"/>
        </w:tblCellMar>
        <w:tblLook w:val="07E0" w:firstRow="1" w:lastRow="1" w:firstColumn="1" w:lastColumn="1" w:noHBand="1" w:noVBand="1"/>
        <w:tblCaption w:val="Table 18a - The impact of tax reform on stamp duty and rate paid by income quintile, average 2012 – 2018 (keep only those purchasing properties in both new and old policies)"/>
      </w:tblPr>
      <w:tblGrid>
        <w:gridCol w:w="2601"/>
        <w:gridCol w:w="1105"/>
        <w:gridCol w:w="1233"/>
        <w:gridCol w:w="1233"/>
        <w:gridCol w:w="940"/>
        <w:gridCol w:w="955"/>
        <w:gridCol w:w="955"/>
        <w:gridCol w:w="1223"/>
      </w:tblGrid>
      <w:tr w:rsidR="00B44672" w14:paraId="21BC877E" w14:textId="77777777" w:rsidTr="00A567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pct"/>
            <w:tcBorders>
              <w:bottom w:val="single" w:sz="0" w:space="0" w:color="auto"/>
            </w:tcBorders>
            <w:vAlign w:val="bottom"/>
          </w:tcPr>
          <w:p w14:paraId="5D3A8C7B" w14:textId="77777777" w:rsidR="00B44672" w:rsidRDefault="00B44672" w:rsidP="000511CA"/>
        </w:tc>
        <w:tc>
          <w:tcPr>
            <w:tcW w:w="539" w:type="pct"/>
            <w:tcBorders>
              <w:bottom w:val="single" w:sz="0" w:space="0" w:color="auto"/>
            </w:tcBorders>
            <w:vAlign w:val="bottom"/>
          </w:tcPr>
          <w:p w14:paraId="2A2C3250"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Both tax policies - # affected</w:t>
            </w:r>
          </w:p>
        </w:tc>
        <w:tc>
          <w:tcPr>
            <w:tcW w:w="602" w:type="pct"/>
            <w:tcBorders>
              <w:bottom w:val="single" w:sz="0" w:space="0" w:color="auto"/>
            </w:tcBorders>
            <w:vAlign w:val="bottom"/>
          </w:tcPr>
          <w:p w14:paraId="7C92E28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duty &amp; rate $</w:t>
            </w:r>
          </w:p>
        </w:tc>
        <w:tc>
          <w:tcPr>
            <w:tcW w:w="602" w:type="pct"/>
            <w:tcBorders>
              <w:bottom w:val="single" w:sz="0" w:space="0" w:color="auto"/>
            </w:tcBorders>
            <w:vAlign w:val="bottom"/>
          </w:tcPr>
          <w:p w14:paraId="2A0A43F8"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duty &amp; rate $</w:t>
            </w:r>
          </w:p>
        </w:tc>
        <w:tc>
          <w:tcPr>
            <w:tcW w:w="459" w:type="pct"/>
            <w:tcBorders>
              <w:bottom w:val="single" w:sz="0" w:space="0" w:color="auto"/>
            </w:tcBorders>
            <w:vAlign w:val="bottom"/>
          </w:tcPr>
          <w:p w14:paraId="66DE4799"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duty &amp; rate $</w:t>
            </w:r>
          </w:p>
        </w:tc>
        <w:tc>
          <w:tcPr>
            <w:tcW w:w="466" w:type="pct"/>
            <w:tcBorders>
              <w:bottom w:val="single" w:sz="0" w:space="0" w:color="auto"/>
            </w:tcBorders>
            <w:vAlign w:val="bottom"/>
          </w:tcPr>
          <w:p w14:paraId="786DB5D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66" w:type="pct"/>
            <w:tcBorders>
              <w:bottom w:val="single" w:sz="0" w:space="0" w:color="auto"/>
            </w:tcBorders>
            <w:vAlign w:val="bottom"/>
          </w:tcPr>
          <w:p w14:paraId="23E6ADB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597" w:type="pct"/>
            <w:tcBorders>
              <w:bottom w:val="single" w:sz="0" w:space="0" w:color="auto"/>
            </w:tcBorders>
            <w:vAlign w:val="bottom"/>
          </w:tcPr>
          <w:p w14:paraId="63A3E607" w14:textId="77777777" w:rsidR="00B44672" w:rsidRDefault="00B44672" w:rsidP="000511CA">
            <w:pPr>
              <w:pStyle w:val="Compact"/>
              <w:jc w:val="center"/>
            </w:pPr>
            <w:r>
              <w:t>Diff - % point change in income</w:t>
            </w:r>
          </w:p>
        </w:tc>
      </w:tr>
      <w:tr w:rsidR="00B44672" w14:paraId="5FE405E8"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58A6A44B" w14:textId="77777777" w:rsidR="00B44672" w:rsidRDefault="00B44672" w:rsidP="00CB6E83">
            <w:pPr>
              <w:pStyle w:val="Compact"/>
            </w:pPr>
            <w:r w:rsidRPr="00AF6491">
              <w:rPr>
                <w:b/>
                <w:i/>
                <w:iCs/>
                <w:color w:val="365F91" w:themeColor="accent1" w:themeShade="BF"/>
              </w:rPr>
              <w:t>No price change</w:t>
            </w:r>
          </w:p>
        </w:tc>
        <w:tc>
          <w:tcPr>
            <w:tcW w:w="539" w:type="pct"/>
          </w:tcPr>
          <w:p w14:paraId="0BF9C1F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602" w:type="pct"/>
          </w:tcPr>
          <w:p w14:paraId="0791F53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602" w:type="pct"/>
          </w:tcPr>
          <w:p w14:paraId="057947C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59" w:type="pct"/>
          </w:tcPr>
          <w:p w14:paraId="18C450E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66" w:type="pct"/>
          </w:tcPr>
          <w:p w14:paraId="3E5F6D3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66" w:type="pct"/>
          </w:tcPr>
          <w:p w14:paraId="6DED36D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97" w:type="pct"/>
          </w:tcPr>
          <w:p w14:paraId="405D8C81" w14:textId="77777777" w:rsidR="00B44672" w:rsidRDefault="00B44672" w:rsidP="00CB6E83">
            <w:pPr>
              <w:pStyle w:val="Compact"/>
              <w:jc w:val="center"/>
            </w:pPr>
          </w:p>
        </w:tc>
      </w:tr>
      <w:tr w:rsidR="00B44672" w14:paraId="6EE1BA08"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49C37557" w14:textId="77777777" w:rsidR="00B44672" w:rsidRDefault="00B44672" w:rsidP="00CB6E83">
            <w:pPr>
              <w:pStyle w:val="Compact"/>
            </w:pPr>
            <w:r>
              <w:t>Quint 1</w:t>
            </w:r>
          </w:p>
        </w:tc>
        <w:tc>
          <w:tcPr>
            <w:tcW w:w="539" w:type="pct"/>
          </w:tcPr>
          <w:p w14:paraId="6A795F3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602" w:type="pct"/>
          </w:tcPr>
          <w:p w14:paraId="4D46042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1,532</w:t>
            </w:r>
          </w:p>
        </w:tc>
        <w:tc>
          <w:tcPr>
            <w:tcW w:w="602" w:type="pct"/>
          </w:tcPr>
          <w:p w14:paraId="1219A00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1,378</w:t>
            </w:r>
          </w:p>
        </w:tc>
        <w:tc>
          <w:tcPr>
            <w:tcW w:w="459" w:type="pct"/>
          </w:tcPr>
          <w:p w14:paraId="7C1D53A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153</w:t>
            </w:r>
          </w:p>
        </w:tc>
        <w:tc>
          <w:tcPr>
            <w:tcW w:w="466" w:type="pct"/>
          </w:tcPr>
          <w:p w14:paraId="0C1E49F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5.91</w:t>
            </w:r>
          </w:p>
        </w:tc>
        <w:tc>
          <w:tcPr>
            <w:tcW w:w="466" w:type="pct"/>
          </w:tcPr>
          <w:p w14:paraId="01075F2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5.32</w:t>
            </w:r>
          </w:p>
        </w:tc>
        <w:tc>
          <w:tcPr>
            <w:cnfStyle w:val="000100000000" w:firstRow="0" w:lastRow="0" w:firstColumn="0" w:lastColumn="1" w:oddVBand="0" w:evenVBand="0" w:oddHBand="0" w:evenHBand="0" w:firstRowFirstColumn="0" w:firstRowLastColumn="0" w:lastRowFirstColumn="0" w:lastRowLastColumn="0"/>
            <w:tcW w:w="597" w:type="pct"/>
          </w:tcPr>
          <w:p w14:paraId="12DACC71" w14:textId="77777777" w:rsidR="00B44672" w:rsidRDefault="00B44672" w:rsidP="00CB6E83">
            <w:pPr>
              <w:pStyle w:val="Compact"/>
              <w:jc w:val="center"/>
            </w:pPr>
            <w:r>
              <w:t>0.59</w:t>
            </w:r>
          </w:p>
        </w:tc>
      </w:tr>
      <w:tr w:rsidR="00B44672" w14:paraId="0C1F7EC8"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64AAA5F9" w14:textId="77777777" w:rsidR="00B44672" w:rsidRDefault="00B44672" w:rsidP="00CB6E83">
            <w:pPr>
              <w:pStyle w:val="Compact"/>
            </w:pPr>
            <w:r>
              <w:t>Quint 2</w:t>
            </w:r>
          </w:p>
        </w:tc>
        <w:tc>
          <w:tcPr>
            <w:tcW w:w="539" w:type="pct"/>
          </w:tcPr>
          <w:p w14:paraId="01AE3A9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17,928</w:t>
            </w:r>
          </w:p>
        </w:tc>
        <w:tc>
          <w:tcPr>
            <w:tcW w:w="602" w:type="pct"/>
          </w:tcPr>
          <w:p w14:paraId="140B8E3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2,740</w:t>
            </w:r>
          </w:p>
        </w:tc>
        <w:tc>
          <w:tcPr>
            <w:tcW w:w="602" w:type="pct"/>
          </w:tcPr>
          <w:p w14:paraId="1A5BFDD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2,738</w:t>
            </w:r>
          </w:p>
        </w:tc>
        <w:tc>
          <w:tcPr>
            <w:tcW w:w="459" w:type="pct"/>
          </w:tcPr>
          <w:p w14:paraId="56262FD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w:t>
            </w:r>
          </w:p>
        </w:tc>
        <w:tc>
          <w:tcPr>
            <w:tcW w:w="466" w:type="pct"/>
          </w:tcPr>
          <w:p w14:paraId="12064C4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4.65</w:t>
            </w:r>
          </w:p>
        </w:tc>
        <w:tc>
          <w:tcPr>
            <w:tcW w:w="466" w:type="pct"/>
          </w:tcPr>
          <w:p w14:paraId="16A945B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4.65</w:t>
            </w:r>
          </w:p>
        </w:tc>
        <w:tc>
          <w:tcPr>
            <w:cnfStyle w:val="000100000000" w:firstRow="0" w:lastRow="0" w:firstColumn="0" w:lastColumn="1" w:oddVBand="0" w:evenVBand="0" w:oddHBand="0" w:evenHBand="0" w:firstRowFirstColumn="0" w:firstRowLastColumn="0" w:lastRowFirstColumn="0" w:lastRowLastColumn="0"/>
            <w:tcW w:w="597" w:type="pct"/>
          </w:tcPr>
          <w:p w14:paraId="76E3617A" w14:textId="77777777" w:rsidR="00B44672" w:rsidRDefault="00B44672" w:rsidP="00CB6E83">
            <w:pPr>
              <w:pStyle w:val="Compact"/>
              <w:jc w:val="center"/>
            </w:pPr>
            <w:r>
              <w:t>0.00</w:t>
            </w:r>
          </w:p>
        </w:tc>
      </w:tr>
      <w:tr w:rsidR="00B44672" w14:paraId="05231A1F"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2F4F8311" w14:textId="77777777" w:rsidR="00B44672" w:rsidRDefault="00B44672" w:rsidP="00CB6E83">
            <w:pPr>
              <w:pStyle w:val="Compact"/>
            </w:pPr>
            <w:r>
              <w:t>Quint 3</w:t>
            </w:r>
          </w:p>
        </w:tc>
        <w:tc>
          <w:tcPr>
            <w:tcW w:w="539" w:type="pct"/>
          </w:tcPr>
          <w:p w14:paraId="1863F6C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23,500</w:t>
            </w:r>
          </w:p>
        </w:tc>
        <w:tc>
          <w:tcPr>
            <w:tcW w:w="602" w:type="pct"/>
          </w:tcPr>
          <w:p w14:paraId="4DFFBED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4,074</w:t>
            </w:r>
          </w:p>
        </w:tc>
        <w:tc>
          <w:tcPr>
            <w:tcW w:w="602" w:type="pct"/>
          </w:tcPr>
          <w:p w14:paraId="6749D41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4,420</w:t>
            </w:r>
          </w:p>
        </w:tc>
        <w:tc>
          <w:tcPr>
            <w:tcW w:w="459" w:type="pct"/>
          </w:tcPr>
          <w:p w14:paraId="165A4BD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-346</w:t>
            </w:r>
          </w:p>
        </w:tc>
        <w:tc>
          <w:tcPr>
            <w:tcW w:w="466" w:type="pct"/>
          </w:tcPr>
          <w:p w14:paraId="211CA75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5.04</w:t>
            </w:r>
          </w:p>
        </w:tc>
        <w:tc>
          <w:tcPr>
            <w:tcW w:w="466" w:type="pct"/>
          </w:tcPr>
          <w:p w14:paraId="634C707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5.47</w:t>
            </w:r>
          </w:p>
        </w:tc>
        <w:tc>
          <w:tcPr>
            <w:cnfStyle w:val="000100000000" w:firstRow="0" w:lastRow="0" w:firstColumn="0" w:lastColumn="1" w:oddVBand="0" w:evenVBand="0" w:oddHBand="0" w:evenHBand="0" w:firstRowFirstColumn="0" w:firstRowLastColumn="0" w:lastRowFirstColumn="0" w:lastRowLastColumn="0"/>
            <w:tcW w:w="597" w:type="pct"/>
          </w:tcPr>
          <w:p w14:paraId="0683B0D2" w14:textId="77777777" w:rsidR="00B44672" w:rsidRDefault="00B44672" w:rsidP="00CB6E83">
            <w:pPr>
              <w:pStyle w:val="Compact"/>
              <w:jc w:val="center"/>
            </w:pPr>
            <w:r>
              <w:t>-0.43</w:t>
            </w:r>
          </w:p>
        </w:tc>
      </w:tr>
      <w:tr w:rsidR="00B44672" w14:paraId="1C47B0FF"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2EADC2B9" w14:textId="77777777" w:rsidR="00B44672" w:rsidRDefault="00B44672" w:rsidP="00CB6E83">
            <w:pPr>
              <w:pStyle w:val="Compact"/>
            </w:pPr>
            <w:r>
              <w:t>Quint 4</w:t>
            </w:r>
          </w:p>
        </w:tc>
        <w:tc>
          <w:tcPr>
            <w:tcW w:w="539" w:type="pct"/>
          </w:tcPr>
          <w:p w14:paraId="5B13F42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23,796</w:t>
            </w:r>
          </w:p>
        </w:tc>
        <w:tc>
          <w:tcPr>
            <w:tcW w:w="602" w:type="pct"/>
          </w:tcPr>
          <w:p w14:paraId="278B01F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4,987</w:t>
            </w:r>
          </w:p>
        </w:tc>
        <w:tc>
          <w:tcPr>
            <w:tcW w:w="602" w:type="pct"/>
          </w:tcPr>
          <w:p w14:paraId="1AD7539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5,250</w:t>
            </w:r>
          </w:p>
        </w:tc>
        <w:tc>
          <w:tcPr>
            <w:tcW w:w="459" w:type="pct"/>
          </w:tcPr>
          <w:p w14:paraId="51AED98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-263</w:t>
            </w:r>
          </w:p>
        </w:tc>
        <w:tc>
          <w:tcPr>
            <w:tcW w:w="466" w:type="pct"/>
          </w:tcPr>
          <w:p w14:paraId="3BDB7AF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4.55</w:t>
            </w:r>
          </w:p>
        </w:tc>
        <w:tc>
          <w:tcPr>
            <w:tcW w:w="466" w:type="pct"/>
          </w:tcPr>
          <w:p w14:paraId="6E0A142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4.79</w:t>
            </w:r>
          </w:p>
        </w:tc>
        <w:tc>
          <w:tcPr>
            <w:cnfStyle w:val="000100000000" w:firstRow="0" w:lastRow="0" w:firstColumn="0" w:lastColumn="1" w:oddVBand="0" w:evenVBand="0" w:oddHBand="0" w:evenHBand="0" w:firstRowFirstColumn="0" w:firstRowLastColumn="0" w:lastRowFirstColumn="0" w:lastRowLastColumn="0"/>
            <w:tcW w:w="597" w:type="pct"/>
          </w:tcPr>
          <w:p w14:paraId="13B4DB24" w14:textId="77777777" w:rsidR="00B44672" w:rsidRDefault="00B44672" w:rsidP="00CB6E83">
            <w:pPr>
              <w:pStyle w:val="Compact"/>
              <w:jc w:val="center"/>
            </w:pPr>
            <w:r>
              <w:t>-0.24</w:t>
            </w:r>
          </w:p>
        </w:tc>
      </w:tr>
      <w:tr w:rsidR="00B44672" w14:paraId="23075F94"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055DF3F7" w14:textId="77777777" w:rsidR="00B44672" w:rsidRDefault="00B44672" w:rsidP="00CB6E83">
            <w:pPr>
              <w:pStyle w:val="Compact"/>
            </w:pPr>
            <w:r>
              <w:t>Quint 5</w:t>
            </w:r>
          </w:p>
        </w:tc>
        <w:tc>
          <w:tcPr>
            <w:tcW w:w="539" w:type="pct"/>
          </w:tcPr>
          <w:p w14:paraId="00650F9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29,408</w:t>
            </w:r>
          </w:p>
        </w:tc>
        <w:tc>
          <w:tcPr>
            <w:tcW w:w="602" w:type="pct"/>
          </w:tcPr>
          <w:p w14:paraId="4013EAE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6,486</w:t>
            </w:r>
          </w:p>
        </w:tc>
        <w:tc>
          <w:tcPr>
            <w:tcW w:w="602" w:type="pct"/>
          </w:tcPr>
          <w:p w14:paraId="57283C1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6,325</w:t>
            </w:r>
          </w:p>
        </w:tc>
        <w:tc>
          <w:tcPr>
            <w:tcW w:w="459" w:type="pct"/>
          </w:tcPr>
          <w:p w14:paraId="3D97581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161</w:t>
            </w:r>
          </w:p>
        </w:tc>
        <w:tc>
          <w:tcPr>
            <w:tcW w:w="466" w:type="pct"/>
          </w:tcPr>
          <w:p w14:paraId="721A3FB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4.11</w:t>
            </w:r>
          </w:p>
        </w:tc>
        <w:tc>
          <w:tcPr>
            <w:tcW w:w="466" w:type="pct"/>
          </w:tcPr>
          <w:p w14:paraId="740C455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4.01</w:t>
            </w:r>
          </w:p>
        </w:tc>
        <w:tc>
          <w:tcPr>
            <w:cnfStyle w:val="000100000000" w:firstRow="0" w:lastRow="0" w:firstColumn="0" w:lastColumn="1" w:oddVBand="0" w:evenVBand="0" w:oddHBand="0" w:evenHBand="0" w:firstRowFirstColumn="0" w:firstRowLastColumn="0" w:lastRowFirstColumn="0" w:lastRowLastColumn="0"/>
            <w:tcW w:w="597" w:type="pct"/>
          </w:tcPr>
          <w:p w14:paraId="15CE3657" w14:textId="77777777" w:rsidR="00B44672" w:rsidRDefault="00B44672" w:rsidP="00CB6E83">
            <w:pPr>
              <w:pStyle w:val="Compact"/>
              <w:jc w:val="center"/>
            </w:pPr>
            <w:r>
              <w:t>0.10</w:t>
            </w:r>
          </w:p>
        </w:tc>
      </w:tr>
      <w:tr w:rsidR="00B44672" w14:paraId="38703584"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6CEA7E8A"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539" w:type="pct"/>
          </w:tcPr>
          <w:p w14:paraId="7B0562C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602" w:type="pct"/>
          </w:tcPr>
          <w:p w14:paraId="18AC374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602" w:type="pct"/>
          </w:tcPr>
          <w:p w14:paraId="21D077E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59" w:type="pct"/>
          </w:tcPr>
          <w:p w14:paraId="5595AB9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6" w:type="pct"/>
          </w:tcPr>
          <w:p w14:paraId="69E4C0A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6" w:type="pct"/>
          </w:tcPr>
          <w:p w14:paraId="07BFD01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97" w:type="pct"/>
          </w:tcPr>
          <w:p w14:paraId="649EBAC6" w14:textId="77777777" w:rsidR="00B44672" w:rsidRDefault="00B44672" w:rsidP="00A567C4">
            <w:pPr>
              <w:pStyle w:val="Compact"/>
              <w:jc w:val="center"/>
            </w:pPr>
          </w:p>
        </w:tc>
      </w:tr>
      <w:tr w:rsidR="00B44672" w14:paraId="6C111AE1"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43C1DEE5" w14:textId="77777777" w:rsidR="00B44672" w:rsidRDefault="00B44672" w:rsidP="00A567C4">
            <w:pPr>
              <w:pStyle w:val="Compact"/>
            </w:pPr>
            <w:r>
              <w:t>Quint 1</w:t>
            </w:r>
          </w:p>
        </w:tc>
        <w:tc>
          <w:tcPr>
            <w:tcW w:w="539" w:type="pct"/>
          </w:tcPr>
          <w:p w14:paraId="7F90DE2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602" w:type="pct"/>
          </w:tcPr>
          <w:p w14:paraId="73A6FAF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1,532</w:t>
            </w:r>
          </w:p>
        </w:tc>
        <w:tc>
          <w:tcPr>
            <w:tcW w:w="602" w:type="pct"/>
          </w:tcPr>
          <w:p w14:paraId="67F5F71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1,374</w:t>
            </w:r>
          </w:p>
        </w:tc>
        <w:tc>
          <w:tcPr>
            <w:tcW w:w="459" w:type="pct"/>
          </w:tcPr>
          <w:p w14:paraId="6215442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157</w:t>
            </w:r>
          </w:p>
        </w:tc>
        <w:tc>
          <w:tcPr>
            <w:tcW w:w="466" w:type="pct"/>
          </w:tcPr>
          <w:p w14:paraId="64E5B19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5.91</w:t>
            </w:r>
          </w:p>
        </w:tc>
        <w:tc>
          <w:tcPr>
            <w:tcW w:w="466" w:type="pct"/>
          </w:tcPr>
          <w:p w14:paraId="5AD9D02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5.31</w:t>
            </w:r>
          </w:p>
        </w:tc>
        <w:tc>
          <w:tcPr>
            <w:cnfStyle w:val="000100000000" w:firstRow="0" w:lastRow="0" w:firstColumn="0" w:lastColumn="1" w:oddVBand="0" w:evenVBand="0" w:oddHBand="0" w:evenHBand="0" w:firstRowFirstColumn="0" w:firstRowLastColumn="0" w:lastRowFirstColumn="0" w:lastRowLastColumn="0"/>
            <w:tcW w:w="597" w:type="pct"/>
          </w:tcPr>
          <w:p w14:paraId="711274A0" w14:textId="77777777" w:rsidR="00B44672" w:rsidRDefault="00B44672" w:rsidP="00A567C4">
            <w:pPr>
              <w:pStyle w:val="Compact"/>
              <w:jc w:val="center"/>
            </w:pPr>
            <w:r>
              <w:t>0.61</w:t>
            </w:r>
          </w:p>
        </w:tc>
      </w:tr>
      <w:tr w:rsidR="00B44672" w14:paraId="3D4C426F"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67411436" w14:textId="77777777" w:rsidR="00B44672" w:rsidRDefault="00B44672" w:rsidP="00A567C4">
            <w:pPr>
              <w:pStyle w:val="Compact"/>
            </w:pPr>
            <w:r>
              <w:t>Quint 2</w:t>
            </w:r>
          </w:p>
        </w:tc>
        <w:tc>
          <w:tcPr>
            <w:tcW w:w="539" w:type="pct"/>
          </w:tcPr>
          <w:p w14:paraId="46B139C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17,933</w:t>
            </w:r>
          </w:p>
        </w:tc>
        <w:tc>
          <w:tcPr>
            <w:tcW w:w="602" w:type="pct"/>
          </w:tcPr>
          <w:p w14:paraId="180353A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2,744</w:t>
            </w:r>
          </w:p>
        </w:tc>
        <w:tc>
          <w:tcPr>
            <w:tcW w:w="602" w:type="pct"/>
          </w:tcPr>
          <w:p w14:paraId="52ADE46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2,735</w:t>
            </w:r>
          </w:p>
        </w:tc>
        <w:tc>
          <w:tcPr>
            <w:tcW w:w="459" w:type="pct"/>
          </w:tcPr>
          <w:p w14:paraId="741FDAA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w:t>
            </w:r>
          </w:p>
        </w:tc>
        <w:tc>
          <w:tcPr>
            <w:tcW w:w="466" w:type="pct"/>
          </w:tcPr>
          <w:p w14:paraId="0513D19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4.66</w:t>
            </w:r>
          </w:p>
        </w:tc>
        <w:tc>
          <w:tcPr>
            <w:tcW w:w="466" w:type="pct"/>
          </w:tcPr>
          <w:p w14:paraId="645D86F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4.64</w:t>
            </w:r>
          </w:p>
        </w:tc>
        <w:tc>
          <w:tcPr>
            <w:cnfStyle w:val="000100000000" w:firstRow="0" w:lastRow="0" w:firstColumn="0" w:lastColumn="1" w:oddVBand="0" w:evenVBand="0" w:oddHBand="0" w:evenHBand="0" w:firstRowFirstColumn="0" w:firstRowLastColumn="0" w:lastRowFirstColumn="0" w:lastRowLastColumn="0"/>
            <w:tcW w:w="597" w:type="pct"/>
          </w:tcPr>
          <w:p w14:paraId="730FB97F" w14:textId="77777777" w:rsidR="00B44672" w:rsidRDefault="00B44672" w:rsidP="00A567C4">
            <w:pPr>
              <w:pStyle w:val="Compact"/>
              <w:jc w:val="center"/>
            </w:pPr>
            <w:r>
              <w:t>0.01</w:t>
            </w:r>
          </w:p>
        </w:tc>
      </w:tr>
      <w:tr w:rsidR="00B44672" w14:paraId="7BF2B95B"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319D7B8F" w14:textId="77777777" w:rsidR="00B44672" w:rsidRDefault="00B44672" w:rsidP="00A567C4">
            <w:pPr>
              <w:pStyle w:val="Compact"/>
            </w:pPr>
            <w:r>
              <w:t>Quint 3</w:t>
            </w:r>
          </w:p>
        </w:tc>
        <w:tc>
          <w:tcPr>
            <w:tcW w:w="539" w:type="pct"/>
          </w:tcPr>
          <w:p w14:paraId="0199F19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23,500</w:t>
            </w:r>
          </w:p>
        </w:tc>
        <w:tc>
          <w:tcPr>
            <w:tcW w:w="602" w:type="pct"/>
          </w:tcPr>
          <w:p w14:paraId="09D71DF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4,074</w:t>
            </w:r>
          </w:p>
        </w:tc>
        <w:tc>
          <w:tcPr>
            <w:tcW w:w="602" w:type="pct"/>
          </w:tcPr>
          <w:p w14:paraId="1CA5E90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4,396</w:t>
            </w:r>
          </w:p>
        </w:tc>
        <w:tc>
          <w:tcPr>
            <w:tcW w:w="459" w:type="pct"/>
          </w:tcPr>
          <w:p w14:paraId="23E94B0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-322</w:t>
            </w:r>
          </w:p>
        </w:tc>
        <w:tc>
          <w:tcPr>
            <w:tcW w:w="466" w:type="pct"/>
          </w:tcPr>
          <w:p w14:paraId="47F13F4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5.04</w:t>
            </w:r>
          </w:p>
        </w:tc>
        <w:tc>
          <w:tcPr>
            <w:tcW w:w="466" w:type="pct"/>
          </w:tcPr>
          <w:p w14:paraId="0D163BB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5.44</w:t>
            </w:r>
          </w:p>
        </w:tc>
        <w:tc>
          <w:tcPr>
            <w:cnfStyle w:val="000100000000" w:firstRow="0" w:lastRow="0" w:firstColumn="0" w:lastColumn="1" w:oddVBand="0" w:evenVBand="0" w:oddHBand="0" w:evenHBand="0" w:firstRowFirstColumn="0" w:firstRowLastColumn="0" w:lastRowFirstColumn="0" w:lastRowLastColumn="0"/>
            <w:tcW w:w="597" w:type="pct"/>
          </w:tcPr>
          <w:p w14:paraId="28FC8E7A" w14:textId="77777777" w:rsidR="00B44672" w:rsidRDefault="00B44672" w:rsidP="00A567C4">
            <w:pPr>
              <w:pStyle w:val="Compact"/>
              <w:jc w:val="center"/>
            </w:pPr>
            <w:r>
              <w:t>-0.40</w:t>
            </w:r>
          </w:p>
        </w:tc>
      </w:tr>
      <w:tr w:rsidR="00B44672" w14:paraId="4D6F89B9"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29BDCC80" w14:textId="77777777" w:rsidR="00B44672" w:rsidRDefault="00B44672" w:rsidP="00A567C4">
            <w:pPr>
              <w:pStyle w:val="Compact"/>
            </w:pPr>
            <w:r>
              <w:t>Quint 4</w:t>
            </w:r>
          </w:p>
        </w:tc>
        <w:tc>
          <w:tcPr>
            <w:tcW w:w="539" w:type="pct"/>
          </w:tcPr>
          <w:p w14:paraId="715B087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23,802</w:t>
            </w:r>
          </w:p>
        </w:tc>
        <w:tc>
          <w:tcPr>
            <w:tcW w:w="602" w:type="pct"/>
          </w:tcPr>
          <w:p w14:paraId="4C609F6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4,989</w:t>
            </w:r>
          </w:p>
        </w:tc>
        <w:tc>
          <w:tcPr>
            <w:tcW w:w="602" w:type="pct"/>
          </w:tcPr>
          <w:p w14:paraId="31CF710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5,219</w:t>
            </w:r>
          </w:p>
        </w:tc>
        <w:tc>
          <w:tcPr>
            <w:tcW w:w="459" w:type="pct"/>
          </w:tcPr>
          <w:p w14:paraId="7E2F1D9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-229</w:t>
            </w:r>
          </w:p>
        </w:tc>
        <w:tc>
          <w:tcPr>
            <w:tcW w:w="466" w:type="pct"/>
          </w:tcPr>
          <w:p w14:paraId="708FD93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4.56</w:t>
            </w:r>
          </w:p>
        </w:tc>
        <w:tc>
          <w:tcPr>
            <w:tcW w:w="466" w:type="pct"/>
          </w:tcPr>
          <w:p w14:paraId="598DE4D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4.77</w:t>
            </w:r>
          </w:p>
        </w:tc>
        <w:tc>
          <w:tcPr>
            <w:cnfStyle w:val="000100000000" w:firstRow="0" w:lastRow="0" w:firstColumn="0" w:lastColumn="1" w:oddVBand="0" w:evenVBand="0" w:oddHBand="0" w:evenHBand="0" w:firstRowFirstColumn="0" w:firstRowLastColumn="0" w:lastRowFirstColumn="0" w:lastRowLastColumn="0"/>
            <w:tcW w:w="597" w:type="pct"/>
          </w:tcPr>
          <w:p w14:paraId="339099F8" w14:textId="77777777" w:rsidR="00B44672" w:rsidRDefault="00B44672" w:rsidP="00A567C4">
            <w:pPr>
              <w:pStyle w:val="Compact"/>
              <w:jc w:val="center"/>
            </w:pPr>
            <w:r>
              <w:t>-0.21</w:t>
            </w:r>
          </w:p>
        </w:tc>
      </w:tr>
      <w:tr w:rsidR="00B44672" w14:paraId="50F01512"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4B0354C0" w14:textId="77777777" w:rsidR="00B44672" w:rsidRDefault="00B44672" w:rsidP="00A567C4">
            <w:pPr>
              <w:pStyle w:val="Compact"/>
            </w:pPr>
            <w:r>
              <w:t>Quint 5</w:t>
            </w:r>
          </w:p>
        </w:tc>
        <w:tc>
          <w:tcPr>
            <w:tcW w:w="539" w:type="pct"/>
          </w:tcPr>
          <w:p w14:paraId="59D71BB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29,410</w:t>
            </w:r>
          </w:p>
        </w:tc>
        <w:tc>
          <w:tcPr>
            <w:tcW w:w="602" w:type="pct"/>
          </w:tcPr>
          <w:p w14:paraId="2C4F571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6,487</w:t>
            </w:r>
          </w:p>
        </w:tc>
        <w:tc>
          <w:tcPr>
            <w:tcW w:w="602" w:type="pct"/>
          </w:tcPr>
          <w:p w14:paraId="7ACD8AE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6,290</w:t>
            </w:r>
          </w:p>
        </w:tc>
        <w:tc>
          <w:tcPr>
            <w:tcW w:w="459" w:type="pct"/>
          </w:tcPr>
          <w:p w14:paraId="3A57004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196</w:t>
            </w:r>
          </w:p>
        </w:tc>
        <w:tc>
          <w:tcPr>
            <w:tcW w:w="466" w:type="pct"/>
          </w:tcPr>
          <w:p w14:paraId="36B1C84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4.11</w:t>
            </w:r>
          </w:p>
        </w:tc>
        <w:tc>
          <w:tcPr>
            <w:tcW w:w="466" w:type="pct"/>
          </w:tcPr>
          <w:p w14:paraId="5D5E3A7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3.99</w:t>
            </w:r>
          </w:p>
        </w:tc>
        <w:tc>
          <w:tcPr>
            <w:cnfStyle w:val="000100000000" w:firstRow="0" w:lastRow="0" w:firstColumn="0" w:lastColumn="1" w:oddVBand="0" w:evenVBand="0" w:oddHBand="0" w:evenHBand="0" w:firstRowFirstColumn="0" w:firstRowLastColumn="0" w:lastRowFirstColumn="0" w:lastRowLastColumn="0"/>
            <w:tcW w:w="597" w:type="pct"/>
          </w:tcPr>
          <w:p w14:paraId="02F6CBAB" w14:textId="77777777" w:rsidR="00B44672" w:rsidRDefault="00B44672" w:rsidP="00A567C4">
            <w:pPr>
              <w:pStyle w:val="Compact"/>
              <w:jc w:val="center"/>
            </w:pPr>
            <w:r>
              <w:t>0.12</w:t>
            </w:r>
          </w:p>
        </w:tc>
      </w:tr>
      <w:tr w:rsidR="00B44672" w14:paraId="31D6FC77"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256524FE" w14:textId="77777777" w:rsidR="00B44672" w:rsidRDefault="00B44672" w:rsidP="00302865">
            <w:pPr>
              <w:pStyle w:val="Compact"/>
            </w:pPr>
            <w:r w:rsidRPr="00113FC1">
              <w:rPr>
                <w:b/>
                <w:i/>
                <w:iCs/>
                <w:color w:val="365F91" w:themeColor="accent1" w:themeShade="BF"/>
              </w:rPr>
              <w:t>1.24 – 2.19% price change</w:t>
            </w:r>
          </w:p>
        </w:tc>
        <w:tc>
          <w:tcPr>
            <w:tcW w:w="539" w:type="pct"/>
          </w:tcPr>
          <w:p w14:paraId="3448D96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602" w:type="pct"/>
          </w:tcPr>
          <w:p w14:paraId="69C8EF9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602" w:type="pct"/>
          </w:tcPr>
          <w:p w14:paraId="5C9BCC3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59" w:type="pct"/>
          </w:tcPr>
          <w:p w14:paraId="5FF656C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6" w:type="pct"/>
          </w:tcPr>
          <w:p w14:paraId="086D349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6" w:type="pct"/>
          </w:tcPr>
          <w:p w14:paraId="608671B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97" w:type="pct"/>
          </w:tcPr>
          <w:p w14:paraId="20C49D65" w14:textId="77777777" w:rsidR="00B44672" w:rsidRDefault="00B44672" w:rsidP="00302865">
            <w:pPr>
              <w:pStyle w:val="Compact"/>
              <w:jc w:val="center"/>
            </w:pPr>
          </w:p>
        </w:tc>
      </w:tr>
      <w:tr w:rsidR="00B44672" w14:paraId="6759228E"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1FA033BB" w14:textId="77777777" w:rsidR="00B44672" w:rsidRDefault="00B44672" w:rsidP="00302865">
            <w:pPr>
              <w:pStyle w:val="Compact"/>
            </w:pPr>
            <w:r>
              <w:t>Quint 1</w:t>
            </w:r>
          </w:p>
        </w:tc>
        <w:tc>
          <w:tcPr>
            <w:tcW w:w="539" w:type="pct"/>
          </w:tcPr>
          <w:p w14:paraId="5FED3FE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17,812</w:t>
            </w:r>
          </w:p>
        </w:tc>
        <w:tc>
          <w:tcPr>
            <w:tcW w:w="602" w:type="pct"/>
          </w:tcPr>
          <w:p w14:paraId="2BB8AEB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1,532</w:t>
            </w:r>
          </w:p>
        </w:tc>
        <w:tc>
          <w:tcPr>
            <w:tcW w:w="602" w:type="pct"/>
          </w:tcPr>
          <w:p w14:paraId="6713BF1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1,374</w:t>
            </w:r>
          </w:p>
        </w:tc>
        <w:tc>
          <w:tcPr>
            <w:tcW w:w="459" w:type="pct"/>
          </w:tcPr>
          <w:p w14:paraId="7B96543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158</w:t>
            </w:r>
          </w:p>
        </w:tc>
        <w:tc>
          <w:tcPr>
            <w:tcW w:w="466" w:type="pct"/>
          </w:tcPr>
          <w:p w14:paraId="512A3FD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5.91</w:t>
            </w:r>
          </w:p>
        </w:tc>
        <w:tc>
          <w:tcPr>
            <w:tcW w:w="466" w:type="pct"/>
          </w:tcPr>
          <w:p w14:paraId="5CDFDDD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5.30</w:t>
            </w:r>
          </w:p>
        </w:tc>
        <w:tc>
          <w:tcPr>
            <w:cnfStyle w:val="000100000000" w:firstRow="0" w:lastRow="0" w:firstColumn="0" w:lastColumn="1" w:oddVBand="0" w:evenVBand="0" w:oddHBand="0" w:evenHBand="0" w:firstRowFirstColumn="0" w:firstRowLastColumn="0" w:lastRowFirstColumn="0" w:lastRowLastColumn="0"/>
            <w:tcW w:w="597" w:type="pct"/>
          </w:tcPr>
          <w:p w14:paraId="134F616C" w14:textId="77777777" w:rsidR="00B44672" w:rsidRDefault="00B44672" w:rsidP="00302865">
            <w:pPr>
              <w:pStyle w:val="Compact"/>
              <w:jc w:val="center"/>
            </w:pPr>
            <w:r>
              <w:t>0.61</w:t>
            </w:r>
          </w:p>
        </w:tc>
      </w:tr>
      <w:tr w:rsidR="00B44672" w14:paraId="0F23E6C5"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618F95DF" w14:textId="77777777" w:rsidR="00B44672" w:rsidRDefault="00B44672" w:rsidP="00302865">
            <w:pPr>
              <w:pStyle w:val="Compact"/>
            </w:pPr>
            <w:r>
              <w:t>Quint 2</w:t>
            </w:r>
          </w:p>
        </w:tc>
        <w:tc>
          <w:tcPr>
            <w:tcW w:w="539" w:type="pct"/>
          </w:tcPr>
          <w:p w14:paraId="5C75889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17,943</w:t>
            </w:r>
          </w:p>
        </w:tc>
        <w:tc>
          <w:tcPr>
            <w:tcW w:w="602" w:type="pct"/>
          </w:tcPr>
          <w:p w14:paraId="2406F1D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2,755</w:t>
            </w:r>
          </w:p>
        </w:tc>
        <w:tc>
          <w:tcPr>
            <w:tcW w:w="602" w:type="pct"/>
          </w:tcPr>
          <w:p w14:paraId="3979644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2,742</w:t>
            </w:r>
          </w:p>
        </w:tc>
        <w:tc>
          <w:tcPr>
            <w:tcW w:w="459" w:type="pct"/>
          </w:tcPr>
          <w:p w14:paraId="0109E6F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w:t>
            </w:r>
          </w:p>
        </w:tc>
        <w:tc>
          <w:tcPr>
            <w:tcW w:w="466" w:type="pct"/>
          </w:tcPr>
          <w:p w14:paraId="73ED86E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4.68</w:t>
            </w:r>
          </w:p>
        </w:tc>
        <w:tc>
          <w:tcPr>
            <w:tcW w:w="466" w:type="pct"/>
          </w:tcPr>
          <w:p w14:paraId="7A5C9C6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4.65</w:t>
            </w:r>
          </w:p>
        </w:tc>
        <w:tc>
          <w:tcPr>
            <w:cnfStyle w:val="000100000000" w:firstRow="0" w:lastRow="0" w:firstColumn="0" w:lastColumn="1" w:oddVBand="0" w:evenVBand="0" w:oddHBand="0" w:evenHBand="0" w:firstRowFirstColumn="0" w:firstRowLastColumn="0" w:lastRowFirstColumn="0" w:lastRowLastColumn="0"/>
            <w:tcW w:w="597" w:type="pct"/>
          </w:tcPr>
          <w:p w14:paraId="4DE96DBE" w14:textId="77777777" w:rsidR="00B44672" w:rsidRDefault="00B44672" w:rsidP="00302865">
            <w:pPr>
              <w:pStyle w:val="Compact"/>
              <w:jc w:val="center"/>
            </w:pPr>
            <w:r>
              <w:t>0.02</w:t>
            </w:r>
          </w:p>
        </w:tc>
      </w:tr>
      <w:tr w:rsidR="00B44672" w14:paraId="18A5276A"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6F58D7C0" w14:textId="77777777" w:rsidR="00B44672" w:rsidRDefault="00B44672" w:rsidP="00302865">
            <w:pPr>
              <w:pStyle w:val="Compact"/>
            </w:pPr>
            <w:r>
              <w:t>Quint 3</w:t>
            </w:r>
          </w:p>
        </w:tc>
        <w:tc>
          <w:tcPr>
            <w:tcW w:w="539" w:type="pct"/>
          </w:tcPr>
          <w:p w14:paraId="3E59C5D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23,500</w:t>
            </w:r>
          </w:p>
        </w:tc>
        <w:tc>
          <w:tcPr>
            <w:tcW w:w="602" w:type="pct"/>
          </w:tcPr>
          <w:p w14:paraId="1507313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4,074</w:t>
            </w:r>
          </w:p>
        </w:tc>
        <w:tc>
          <w:tcPr>
            <w:tcW w:w="602" w:type="pct"/>
          </w:tcPr>
          <w:p w14:paraId="4FF773E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4,376</w:t>
            </w:r>
          </w:p>
        </w:tc>
        <w:tc>
          <w:tcPr>
            <w:tcW w:w="459" w:type="pct"/>
          </w:tcPr>
          <w:p w14:paraId="632640D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-302</w:t>
            </w:r>
          </w:p>
        </w:tc>
        <w:tc>
          <w:tcPr>
            <w:tcW w:w="466" w:type="pct"/>
          </w:tcPr>
          <w:p w14:paraId="4D92E68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5.04</w:t>
            </w:r>
          </w:p>
        </w:tc>
        <w:tc>
          <w:tcPr>
            <w:tcW w:w="466" w:type="pct"/>
          </w:tcPr>
          <w:p w14:paraId="17A2A22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5.41</w:t>
            </w:r>
          </w:p>
        </w:tc>
        <w:tc>
          <w:tcPr>
            <w:cnfStyle w:val="000100000000" w:firstRow="0" w:lastRow="0" w:firstColumn="0" w:lastColumn="1" w:oddVBand="0" w:evenVBand="0" w:oddHBand="0" w:evenHBand="0" w:firstRowFirstColumn="0" w:firstRowLastColumn="0" w:lastRowFirstColumn="0" w:lastRowLastColumn="0"/>
            <w:tcW w:w="597" w:type="pct"/>
          </w:tcPr>
          <w:p w14:paraId="5532CB11" w14:textId="77777777" w:rsidR="00B44672" w:rsidRDefault="00B44672" w:rsidP="00302865">
            <w:pPr>
              <w:pStyle w:val="Compact"/>
              <w:jc w:val="center"/>
            </w:pPr>
            <w:r>
              <w:t>-0.37</w:t>
            </w:r>
          </w:p>
        </w:tc>
      </w:tr>
      <w:tr w:rsidR="00B44672" w14:paraId="05022E37"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9" w:type="pct"/>
          </w:tcPr>
          <w:p w14:paraId="12E5D7FD" w14:textId="77777777" w:rsidR="00B44672" w:rsidRDefault="00B44672" w:rsidP="00302865">
            <w:pPr>
              <w:pStyle w:val="Compact"/>
            </w:pPr>
            <w:r>
              <w:t>Quint 4</w:t>
            </w:r>
          </w:p>
        </w:tc>
        <w:tc>
          <w:tcPr>
            <w:tcW w:w="539" w:type="pct"/>
          </w:tcPr>
          <w:p w14:paraId="169BCD8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23,819</w:t>
            </w:r>
          </w:p>
        </w:tc>
        <w:tc>
          <w:tcPr>
            <w:tcW w:w="602" w:type="pct"/>
          </w:tcPr>
          <w:p w14:paraId="72281B2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4,995</w:t>
            </w:r>
          </w:p>
        </w:tc>
        <w:tc>
          <w:tcPr>
            <w:tcW w:w="602" w:type="pct"/>
          </w:tcPr>
          <w:p w14:paraId="07A70EC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5,195</w:t>
            </w:r>
          </w:p>
        </w:tc>
        <w:tc>
          <w:tcPr>
            <w:tcW w:w="459" w:type="pct"/>
          </w:tcPr>
          <w:p w14:paraId="2EEE86C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-201</w:t>
            </w:r>
          </w:p>
        </w:tc>
        <w:tc>
          <w:tcPr>
            <w:tcW w:w="466" w:type="pct"/>
          </w:tcPr>
          <w:p w14:paraId="0FB5CA7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4.56</w:t>
            </w:r>
          </w:p>
        </w:tc>
        <w:tc>
          <w:tcPr>
            <w:tcW w:w="466" w:type="pct"/>
          </w:tcPr>
          <w:p w14:paraId="4C247A2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4.74</w:t>
            </w:r>
          </w:p>
        </w:tc>
        <w:tc>
          <w:tcPr>
            <w:cnfStyle w:val="000100000000" w:firstRow="0" w:lastRow="0" w:firstColumn="0" w:lastColumn="1" w:oddVBand="0" w:evenVBand="0" w:oddHBand="0" w:evenHBand="0" w:firstRowFirstColumn="0" w:firstRowLastColumn="0" w:lastRowFirstColumn="0" w:lastRowLastColumn="0"/>
            <w:tcW w:w="597" w:type="pct"/>
          </w:tcPr>
          <w:p w14:paraId="2E6F75AD" w14:textId="77777777" w:rsidR="00B44672" w:rsidRDefault="00B44672" w:rsidP="00302865">
            <w:pPr>
              <w:pStyle w:val="Compact"/>
              <w:jc w:val="center"/>
            </w:pPr>
            <w:r>
              <w:t>-0.18</w:t>
            </w:r>
          </w:p>
        </w:tc>
      </w:tr>
      <w:tr w:rsidR="00B44672" w14:paraId="51B6ADDD" w14:textId="77777777" w:rsidTr="00A567C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pct"/>
          </w:tcPr>
          <w:p w14:paraId="3FB3A895" w14:textId="77777777" w:rsidR="00B44672" w:rsidRDefault="00B44672" w:rsidP="00302865">
            <w:pPr>
              <w:pStyle w:val="Compact"/>
            </w:pPr>
            <w:r>
              <w:t>Quint 5</w:t>
            </w:r>
          </w:p>
        </w:tc>
        <w:tc>
          <w:tcPr>
            <w:tcW w:w="539" w:type="pct"/>
          </w:tcPr>
          <w:p w14:paraId="6A57233C"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29,431</w:t>
            </w:r>
          </w:p>
        </w:tc>
        <w:tc>
          <w:tcPr>
            <w:tcW w:w="602" w:type="pct"/>
          </w:tcPr>
          <w:p w14:paraId="2BEF9D19"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6,495</w:t>
            </w:r>
          </w:p>
        </w:tc>
        <w:tc>
          <w:tcPr>
            <w:tcW w:w="602" w:type="pct"/>
          </w:tcPr>
          <w:p w14:paraId="226A9BEE"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6,267</w:t>
            </w:r>
          </w:p>
        </w:tc>
        <w:tc>
          <w:tcPr>
            <w:tcW w:w="459" w:type="pct"/>
          </w:tcPr>
          <w:p w14:paraId="6EECB6C0"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228</w:t>
            </w:r>
          </w:p>
        </w:tc>
        <w:tc>
          <w:tcPr>
            <w:tcW w:w="466" w:type="pct"/>
          </w:tcPr>
          <w:p w14:paraId="0A2BD3EC"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4.12</w:t>
            </w:r>
          </w:p>
        </w:tc>
        <w:tc>
          <w:tcPr>
            <w:tcW w:w="466" w:type="pct"/>
          </w:tcPr>
          <w:p w14:paraId="4E6DB510"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3.98</w:t>
            </w:r>
          </w:p>
        </w:tc>
        <w:tc>
          <w:tcPr>
            <w:cnfStyle w:val="000100000000" w:firstRow="0" w:lastRow="0" w:firstColumn="0" w:lastColumn="1" w:oddVBand="0" w:evenVBand="0" w:oddHBand="0" w:evenHBand="0" w:firstRowFirstColumn="0" w:firstRowLastColumn="0" w:lastRowFirstColumn="0" w:lastRowLastColumn="0"/>
            <w:tcW w:w="597" w:type="pct"/>
          </w:tcPr>
          <w:p w14:paraId="61C806B8" w14:textId="77777777" w:rsidR="00B44672" w:rsidRDefault="00B44672" w:rsidP="00302865">
            <w:pPr>
              <w:pStyle w:val="Compact"/>
              <w:jc w:val="center"/>
            </w:pPr>
            <w:r>
              <w:t>0.14</w:t>
            </w:r>
          </w:p>
        </w:tc>
      </w:tr>
    </w:tbl>
    <w:p w14:paraId="6838DC23"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68621749" w14:textId="77777777" w:rsidR="00B44672" w:rsidRDefault="00B44672">
      <w:pPr>
        <w:jc w:val="left"/>
        <w:rPr>
          <w:rFonts w:eastAsiaTheme="majorEastAsia" w:cstheme="majorBidi"/>
          <w:b/>
          <w:bCs/>
          <w:color w:val="4F81BD" w:themeColor="accent1"/>
          <w:sz w:val="26"/>
          <w:szCs w:val="28"/>
        </w:rPr>
      </w:pPr>
      <w:bookmarkStart w:id="127" w:name="results-by-wealth-quintiles"/>
      <w:r>
        <w:br w:type="page"/>
      </w:r>
    </w:p>
    <w:p w14:paraId="16242CEE" w14:textId="77777777" w:rsidR="00B44672" w:rsidRDefault="00B44672" w:rsidP="00C83581">
      <w:pPr>
        <w:pStyle w:val="Heading3"/>
      </w:pPr>
      <w:bookmarkStart w:id="128" w:name="_Toc41941378"/>
      <w:r>
        <w:lastRenderedPageBreak/>
        <w:t>4. Results by wealth quintiles</w:t>
      </w:r>
      <w:bookmarkEnd w:id="127"/>
      <w:bookmarkEnd w:id="128"/>
    </w:p>
    <w:p w14:paraId="04DC5F09" w14:textId="77777777" w:rsidR="00B44672" w:rsidRDefault="00B44672" w:rsidP="00C83581">
      <w:pPr>
        <w:pStyle w:val="FirstParagraph"/>
      </w:pPr>
      <w:r>
        <w:rPr>
          <w:b/>
        </w:rPr>
        <w:t>Number of residential properties purchased</w:t>
      </w:r>
    </w:p>
    <w:p w14:paraId="15369511" w14:textId="77777777" w:rsidR="00B44672" w:rsidRDefault="00B44672" w:rsidP="00C83581">
      <w:pPr>
        <w:pStyle w:val="TableCaption"/>
      </w:pPr>
      <w:r>
        <w:t>Table 19 - The impact of tax reform on the number of residential properties purchased by wealth quintile, total 2012 - 2018</w:t>
      </w:r>
    </w:p>
    <w:tbl>
      <w:tblPr>
        <w:tblStyle w:val="Table"/>
        <w:tblW w:w="4994" w:type="pct"/>
        <w:jc w:val="center"/>
        <w:tblCellMar>
          <w:left w:w="0" w:type="dxa"/>
          <w:right w:w="0" w:type="dxa"/>
        </w:tblCellMar>
        <w:tblLook w:val="07E0" w:firstRow="1" w:lastRow="1" w:firstColumn="1" w:lastColumn="1" w:noHBand="1" w:noVBand="1"/>
        <w:tblCaption w:val="Table 19 - The impact of tax reform on the number of residential properties purchased by wealth quintile, total 2012 - 2018"/>
      </w:tblPr>
      <w:tblGrid>
        <w:gridCol w:w="2597"/>
        <w:gridCol w:w="1910"/>
        <w:gridCol w:w="2184"/>
        <w:gridCol w:w="1643"/>
        <w:gridCol w:w="644"/>
        <w:gridCol w:w="6"/>
        <w:gridCol w:w="6"/>
        <w:gridCol w:w="13"/>
        <w:gridCol w:w="6"/>
        <w:gridCol w:w="6"/>
      </w:tblGrid>
      <w:tr w:rsidR="00B44672" w14:paraId="19157916" w14:textId="77777777" w:rsidTr="00A567C4">
        <w:trPr>
          <w:gridAfter w:val="3"/>
          <w:cnfStyle w:val="100000000000" w:firstRow="1" w:lastRow="0" w:firstColumn="0" w:lastColumn="0" w:oddVBand="0" w:evenVBand="0" w:oddHBand="0" w:evenHBand="0" w:firstRowFirstColumn="0" w:firstRowLastColumn="0" w:lastRowFirstColumn="0" w:lastRowLastColumn="0"/>
          <w:wAfter w:w="12" w:type="pct"/>
          <w:jc w:val="center"/>
        </w:trPr>
        <w:tc>
          <w:tcPr>
            <w:cnfStyle w:val="001000000000" w:firstRow="0" w:lastRow="0" w:firstColumn="1" w:lastColumn="0" w:oddVBand="0" w:evenVBand="0" w:oddHBand="0" w:evenHBand="0" w:firstRowFirstColumn="0" w:firstRowLastColumn="0" w:lastRowFirstColumn="0" w:lastRowLastColumn="0"/>
            <w:tcW w:w="1441" w:type="pct"/>
            <w:tcBorders>
              <w:bottom w:val="single" w:sz="0" w:space="0" w:color="auto"/>
            </w:tcBorders>
            <w:vAlign w:val="bottom"/>
          </w:tcPr>
          <w:p w14:paraId="6A017AE0" w14:textId="77777777" w:rsidR="00B44672" w:rsidRDefault="00B44672" w:rsidP="000511CA"/>
        </w:tc>
        <w:tc>
          <w:tcPr>
            <w:tcW w:w="1060" w:type="pct"/>
            <w:tcBorders>
              <w:bottom w:val="single" w:sz="0" w:space="0" w:color="auto"/>
            </w:tcBorders>
            <w:vAlign w:val="bottom"/>
          </w:tcPr>
          <w:p w14:paraId="55D3CB13"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purchases</w:t>
            </w:r>
          </w:p>
        </w:tc>
        <w:tc>
          <w:tcPr>
            <w:tcW w:w="1212" w:type="pct"/>
            <w:tcBorders>
              <w:bottom w:val="single" w:sz="0" w:space="0" w:color="auto"/>
            </w:tcBorders>
            <w:vAlign w:val="bottom"/>
          </w:tcPr>
          <w:p w14:paraId="392280BA"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purchases</w:t>
            </w:r>
          </w:p>
        </w:tc>
        <w:tc>
          <w:tcPr>
            <w:tcW w:w="911" w:type="pct"/>
            <w:tcBorders>
              <w:bottom w:val="single" w:sz="0" w:space="0" w:color="auto"/>
            </w:tcBorders>
            <w:vAlign w:val="bottom"/>
          </w:tcPr>
          <w:p w14:paraId="7BB13DD4"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 purchases</w:t>
            </w:r>
          </w:p>
        </w:tc>
        <w:tc>
          <w:tcPr>
            <w:tcW w:w="357" w:type="pct"/>
            <w:tcBorders>
              <w:bottom w:val="single" w:sz="0" w:space="0" w:color="auto"/>
            </w:tcBorders>
            <w:vAlign w:val="bottom"/>
          </w:tcPr>
          <w:p w14:paraId="599DDB2F"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w:t>
            </w:r>
          </w:p>
        </w:tc>
        <w:tc>
          <w:tcPr>
            <w:tcW w:w="3" w:type="pct"/>
            <w:tcBorders>
              <w:bottom w:val="single" w:sz="0" w:space="0" w:color="auto"/>
            </w:tcBorders>
            <w:vAlign w:val="bottom"/>
          </w:tcPr>
          <w:p w14:paraId="17EE8CF1" w14:textId="77777777" w:rsidR="00B44672" w:rsidRDefault="00B44672" w:rsidP="000511CA">
            <w:pP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Borders>
              <w:bottom w:val="single" w:sz="0" w:space="0" w:color="auto"/>
            </w:tcBorders>
            <w:vAlign w:val="bottom"/>
          </w:tcPr>
          <w:p w14:paraId="35A1BE7C" w14:textId="77777777" w:rsidR="00B44672" w:rsidRDefault="00B44672" w:rsidP="000511CA"/>
        </w:tc>
      </w:tr>
      <w:tr w:rsidR="00B44672" w14:paraId="436613DD" w14:textId="77777777" w:rsidTr="00A567C4">
        <w:trPr>
          <w:gridAfter w:val="3"/>
          <w:wAfter w:w="12" w:type="pct"/>
          <w:jc w:val="center"/>
        </w:trPr>
        <w:tc>
          <w:tcPr>
            <w:cnfStyle w:val="001000000000" w:firstRow="0" w:lastRow="0" w:firstColumn="1" w:lastColumn="0" w:oddVBand="0" w:evenVBand="0" w:oddHBand="0" w:evenHBand="0" w:firstRowFirstColumn="0" w:firstRowLastColumn="0" w:lastRowFirstColumn="0" w:lastRowLastColumn="0"/>
            <w:tcW w:w="1441" w:type="pct"/>
          </w:tcPr>
          <w:p w14:paraId="67D2F2E4" w14:textId="77777777" w:rsidR="00B44672" w:rsidRDefault="00B44672" w:rsidP="00CB6E83">
            <w:pPr>
              <w:pStyle w:val="Compact"/>
            </w:pPr>
            <w:r w:rsidRPr="00AF6491">
              <w:rPr>
                <w:b/>
                <w:i/>
                <w:iCs/>
                <w:color w:val="365F91" w:themeColor="accent1" w:themeShade="BF"/>
              </w:rPr>
              <w:t>No price change</w:t>
            </w:r>
          </w:p>
        </w:tc>
        <w:tc>
          <w:tcPr>
            <w:tcW w:w="1060" w:type="pct"/>
          </w:tcPr>
          <w:p w14:paraId="22BD13F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1212" w:type="pct"/>
          </w:tcPr>
          <w:p w14:paraId="4AB4676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911" w:type="pct"/>
          </w:tcPr>
          <w:p w14:paraId="05EF2DB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43B881E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3" w:type="pct"/>
          </w:tcPr>
          <w:p w14:paraId="185CEB11" w14:textId="77777777" w:rsidR="00B44672" w:rsidRDefault="00B44672" w:rsidP="00CB6E83">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FB2A4B9" w14:textId="77777777" w:rsidR="00B44672" w:rsidRDefault="00B44672" w:rsidP="00CB6E83"/>
        </w:tc>
      </w:tr>
      <w:tr w:rsidR="00B44672" w14:paraId="2C848699" w14:textId="77777777" w:rsidTr="00A567C4">
        <w:trPr>
          <w:gridAfter w:val="3"/>
          <w:wAfter w:w="12" w:type="pct"/>
          <w:jc w:val="center"/>
        </w:trPr>
        <w:tc>
          <w:tcPr>
            <w:cnfStyle w:val="001000000000" w:firstRow="0" w:lastRow="0" w:firstColumn="1" w:lastColumn="0" w:oddVBand="0" w:evenVBand="0" w:oddHBand="0" w:evenHBand="0" w:firstRowFirstColumn="0" w:firstRowLastColumn="0" w:lastRowFirstColumn="0" w:lastRowLastColumn="0"/>
            <w:tcW w:w="1441" w:type="pct"/>
          </w:tcPr>
          <w:p w14:paraId="3E14EA24" w14:textId="77777777" w:rsidR="00B44672" w:rsidRDefault="00B44672" w:rsidP="00CB6E83">
            <w:pPr>
              <w:pStyle w:val="Compact"/>
            </w:pPr>
            <w:r>
              <w:t>Quint 1</w:t>
            </w:r>
          </w:p>
        </w:tc>
        <w:tc>
          <w:tcPr>
            <w:tcW w:w="1060" w:type="pct"/>
          </w:tcPr>
          <w:p w14:paraId="43672D4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1212" w:type="pct"/>
          </w:tcPr>
          <w:p w14:paraId="68412AE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911" w:type="pct"/>
          </w:tcPr>
          <w:p w14:paraId="2718A50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357" w:type="pct"/>
          </w:tcPr>
          <w:p w14:paraId="7780031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3" w:type="pct"/>
          </w:tcPr>
          <w:p w14:paraId="050270E1" w14:textId="77777777" w:rsidR="00B44672" w:rsidRDefault="00B44672" w:rsidP="00CB6E83">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49B12927" w14:textId="77777777" w:rsidR="00B44672" w:rsidRDefault="00B44672" w:rsidP="00CB6E83"/>
        </w:tc>
      </w:tr>
      <w:tr w:rsidR="00B44672" w14:paraId="43DD5CC5" w14:textId="77777777" w:rsidTr="00A567C4">
        <w:trPr>
          <w:gridAfter w:val="3"/>
          <w:wAfter w:w="12" w:type="pct"/>
          <w:jc w:val="center"/>
        </w:trPr>
        <w:tc>
          <w:tcPr>
            <w:cnfStyle w:val="001000000000" w:firstRow="0" w:lastRow="0" w:firstColumn="1" w:lastColumn="0" w:oddVBand="0" w:evenVBand="0" w:oddHBand="0" w:evenHBand="0" w:firstRowFirstColumn="0" w:firstRowLastColumn="0" w:lastRowFirstColumn="0" w:lastRowLastColumn="0"/>
            <w:tcW w:w="1441" w:type="pct"/>
          </w:tcPr>
          <w:p w14:paraId="732C75B8" w14:textId="77777777" w:rsidR="00B44672" w:rsidRDefault="00B44672" w:rsidP="00CB6E83">
            <w:pPr>
              <w:pStyle w:val="Compact"/>
            </w:pPr>
            <w:r>
              <w:t>Quint 2</w:t>
            </w:r>
          </w:p>
        </w:tc>
        <w:tc>
          <w:tcPr>
            <w:tcW w:w="1060" w:type="pct"/>
          </w:tcPr>
          <w:p w14:paraId="0BAD016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14,582</w:t>
            </w:r>
          </w:p>
        </w:tc>
        <w:tc>
          <w:tcPr>
            <w:tcW w:w="1212" w:type="pct"/>
          </w:tcPr>
          <w:p w14:paraId="071B226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13,229</w:t>
            </w:r>
          </w:p>
        </w:tc>
        <w:tc>
          <w:tcPr>
            <w:tcW w:w="911" w:type="pct"/>
          </w:tcPr>
          <w:p w14:paraId="3702E74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1,353</w:t>
            </w:r>
          </w:p>
        </w:tc>
        <w:tc>
          <w:tcPr>
            <w:tcW w:w="357" w:type="pct"/>
          </w:tcPr>
          <w:p w14:paraId="056ED12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10.23</w:t>
            </w:r>
          </w:p>
        </w:tc>
        <w:tc>
          <w:tcPr>
            <w:tcW w:w="3" w:type="pct"/>
          </w:tcPr>
          <w:p w14:paraId="0759A606" w14:textId="77777777" w:rsidR="00B44672" w:rsidRDefault="00B44672" w:rsidP="00CB6E83">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1542EF27" w14:textId="77777777" w:rsidR="00B44672" w:rsidRDefault="00B44672" w:rsidP="00CB6E83"/>
        </w:tc>
      </w:tr>
      <w:tr w:rsidR="00B44672" w14:paraId="6569113F" w14:textId="77777777" w:rsidTr="00A567C4">
        <w:trPr>
          <w:gridAfter w:val="3"/>
          <w:wAfter w:w="12" w:type="pct"/>
          <w:jc w:val="center"/>
        </w:trPr>
        <w:tc>
          <w:tcPr>
            <w:cnfStyle w:val="001000000000" w:firstRow="0" w:lastRow="0" w:firstColumn="1" w:lastColumn="0" w:oddVBand="0" w:evenVBand="0" w:oddHBand="0" w:evenHBand="0" w:firstRowFirstColumn="0" w:firstRowLastColumn="0" w:lastRowFirstColumn="0" w:lastRowLastColumn="0"/>
            <w:tcW w:w="1441" w:type="pct"/>
          </w:tcPr>
          <w:p w14:paraId="1E3CD4D9" w14:textId="77777777" w:rsidR="00B44672" w:rsidRDefault="00B44672" w:rsidP="00CB6E83">
            <w:pPr>
              <w:pStyle w:val="Compact"/>
            </w:pPr>
            <w:r>
              <w:t>Quint 3</w:t>
            </w:r>
          </w:p>
        </w:tc>
        <w:tc>
          <w:tcPr>
            <w:tcW w:w="1060" w:type="pct"/>
          </w:tcPr>
          <w:p w14:paraId="1EBE562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22,964</w:t>
            </w:r>
          </w:p>
        </w:tc>
        <w:tc>
          <w:tcPr>
            <w:tcW w:w="1212" w:type="pct"/>
          </w:tcPr>
          <w:p w14:paraId="06FC27C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22,504</w:t>
            </w:r>
          </w:p>
        </w:tc>
        <w:tc>
          <w:tcPr>
            <w:tcW w:w="911" w:type="pct"/>
          </w:tcPr>
          <w:p w14:paraId="128DEE2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460</w:t>
            </w:r>
          </w:p>
        </w:tc>
        <w:tc>
          <w:tcPr>
            <w:tcW w:w="357" w:type="pct"/>
          </w:tcPr>
          <w:p w14:paraId="69F7371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2.04</w:t>
            </w:r>
          </w:p>
        </w:tc>
        <w:tc>
          <w:tcPr>
            <w:tcW w:w="3" w:type="pct"/>
          </w:tcPr>
          <w:p w14:paraId="4C09927F" w14:textId="77777777" w:rsidR="00B44672" w:rsidRDefault="00B44672" w:rsidP="00CB6E83">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2645F8DE" w14:textId="77777777" w:rsidR="00B44672" w:rsidRDefault="00B44672" w:rsidP="00CB6E83"/>
        </w:tc>
      </w:tr>
      <w:tr w:rsidR="00B44672" w14:paraId="434A5F84" w14:textId="77777777" w:rsidTr="00A567C4">
        <w:trPr>
          <w:gridAfter w:val="3"/>
          <w:wAfter w:w="12" w:type="pct"/>
          <w:jc w:val="center"/>
        </w:trPr>
        <w:tc>
          <w:tcPr>
            <w:cnfStyle w:val="001000000000" w:firstRow="0" w:lastRow="0" w:firstColumn="1" w:lastColumn="0" w:oddVBand="0" w:evenVBand="0" w:oddHBand="0" w:evenHBand="0" w:firstRowFirstColumn="0" w:firstRowLastColumn="0" w:lastRowFirstColumn="0" w:lastRowLastColumn="0"/>
            <w:tcW w:w="1441" w:type="pct"/>
          </w:tcPr>
          <w:p w14:paraId="0AC78B5C" w14:textId="77777777" w:rsidR="00B44672" w:rsidRDefault="00B44672" w:rsidP="00CB6E83">
            <w:pPr>
              <w:pStyle w:val="Compact"/>
            </w:pPr>
            <w:r>
              <w:t>Quint 4</w:t>
            </w:r>
          </w:p>
        </w:tc>
        <w:tc>
          <w:tcPr>
            <w:tcW w:w="1060" w:type="pct"/>
          </w:tcPr>
          <w:p w14:paraId="243A0A5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24,878</w:t>
            </w:r>
          </w:p>
        </w:tc>
        <w:tc>
          <w:tcPr>
            <w:tcW w:w="1212" w:type="pct"/>
          </w:tcPr>
          <w:p w14:paraId="61AC3F4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24,613</w:t>
            </w:r>
          </w:p>
        </w:tc>
        <w:tc>
          <w:tcPr>
            <w:tcW w:w="911" w:type="pct"/>
          </w:tcPr>
          <w:p w14:paraId="2803F75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265</w:t>
            </w:r>
          </w:p>
        </w:tc>
        <w:tc>
          <w:tcPr>
            <w:tcW w:w="357" w:type="pct"/>
          </w:tcPr>
          <w:p w14:paraId="3B354E3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1.08</w:t>
            </w:r>
          </w:p>
        </w:tc>
        <w:tc>
          <w:tcPr>
            <w:tcW w:w="3" w:type="pct"/>
          </w:tcPr>
          <w:p w14:paraId="0706DDB1" w14:textId="77777777" w:rsidR="00B44672" w:rsidRDefault="00B44672" w:rsidP="00CB6E83">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2D7381E1" w14:textId="77777777" w:rsidR="00B44672" w:rsidRDefault="00B44672" w:rsidP="00CB6E83"/>
        </w:tc>
      </w:tr>
      <w:tr w:rsidR="00B44672" w14:paraId="504B9982" w14:textId="77777777" w:rsidTr="00A567C4">
        <w:trPr>
          <w:gridAfter w:val="3"/>
          <w:wAfter w:w="12" w:type="pct"/>
          <w:jc w:val="center"/>
        </w:trPr>
        <w:tc>
          <w:tcPr>
            <w:cnfStyle w:val="001000000000" w:firstRow="0" w:lastRow="0" w:firstColumn="1" w:lastColumn="0" w:oddVBand="0" w:evenVBand="0" w:oddHBand="0" w:evenHBand="0" w:firstRowFirstColumn="0" w:firstRowLastColumn="0" w:lastRowFirstColumn="0" w:lastRowLastColumn="0"/>
            <w:tcW w:w="1441" w:type="pct"/>
          </w:tcPr>
          <w:p w14:paraId="173F2F6F" w14:textId="77777777" w:rsidR="00B44672" w:rsidRDefault="00B44672" w:rsidP="00CB6E83">
            <w:pPr>
              <w:pStyle w:val="Compact"/>
            </w:pPr>
            <w:r>
              <w:t>Quint 5</w:t>
            </w:r>
          </w:p>
        </w:tc>
        <w:tc>
          <w:tcPr>
            <w:tcW w:w="1060" w:type="pct"/>
          </w:tcPr>
          <w:p w14:paraId="6E0B7F0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27,301</w:t>
            </w:r>
          </w:p>
        </w:tc>
        <w:tc>
          <w:tcPr>
            <w:tcW w:w="1212" w:type="pct"/>
          </w:tcPr>
          <w:p w14:paraId="4A160BB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27,075</w:t>
            </w:r>
          </w:p>
        </w:tc>
        <w:tc>
          <w:tcPr>
            <w:tcW w:w="911" w:type="pct"/>
          </w:tcPr>
          <w:p w14:paraId="4ACD086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226</w:t>
            </w:r>
          </w:p>
        </w:tc>
        <w:tc>
          <w:tcPr>
            <w:tcW w:w="357" w:type="pct"/>
          </w:tcPr>
          <w:p w14:paraId="36C95BB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0.83</w:t>
            </w:r>
          </w:p>
        </w:tc>
        <w:tc>
          <w:tcPr>
            <w:tcW w:w="3" w:type="pct"/>
          </w:tcPr>
          <w:p w14:paraId="65CF9F8B" w14:textId="77777777" w:rsidR="00B44672" w:rsidRDefault="00B44672" w:rsidP="00CB6E83">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69287634" w14:textId="77777777" w:rsidR="00B44672" w:rsidRDefault="00B44672" w:rsidP="00CB6E83"/>
        </w:tc>
      </w:tr>
      <w:tr w:rsidR="00B44672" w14:paraId="728FE98C" w14:textId="77777777" w:rsidTr="00A567C4">
        <w:trPr>
          <w:gridAfter w:val="3"/>
          <w:wAfter w:w="12" w:type="pct"/>
          <w:jc w:val="center"/>
        </w:trPr>
        <w:tc>
          <w:tcPr>
            <w:cnfStyle w:val="001000000000" w:firstRow="0" w:lastRow="0" w:firstColumn="1" w:lastColumn="0" w:oddVBand="0" w:evenVBand="0" w:oddHBand="0" w:evenHBand="0" w:firstRowFirstColumn="0" w:firstRowLastColumn="0" w:lastRowFirstColumn="0" w:lastRowLastColumn="0"/>
            <w:tcW w:w="1441" w:type="pct"/>
          </w:tcPr>
          <w:p w14:paraId="7F4CEA49"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1060" w:type="pct"/>
          </w:tcPr>
          <w:p w14:paraId="44C4FF7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1212" w:type="pct"/>
          </w:tcPr>
          <w:p w14:paraId="54891EF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911" w:type="pct"/>
          </w:tcPr>
          <w:p w14:paraId="2B75E66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65152D9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 w:type="pct"/>
          </w:tcPr>
          <w:p w14:paraId="78823BA9" w14:textId="77777777" w:rsidR="00B44672" w:rsidRDefault="00B44672" w:rsidP="00A567C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737CBBD" w14:textId="77777777" w:rsidR="00B44672" w:rsidRDefault="00B44672" w:rsidP="00A567C4"/>
        </w:tc>
      </w:tr>
      <w:tr w:rsidR="00B44672" w14:paraId="4F52892E" w14:textId="77777777" w:rsidTr="00A567C4">
        <w:trPr>
          <w:gridAfter w:val="3"/>
          <w:wAfter w:w="12" w:type="pct"/>
          <w:jc w:val="center"/>
        </w:trPr>
        <w:tc>
          <w:tcPr>
            <w:cnfStyle w:val="001000000000" w:firstRow="0" w:lastRow="0" w:firstColumn="1" w:lastColumn="0" w:oddVBand="0" w:evenVBand="0" w:oddHBand="0" w:evenHBand="0" w:firstRowFirstColumn="0" w:firstRowLastColumn="0" w:lastRowFirstColumn="0" w:lastRowLastColumn="0"/>
            <w:tcW w:w="1441" w:type="pct"/>
          </w:tcPr>
          <w:p w14:paraId="15FFA28A" w14:textId="77777777" w:rsidR="00B44672" w:rsidRDefault="00B44672" w:rsidP="00A567C4">
            <w:pPr>
              <w:pStyle w:val="Compact"/>
            </w:pPr>
            <w:r>
              <w:t>Quint 1</w:t>
            </w:r>
          </w:p>
        </w:tc>
        <w:tc>
          <w:tcPr>
            <w:tcW w:w="1060" w:type="pct"/>
          </w:tcPr>
          <w:p w14:paraId="0B0B333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1212" w:type="pct"/>
          </w:tcPr>
          <w:p w14:paraId="47B8AFD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911" w:type="pct"/>
          </w:tcPr>
          <w:p w14:paraId="133E329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357" w:type="pct"/>
          </w:tcPr>
          <w:p w14:paraId="54282EF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3" w:type="pct"/>
          </w:tcPr>
          <w:p w14:paraId="249D83BB" w14:textId="77777777" w:rsidR="00B44672" w:rsidRDefault="00B44672" w:rsidP="00A567C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49D36EE8" w14:textId="77777777" w:rsidR="00B44672" w:rsidRDefault="00B44672" w:rsidP="00A567C4"/>
        </w:tc>
      </w:tr>
      <w:tr w:rsidR="00B44672" w14:paraId="58C00596" w14:textId="77777777" w:rsidTr="00A567C4">
        <w:trPr>
          <w:gridAfter w:val="3"/>
          <w:wAfter w:w="12" w:type="pct"/>
          <w:jc w:val="center"/>
        </w:trPr>
        <w:tc>
          <w:tcPr>
            <w:cnfStyle w:val="001000000000" w:firstRow="0" w:lastRow="0" w:firstColumn="1" w:lastColumn="0" w:oddVBand="0" w:evenVBand="0" w:oddHBand="0" w:evenHBand="0" w:firstRowFirstColumn="0" w:firstRowLastColumn="0" w:lastRowFirstColumn="0" w:lastRowLastColumn="0"/>
            <w:tcW w:w="1441" w:type="pct"/>
          </w:tcPr>
          <w:p w14:paraId="2C658DD1" w14:textId="77777777" w:rsidR="00B44672" w:rsidRDefault="00B44672" w:rsidP="00A567C4">
            <w:pPr>
              <w:pStyle w:val="Compact"/>
            </w:pPr>
            <w:r>
              <w:t>Quint 2</w:t>
            </w:r>
          </w:p>
        </w:tc>
        <w:tc>
          <w:tcPr>
            <w:tcW w:w="1060" w:type="pct"/>
          </w:tcPr>
          <w:p w14:paraId="4EFE582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14,582</w:t>
            </w:r>
          </w:p>
        </w:tc>
        <w:tc>
          <w:tcPr>
            <w:tcW w:w="1212" w:type="pct"/>
          </w:tcPr>
          <w:p w14:paraId="0E899A9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13,351</w:t>
            </w:r>
          </w:p>
        </w:tc>
        <w:tc>
          <w:tcPr>
            <w:tcW w:w="911" w:type="pct"/>
          </w:tcPr>
          <w:p w14:paraId="4FFCE12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1,231</w:t>
            </w:r>
          </w:p>
        </w:tc>
        <w:tc>
          <w:tcPr>
            <w:tcW w:w="357" w:type="pct"/>
          </w:tcPr>
          <w:p w14:paraId="3355B15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9.22</w:t>
            </w:r>
          </w:p>
        </w:tc>
        <w:tc>
          <w:tcPr>
            <w:tcW w:w="3" w:type="pct"/>
          </w:tcPr>
          <w:p w14:paraId="798218B8" w14:textId="77777777" w:rsidR="00B44672" w:rsidRDefault="00B44672" w:rsidP="00A567C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0EFB462E" w14:textId="77777777" w:rsidR="00B44672" w:rsidRDefault="00B44672" w:rsidP="00A567C4"/>
        </w:tc>
      </w:tr>
      <w:tr w:rsidR="00B44672" w14:paraId="79893669" w14:textId="77777777" w:rsidTr="00A567C4">
        <w:trPr>
          <w:gridAfter w:val="3"/>
          <w:wAfter w:w="12" w:type="pct"/>
          <w:jc w:val="center"/>
        </w:trPr>
        <w:tc>
          <w:tcPr>
            <w:cnfStyle w:val="001000000000" w:firstRow="0" w:lastRow="0" w:firstColumn="1" w:lastColumn="0" w:oddVBand="0" w:evenVBand="0" w:oddHBand="0" w:evenHBand="0" w:firstRowFirstColumn="0" w:firstRowLastColumn="0" w:lastRowFirstColumn="0" w:lastRowLastColumn="0"/>
            <w:tcW w:w="1441" w:type="pct"/>
          </w:tcPr>
          <w:p w14:paraId="59A33225" w14:textId="77777777" w:rsidR="00B44672" w:rsidRDefault="00B44672" w:rsidP="00A567C4">
            <w:pPr>
              <w:pStyle w:val="Compact"/>
            </w:pPr>
            <w:r>
              <w:t>Quint 3</w:t>
            </w:r>
          </w:p>
        </w:tc>
        <w:tc>
          <w:tcPr>
            <w:tcW w:w="1060" w:type="pct"/>
          </w:tcPr>
          <w:p w14:paraId="64C7896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22,964</w:t>
            </w:r>
          </w:p>
        </w:tc>
        <w:tc>
          <w:tcPr>
            <w:tcW w:w="1212" w:type="pct"/>
          </w:tcPr>
          <w:p w14:paraId="55F058E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22,523</w:t>
            </w:r>
          </w:p>
        </w:tc>
        <w:tc>
          <w:tcPr>
            <w:tcW w:w="911" w:type="pct"/>
          </w:tcPr>
          <w:p w14:paraId="008FF0F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441</w:t>
            </w:r>
          </w:p>
        </w:tc>
        <w:tc>
          <w:tcPr>
            <w:tcW w:w="357" w:type="pct"/>
          </w:tcPr>
          <w:p w14:paraId="2D1AD83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1.96</w:t>
            </w:r>
          </w:p>
        </w:tc>
        <w:tc>
          <w:tcPr>
            <w:tcW w:w="3" w:type="pct"/>
          </w:tcPr>
          <w:p w14:paraId="79E4A1B2" w14:textId="77777777" w:rsidR="00B44672" w:rsidRDefault="00B44672" w:rsidP="00A567C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531C2376" w14:textId="77777777" w:rsidR="00B44672" w:rsidRDefault="00B44672" w:rsidP="00A567C4"/>
        </w:tc>
      </w:tr>
      <w:tr w:rsidR="00B44672" w14:paraId="68A636EE" w14:textId="77777777" w:rsidTr="00A567C4">
        <w:trPr>
          <w:gridAfter w:val="3"/>
          <w:wAfter w:w="12" w:type="pct"/>
          <w:jc w:val="center"/>
        </w:trPr>
        <w:tc>
          <w:tcPr>
            <w:cnfStyle w:val="001000000000" w:firstRow="0" w:lastRow="0" w:firstColumn="1" w:lastColumn="0" w:oddVBand="0" w:evenVBand="0" w:oddHBand="0" w:evenHBand="0" w:firstRowFirstColumn="0" w:firstRowLastColumn="0" w:lastRowFirstColumn="0" w:lastRowLastColumn="0"/>
            <w:tcW w:w="1441" w:type="pct"/>
          </w:tcPr>
          <w:p w14:paraId="1FF96477" w14:textId="77777777" w:rsidR="00B44672" w:rsidRDefault="00B44672" w:rsidP="00A567C4">
            <w:pPr>
              <w:pStyle w:val="Compact"/>
            </w:pPr>
            <w:r>
              <w:t>Quint 4</w:t>
            </w:r>
          </w:p>
        </w:tc>
        <w:tc>
          <w:tcPr>
            <w:tcW w:w="1060" w:type="pct"/>
          </w:tcPr>
          <w:p w14:paraId="3D8FE8B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24,878</w:t>
            </w:r>
          </w:p>
        </w:tc>
        <w:tc>
          <w:tcPr>
            <w:tcW w:w="1212" w:type="pct"/>
          </w:tcPr>
          <w:p w14:paraId="54DEC8B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24,657</w:t>
            </w:r>
          </w:p>
        </w:tc>
        <w:tc>
          <w:tcPr>
            <w:tcW w:w="911" w:type="pct"/>
          </w:tcPr>
          <w:p w14:paraId="01C7A67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221</w:t>
            </w:r>
          </w:p>
        </w:tc>
        <w:tc>
          <w:tcPr>
            <w:tcW w:w="357" w:type="pct"/>
          </w:tcPr>
          <w:p w14:paraId="634B139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0.90</w:t>
            </w:r>
          </w:p>
        </w:tc>
        <w:tc>
          <w:tcPr>
            <w:tcW w:w="3" w:type="pct"/>
          </w:tcPr>
          <w:p w14:paraId="523AEC82" w14:textId="77777777" w:rsidR="00B44672" w:rsidRDefault="00B44672" w:rsidP="00A567C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9901C9B" w14:textId="77777777" w:rsidR="00B44672" w:rsidRDefault="00B44672" w:rsidP="00A567C4"/>
        </w:tc>
      </w:tr>
      <w:tr w:rsidR="00B44672" w14:paraId="25932D3B" w14:textId="77777777" w:rsidTr="00A567C4">
        <w:trPr>
          <w:gridAfter w:val="3"/>
          <w:wAfter w:w="12" w:type="pct"/>
          <w:jc w:val="center"/>
        </w:trPr>
        <w:tc>
          <w:tcPr>
            <w:cnfStyle w:val="001000000000" w:firstRow="0" w:lastRow="0" w:firstColumn="1" w:lastColumn="0" w:oddVBand="0" w:evenVBand="0" w:oddHBand="0" w:evenHBand="0" w:firstRowFirstColumn="0" w:firstRowLastColumn="0" w:lastRowFirstColumn="0" w:lastRowLastColumn="0"/>
            <w:tcW w:w="1441" w:type="pct"/>
          </w:tcPr>
          <w:p w14:paraId="4B963362" w14:textId="77777777" w:rsidR="00B44672" w:rsidRDefault="00B44672" w:rsidP="00A567C4">
            <w:pPr>
              <w:pStyle w:val="Compact"/>
            </w:pPr>
            <w:r>
              <w:t>Quint 5</w:t>
            </w:r>
          </w:p>
        </w:tc>
        <w:tc>
          <w:tcPr>
            <w:tcW w:w="1060" w:type="pct"/>
          </w:tcPr>
          <w:p w14:paraId="5C3E182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27,301</w:t>
            </w:r>
          </w:p>
        </w:tc>
        <w:tc>
          <w:tcPr>
            <w:tcW w:w="1212" w:type="pct"/>
          </w:tcPr>
          <w:p w14:paraId="5531A36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27,152</w:t>
            </w:r>
          </w:p>
        </w:tc>
        <w:tc>
          <w:tcPr>
            <w:tcW w:w="911" w:type="pct"/>
          </w:tcPr>
          <w:p w14:paraId="6C567D5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149</w:t>
            </w:r>
          </w:p>
        </w:tc>
        <w:tc>
          <w:tcPr>
            <w:tcW w:w="357" w:type="pct"/>
          </w:tcPr>
          <w:p w14:paraId="4D131AB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0.55</w:t>
            </w:r>
          </w:p>
        </w:tc>
        <w:tc>
          <w:tcPr>
            <w:tcW w:w="3" w:type="pct"/>
          </w:tcPr>
          <w:p w14:paraId="70F3D908" w14:textId="77777777" w:rsidR="00B44672" w:rsidRDefault="00B44672" w:rsidP="00A567C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55D9F4DA" w14:textId="77777777" w:rsidR="00B44672" w:rsidRDefault="00B44672" w:rsidP="00A567C4"/>
        </w:tc>
      </w:tr>
      <w:tr w:rsidR="00B44672" w14:paraId="400622ED"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41" w:type="pct"/>
          </w:tcPr>
          <w:p w14:paraId="1A3B08B4" w14:textId="77777777" w:rsidR="00B44672" w:rsidRDefault="00B44672" w:rsidP="00302865">
            <w:pPr>
              <w:pStyle w:val="Compact"/>
            </w:pPr>
            <w:r w:rsidRPr="00113FC1">
              <w:rPr>
                <w:b/>
                <w:i/>
                <w:iCs/>
                <w:color w:val="365F91" w:themeColor="accent1" w:themeShade="BF"/>
              </w:rPr>
              <w:t>1.24 – 2.19% price change</w:t>
            </w:r>
          </w:p>
        </w:tc>
        <w:tc>
          <w:tcPr>
            <w:tcW w:w="1060" w:type="pct"/>
          </w:tcPr>
          <w:p w14:paraId="65C993D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1212" w:type="pct"/>
          </w:tcPr>
          <w:p w14:paraId="01389C2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911" w:type="pct"/>
          </w:tcPr>
          <w:p w14:paraId="73CA8AB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70" w:type="pct"/>
            <w:gridSpan w:val="4"/>
          </w:tcPr>
          <w:p w14:paraId="3C38311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 w:type="pct"/>
          </w:tcPr>
          <w:p w14:paraId="52C06E50" w14:textId="77777777" w:rsidR="00B44672" w:rsidRDefault="00B44672" w:rsidP="00302865">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3B54D1EC" w14:textId="77777777" w:rsidR="00B44672" w:rsidRDefault="00B44672" w:rsidP="00302865"/>
        </w:tc>
      </w:tr>
      <w:tr w:rsidR="00B44672" w14:paraId="4CE30D7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41" w:type="pct"/>
          </w:tcPr>
          <w:p w14:paraId="4676AFEB" w14:textId="77777777" w:rsidR="00B44672" w:rsidRDefault="00B44672" w:rsidP="00302865">
            <w:pPr>
              <w:pStyle w:val="Compact"/>
            </w:pPr>
            <w:r>
              <w:t>Quint 1</w:t>
            </w:r>
          </w:p>
        </w:tc>
        <w:tc>
          <w:tcPr>
            <w:tcW w:w="1060" w:type="pct"/>
          </w:tcPr>
          <w:p w14:paraId="5247B1B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1212" w:type="pct"/>
          </w:tcPr>
          <w:p w14:paraId="2378E60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124</w:t>
            </w:r>
          </w:p>
        </w:tc>
        <w:tc>
          <w:tcPr>
            <w:tcW w:w="911" w:type="pct"/>
          </w:tcPr>
          <w:p w14:paraId="701CCD9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-81</w:t>
            </w:r>
          </w:p>
        </w:tc>
        <w:tc>
          <w:tcPr>
            <w:tcW w:w="370" w:type="pct"/>
            <w:gridSpan w:val="4"/>
          </w:tcPr>
          <w:p w14:paraId="1C08052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-65.3</w:t>
            </w:r>
          </w:p>
        </w:tc>
        <w:tc>
          <w:tcPr>
            <w:tcW w:w="3" w:type="pct"/>
          </w:tcPr>
          <w:p w14:paraId="7ABA8733" w14:textId="77777777" w:rsidR="00B44672" w:rsidRDefault="00B44672" w:rsidP="00302865">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60E1AE28" w14:textId="77777777" w:rsidR="00B44672" w:rsidRDefault="00B44672" w:rsidP="00302865"/>
        </w:tc>
      </w:tr>
      <w:tr w:rsidR="00B44672" w14:paraId="38A33099"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41" w:type="pct"/>
          </w:tcPr>
          <w:p w14:paraId="3D88A5BC" w14:textId="77777777" w:rsidR="00B44672" w:rsidRDefault="00B44672" w:rsidP="00302865">
            <w:pPr>
              <w:pStyle w:val="Compact"/>
            </w:pPr>
            <w:r>
              <w:t>Quint 2</w:t>
            </w:r>
          </w:p>
        </w:tc>
        <w:tc>
          <w:tcPr>
            <w:tcW w:w="1060" w:type="pct"/>
          </w:tcPr>
          <w:p w14:paraId="3E4B01C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14,582</w:t>
            </w:r>
          </w:p>
        </w:tc>
        <w:tc>
          <w:tcPr>
            <w:tcW w:w="1212" w:type="pct"/>
          </w:tcPr>
          <w:p w14:paraId="5E8FF90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13,586</w:t>
            </w:r>
          </w:p>
        </w:tc>
        <w:tc>
          <w:tcPr>
            <w:tcW w:w="911" w:type="pct"/>
          </w:tcPr>
          <w:p w14:paraId="54512AD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996</w:t>
            </w:r>
          </w:p>
        </w:tc>
        <w:tc>
          <w:tcPr>
            <w:tcW w:w="370" w:type="pct"/>
            <w:gridSpan w:val="4"/>
          </w:tcPr>
          <w:p w14:paraId="48E4E41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7.33</w:t>
            </w:r>
          </w:p>
        </w:tc>
        <w:tc>
          <w:tcPr>
            <w:tcW w:w="3" w:type="pct"/>
          </w:tcPr>
          <w:p w14:paraId="100E9DAC" w14:textId="77777777" w:rsidR="00B44672" w:rsidRDefault="00B44672" w:rsidP="00302865">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1BC39120" w14:textId="77777777" w:rsidR="00B44672" w:rsidRDefault="00B44672" w:rsidP="00302865"/>
        </w:tc>
      </w:tr>
      <w:tr w:rsidR="00B44672" w14:paraId="6AAF4CA5"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41" w:type="pct"/>
          </w:tcPr>
          <w:p w14:paraId="678C2B5B" w14:textId="77777777" w:rsidR="00B44672" w:rsidRDefault="00B44672" w:rsidP="00302865">
            <w:pPr>
              <w:pStyle w:val="Compact"/>
            </w:pPr>
            <w:r>
              <w:t>Quint 3</w:t>
            </w:r>
          </w:p>
        </w:tc>
        <w:tc>
          <w:tcPr>
            <w:tcW w:w="1060" w:type="pct"/>
          </w:tcPr>
          <w:p w14:paraId="076830B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22,964</w:t>
            </w:r>
          </w:p>
        </w:tc>
        <w:tc>
          <w:tcPr>
            <w:tcW w:w="1212" w:type="pct"/>
          </w:tcPr>
          <w:p w14:paraId="4322344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22,630</w:t>
            </w:r>
          </w:p>
        </w:tc>
        <w:tc>
          <w:tcPr>
            <w:tcW w:w="911" w:type="pct"/>
          </w:tcPr>
          <w:p w14:paraId="123C401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334</w:t>
            </w:r>
          </w:p>
        </w:tc>
        <w:tc>
          <w:tcPr>
            <w:tcW w:w="370" w:type="pct"/>
            <w:gridSpan w:val="4"/>
          </w:tcPr>
          <w:p w14:paraId="2C728F7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1.48</w:t>
            </w:r>
          </w:p>
        </w:tc>
        <w:tc>
          <w:tcPr>
            <w:tcW w:w="3" w:type="pct"/>
          </w:tcPr>
          <w:p w14:paraId="41F6800D" w14:textId="77777777" w:rsidR="00B44672" w:rsidRDefault="00B44672" w:rsidP="00302865">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289B58ED" w14:textId="77777777" w:rsidR="00B44672" w:rsidRDefault="00B44672" w:rsidP="00302865"/>
        </w:tc>
      </w:tr>
      <w:tr w:rsidR="00B44672" w14:paraId="1A43016F"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41" w:type="pct"/>
          </w:tcPr>
          <w:p w14:paraId="621C39E5" w14:textId="77777777" w:rsidR="00B44672" w:rsidRDefault="00B44672" w:rsidP="00302865">
            <w:pPr>
              <w:pStyle w:val="Compact"/>
            </w:pPr>
            <w:r>
              <w:t>Quint 4</w:t>
            </w:r>
          </w:p>
        </w:tc>
        <w:tc>
          <w:tcPr>
            <w:tcW w:w="1060" w:type="pct"/>
          </w:tcPr>
          <w:p w14:paraId="6FE5EBD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24,878</w:t>
            </w:r>
          </w:p>
        </w:tc>
        <w:tc>
          <w:tcPr>
            <w:tcW w:w="1212" w:type="pct"/>
          </w:tcPr>
          <w:p w14:paraId="6296902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24,807</w:t>
            </w:r>
          </w:p>
        </w:tc>
        <w:tc>
          <w:tcPr>
            <w:tcW w:w="911" w:type="pct"/>
          </w:tcPr>
          <w:p w14:paraId="4524B5E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71</w:t>
            </w:r>
          </w:p>
        </w:tc>
        <w:tc>
          <w:tcPr>
            <w:tcW w:w="370" w:type="pct"/>
            <w:gridSpan w:val="4"/>
          </w:tcPr>
          <w:p w14:paraId="2C625BC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0.29</w:t>
            </w:r>
          </w:p>
        </w:tc>
        <w:tc>
          <w:tcPr>
            <w:tcW w:w="3" w:type="pct"/>
          </w:tcPr>
          <w:p w14:paraId="54685988" w14:textId="77777777" w:rsidR="00B44672" w:rsidRDefault="00B44672" w:rsidP="00302865">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423F87A1" w14:textId="77777777" w:rsidR="00B44672" w:rsidRDefault="00B44672" w:rsidP="00302865"/>
        </w:tc>
      </w:tr>
      <w:tr w:rsidR="00B44672" w14:paraId="120550C5" w14:textId="77777777" w:rsidTr="0030286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1" w:type="pct"/>
          </w:tcPr>
          <w:p w14:paraId="179ABFEA" w14:textId="77777777" w:rsidR="00B44672" w:rsidRDefault="00B44672" w:rsidP="00302865">
            <w:pPr>
              <w:pStyle w:val="Compact"/>
            </w:pPr>
            <w:r>
              <w:t>Quint 5</w:t>
            </w:r>
          </w:p>
        </w:tc>
        <w:tc>
          <w:tcPr>
            <w:tcW w:w="1060" w:type="pct"/>
          </w:tcPr>
          <w:p w14:paraId="26C13D84"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27,301</w:t>
            </w:r>
          </w:p>
        </w:tc>
        <w:tc>
          <w:tcPr>
            <w:tcW w:w="1212" w:type="pct"/>
          </w:tcPr>
          <w:p w14:paraId="5E61ABB2"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27,258</w:t>
            </w:r>
          </w:p>
        </w:tc>
        <w:tc>
          <w:tcPr>
            <w:tcW w:w="911" w:type="pct"/>
          </w:tcPr>
          <w:p w14:paraId="6404B516"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43</w:t>
            </w:r>
          </w:p>
        </w:tc>
        <w:tc>
          <w:tcPr>
            <w:tcW w:w="370" w:type="pct"/>
            <w:gridSpan w:val="4"/>
          </w:tcPr>
          <w:p w14:paraId="23A3FCA3"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0.16</w:t>
            </w:r>
          </w:p>
        </w:tc>
        <w:tc>
          <w:tcPr>
            <w:tcW w:w="3" w:type="pct"/>
          </w:tcPr>
          <w:p w14:paraId="651FC56A" w14:textId="77777777" w:rsidR="00B44672" w:rsidRDefault="00B44672" w:rsidP="00302865">
            <w:pP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 w:type="pct"/>
          </w:tcPr>
          <w:p w14:paraId="0EE5694C" w14:textId="77777777" w:rsidR="00B44672" w:rsidRDefault="00B44672" w:rsidP="00302865"/>
        </w:tc>
      </w:tr>
    </w:tbl>
    <w:p w14:paraId="70F845F8" w14:textId="77777777" w:rsidR="00B44672" w:rsidRDefault="00B44672" w:rsidP="00C83581">
      <w:pPr>
        <w:pStyle w:val="BlockText"/>
      </w:pPr>
      <w:r>
        <w:rPr>
          <w:i/>
        </w:rPr>
        <w:t>Source:</w:t>
      </w:r>
      <w:r>
        <w:t xml:space="preserve"> Calculations from NATSEM microsimulation model.</w:t>
      </w:r>
      <w:r>
        <w:br/>
      </w:r>
      <w:r>
        <w:rPr>
          <w:i/>
        </w:rPr>
        <w:t>Note:</w:t>
      </w:r>
      <w:r>
        <w:t xml:space="preserve"> The numbers shown in the table are the total number of residential properties purchased over the whole period. </w:t>
      </w:r>
    </w:p>
    <w:p w14:paraId="7FA121F7" w14:textId="77777777" w:rsidR="00B44672" w:rsidRDefault="00B44672">
      <w:pPr>
        <w:jc w:val="left"/>
        <w:rPr>
          <w:b/>
        </w:rPr>
      </w:pPr>
      <w:r>
        <w:rPr>
          <w:b/>
        </w:rPr>
        <w:br w:type="page"/>
      </w:r>
    </w:p>
    <w:p w14:paraId="63A11011" w14:textId="77777777" w:rsidR="00B44672" w:rsidRDefault="00B44672" w:rsidP="00C83581">
      <w:pPr>
        <w:pStyle w:val="FirstParagraph"/>
      </w:pPr>
      <w:r>
        <w:rPr>
          <w:b/>
        </w:rPr>
        <w:lastRenderedPageBreak/>
        <w:t>Stamp duty distribution</w:t>
      </w:r>
    </w:p>
    <w:p w14:paraId="34F24873" w14:textId="77777777" w:rsidR="00B44672" w:rsidRDefault="00B44672" w:rsidP="00C83581">
      <w:pPr>
        <w:pStyle w:val="TableCaption"/>
      </w:pPr>
      <w:r>
        <w:t>Table 20 - The impact of tax reform on the stamp duty distribution (including concession) by wealth quintile, average 2012 - 2018</w:t>
      </w:r>
    </w:p>
    <w:tbl>
      <w:tblPr>
        <w:tblStyle w:val="Table"/>
        <w:tblW w:w="4963" w:type="pct"/>
        <w:jc w:val="center"/>
        <w:tblCellMar>
          <w:left w:w="0" w:type="dxa"/>
          <w:right w:w="0" w:type="dxa"/>
        </w:tblCellMar>
        <w:tblLook w:val="07E0" w:firstRow="1" w:lastRow="1" w:firstColumn="1" w:lastColumn="1" w:noHBand="1" w:noVBand="1"/>
        <w:tblCaption w:val="Table 20 - The impact of tax reform on the stamp duty distribution (including concession) by wealth quintile, average 2012 - 2018"/>
      </w:tblPr>
      <w:tblGrid>
        <w:gridCol w:w="2598"/>
        <w:gridCol w:w="2324"/>
        <w:gridCol w:w="2734"/>
        <w:gridCol w:w="1303"/>
      </w:tblGrid>
      <w:tr w:rsidR="00B44672" w14:paraId="0E3F31C5" w14:textId="77777777" w:rsidTr="003028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pct"/>
            <w:tcBorders>
              <w:bottom w:val="single" w:sz="0" w:space="0" w:color="auto"/>
            </w:tcBorders>
            <w:vAlign w:val="bottom"/>
          </w:tcPr>
          <w:p w14:paraId="4DD2294F" w14:textId="77777777" w:rsidR="00B44672" w:rsidRDefault="00B44672" w:rsidP="000511CA"/>
        </w:tc>
        <w:tc>
          <w:tcPr>
            <w:tcW w:w="1297" w:type="pct"/>
            <w:tcBorders>
              <w:bottom w:val="single" w:sz="0" w:space="0" w:color="auto"/>
            </w:tcBorders>
            <w:vAlign w:val="bottom"/>
          </w:tcPr>
          <w:p w14:paraId="1287AB1F"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w:t>
            </w:r>
          </w:p>
        </w:tc>
        <w:tc>
          <w:tcPr>
            <w:tcW w:w="1526" w:type="pct"/>
            <w:tcBorders>
              <w:bottom w:val="single" w:sz="0" w:space="0" w:color="auto"/>
            </w:tcBorders>
            <w:vAlign w:val="bottom"/>
          </w:tcPr>
          <w:p w14:paraId="79BC7B8E"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w:t>
            </w:r>
          </w:p>
        </w:tc>
        <w:tc>
          <w:tcPr>
            <w:cnfStyle w:val="000100000000" w:firstRow="0" w:lastRow="0" w:firstColumn="0" w:lastColumn="1" w:oddVBand="0" w:evenVBand="0" w:oddHBand="0" w:evenHBand="0" w:firstRowFirstColumn="0" w:firstRowLastColumn="0" w:lastRowFirstColumn="0" w:lastRowLastColumn="0"/>
            <w:tcW w:w="727" w:type="pct"/>
            <w:tcBorders>
              <w:bottom w:val="single" w:sz="0" w:space="0" w:color="auto"/>
            </w:tcBorders>
            <w:vAlign w:val="bottom"/>
          </w:tcPr>
          <w:p w14:paraId="4EDCF8BC" w14:textId="77777777" w:rsidR="00B44672" w:rsidRDefault="00B44672" w:rsidP="000511CA">
            <w:pPr>
              <w:pStyle w:val="Compact"/>
              <w:jc w:val="center"/>
            </w:pPr>
            <w:r>
              <w:t>Diff (% point)</w:t>
            </w:r>
          </w:p>
        </w:tc>
      </w:tr>
      <w:tr w:rsidR="00B44672" w14:paraId="5F5F08E5"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29651481" w14:textId="77777777" w:rsidR="00B44672" w:rsidRDefault="00B44672" w:rsidP="00CB6E83">
            <w:pPr>
              <w:pStyle w:val="Compact"/>
            </w:pPr>
            <w:r w:rsidRPr="00AF6491">
              <w:rPr>
                <w:b/>
                <w:i/>
                <w:iCs/>
                <w:color w:val="365F91" w:themeColor="accent1" w:themeShade="BF"/>
              </w:rPr>
              <w:t>No price change</w:t>
            </w:r>
          </w:p>
        </w:tc>
        <w:tc>
          <w:tcPr>
            <w:tcW w:w="1297" w:type="pct"/>
          </w:tcPr>
          <w:p w14:paraId="25D06CB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1526" w:type="pct"/>
          </w:tcPr>
          <w:p w14:paraId="47E73F6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27" w:type="pct"/>
          </w:tcPr>
          <w:p w14:paraId="0D7868F4" w14:textId="77777777" w:rsidR="00B44672" w:rsidRDefault="00B44672" w:rsidP="00CB6E83">
            <w:pPr>
              <w:pStyle w:val="Compact"/>
              <w:jc w:val="center"/>
            </w:pPr>
          </w:p>
        </w:tc>
      </w:tr>
      <w:tr w:rsidR="00B44672" w14:paraId="2679D7AC"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5BE51221" w14:textId="77777777" w:rsidR="00B44672" w:rsidRDefault="00B44672" w:rsidP="00CB6E83">
            <w:pPr>
              <w:pStyle w:val="Compact"/>
            </w:pPr>
            <w:r>
              <w:t>Quint 1</w:t>
            </w:r>
          </w:p>
        </w:tc>
        <w:tc>
          <w:tcPr>
            <w:tcW w:w="1297" w:type="pct"/>
          </w:tcPr>
          <w:p w14:paraId="7DF56D2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0.02</w:t>
            </w:r>
          </w:p>
        </w:tc>
        <w:tc>
          <w:tcPr>
            <w:tcW w:w="1526" w:type="pct"/>
          </w:tcPr>
          <w:p w14:paraId="4B686F7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0.02</w:t>
            </w:r>
          </w:p>
        </w:tc>
        <w:tc>
          <w:tcPr>
            <w:cnfStyle w:val="000100000000" w:firstRow="0" w:lastRow="0" w:firstColumn="0" w:lastColumn="1" w:oddVBand="0" w:evenVBand="0" w:oddHBand="0" w:evenHBand="0" w:firstRowFirstColumn="0" w:firstRowLastColumn="0" w:lastRowFirstColumn="0" w:lastRowLastColumn="0"/>
            <w:tcW w:w="727" w:type="pct"/>
          </w:tcPr>
          <w:p w14:paraId="00891867" w14:textId="77777777" w:rsidR="00B44672" w:rsidRDefault="00B44672" w:rsidP="00CB6E83">
            <w:pPr>
              <w:pStyle w:val="Compact"/>
              <w:jc w:val="center"/>
            </w:pPr>
            <w:r>
              <w:t>0.00</w:t>
            </w:r>
          </w:p>
        </w:tc>
      </w:tr>
      <w:tr w:rsidR="00B44672" w14:paraId="76A81117"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2B53BA6D" w14:textId="77777777" w:rsidR="00B44672" w:rsidRDefault="00B44672" w:rsidP="00CB6E83">
            <w:pPr>
              <w:pStyle w:val="Compact"/>
            </w:pPr>
            <w:r>
              <w:t>Quint 2</w:t>
            </w:r>
          </w:p>
        </w:tc>
        <w:tc>
          <w:tcPr>
            <w:tcW w:w="1297" w:type="pct"/>
          </w:tcPr>
          <w:p w14:paraId="4623BDE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9.83</w:t>
            </w:r>
          </w:p>
        </w:tc>
        <w:tc>
          <w:tcPr>
            <w:tcW w:w="1526" w:type="pct"/>
          </w:tcPr>
          <w:p w14:paraId="64382D8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9.07</w:t>
            </w:r>
          </w:p>
        </w:tc>
        <w:tc>
          <w:tcPr>
            <w:cnfStyle w:val="000100000000" w:firstRow="0" w:lastRow="0" w:firstColumn="0" w:lastColumn="1" w:oddVBand="0" w:evenVBand="0" w:oddHBand="0" w:evenHBand="0" w:firstRowFirstColumn="0" w:firstRowLastColumn="0" w:lastRowFirstColumn="0" w:lastRowLastColumn="0"/>
            <w:tcW w:w="727" w:type="pct"/>
          </w:tcPr>
          <w:p w14:paraId="5A36780B" w14:textId="77777777" w:rsidR="00B44672" w:rsidRDefault="00B44672" w:rsidP="00CB6E83">
            <w:pPr>
              <w:pStyle w:val="Compact"/>
              <w:jc w:val="center"/>
            </w:pPr>
            <w:r>
              <w:t>0.77</w:t>
            </w:r>
          </w:p>
        </w:tc>
      </w:tr>
      <w:tr w:rsidR="00B44672" w14:paraId="3DFBA89E"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28A48A0E" w14:textId="77777777" w:rsidR="00B44672" w:rsidRDefault="00B44672" w:rsidP="00CB6E83">
            <w:pPr>
              <w:pStyle w:val="Compact"/>
            </w:pPr>
            <w:r>
              <w:t>Quint 3</w:t>
            </w:r>
          </w:p>
        </w:tc>
        <w:tc>
          <w:tcPr>
            <w:tcW w:w="1297" w:type="pct"/>
          </w:tcPr>
          <w:p w14:paraId="4B5107B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24.58</w:t>
            </w:r>
          </w:p>
        </w:tc>
        <w:tc>
          <w:tcPr>
            <w:tcW w:w="1526" w:type="pct"/>
          </w:tcPr>
          <w:p w14:paraId="7EA2B08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24.99</w:t>
            </w:r>
          </w:p>
        </w:tc>
        <w:tc>
          <w:tcPr>
            <w:cnfStyle w:val="000100000000" w:firstRow="0" w:lastRow="0" w:firstColumn="0" w:lastColumn="1" w:oddVBand="0" w:evenVBand="0" w:oddHBand="0" w:evenHBand="0" w:firstRowFirstColumn="0" w:firstRowLastColumn="0" w:lastRowFirstColumn="0" w:lastRowLastColumn="0"/>
            <w:tcW w:w="727" w:type="pct"/>
          </w:tcPr>
          <w:p w14:paraId="425B2733" w14:textId="77777777" w:rsidR="00B44672" w:rsidRDefault="00B44672" w:rsidP="00CB6E83">
            <w:pPr>
              <w:pStyle w:val="Compact"/>
              <w:jc w:val="center"/>
            </w:pPr>
            <w:r>
              <w:t>-0.41</w:t>
            </w:r>
          </w:p>
        </w:tc>
      </w:tr>
      <w:tr w:rsidR="00B44672" w14:paraId="25E495DB"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7A808E1C" w14:textId="77777777" w:rsidR="00B44672" w:rsidRDefault="00B44672" w:rsidP="00CB6E83">
            <w:pPr>
              <w:pStyle w:val="Compact"/>
            </w:pPr>
            <w:r>
              <w:t>Quint 4</w:t>
            </w:r>
          </w:p>
        </w:tc>
        <w:tc>
          <w:tcPr>
            <w:tcW w:w="1297" w:type="pct"/>
          </w:tcPr>
          <w:p w14:paraId="30D8CAC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29.38</w:t>
            </w:r>
          </w:p>
        </w:tc>
        <w:tc>
          <w:tcPr>
            <w:tcW w:w="1526" w:type="pct"/>
          </w:tcPr>
          <w:p w14:paraId="07E7D87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29.53</w:t>
            </w:r>
          </w:p>
        </w:tc>
        <w:tc>
          <w:tcPr>
            <w:cnfStyle w:val="000100000000" w:firstRow="0" w:lastRow="0" w:firstColumn="0" w:lastColumn="1" w:oddVBand="0" w:evenVBand="0" w:oddHBand="0" w:evenHBand="0" w:firstRowFirstColumn="0" w:firstRowLastColumn="0" w:lastRowFirstColumn="0" w:lastRowLastColumn="0"/>
            <w:tcW w:w="727" w:type="pct"/>
          </w:tcPr>
          <w:p w14:paraId="6468DC9E" w14:textId="77777777" w:rsidR="00B44672" w:rsidRDefault="00B44672" w:rsidP="00CB6E83">
            <w:pPr>
              <w:pStyle w:val="Compact"/>
              <w:jc w:val="center"/>
            </w:pPr>
            <w:r>
              <w:t>-0.15</w:t>
            </w:r>
          </w:p>
        </w:tc>
      </w:tr>
      <w:tr w:rsidR="00B44672" w14:paraId="2F83EEFF"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4D55C115" w14:textId="77777777" w:rsidR="00B44672" w:rsidRDefault="00B44672" w:rsidP="00CB6E83">
            <w:pPr>
              <w:pStyle w:val="Compact"/>
            </w:pPr>
            <w:r>
              <w:t>Quint 5</w:t>
            </w:r>
          </w:p>
        </w:tc>
        <w:tc>
          <w:tcPr>
            <w:tcW w:w="1297" w:type="pct"/>
          </w:tcPr>
          <w:p w14:paraId="6DDD2A4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36.20</w:t>
            </w:r>
          </w:p>
        </w:tc>
        <w:tc>
          <w:tcPr>
            <w:tcW w:w="1526" w:type="pct"/>
          </w:tcPr>
          <w:p w14:paraId="58AAE17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36.40</w:t>
            </w:r>
          </w:p>
        </w:tc>
        <w:tc>
          <w:tcPr>
            <w:cnfStyle w:val="000100000000" w:firstRow="0" w:lastRow="0" w:firstColumn="0" w:lastColumn="1" w:oddVBand="0" w:evenVBand="0" w:oddHBand="0" w:evenHBand="0" w:firstRowFirstColumn="0" w:firstRowLastColumn="0" w:lastRowFirstColumn="0" w:lastRowLastColumn="0"/>
            <w:tcW w:w="727" w:type="pct"/>
          </w:tcPr>
          <w:p w14:paraId="2E989B20" w14:textId="77777777" w:rsidR="00B44672" w:rsidRDefault="00B44672" w:rsidP="00CB6E83">
            <w:pPr>
              <w:pStyle w:val="Compact"/>
              <w:jc w:val="center"/>
            </w:pPr>
            <w:r>
              <w:t>-0.21</w:t>
            </w:r>
          </w:p>
        </w:tc>
      </w:tr>
      <w:tr w:rsidR="00B44672" w14:paraId="7CC59726"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73747457"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1297" w:type="pct"/>
          </w:tcPr>
          <w:p w14:paraId="55A0274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1526" w:type="pct"/>
          </w:tcPr>
          <w:p w14:paraId="7C101B1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27" w:type="pct"/>
          </w:tcPr>
          <w:p w14:paraId="10ED5AEB" w14:textId="77777777" w:rsidR="00B44672" w:rsidRDefault="00B44672" w:rsidP="00A567C4">
            <w:pPr>
              <w:pStyle w:val="Compact"/>
              <w:jc w:val="center"/>
            </w:pPr>
          </w:p>
        </w:tc>
      </w:tr>
      <w:tr w:rsidR="00B44672" w14:paraId="3C38496A"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43448C55" w14:textId="77777777" w:rsidR="00B44672" w:rsidRDefault="00B44672" w:rsidP="00A567C4">
            <w:pPr>
              <w:pStyle w:val="Compact"/>
            </w:pPr>
            <w:r>
              <w:t>Quint 1</w:t>
            </w:r>
          </w:p>
        </w:tc>
        <w:tc>
          <w:tcPr>
            <w:tcW w:w="1297" w:type="pct"/>
          </w:tcPr>
          <w:p w14:paraId="37C878B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0.02</w:t>
            </w:r>
          </w:p>
        </w:tc>
        <w:tc>
          <w:tcPr>
            <w:tcW w:w="1526" w:type="pct"/>
          </w:tcPr>
          <w:p w14:paraId="20CBC42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0.02</w:t>
            </w:r>
          </w:p>
        </w:tc>
        <w:tc>
          <w:tcPr>
            <w:cnfStyle w:val="000100000000" w:firstRow="0" w:lastRow="0" w:firstColumn="0" w:lastColumn="1" w:oddVBand="0" w:evenVBand="0" w:oddHBand="0" w:evenHBand="0" w:firstRowFirstColumn="0" w:firstRowLastColumn="0" w:lastRowFirstColumn="0" w:lastRowLastColumn="0"/>
            <w:tcW w:w="727" w:type="pct"/>
          </w:tcPr>
          <w:p w14:paraId="44318E98" w14:textId="77777777" w:rsidR="00B44672" w:rsidRDefault="00B44672" w:rsidP="00A567C4">
            <w:pPr>
              <w:pStyle w:val="Compact"/>
              <w:jc w:val="center"/>
            </w:pPr>
            <w:r>
              <w:t>0.00</w:t>
            </w:r>
          </w:p>
        </w:tc>
      </w:tr>
      <w:tr w:rsidR="00B44672" w14:paraId="6AE5F9F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56654C6F" w14:textId="77777777" w:rsidR="00B44672" w:rsidRDefault="00B44672" w:rsidP="00A567C4">
            <w:pPr>
              <w:pStyle w:val="Compact"/>
            </w:pPr>
            <w:r>
              <w:t>Quint 2</w:t>
            </w:r>
          </w:p>
        </w:tc>
        <w:tc>
          <w:tcPr>
            <w:tcW w:w="1297" w:type="pct"/>
          </w:tcPr>
          <w:p w14:paraId="073231D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9.83</w:t>
            </w:r>
          </w:p>
        </w:tc>
        <w:tc>
          <w:tcPr>
            <w:tcW w:w="1526" w:type="pct"/>
          </w:tcPr>
          <w:p w14:paraId="2BAFC89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9.13</w:t>
            </w:r>
          </w:p>
        </w:tc>
        <w:tc>
          <w:tcPr>
            <w:cnfStyle w:val="000100000000" w:firstRow="0" w:lastRow="0" w:firstColumn="0" w:lastColumn="1" w:oddVBand="0" w:evenVBand="0" w:oddHBand="0" w:evenHBand="0" w:firstRowFirstColumn="0" w:firstRowLastColumn="0" w:lastRowFirstColumn="0" w:lastRowLastColumn="0"/>
            <w:tcW w:w="727" w:type="pct"/>
          </w:tcPr>
          <w:p w14:paraId="11AE685A" w14:textId="77777777" w:rsidR="00B44672" w:rsidRDefault="00B44672" w:rsidP="00A567C4">
            <w:pPr>
              <w:pStyle w:val="Compact"/>
              <w:jc w:val="center"/>
            </w:pPr>
            <w:r>
              <w:t>0.70</w:t>
            </w:r>
          </w:p>
        </w:tc>
      </w:tr>
      <w:tr w:rsidR="00B44672" w14:paraId="6099EBE6"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13B37E8E" w14:textId="77777777" w:rsidR="00B44672" w:rsidRDefault="00B44672" w:rsidP="00A567C4">
            <w:pPr>
              <w:pStyle w:val="Compact"/>
            </w:pPr>
            <w:r>
              <w:t>Quint 3</w:t>
            </w:r>
          </w:p>
        </w:tc>
        <w:tc>
          <w:tcPr>
            <w:tcW w:w="1297" w:type="pct"/>
          </w:tcPr>
          <w:p w14:paraId="680AD0F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24.58</w:t>
            </w:r>
          </w:p>
        </w:tc>
        <w:tc>
          <w:tcPr>
            <w:tcW w:w="1526" w:type="pct"/>
          </w:tcPr>
          <w:p w14:paraId="01FEB91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24.92</w:t>
            </w:r>
          </w:p>
        </w:tc>
        <w:tc>
          <w:tcPr>
            <w:cnfStyle w:val="000100000000" w:firstRow="0" w:lastRow="0" w:firstColumn="0" w:lastColumn="1" w:oddVBand="0" w:evenVBand="0" w:oddHBand="0" w:evenHBand="0" w:firstRowFirstColumn="0" w:firstRowLastColumn="0" w:lastRowFirstColumn="0" w:lastRowLastColumn="0"/>
            <w:tcW w:w="727" w:type="pct"/>
          </w:tcPr>
          <w:p w14:paraId="240EA342" w14:textId="77777777" w:rsidR="00B44672" w:rsidRDefault="00B44672" w:rsidP="00A567C4">
            <w:pPr>
              <w:pStyle w:val="Compact"/>
              <w:jc w:val="center"/>
            </w:pPr>
            <w:r>
              <w:t>-0.35</w:t>
            </w:r>
          </w:p>
        </w:tc>
      </w:tr>
      <w:tr w:rsidR="00B44672" w14:paraId="1E1442E9"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0BFBCDFE" w14:textId="77777777" w:rsidR="00B44672" w:rsidRDefault="00B44672" w:rsidP="00A567C4">
            <w:pPr>
              <w:pStyle w:val="Compact"/>
            </w:pPr>
            <w:r>
              <w:t>Quint 4</w:t>
            </w:r>
          </w:p>
        </w:tc>
        <w:tc>
          <w:tcPr>
            <w:tcW w:w="1297" w:type="pct"/>
          </w:tcPr>
          <w:p w14:paraId="561A514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29.38</w:t>
            </w:r>
          </w:p>
        </w:tc>
        <w:tc>
          <w:tcPr>
            <w:tcW w:w="1526" w:type="pct"/>
          </w:tcPr>
          <w:p w14:paraId="4AACFFF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29.51</w:t>
            </w:r>
          </w:p>
        </w:tc>
        <w:tc>
          <w:tcPr>
            <w:cnfStyle w:val="000100000000" w:firstRow="0" w:lastRow="0" w:firstColumn="0" w:lastColumn="1" w:oddVBand="0" w:evenVBand="0" w:oddHBand="0" w:evenHBand="0" w:firstRowFirstColumn="0" w:firstRowLastColumn="0" w:lastRowFirstColumn="0" w:lastRowLastColumn="0"/>
            <w:tcW w:w="727" w:type="pct"/>
          </w:tcPr>
          <w:p w14:paraId="69E555AA" w14:textId="77777777" w:rsidR="00B44672" w:rsidRDefault="00B44672" w:rsidP="00A567C4">
            <w:pPr>
              <w:pStyle w:val="Compact"/>
              <w:jc w:val="center"/>
            </w:pPr>
            <w:r>
              <w:t>-0.13</w:t>
            </w:r>
          </w:p>
        </w:tc>
      </w:tr>
      <w:tr w:rsidR="00B44672" w14:paraId="29FAEDC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0A57AA8E" w14:textId="77777777" w:rsidR="00B44672" w:rsidRDefault="00B44672" w:rsidP="00A567C4">
            <w:pPr>
              <w:pStyle w:val="Compact"/>
            </w:pPr>
            <w:r>
              <w:t>Quint 5</w:t>
            </w:r>
          </w:p>
        </w:tc>
        <w:tc>
          <w:tcPr>
            <w:tcW w:w="1297" w:type="pct"/>
          </w:tcPr>
          <w:p w14:paraId="6036CF1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36.20</w:t>
            </w:r>
          </w:p>
        </w:tc>
        <w:tc>
          <w:tcPr>
            <w:tcW w:w="1526" w:type="pct"/>
          </w:tcPr>
          <w:p w14:paraId="31B4A15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36.42</w:t>
            </w:r>
          </w:p>
        </w:tc>
        <w:tc>
          <w:tcPr>
            <w:cnfStyle w:val="000100000000" w:firstRow="0" w:lastRow="0" w:firstColumn="0" w:lastColumn="1" w:oddVBand="0" w:evenVBand="0" w:oddHBand="0" w:evenHBand="0" w:firstRowFirstColumn="0" w:firstRowLastColumn="0" w:lastRowFirstColumn="0" w:lastRowLastColumn="0"/>
            <w:tcW w:w="727" w:type="pct"/>
          </w:tcPr>
          <w:p w14:paraId="799D7E15" w14:textId="77777777" w:rsidR="00B44672" w:rsidRDefault="00B44672" w:rsidP="00A567C4">
            <w:pPr>
              <w:pStyle w:val="Compact"/>
              <w:jc w:val="center"/>
            </w:pPr>
            <w:r>
              <w:t>-0.22</w:t>
            </w:r>
          </w:p>
        </w:tc>
      </w:tr>
      <w:tr w:rsidR="00B44672" w14:paraId="40A25822"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1A80D8C4" w14:textId="77777777" w:rsidR="00B44672" w:rsidRDefault="00B44672" w:rsidP="00302865">
            <w:pPr>
              <w:pStyle w:val="Compact"/>
            </w:pPr>
            <w:r w:rsidRPr="00113FC1">
              <w:rPr>
                <w:b/>
                <w:i/>
                <w:iCs/>
                <w:color w:val="365F91" w:themeColor="accent1" w:themeShade="BF"/>
              </w:rPr>
              <w:t>1.24 – 2.19% price change</w:t>
            </w:r>
          </w:p>
        </w:tc>
        <w:tc>
          <w:tcPr>
            <w:tcW w:w="1297" w:type="pct"/>
          </w:tcPr>
          <w:p w14:paraId="5C08992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1526" w:type="pct"/>
          </w:tcPr>
          <w:p w14:paraId="50E7CDE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27" w:type="pct"/>
          </w:tcPr>
          <w:p w14:paraId="67D3BA63" w14:textId="77777777" w:rsidR="00B44672" w:rsidRDefault="00B44672" w:rsidP="00302865">
            <w:pPr>
              <w:pStyle w:val="Compact"/>
              <w:jc w:val="center"/>
            </w:pPr>
          </w:p>
        </w:tc>
      </w:tr>
      <w:tr w:rsidR="00B44672" w14:paraId="2AF40AD6"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2F1BE6F8" w14:textId="77777777" w:rsidR="00B44672" w:rsidRDefault="00B44672" w:rsidP="00302865">
            <w:pPr>
              <w:pStyle w:val="Compact"/>
            </w:pPr>
            <w:r>
              <w:t>Quint 1</w:t>
            </w:r>
          </w:p>
        </w:tc>
        <w:tc>
          <w:tcPr>
            <w:tcW w:w="1297" w:type="pct"/>
          </w:tcPr>
          <w:p w14:paraId="5C78910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0.02</w:t>
            </w:r>
          </w:p>
        </w:tc>
        <w:tc>
          <w:tcPr>
            <w:tcW w:w="1526" w:type="pct"/>
          </w:tcPr>
          <w:p w14:paraId="1860D10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0.02</w:t>
            </w:r>
          </w:p>
        </w:tc>
        <w:tc>
          <w:tcPr>
            <w:cnfStyle w:val="000100000000" w:firstRow="0" w:lastRow="0" w:firstColumn="0" w:lastColumn="1" w:oddVBand="0" w:evenVBand="0" w:oddHBand="0" w:evenHBand="0" w:firstRowFirstColumn="0" w:firstRowLastColumn="0" w:lastRowFirstColumn="0" w:lastRowLastColumn="0"/>
            <w:tcW w:w="727" w:type="pct"/>
          </w:tcPr>
          <w:p w14:paraId="55409DD6" w14:textId="77777777" w:rsidR="00B44672" w:rsidRDefault="00B44672" w:rsidP="00302865">
            <w:pPr>
              <w:pStyle w:val="Compact"/>
              <w:jc w:val="center"/>
            </w:pPr>
            <w:r>
              <w:t>0.00</w:t>
            </w:r>
          </w:p>
        </w:tc>
      </w:tr>
      <w:tr w:rsidR="00B44672" w14:paraId="364C21D0"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6F508363" w14:textId="77777777" w:rsidR="00B44672" w:rsidRDefault="00B44672" w:rsidP="00302865">
            <w:pPr>
              <w:pStyle w:val="Compact"/>
            </w:pPr>
            <w:r>
              <w:t>Quint 2</w:t>
            </w:r>
          </w:p>
        </w:tc>
        <w:tc>
          <w:tcPr>
            <w:tcW w:w="1297" w:type="pct"/>
          </w:tcPr>
          <w:p w14:paraId="7ECD706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9.83</w:t>
            </w:r>
          </w:p>
        </w:tc>
        <w:tc>
          <w:tcPr>
            <w:tcW w:w="1526" w:type="pct"/>
          </w:tcPr>
          <w:p w14:paraId="2A5D76E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9.27</w:t>
            </w:r>
          </w:p>
        </w:tc>
        <w:tc>
          <w:tcPr>
            <w:cnfStyle w:val="000100000000" w:firstRow="0" w:lastRow="0" w:firstColumn="0" w:lastColumn="1" w:oddVBand="0" w:evenVBand="0" w:oddHBand="0" w:evenHBand="0" w:firstRowFirstColumn="0" w:firstRowLastColumn="0" w:lastRowFirstColumn="0" w:lastRowLastColumn="0"/>
            <w:tcW w:w="727" w:type="pct"/>
          </w:tcPr>
          <w:p w14:paraId="5EA68BC0" w14:textId="77777777" w:rsidR="00B44672" w:rsidRDefault="00B44672" w:rsidP="00302865">
            <w:pPr>
              <w:pStyle w:val="Compact"/>
              <w:jc w:val="center"/>
            </w:pPr>
            <w:r>
              <w:t>0.56</w:t>
            </w:r>
          </w:p>
        </w:tc>
      </w:tr>
      <w:tr w:rsidR="00B44672" w14:paraId="531D47A5"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21B9F2F8" w14:textId="77777777" w:rsidR="00B44672" w:rsidRDefault="00B44672" w:rsidP="00302865">
            <w:pPr>
              <w:pStyle w:val="Compact"/>
            </w:pPr>
            <w:r>
              <w:t>Quint 3</w:t>
            </w:r>
          </w:p>
        </w:tc>
        <w:tc>
          <w:tcPr>
            <w:tcW w:w="1297" w:type="pct"/>
          </w:tcPr>
          <w:p w14:paraId="75AAD5B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24.58</w:t>
            </w:r>
          </w:p>
        </w:tc>
        <w:tc>
          <w:tcPr>
            <w:tcW w:w="1526" w:type="pct"/>
          </w:tcPr>
          <w:p w14:paraId="35D6454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24.90</w:t>
            </w:r>
          </w:p>
        </w:tc>
        <w:tc>
          <w:tcPr>
            <w:cnfStyle w:val="000100000000" w:firstRow="0" w:lastRow="0" w:firstColumn="0" w:lastColumn="1" w:oddVBand="0" w:evenVBand="0" w:oddHBand="0" w:evenHBand="0" w:firstRowFirstColumn="0" w:firstRowLastColumn="0" w:lastRowFirstColumn="0" w:lastRowLastColumn="0"/>
            <w:tcW w:w="727" w:type="pct"/>
          </w:tcPr>
          <w:p w14:paraId="782C35EA" w14:textId="77777777" w:rsidR="00B44672" w:rsidRDefault="00B44672" w:rsidP="00302865">
            <w:pPr>
              <w:pStyle w:val="Compact"/>
              <w:jc w:val="center"/>
            </w:pPr>
            <w:r>
              <w:t>-0.32</w:t>
            </w:r>
          </w:p>
        </w:tc>
      </w:tr>
      <w:tr w:rsidR="00B44672" w14:paraId="1B838DEE"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450" w:type="pct"/>
          </w:tcPr>
          <w:p w14:paraId="255265AD" w14:textId="77777777" w:rsidR="00B44672" w:rsidRDefault="00B44672" w:rsidP="00302865">
            <w:pPr>
              <w:pStyle w:val="Compact"/>
            </w:pPr>
            <w:r>
              <w:t>Quint 4</w:t>
            </w:r>
          </w:p>
        </w:tc>
        <w:tc>
          <w:tcPr>
            <w:tcW w:w="1297" w:type="pct"/>
          </w:tcPr>
          <w:p w14:paraId="6513646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29.38</w:t>
            </w:r>
          </w:p>
        </w:tc>
        <w:tc>
          <w:tcPr>
            <w:tcW w:w="1526" w:type="pct"/>
          </w:tcPr>
          <w:p w14:paraId="3400ADD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29.50</w:t>
            </w:r>
          </w:p>
        </w:tc>
        <w:tc>
          <w:tcPr>
            <w:cnfStyle w:val="000100000000" w:firstRow="0" w:lastRow="0" w:firstColumn="0" w:lastColumn="1" w:oddVBand="0" w:evenVBand="0" w:oddHBand="0" w:evenHBand="0" w:firstRowFirstColumn="0" w:firstRowLastColumn="0" w:lastRowFirstColumn="0" w:lastRowLastColumn="0"/>
            <w:tcW w:w="727" w:type="pct"/>
          </w:tcPr>
          <w:p w14:paraId="191A282A" w14:textId="77777777" w:rsidR="00B44672" w:rsidRDefault="00B44672" w:rsidP="00302865">
            <w:pPr>
              <w:pStyle w:val="Compact"/>
              <w:jc w:val="center"/>
            </w:pPr>
            <w:r>
              <w:t>-0.12</w:t>
            </w:r>
          </w:p>
        </w:tc>
      </w:tr>
      <w:tr w:rsidR="00B44672" w14:paraId="6332D811" w14:textId="77777777" w:rsidTr="0030286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pct"/>
          </w:tcPr>
          <w:p w14:paraId="20E89F8E" w14:textId="77777777" w:rsidR="00B44672" w:rsidRDefault="00B44672" w:rsidP="00302865">
            <w:pPr>
              <w:pStyle w:val="Compact"/>
            </w:pPr>
            <w:r>
              <w:t>Quint 5</w:t>
            </w:r>
          </w:p>
        </w:tc>
        <w:tc>
          <w:tcPr>
            <w:tcW w:w="1297" w:type="pct"/>
          </w:tcPr>
          <w:p w14:paraId="173DD7FD"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36.20</w:t>
            </w:r>
          </w:p>
        </w:tc>
        <w:tc>
          <w:tcPr>
            <w:tcW w:w="1526" w:type="pct"/>
          </w:tcPr>
          <w:p w14:paraId="3A93D0BD"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36.32</w:t>
            </w:r>
          </w:p>
        </w:tc>
        <w:tc>
          <w:tcPr>
            <w:cnfStyle w:val="000100000000" w:firstRow="0" w:lastRow="0" w:firstColumn="0" w:lastColumn="1" w:oddVBand="0" w:evenVBand="0" w:oddHBand="0" w:evenHBand="0" w:firstRowFirstColumn="0" w:firstRowLastColumn="0" w:lastRowFirstColumn="0" w:lastRowLastColumn="0"/>
            <w:tcW w:w="727" w:type="pct"/>
          </w:tcPr>
          <w:p w14:paraId="53BBB59B" w14:textId="77777777" w:rsidR="00B44672" w:rsidRDefault="00B44672" w:rsidP="00302865">
            <w:pPr>
              <w:pStyle w:val="Compact"/>
              <w:jc w:val="center"/>
            </w:pPr>
            <w:r>
              <w:t>-0.12</w:t>
            </w:r>
          </w:p>
        </w:tc>
      </w:tr>
    </w:tbl>
    <w:p w14:paraId="3097FF6F" w14:textId="77777777" w:rsidR="00B44672" w:rsidRDefault="00B44672" w:rsidP="00B65B81">
      <w:pPr>
        <w:pStyle w:val="BlockText"/>
      </w:pPr>
      <w:r>
        <w:rPr>
          <w:i/>
        </w:rPr>
        <w:t>Source:</w:t>
      </w:r>
      <w:r>
        <w:t xml:space="preserve"> Calculations from NATSEM microsimulation model.</w:t>
      </w:r>
      <w:r>
        <w:br/>
      </w:r>
      <w:r>
        <w:rPr>
          <w:i/>
        </w:rPr>
        <w:t>Note:</w:t>
      </w:r>
      <w:r>
        <w:t xml:space="preserve"> </w:t>
      </w:r>
      <w:bookmarkStart w:id="129" w:name="_Hlk39236744"/>
      <w:r>
        <w:t>(</w:t>
      </w:r>
      <w:proofErr w:type="spellStart"/>
      <w:r>
        <w:t>i</w:t>
      </w:r>
      <w:proofErr w:type="spellEnd"/>
      <w:r>
        <w:t xml:space="preserve">) The % is the percent of total stamp duty paid by all the income units who paid stamp duty in each wealth quintile. It will sum to 100 across all wealth quintiles; (ii) Diff means the difference between the new and old tax policies. </w:t>
      </w:r>
      <w:bookmarkEnd w:id="129"/>
    </w:p>
    <w:p w14:paraId="522F1772" w14:textId="77777777" w:rsidR="00B44672" w:rsidRDefault="00B44672">
      <w:pPr>
        <w:jc w:val="left"/>
        <w:rPr>
          <w:b/>
          <w:i/>
          <w:color w:val="365F91" w:themeColor="accent1" w:themeShade="BF"/>
        </w:rPr>
      </w:pPr>
      <w:r>
        <w:br w:type="page"/>
      </w:r>
    </w:p>
    <w:p w14:paraId="73A34D3F" w14:textId="77777777" w:rsidR="00B44672" w:rsidRDefault="00B44672" w:rsidP="00C83581">
      <w:pPr>
        <w:pStyle w:val="TableCaption"/>
      </w:pPr>
      <w:r>
        <w:lastRenderedPageBreak/>
        <w:t>Table 21 - The impact of tax reform on stamp duty paid by wealth quintile, average 2012 – 2018</w:t>
      </w:r>
    </w:p>
    <w:tbl>
      <w:tblPr>
        <w:tblStyle w:val="Table"/>
        <w:tblW w:w="6139" w:type="pct"/>
        <w:jc w:val="center"/>
        <w:tblCellMar>
          <w:left w:w="0" w:type="dxa"/>
          <w:right w:w="0" w:type="dxa"/>
        </w:tblCellMar>
        <w:tblLook w:val="07E0" w:firstRow="1" w:lastRow="1" w:firstColumn="1" w:lastColumn="1" w:noHBand="1" w:noVBand="1"/>
        <w:tblCaption w:val="Table 21 - The impact of tax reform on stamp duty paid by wealth quintile, average 2012 – 2018"/>
      </w:tblPr>
      <w:tblGrid>
        <w:gridCol w:w="2601"/>
        <w:gridCol w:w="1024"/>
        <w:gridCol w:w="1006"/>
        <w:gridCol w:w="842"/>
        <w:gridCol w:w="1048"/>
        <w:gridCol w:w="1026"/>
        <w:gridCol w:w="805"/>
        <w:gridCol w:w="977"/>
        <w:gridCol w:w="957"/>
        <w:gridCol w:w="796"/>
      </w:tblGrid>
      <w:tr w:rsidR="00B44672" w14:paraId="5145FE24" w14:textId="77777777" w:rsidTr="003028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3" w:type="pct"/>
            <w:tcBorders>
              <w:bottom w:val="single" w:sz="0" w:space="0" w:color="auto"/>
            </w:tcBorders>
            <w:vAlign w:val="bottom"/>
          </w:tcPr>
          <w:p w14:paraId="5AD76C1C" w14:textId="77777777" w:rsidR="00B44672" w:rsidRDefault="00B44672" w:rsidP="000511CA"/>
        </w:tc>
        <w:tc>
          <w:tcPr>
            <w:tcW w:w="462" w:type="pct"/>
            <w:tcBorders>
              <w:bottom w:val="single" w:sz="0" w:space="0" w:color="auto"/>
            </w:tcBorders>
            <w:vAlign w:val="bottom"/>
          </w:tcPr>
          <w:p w14:paraId="155B62B0"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affected</w:t>
            </w:r>
          </w:p>
        </w:tc>
        <w:tc>
          <w:tcPr>
            <w:tcW w:w="454" w:type="pct"/>
            <w:tcBorders>
              <w:bottom w:val="single" w:sz="0" w:space="0" w:color="auto"/>
            </w:tcBorders>
            <w:vAlign w:val="bottom"/>
          </w:tcPr>
          <w:p w14:paraId="6DE5BEB8"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affected</w:t>
            </w:r>
          </w:p>
        </w:tc>
        <w:tc>
          <w:tcPr>
            <w:tcW w:w="380" w:type="pct"/>
            <w:tcBorders>
              <w:bottom w:val="single" w:sz="0" w:space="0" w:color="auto"/>
            </w:tcBorders>
            <w:vAlign w:val="bottom"/>
          </w:tcPr>
          <w:p w14:paraId="21D28F4F"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 affected</w:t>
            </w:r>
          </w:p>
        </w:tc>
        <w:tc>
          <w:tcPr>
            <w:tcW w:w="473" w:type="pct"/>
            <w:tcBorders>
              <w:bottom w:val="single" w:sz="0" w:space="0" w:color="auto"/>
            </w:tcBorders>
            <w:vAlign w:val="bottom"/>
          </w:tcPr>
          <w:p w14:paraId="25D083E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stamp duty</w:t>
            </w:r>
          </w:p>
          <w:p w14:paraId="4B61AD6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63" w:type="pct"/>
            <w:tcBorders>
              <w:bottom w:val="single" w:sz="0" w:space="0" w:color="auto"/>
            </w:tcBorders>
            <w:vAlign w:val="bottom"/>
          </w:tcPr>
          <w:p w14:paraId="7D45485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stamp duty</w:t>
            </w:r>
          </w:p>
          <w:p w14:paraId="65F607BA"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363" w:type="pct"/>
            <w:tcBorders>
              <w:bottom w:val="single" w:sz="0" w:space="0" w:color="auto"/>
            </w:tcBorders>
            <w:vAlign w:val="bottom"/>
          </w:tcPr>
          <w:p w14:paraId="2A9352C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stamp duty</w:t>
            </w:r>
          </w:p>
          <w:p w14:paraId="70DC28F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41" w:type="pct"/>
            <w:tcBorders>
              <w:bottom w:val="single" w:sz="0" w:space="0" w:color="auto"/>
            </w:tcBorders>
            <w:vAlign w:val="bottom"/>
          </w:tcPr>
          <w:p w14:paraId="491D3353"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32" w:type="pct"/>
            <w:tcBorders>
              <w:bottom w:val="single" w:sz="0" w:space="0" w:color="auto"/>
            </w:tcBorders>
            <w:vAlign w:val="bottom"/>
          </w:tcPr>
          <w:p w14:paraId="0046C0A9"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359" w:type="pct"/>
            <w:tcBorders>
              <w:bottom w:val="single" w:sz="0" w:space="0" w:color="auto"/>
            </w:tcBorders>
            <w:vAlign w:val="bottom"/>
          </w:tcPr>
          <w:p w14:paraId="3559CE24" w14:textId="77777777" w:rsidR="00B44672" w:rsidRDefault="00B44672" w:rsidP="000511CA">
            <w:pPr>
              <w:pStyle w:val="Compact"/>
              <w:jc w:val="center"/>
            </w:pPr>
            <w:r>
              <w:t>Diff - % point change in income</w:t>
            </w:r>
          </w:p>
        </w:tc>
      </w:tr>
      <w:tr w:rsidR="00B44672" w14:paraId="6447A26A"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053382C0" w14:textId="77777777" w:rsidR="00B44672" w:rsidRDefault="00B44672" w:rsidP="00CB6E83">
            <w:pPr>
              <w:pStyle w:val="Compact"/>
            </w:pPr>
            <w:r w:rsidRPr="00AF6491">
              <w:rPr>
                <w:b/>
                <w:i/>
                <w:iCs/>
                <w:color w:val="365F91" w:themeColor="accent1" w:themeShade="BF"/>
              </w:rPr>
              <w:t>No price change</w:t>
            </w:r>
          </w:p>
        </w:tc>
        <w:tc>
          <w:tcPr>
            <w:tcW w:w="462" w:type="pct"/>
          </w:tcPr>
          <w:p w14:paraId="242BA0C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38C4698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380" w:type="pct"/>
          </w:tcPr>
          <w:p w14:paraId="6212564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73" w:type="pct"/>
          </w:tcPr>
          <w:p w14:paraId="7485F9D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63" w:type="pct"/>
          </w:tcPr>
          <w:p w14:paraId="52CF024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363" w:type="pct"/>
          </w:tcPr>
          <w:p w14:paraId="6A972EC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41" w:type="pct"/>
          </w:tcPr>
          <w:p w14:paraId="44EAE2C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32" w:type="pct"/>
          </w:tcPr>
          <w:p w14:paraId="020B05F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59" w:type="pct"/>
          </w:tcPr>
          <w:p w14:paraId="7BF0E9D6" w14:textId="77777777" w:rsidR="00B44672" w:rsidRDefault="00B44672" w:rsidP="00CB6E83">
            <w:pPr>
              <w:pStyle w:val="Compact"/>
              <w:jc w:val="center"/>
            </w:pPr>
          </w:p>
        </w:tc>
      </w:tr>
      <w:tr w:rsidR="00B44672" w14:paraId="12AF4E49"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2B2EAE07" w14:textId="77777777" w:rsidR="00B44672" w:rsidRDefault="00B44672" w:rsidP="00CB6E83">
            <w:pPr>
              <w:pStyle w:val="Compact"/>
            </w:pPr>
            <w:r>
              <w:t>Quint 1</w:t>
            </w:r>
          </w:p>
        </w:tc>
        <w:tc>
          <w:tcPr>
            <w:tcW w:w="462" w:type="pct"/>
          </w:tcPr>
          <w:p w14:paraId="38D6FD2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454" w:type="pct"/>
          </w:tcPr>
          <w:p w14:paraId="2ABA033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380" w:type="pct"/>
          </w:tcPr>
          <w:p w14:paraId="3D19B36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73" w:type="pct"/>
          </w:tcPr>
          <w:p w14:paraId="1E04B4F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6,828</w:t>
            </w:r>
          </w:p>
        </w:tc>
        <w:tc>
          <w:tcPr>
            <w:tcW w:w="463" w:type="pct"/>
          </w:tcPr>
          <w:p w14:paraId="359F17D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7,710</w:t>
            </w:r>
          </w:p>
        </w:tc>
        <w:tc>
          <w:tcPr>
            <w:tcW w:w="363" w:type="pct"/>
          </w:tcPr>
          <w:p w14:paraId="336237B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-882</w:t>
            </w:r>
          </w:p>
        </w:tc>
        <w:tc>
          <w:tcPr>
            <w:tcW w:w="441" w:type="pct"/>
          </w:tcPr>
          <w:p w14:paraId="5A016D6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11.85</w:t>
            </w:r>
          </w:p>
        </w:tc>
        <w:tc>
          <w:tcPr>
            <w:tcW w:w="432" w:type="pct"/>
          </w:tcPr>
          <w:p w14:paraId="03CF128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13.38</w:t>
            </w:r>
          </w:p>
        </w:tc>
        <w:tc>
          <w:tcPr>
            <w:cnfStyle w:val="000100000000" w:firstRow="0" w:lastRow="0" w:firstColumn="0" w:lastColumn="1" w:oddVBand="0" w:evenVBand="0" w:oddHBand="0" w:evenHBand="0" w:firstRowFirstColumn="0" w:firstRowLastColumn="0" w:lastRowFirstColumn="0" w:lastRowLastColumn="0"/>
            <w:tcW w:w="359" w:type="pct"/>
          </w:tcPr>
          <w:p w14:paraId="3A05FC5D" w14:textId="77777777" w:rsidR="00B44672" w:rsidRDefault="00B44672" w:rsidP="00CB6E83">
            <w:pPr>
              <w:pStyle w:val="Compact"/>
              <w:jc w:val="center"/>
            </w:pPr>
            <w:r>
              <w:t>-1.53</w:t>
            </w:r>
          </w:p>
        </w:tc>
      </w:tr>
      <w:tr w:rsidR="00B44672" w14:paraId="7859126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6A5AF978" w14:textId="77777777" w:rsidR="00B44672" w:rsidRDefault="00B44672" w:rsidP="00CB6E83">
            <w:pPr>
              <w:pStyle w:val="Compact"/>
            </w:pPr>
            <w:r>
              <w:t>Quint 2</w:t>
            </w:r>
          </w:p>
        </w:tc>
        <w:tc>
          <w:tcPr>
            <w:tcW w:w="462" w:type="pct"/>
          </w:tcPr>
          <w:p w14:paraId="3F215E3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2,083</w:t>
            </w:r>
          </w:p>
        </w:tc>
        <w:tc>
          <w:tcPr>
            <w:tcW w:w="454" w:type="pct"/>
          </w:tcPr>
          <w:p w14:paraId="7E2833D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1,890</w:t>
            </w:r>
          </w:p>
        </w:tc>
        <w:tc>
          <w:tcPr>
            <w:tcW w:w="380" w:type="pct"/>
          </w:tcPr>
          <w:p w14:paraId="675A242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193</w:t>
            </w:r>
          </w:p>
        </w:tc>
        <w:tc>
          <w:tcPr>
            <w:tcW w:w="473" w:type="pct"/>
          </w:tcPr>
          <w:p w14:paraId="082A1D6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11,829</w:t>
            </w:r>
          </w:p>
        </w:tc>
        <w:tc>
          <w:tcPr>
            <w:tcW w:w="463" w:type="pct"/>
          </w:tcPr>
          <w:p w14:paraId="52B5B59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16,357</w:t>
            </w:r>
          </w:p>
        </w:tc>
        <w:tc>
          <w:tcPr>
            <w:tcW w:w="363" w:type="pct"/>
          </w:tcPr>
          <w:p w14:paraId="2004CAF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-4,528</w:t>
            </w:r>
          </w:p>
        </w:tc>
        <w:tc>
          <w:tcPr>
            <w:tcW w:w="441" w:type="pct"/>
          </w:tcPr>
          <w:p w14:paraId="72EAF61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14.51</w:t>
            </w:r>
          </w:p>
        </w:tc>
        <w:tc>
          <w:tcPr>
            <w:tcW w:w="432" w:type="pct"/>
          </w:tcPr>
          <w:p w14:paraId="3AEEB49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20.02</w:t>
            </w:r>
          </w:p>
        </w:tc>
        <w:tc>
          <w:tcPr>
            <w:cnfStyle w:val="000100000000" w:firstRow="0" w:lastRow="0" w:firstColumn="0" w:lastColumn="1" w:oddVBand="0" w:evenVBand="0" w:oddHBand="0" w:evenHBand="0" w:firstRowFirstColumn="0" w:firstRowLastColumn="0" w:lastRowFirstColumn="0" w:lastRowLastColumn="0"/>
            <w:tcW w:w="359" w:type="pct"/>
          </w:tcPr>
          <w:p w14:paraId="729279D7" w14:textId="77777777" w:rsidR="00B44672" w:rsidRDefault="00B44672" w:rsidP="00CB6E83">
            <w:pPr>
              <w:pStyle w:val="Compact"/>
              <w:jc w:val="center"/>
            </w:pPr>
            <w:r>
              <w:t>-5.50</w:t>
            </w:r>
          </w:p>
        </w:tc>
      </w:tr>
      <w:tr w:rsidR="00B44672" w14:paraId="53F9506B"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0C240FCD" w14:textId="77777777" w:rsidR="00B44672" w:rsidRDefault="00B44672" w:rsidP="00CB6E83">
            <w:pPr>
              <w:pStyle w:val="Compact"/>
            </w:pPr>
            <w:r>
              <w:t>Quint 3</w:t>
            </w:r>
          </w:p>
        </w:tc>
        <w:tc>
          <w:tcPr>
            <w:tcW w:w="462" w:type="pct"/>
          </w:tcPr>
          <w:p w14:paraId="5E7EF43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3,281</w:t>
            </w:r>
          </w:p>
        </w:tc>
        <w:tc>
          <w:tcPr>
            <w:tcW w:w="454" w:type="pct"/>
          </w:tcPr>
          <w:p w14:paraId="476C3D3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3,215</w:t>
            </w:r>
          </w:p>
        </w:tc>
        <w:tc>
          <w:tcPr>
            <w:tcW w:w="380" w:type="pct"/>
          </w:tcPr>
          <w:p w14:paraId="1E75799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66</w:t>
            </w:r>
          </w:p>
        </w:tc>
        <w:tc>
          <w:tcPr>
            <w:tcW w:w="473" w:type="pct"/>
          </w:tcPr>
          <w:p w14:paraId="1BC767E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17,293</w:t>
            </w:r>
          </w:p>
        </w:tc>
        <w:tc>
          <w:tcPr>
            <w:tcW w:w="463" w:type="pct"/>
          </w:tcPr>
          <w:p w14:paraId="4BEB04E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23,000</w:t>
            </w:r>
          </w:p>
        </w:tc>
        <w:tc>
          <w:tcPr>
            <w:tcW w:w="363" w:type="pct"/>
          </w:tcPr>
          <w:p w14:paraId="1227096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-5,707</w:t>
            </w:r>
          </w:p>
        </w:tc>
        <w:tc>
          <w:tcPr>
            <w:tcW w:w="441" w:type="pct"/>
          </w:tcPr>
          <w:p w14:paraId="7EA069D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16.81</w:t>
            </w:r>
          </w:p>
        </w:tc>
        <w:tc>
          <w:tcPr>
            <w:tcW w:w="432" w:type="pct"/>
          </w:tcPr>
          <w:p w14:paraId="6B094A8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22.51</w:t>
            </w:r>
          </w:p>
        </w:tc>
        <w:tc>
          <w:tcPr>
            <w:cnfStyle w:val="000100000000" w:firstRow="0" w:lastRow="0" w:firstColumn="0" w:lastColumn="1" w:oddVBand="0" w:evenVBand="0" w:oddHBand="0" w:evenHBand="0" w:firstRowFirstColumn="0" w:firstRowLastColumn="0" w:lastRowFirstColumn="0" w:lastRowLastColumn="0"/>
            <w:tcW w:w="359" w:type="pct"/>
          </w:tcPr>
          <w:p w14:paraId="5E7BF1D5" w14:textId="77777777" w:rsidR="00B44672" w:rsidRDefault="00B44672" w:rsidP="00CB6E83">
            <w:pPr>
              <w:pStyle w:val="Compact"/>
              <w:jc w:val="center"/>
            </w:pPr>
            <w:r>
              <w:t>-5.70</w:t>
            </w:r>
          </w:p>
        </w:tc>
      </w:tr>
      <w:tr w:rsidR="00B44672" w14:paraId="75764B1D"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1E8F031F" w14:textId="77777777" w:rsidR="00B44672" w:rsidRDefault="00B44672" w:rsidP="00CB6E83">
            <w:pPr>
              <w:pStyle w:val="Compact"/>
            </w:pPr>
            <w:r>
              <w:t>Quint 4</w:t>
            </w:r>
          </w:p>
        </w:tc>
        <w:tc>
          <w:tcPr>
            <w:tcW w:w="462" w:type="pct"/>
          </w:tcPr>
          <w:p w14:paraId="6F77857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3,554</w:t>
            </w:r>
          </w:p>
        </w:tc>
        <w:tc>
          <w:tcPr>
            <w:tcW w:w="454" w:type="pct"/>
          </w:tcPr>
          <w:p w14:paraId="574811D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3,516</w:t>
            </w:r>
          </w:p>
        </w:tc>
        <w:tc>
          <w:tcPr>
            <w:tcW w:w="380" w:type="pct"/>
          </w:tcPr>
          <w:p w14:paraId="02E0C59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38</w:t>
            </w:r>
          </w:p>
        </w:tc>
        <w:tc>
          <w:tcPr>
            <w:tcW w:w="473" w:type="pct"/>
          </w:tcPr>
          <w:p w14:paraId="0407ED1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19,200</w:t>
            </w:r>
          </w:p>
        </w:tc>
        <w:tc>
          <w:tcPr>
            <w:tcW w:w="463" w:type="pct"/>
          </w:tcPr>
          <w:p w14:paraId="3F1F8C0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24,867</w:t>
            </w:r>
          </w:p>
        </w:tc>
        <w:tc>
          <w:tcPr>
            <w:tcW w:w="363" w:type="pct"/>
          </w:tcPr>
          <w:p w14:paraId="384B14D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-5,667</w:t>
            </w:r>
          </w:p>
        </w:tc>
        <w:tc>
          <w:tcPr>
            <w:tcW w:w="441" w:type="pct"/>
          </w:tcPr>
          <w:p w14:paraId="336B4AC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17.52</w:t>
            </w:r>
          </w:p>
        </w:tc>
        <w:tc>
          <w:tcPr>
            <w:tcW w:w="432" w:type="pct"/>
          </w:tcPr>
          <w:p w14:paraId="3620A9D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22.76</w:t>
            </w:r>
          </w:p>
        </w:tc>
        <w:tc>
          <w:tcPr>
            <w:cnfStyle w:val="000100000000" w:firstRow="0" w:lastRow="0" w:firstColumn="0" w:lastColumn="1" w:oddVBand="0" w:evenVBand="0" w:oddHBand="0" w:evenHBand="0" w:firstRowFirstColumn="0" w:firstRowLastColumn="0" w:lastRowFirstColumn="0" w:lastRowLastColumn="0"/>
            <w:tcW w:w="359" w:type="pct"/>
          </w:tcPr>
          <w:p w14:paraId="1E21102D" w14:textId="77777777" w:rsidR="00B44672" w:rsidRDefault="00B44672" w:rsidP="00CB6E83">
            <w:pPr>
              <w:pStyle w:val="Compact"/>
              <w:jc w:val="center"/>
            </w:pPr>
            <w:r>
              <w:t>-5.24</w:t>
            </w:r>
          </w:p>
        </w:tc>
      </w:tr>
      <w:tr w:rsidR="00B44672" w14:paraId="7617CC23"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562C7D49" w14:textId="77777777" w:rsidR="00B44672" w:rsidRDefault="00B44672" w:rsidP="00CB6E83">
            <w:pPr>
              <w:pStyle w:val="Compact"/>
            </w:pPr>
            <w:r>
              <w:t>Quint 5</w:t>
            </w:r>
          </w:p>
        </w:tc>
        <w:tc>
          <w:tcPr>
            <w:tcW w:w="462" w:type="pct"/>
          </w:tcPr>
          <w:p w14:paraId="03CF4D2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3,900</w:t>
            </w:r>
          </w:p>
        </w:tc>
        <w:tc>
          <w:tcPr>
            <w:tcW w:w="454" w:type="pct"/>
          </w:tcPr>
          <w:p w14:paraId="42CEF59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3,868</w:t>
            </w:r>
          </w:p>
        </w:tc>
        <w:tc>
          <w:tcPr>
            <w:tcW w:w="380" w:type="pct"/>
          </w:tcPr>
          <w:p w14:paraId="18B1168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32</w:t>
            </w:r>
          </w:p>
        </w:tc>
        <w:tc>
          <w:tcPr>
            <w:tcW w:w="473" w:type="pct"/>
          </w:tcPr>
          <w:p w14:paraId="5CB8E22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21,574</w:t>
            </w:r>
          </w:p>
        </w:tc>
        <w:tc>
          <w:tcPr>
            <w:tcW w:w="463" w:type="pct"/>
          </w:tcPr>
          <w:p w14:paraId="3BC8A7B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27,897</w:t>
            </w:r>
          </w:p>
        </w:tc>
        <w:tc>
          <w:tcPr>
            <w:tcW w:w="363" w:type="pct"/>
          </w:tcPr>
          <w:p w14:paraId="1BD7F8F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-6,323</w:t>
            </w:r>
          </w:p>
        </w:tc>
        <w:tc>
          <w:tcPr>
            <w:tcW w:w="441" w:type="pct"/>
          </w:tcPr>
          <w:p w14:paraId="4778015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20.77</w:t>
            </w:r>
          </w:p>
        </w:tc>
        <w:tc>
          <w:tcPr>
            <w:tcW w:w="432" w:type="pct"/>
          </w:tcPr>
          <w:p w14:paraId="61D9258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26.87</w:t>
            </w:r>
          </w:p>
        </w:tc>
        <w:tc>
          <w:tcPr>
            <w:cnfStyle w:val="000100000000" w:firstRow="0" w:lastRow="0" w:firstColumn="0" w:lastColumn="1" w:oddVBand="0" w:evenVBand="0" w:oddHBand="0" w:evenHBand="0" w:firstRowFirstColumn="0" w:firstRowLastColumn="0" w:lastRowFirstColumn="0" w:lastRowLastColumn="0"/>
            <w:tcW w:w="359" w:type="pct"/>
          </w:tcPr>
          <w:p w14:paraId="62807BBC" w14:textId="77777777" w:rsidR="00B44672" w:rsidRDefault="00B44672" w:rsidP="00CB6E83">
            <w:pPr>
              <w:pStyle w:val="Compact"/>
              <w:jc w:val="center"/>
            </w:pPr>
            <w:r>
              <w:t>-6.10</w:t>
            </w:r>
          </w:p>
        </w:tc>
      </w:tr>
      <w:tr w:rsidR="00B44672" w14:paraId="555EB856"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09FF49B0"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462" w:type="pct"/>
          </w:tcPr>
          <w:p w14:paraId="21BA98D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0E872B6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80" w:type="pct"/>
          </w:tcPr>
          <w:p w14:paraId="7298F57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73" w:type="pct"/>
          </w:tcPr>
          <w:p w14:paraId="710CE6E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3" w:type="pct"/>
          </w:tcPr>
          <w:p w14:paraId="17026F9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63" w:type="pct"/>
          </w:tcPr>
          <w:p w14:paraId="5380386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41" w:type="pct"/>
          </w:tcPr>
          <w:p w14:paraId="79003F2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32" w:type="pct"/>
          </w:tcPr>
          <w:p w14:paraId="19847BF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59" w:type="pct"/>
          </w:tcPr>
          <w:p w14:paraId="0A9370E5" w14:textId="77777777" w:rsidR="00B44672" w:rsidRDefault="00B44672" w:rsidP="00A567C4">
            <w:pPr>
              <w:pStyle w:val="Compact"/>
              <w:jc w:val="center"/>
            </w:pPr>
          </w:p>
        </w:tc>
      </w:tr>
      <w:tr w:rsidR="00B44672" w14:paraId="7997C19C"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2DD2AF75" w14:textId="77777777" w:rsidR="00B44672" w:rsidRDefault="00B44672" w:rsidP="00A567C4">
            <w:pPr>
              <w:pStyle w:val="Compact"/>
            </w:pPr>
            <w:r>
              <w:t>Quint 1</w:t>
            </w:r>
          </w:p>
        </w:tc>
        <w:tc>
          <w:tcPr>
            <w:tcW w:w="462" w:type="pct"/>
          </w:tcPr>
          <w:p w14:paraId="06A1EAC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454" w:type="pct"/>
          </w:tcPr>
          <w:p w14:paraId="0CB8B4E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380" w:type="pct"/>
          </w:tcPr>
          <w:p w14:paraId="24FFD46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73" w:type="pct"/>
          </w:tcPr>
          <w:p w14:paraId="058399B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6,828</w:t>
            </w:r>
          </w:p>
        </w:tc>
        <w:tc>
          <w:tcPr>
            <w:tcW w:w="463" w:type="pct"/>
          </w:tcPr>
          <w:p w14:paraId="24AD648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7,672</w:t>
            </w:r>
          </w:p>
        </w:tc>
        <w:tc>
          <w:tcPr>
            <w:tcW w:w="363" w:type="pct"/>
          </w:tcPr>
          <w:p w14:paraId="2AF5DDA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-844</w:t>
            </w:r>
          </w:p>
        </w:tc>
        <w:tc>
          <w:tcPr>
            <w:tcW w:w="441" w:type="pct"/>
          </w:tcPr>
          <w:p w14:paraId="3545A81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11.85</w:t>
            </w:r>
          </w:p>
        </w:tc>
        <w:tc>
          <w:tcPr>
            <w:tcW w:w="432" w:type="pct"/>
          </w:tcPr>
          <w:p w14:paraId="4C4D377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13.32</w:t>
            </w:r>
          </w:p>
        </w:tc>
        <w:tc>
          <w:tcPr>
            <w:cnfStyle w:val="000100000000" w:firstRow="0" w:lastRow="0" w:firstColumn="0" w:lastColumn="1" w:oddVBand="0" w:evenVBand="0" w:oddHBand="0" w:evenHBand="0" w:firstRowFirstColumn="0" w:firstRowLastColumn="0" w:lastRowFirstColumn="0" w:lastRowLastColumn="0"/>
            <w:tcW w:w="359" w:type="pct"/>
          </w:tcPr>
          <w:p w14:paraId="4955BF46" w14:textId="77777777" w:rsidR="00B44672" w:rsidRDefault="00B44672" w:rsidP="00A567C4">
            <w:pPr>
              <w:pStyle w:val="Compact"/>
              <w:jc w:val="center"/>
            </w:pPr>
            <w:r>
              <w:t>-1.46</w:t>
            </w:r>
          </w:p>
        </w:tc>
      </w:tr>
      <w:tr w:rsidR="00B44672" w14:paraId="68632F7D"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4DEB6E10" w14:textId="77777777" w:rsidR="00B44672" w:rsidRDefault="00B44672" w:rsidP="00A567C4">
            <w:pPr>
              <w:pStyle w:val="Compact"/>
            </w:pPr>
            <w:r>
              <w:t>Quint 2</w:t>
            </w:r>
          </w:p>
        </w:tc>
        <w:tc>
          <w:tcPr>
            <w:tcW w:w="462" w:type="pct"/>
          </w:tcPr>
          <w:p w14:paraId="5BEA475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2,083</w:t>
            </w:r>
          </w:p>
        </w:tc>
        <w:tc>
          <w:tcPr>
            <w:tcW w:w="454" w:type="pct"/>
          </w:tcPr>
          <w:p w14:paraId="45BF7AD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1,907</w:t>
            </w:r>
          </w:p>
        </w:tc>
        <w:tc>
          <w:tcPr>
            <w:tcW w:w="380" w:type="pct"/>
          </w:tcPr>
          <w:p w14:paraId="5DD7963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176</w:t>
            </w:r>
          </w:p>
        </w:tc>
        <w:tc>
          <w:tcPr>
            <w:tcW w:w="473" w:type="pct"/>
          </w:tcPr>
          <w:p w14:paraId="32A9AFB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11,829</w:t>
            </w:r>
          </w:p>
        </w:tc>
        <w:tc>
          <w:tcPr>
            <w:tcW w:w="463" w:type="pct"/>
          </w:tcPr>
          <w:p w14:paraId="32C6D81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16,122</w:t>
            </w:r>
          </w:p>
        </w:tc>
        <w:tc>
          <w:tcPr>
            <w:tcW w:w="363" w:type="pct"/>
          </w:tcPr>
          <w:p w14:paraId="115DF28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-4,293</w:t>
            </w:r>
          </w:p>
        </w:tc>
        <w:tc>
          <w:tcPr>
            <w:tcW w:w="441" w:type="pct"/>
          </w:tcPr>
          <w:p w14:paraId="5C2E1A0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14.51</w:t>
            </w:r>
          </w:p>
        </w:tc>
        <w:tc>
          <w:tcPr>
            <w:tcW w:w="432" w:type="pct"/>
          </w:tcPr>
          <w:p w14:paraId="6FA886F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19.78</w:t>
            </w:r>
          </w:p>
        </w:tc>
        <w:tc>
          <w:tcPr>
            <w:cnfStyle w:val="000100000000" w:firstRow="0" w:lastRow="0" w:firstColumn="0" w:lastColumn="1" w:oddVBand="0" w:evenVBand="0" w:oddHBand="0" w:evenHBand="0" w:firstRowFirstColumn="0" w:firstRowLastColumn="0" w:lastRowFirstColumn="0" w:lastRowLastColumn="0"/>
            <w:tcW w:w="359" w:type="pct"/>
          </w:tcPr>
          <w:p w14:paraId="2F4E42BE" w14:textId="77777777" w:rsidR="00B44672" w:rsidRDefault="00B44672" w:rsidP="00A567C4">
            <w:pPr>
              <w:pStyle w:val="Compact"/>
              <w:jc w:val="center"/>
            </w:pPr>
            <w:r>
              <w:t>-5.27</w:t>
            </w:r>
          </w:p>
        </w:tc>
      </w:tr>
      <w:tr w:rsidR="00B44672" w14:paraId="12BFD94C"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4021BEA7" w14:textId="77777777" w:rsidR="00B44672" w:rsidRDefault="00B44672" w:rsidP="00A567C4">
            <w:pPr>
              <w:pStyle w:val="Compact"/>
            </w:pPr>
            <w:r>
              <w:t>Quint 3</w:t>
            </w:r>
          </w:p>
        </w:tc>
        <w:tc>
          <w:tcPr>
            <w:tcW w:w="462" w:type="pct"/>
          </w:tcPr>
          <w:p w14:paraId="699BEA4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3,281</w:t>
            </w:r>
          </w:p>
        </w:tc>
        <w:tc>
          <w:tcPr>
            <w:tcW w:w="454" w:type="pct"/>
          </w:tcPr>
          <w:p w14:paraId="1D76946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3,218</w:t>
            </w:r>
          </w:p>
        </w:tc>
        <w:tc>
          <w:tcPr>
            <w:tcW w:w="380" w:type="pct"/>
          </w:tcPr>
          <w:p w14:paraId="6929317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63</w:t>
            </w:r>
          </w:p>
        </w:tc>
        <w:tc>
          <w:tcPr>
            <w:tcW w:w="473" w:type="pct"/>
          </w:tcPr>
          <w:p w14:paraId="6C5BF64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17,293</w:t>
            </w:r>
          </w:p>
        </w:tc>
        <w:tc>
          <w:tcPr>
            <w:tcW w:w="463" w:type="pct"/>
          </w:tcPr>
          <w:p w14:paraId="1F03DD4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22,725</w:t>
            </w:r>
          </w:p>
        </w:tc>
        <w:tc>
          <w:tcPr>
            <w:tcW w:w="363" w:type="pct"/>
          </w:tcPr>
          <w:p w14:paraId="724CE4C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-5,433</w:t>
            </w:r>
          </w:p>
        </w:tc>
        <w:tc>
          <w:tcPr>
            <w:tcW w:w="441" w:type="pct"/>
          </w:tcPr>
          <w:p w14:paraId="0AF0928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16.81</w:t>
            </w:r>
          </w:p>
        </w:tc>
        <w:tc>
          <w:tcPr>
            <w:tcW w:w="432" w:type="pct"/>
          </w:tcPr>
          <w:p w14:paraId="4A32641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22.26</w:t>
            </w:r>
          </w:p>
        </w:tc>
        <w:tc>
          <w:tcPr>
            <w:cnfStyle w:val="000100000000" w:firstRow="0" w:lastRow="0" w:firstColumn="0" w:lastColumn="1" w:oddVBand="0" w:evenVBand="0" w:oddHBand="0" w:evenHBand="0" w:firstRowFirstColumn="0" w:firstRowLastColumn="0" w:lastRowFirstColumn="0" w:lastRowLastColumn="0"/>
            <w:tcW w:w="359" w:type="pct"/>
          </w:tcPr>
          <w:p w14:paraId="0A379E48" w14:textId="77777777" w:rsidR="00B44672" w:rsidRDefault="00B44672" w:rsidP="00A567C4">
            <w:pPr>
              <w:pStyle w:val="Compact"/>
              <w:jc w:val="center"/>
            </w:pPr>
            <w:r>
              <w:t>-5.44</w:t>
            </w:r>
          </w:p>
        </w:tc>
      </w:tr>
      <w:tr w:rsidR="00B44672" w14:paraId="420271A1"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64FFE15E" w14:textId="77777777" w:rsidR="00B44672" w:rsidRDefault="00B44672" w:rsidP="00A567C4">
            <w:pPr>
              <w:pStyle w:val="Compact"/>
            </w:pPr>
            <w:r>
              <w:t>Quint 4</w:t>
            </w:r>
          </w:p>
        </w:tc>
        <w:tc>
          <w:tcPr>
            <w:tcW w:w="462" w:type="pct"/>
          </w:tcPr>
          <w:p w14:paraId="4775CC2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3,554</w:t>
            </w:r>
          </w:p>
        </w:tc>
        <w:tc>
          <w:tcPr>
            <w:tcW w:w="454" w:type="pct"/>
          </w:tcPr>
          <w:p w14:paraId="0D2601C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3,522</w:t>
            </w:r>
          </w:p>
        </w:tc>
        <w:tc>
          <w:tcPr>
            <w:tcW w:w="380" w:type="pct"/>
          </w:tcPr>
          <w:p w14:paraId="061F3B0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32</w:t>
            </w:r>
          </w:p>
        </w:tc>
        <w:tc>
          <w:tcPr>
            <w:tcW w:w="473" w:type="pct"/>
          </w:tcPr>
          <w:p w14:paraId="772898E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19,200</w:t>
            </w:r>
          </w:p>
        </w:tc>
        <w:tc>
          <w:tcPr>
            <w:tcW w:w="463" w:type="pct"/>
          </w:tcPr>
          <w:p w14:paraId="6B7E4DC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24,600</w:t>
            </w:r>
          </w:p>
        </w:tc>
        <w:tc>
          <w:tcPr>
            <w:tcW w:w="363" w:type="pct"/>
          </w:tcPr>
          <w:p w14:paraId="6779A06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-5,400</w:t>
            </w:r>
          </w:p>
        </w:tc>
        <w:tc>
          <w:tcPr>
            <w:tcW w:w="441" w:type="pct"/>
          </w:tcPr>
          <w:p w14:paraId="400A9D2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17.52</w:t>
            </w:r>
          </w:p>
        </w:tc>
        <w:tc>
          <w:tcPr>
            <w:tcW w:w="432" w:type="pct"/>
          </w:tcPr>
          <w:p w14:paraId="723BBAE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22.53</w:t>
            </w:r>
          </w:p>
        </w:tc>
        <w:tc>
          <w:tcPr>
            <w:cnfStyle w:val="000100000000" w:firstRow="0" w:lastRow="0" w:firstColumn="0" w:lastColumn="1" w:oddVBand="0" w:evenVBand="0" w:oddHBand="0" w:evenHBand="0" w:firstRowFirstColumn="0" w:firstRowLastColumn="0" w:lastRowFirstColumn="0" w:lastRowLastColumn="0"/>
            <w:tcW w:w="359" w:type="pct"/>
          </w:tcPr>
          <w:p w14:paraId="787F2D86" w14:textId="77777777" w:rsidR="00B44672" w:rsidRDefault="00B44672" w:rsidP="00A567C4">
            <w:pPr>
              <w:pStyle w:val="Compact"/>
              <w:jc w:val="center"/>
            </w:pPr>
            <w:r>
              <w:t>-5.00</w:t>
            </w:r>
          </w:p>
        </w:tc>
      </w:tr>
      <w:tr w:rsidR="00B44672" w14:paraId="4EBC15E2"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72CE0261" w14:textId="77777777" w:rsidR="00B44672" w:rsidRDefault="00B44672" w:rsidP="00A567C4">
            <w:pPr>
              <w:pStyle w:val="Compact"/>
            </w:pPr>
            <w:r>
              <w:t>Quint 5</w:t>
            </w:r>
          </w:p>
        </w:tc>
        <w:tc>
          <w:tcPr>
            <w:tcW w:w="462" w:type="pct"/>
          </w:tcPr>
          <w:p w14:paraId="643E3BB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3,900</w:t>
            </w:r>
          </w:p>
        </w:tc>
        <w:tc>
          <w:tcPr>
            <w:tcW w:w="454" w:type="pct"/>
          </w:tcPr>
          <w:p w14:paraId="4286050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3,879</w:t>
            </w:r>
          </w:p>
        </w:tc>
        <w:tc>
          <w:tcPr>
            <w:tcW w:w="380" w:type="pct"/>
          </w:tcPr>
          <w:p w14:paraId="2A7C52D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w:t>
            </w:r>
          </w:p>
        </w:tc>
        <w:tc>
          <w:tcPr>
            <w:tcW w:w="473" w:type="pct"/>
          </w:tcPr>
          <w:p w14:paraId="7E838FE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21,574</w:t>
            </w:r>
          </w:p>
        </w:tc>
        <w:tc>
          <w:tcPr>
            <w:tcW w:w="463" w:type="pct"/>
          </w:tcPr>
          <w:p w14:paraId="18352DF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27,602</w:t>
            </w:r>
          </w:p>
        </w:tc>
        <w:tc>
          <w:tcPr>
            <w:tcW w:w="363" w:type="pct"/>
          </w:tcPr>
          <w:p w14:paraId="4B30754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-6,028</w:t>
            </w:r>
          </w:p>
        </w:tc>
        <w:tc>
          <w:tcPr>
            <w:tcW w:w="441" w:type="pct"/>
          </w:tcPr>
          <w:p w14:paraId="1D0F1E6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20.77</w:t>
            </w:r>
          </w:p>
        </w:tc>
        <w:tc>
          <w:tcPr>
            <w:tcW w:w="432" w:type="pct"/>
          </w:tcPr>
          <w:p w14:paraId="680D019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26.60</w:t>
            </w:r>
          </w:p>
        </w:tc>
        <w:tc>
          <w:tcPr>
            <w:cnfStyle w:val="000100000000" w:firstRow="0" w:lastRow="0" w:firstColumn="0" w:lastColumn="1" w:oddVBand="0" w:evenVBand="0" w:oddHBand="0" w:evenHBand="0" w:firstRowFirstColumn="0" w:firstRowLastColumn="0" w:lastRowFirstColumn="0" w:lastRowLastColumn="0"/>
            <w:tcW w:w="359" w:type="pct"/>
          </w:tcPr>
          <w:p w14:paraId="56031150" w14:textId="77777777" w:rsidR="00B44672" w:rsidRDefault="00B44672" w:rsidP="00A567C4">
            <w:pPr>
              <w:pStyle w:val="Compact"/>
              <w:jc w:val="center"/>
            </w:pPr>
            <w:r>
              <w:t>-5.82</w:t>
            </w:r>
          </w:p>
        </w:tc>
      </w:tr>
      <w:tr w:rsidR="00B44672" w14:paraId="598D8321"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20A0678E" w14:textId="77777777" w:rsidR="00B44672" w:rsidRDefault="00B44672" w:rsidP="00302865">
            <w:pPr>
              <w:pStyle w:val="Compact"/>
            </w:pPr>
            <w:r w:rsidRPr="00113FC1">
              <w:rPr>
                <w:b/>
                <w:i/>
                <w:iCs/>
                <w:color w:val="365F91" w:themeColor="accent1" w:themeShade="BF"/>
              </w:rPr>
              <w:t>1.24 – 2.19% price change</w:t>
            </w:r>
          </w:p>
        </w:tc>
        <w:tc>
          <w:tcPr>
            <w:tcW w:w="462" w:type="pct"/>
          </w:tcPr>
          <w:p w14:paraId="44B16E0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65D5F7C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80" w:type="pct"/>
          </w:tcPr>
          <w:p w14:paraId="5C8F57D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73" w:type="pct"/>
          </w:tcPr>
          <w:p w14:paraId="0229EF6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3" w:type="pct"/>
          </w:tcPr>
          <w:p w14:paraId="1DD23EE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63" w:type="pct"/>
          </w:tcPr>
          <w:p w14:paraId="25C2E5E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41" w:type="pct"/>
          </w:tcPr>
          <w:p w14:paraId="40FAA72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32" w:type="pct"/>
          </w:tcPr>
          <w:p w14:paraId="6AEC8ED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59" w:type="pct"/>
          </w:tcPr>
          <w:p w14:paraId="1031977E" w14:textId="77777777" w:rsidR="00B44672" w:rsidRDefault="00B44672" w:rsidP="00302865">
            <w:pPr>
              <w:pStyle w:val="Compact"/>
              <w:jc w:val="center"/>
            </w:pPr>
          </w:p>
        </w:tc>
      </w:tr>
      <w:tr w:rsidR="00B44672" w14:paraId="1678AFED"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24EC7855" w14:textId="77777777" w:rsidR="00B44672" w:rsidRDefault="00B44672" w:rsidP="00302865">
            <w:pPr>
              <w:pStyle w:val="Compact"/>
            </w:pPr>
            <w:r>
              <w:t>Quint 1</w:t>
            </w:r>
          </w:p>
        </w:tc>
        <w:tc>
          <w:tcPr>
            <w:tcW w:w="462" w:type="pct"/>
          </w:tcPr>
          <w:p w14:paraId="1ED12B9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454" w:type="pct"/>
          </w:tcPr>
          <w:p w14:paraId="59815FF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124</w:t>
            </w:r>
          </w:p>
        </w:tc>
        <w:tc>
          <w:tcPr>
            <w:tcW w:w="380" w:type="pct"/>
          </w:tcPr>
          <w:p w14:paraId="534AB3E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-81</w:t>
            </w:r>
          </w:p>
        </w:tc>
        <w:tc>
          <w:tcPr>
            <w:tcW w:w="473" w:type="pct"/>
          </w:tcPr>
          <w:p w14:paraId="73E5BCA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6,828</w:t>
            </w:r>
          </w:p>
        </w:tc>
        <w:tc>
          <w:tcPr>
            <w:tcW w:w="463" w:type="pct"/>
          </w:tcPr>
          <w:p w14:paraId="4F84256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2,640</w:t>
            </w:r>
          </w:p>
        </w:tc>
        <w:tc>
          <w:tcPr>
            <w:tcW w:w="363" w:type="pct"/>
          </w:tcPr>
          <w:p w14:paraId="1B9C5B5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4,188</w:t>
            </w:r>
          </w:p>
        </w:tc>
        <w:tc>
          <w:tcPr>
            <w:tcW w:w="441" w:type="pct"/>
          </w:tcPr>
          <w:p w14:paraId="5869719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11.85</w:t>
            </w:r>
          </w:p>
        </w:tc>
        <w:tc>
          <w:tcPr>
            <w:tcW w:w="432" w:type="pct"/>
          </w:tcPr>
          <w:p w14:paraId="6037D59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5.04</w:t>
            </w:r>
          </w:p>
        </w:tc>
        <w:tc>
          <w:tcPr>
            <w:cnfStyle w:val="000100000000" w:firstRow="0" w:lastRow="0" w:firstColumn="0" w:lastColumn="1" w:oddVBand="0" w:evenVBand="0" w:oddHBand="0" w:evenHBand="0" w:firstRowFirstColumn="0" w:firstRowLastColumn="0" w:lastRowFirstColumn="0" w:lastRowLastColumn="0"/>
            <w:tcW w:w="359" w:type="pct"/>
          </w:tcPr>
          <w:p w14:paraId="590B02D6" w14:textId="77777777" w:rsidR="00B44672" w:rsidRDefault="00B44672" w:rsidP="00302865">
            <w:pPr>
              <w:pStyle w:val="Compact"/>
              <w:jc w:val="center"/>
            </w:pPr>
            <w:r>
              <w:t>6.81</w:t>
            </w:r>
          </w:p>
        </w:tc>
      </w:tr>
      <w:tr w:rsidR="00B44672" w14:paraId="4E053084"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2F01C4F5" w14:textId="77777777" w:rsidR="00B44672" w:rsidRDefault="00B44672" w:rsidP="00302865">
            <w:pPr>
              <w:pStyle w:val="Compact"/>
            </w:pPr>
            <w:r>
              <w:t>Quint 2</w:t>
            </w:r>
          </w:p>
        </w:tc>
        <w:tc>
          <w:tcPr>
            <w:tcW w:w="462" w:type="pct"/>
          </w:tcPr>
          <w:p w14:paraId="71EDA4C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2,083</w:t>
            </w:r>
          </w:p>
        </w:tc>
        <w:tc>
          <w:tcPr>
            <w:tcW w:w="454" w:type="pct"/>
          </w:tcPr>
          <w:p w14:paraId="44D71B7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1,941</w:t>
            </w:r>
          </w:p>
        </w:tc>
        <w:tc>
          <w:tcPr>
            <w:tcW w:w="380" w:type="pct"/>
          </w:tcPr>
          <w:p w14:paraId="0B46896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142</w:t>
            </w:r>
          </w:p>
        </w:tc>
        <w:tc>
          <w:tcPr>
            <w:tcW w:w="473" w:type="pct"/>
          </w:tcPr>
          <w:p w14:paraId="2C127CC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11,829</w:t>
            </w:r>
          </w:p>
        </w:tc>
        <w:tc>
          <w:tcPr>
            <w:tcW w:w="463" w:type="pct"/>
          </w:tcPr>
          <w:p w14:paraId="5C49ACE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16,021</w:t>
            </w:r>
          </w:p>
        </w:tc>
        <w:tc>
          <w:tcPr>
            <w:tcW w:w="363" w:type="pct"/>
          </w:tcPr>
          <w:p w14:paraId="117A956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-4,191</w:t>
            </w:r>
          </w:p>
        </w:tc>
        <w:tc>
          <w:tcPr>
            <w:tcW w:w="441" w:type="pct"/>
          </w:tcPr>
          <w:p w14:paraId="26C32DF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14.51</w:t>
            </w:r>
          </w:p>
        </w:tc>
        <w:tc>
          <w:tcPr>
            <w:tcW w:w="432" w:type="pct"/>
          </w:tcPr>
          <w:p w14:paraId="28C765D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19.60</w:t>
            </w:r>
          </w:p>
        </w:tc>
        <w:tc>
          <w:tcPr>
            <w:cnfStyle w:val="000100000000" w:firstRow="0" w:lastRow="0" w:firstColumn="0" w:lastColumn="1" w:oddVBand="0" w:evenVBand="0" w:oddHBand="0" w:evenHBand="0" w:firstRowFirstColumn="0" w:firstRowLastColumn="0" w:lastRowFirstColumn="0" w:lastRowLastColumn="0"/>
            <w:tcW w:w="359" w:type="pct"/>
          </w:tcPr>
          <w:p w14:paraId="049B1F1C" w14:textId="77777777" w:rsidR="00B44672" w:rsidRDefault="00B44672" w:rsidP="00302865">
            <w:pPr>
              <w:pStyle w:val="Compact"/>
              <w:jc w:val="center"/>
            </w:pPr>
            <w:r>
              <w:t>-5.09</w:t>
            </w:r>
          </w:p>
        </w:tc>
      </w:tr>
      <w:tr w:rsidR="00B44672" w14:paraId="54003FA8"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38230C66" w14:textId="77777777" w:rsidR="00B44672" w:rsidRDefault="00B44672" w:rsidP="00302865">
            <w:pPr>
              <w:pStyle w:val="Compact"/>
            </w:pPr>
            <w:r>
              <w:t>Quint 3</w:t>
            </w:r>
          </w:p>
        </w:tc>
        <w:tc>
          <w:tcPr>
            <w:tcW w:w="462" w:type="pct"/>
          </w:tcPr>
          <w:p w14:paraId="339F73B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3,281</w:t>
            </w:r>
          </w:p>
        </w:tc>
        <w:tc>
          <w:tcPr>
            <w:tcW w:w="454" w:type="pct"/>
          </w:tcPr>
          <w:p w14:paraId="07279C2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3,233</w:t>
            </w:r>
          </w:p>
        </w:tc>
        <w:tc>
          <w:tcPr>
            <w:tcW w:w="380" w:type="pct"/>
          </w:tcPr>
          <w:p w14:paraId="159D9DF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48</w:t>
            </w:r>
          </w:p>
        </w:tc>
        <w:tc>
          <w:tcPr>
            <w:tcW w:w="473" w:type="pct"/>
          </w:tcPr>
          <w:p w14:paraId="5AC1EFD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17,293</w:t>
            </w:r>
          </w:p>
        </w:tc>
        <w:tc>
          <w:tcPr>
            <w:tcW w:w="463" w:type="pct"/>
          </w:tcPr>
          <w:p w14:paraId="5D1BB0A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22,474</w:t>
            </w:r>
          </w:p>
        </w:tc>
        <w:tc>
          <w:tcPr>
            <w:tcW w:w="363" w:type="pct"/>
          </w:tcPr>
          <w:p w14:paraId="0A55A9F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-5,181</w:t>
            </w:r>
          </w:p>
        </w:tc>
        <w:tc>
          <w:tcPr>
            <w:tcW w:w="441" w:type="pct"/>
          </w:tcPr>
          <w:p w14:paraId="1365A59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16.81</w:t>
            </w:r>
          </w:p>
        </w:tc>
        <w:tc>
          <w:tcPr>
            <w:tcW w:w="432" w:type="pct"/>
          </w:tcPr>
          <w:p w14:paraId="3D8E9BA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21.98</w:t>
            </w:r>
          </w:p>
        </w:tc>
        <w:tc>
          <w:tcPr>
            <w:cnfStyle w:val="000100000000" w:firstRow="0" w:lastRow="0" w:firstColumn="0" w:lastColumn="1" w:oddVBand="0" w:evenVBand="0" w:oddHBand="0" w:evenHBand="0" w:firstRowFirstColumn="0" w:firstRowLastColumn="0" w:lastRowFirstColumn="0" w:lastRowLastColumn="0"/>
            <w:tcW w:w="359" w:type="pct"/>
          </w:tcPr>
          <w:p w14:paraId="22F60A92" w14:textId="77777777" w:rsidR="00B44672" w:rsidRDefault="00B44672" w:rsidP="00302865">
            <w:pPr>
              <w:pStyle w:val="Compact"/>
              <w:jc w:val="center"/>
            </w:pPr>
            <w:r>
              <w:t>-5.16</w:t>
            </w:r>
          </w:p>
        </w:tc>
      </w:tr>
      <w:tr w:rsidR="00B44672" w14:paraId="53CECAE5"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173" w:type="pct"/>
          </w:tcPr>
          <w:p w14:paraId="2896E7D9" w14:textId="77777777" w:rsidR="00B44672" w:rsidRDefault="00B44672" w:rsidP="00302865">
            <w:pPr>
              <w:pStyle w:val="Compact"/>
            </w:pPr>
            <w:r>
              <w:t>Quint 4</w:t>
            </w:r>
          </w:p>
        </w:tc>
        <w:tc>
          <w:tcPr>
            <w:tcW w:w="462" w:type="pct"/>
          </w:tcPr>
          <w:p w14:paraId="4049452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3,554</w:t>
            </w:r>
          </w:p>
        </w:tc>
        <w:tc>
          <w:tcPr>
            <w:tcW w:w="454" w:type="pct"/>
          </w:tcPr>
          <w:p w14:paraId="55EFA4E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3,544</w:t>
            </w:r>
          </w:p>
        </w:tc>
        <w:tc>
          <w:tcPr>
            <w:tcW w:w="380" w:type="pct"/>
          </w:tcPr>
          <w:p w14:paraId="65968F7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10</w:t>
            </w:r>
          </w:p>
        </w:tc>
        <w:tc>
          <w:tcPr>
            <w:tcW w:w="473" w:type="pct"/>
          </w:tcPr>
          <w:p w14:paraId="5C0B3FC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19,200</w:t>
            </w:r>
          </w:p>
        </w:tc>
        <w:tc>
          <w:tcPr>
            <w:tcW w:w="463" w:type="pct"/>
          </w:tcPr>
          <w:p w14:paraId="369B2DF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24,314</w:t>
            </w:r>
          </w:p>
        </w:tc>
        <w:tc>
          <w:tcPr>
            <w:tcW w:w="363" w:type="pct"/>
          </w:tcPr>
          <w:p w14:paraId="7A3FCAD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-5,114</w:t>
            </w:r>
          </w:p>
        </w:tc>
        <w:tc>
          <w:tcPr>
            <w:tcW w:w="441" w:type="pct"/>
          </w:tcPr>
          <w:p w14:paraId="7C55F0C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17.52</w:t>
            </w:r>
          </w:p>
        </w:tc>
        <w:tc>
          <w:tcPr>
            <w:tcW w:w="432" w:type="pct"/>
          </w:tcPr>
          <w:p w14:paraId="0802C53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22.26</w:t>
            </w:r>
          </w:p>
        </w:tc>
        <w:tc>
          <w:tcPr>
            <w:cnfStyle w:val="000100000000" w:firstRow="0" w:lastRow="0" w:firstColumn="0" w:lastColumn="1" w:oddVBand="0" w:evenVBand="0" w:oddHBand="0" w:evenHBand="0" w:firstRowFirstColumn="0" w:firstRowLastColumn="0" w:lastRowFirstColumn="0" w:lastRowLastColumn="0"/>
            <w:tcW w:w="359" w:type="pct"/>
          </w:tcPr>
          <w:p w14:paraId="6D543DAB" w14:textId="77777777" w:rsidR="00B44672" w:rsidRDefault="00B44672" w:rsidP="00302865">
            <w:pPr>
              <w:pStyle w:val="Compact"/>
              <w:jc w:val="center"/>
            </w:pPr>
            <w:r>
              <w:t>-4.73</w:t>
            </w:r>
          </w:p>
        </w:tc>
      </w:tr>
      <w:tr w:rsidR="00B44672" w14:paraId="349CD129" w14:textId="77777777" w:rsidTr="0030286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3" w:type="pct"/>
          </w:tcPr>
          <w:p w14:paraId="3F4AA41C" w14:textId="77777777" w:rsidR="00B44672" w:rsidRDefault="00B44672" w:rsidP="00302865">
            <w:pPr>
              <w:pStyle w:val="Compact"/>
            </w:pPr>
            <w:r>
              <w:t>Quint 5</w:t>
            </w:r>
          </w:p>
        </w:tc>
        <w:tc>
          <w:tcPr>
            <w:tcW w:w="462" w:type="pct"/>
          </w:tcPr>
          <w:p w14:paraId="2D8695BF"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3,900</w:t>
            </w:r>
          </w:p>
        </w:tc>
        <w:tc>
          <w:tcPr>
            <w:tcW w:w="454" w:type="pct"/>
          </w:tcPr>
          <w:p w14:paraId="1F2B967B"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3,894</w:t>
            </w:r>
          </w:p>
        </w:tc>
        <w:tc>
          <w:tcPr>
            <w:tcW w:w="380" w:type="pct"/>
          </w:tcPr>
          <w:p w14:paraId="6638BB35"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6</w:t>
            </w:r>
          </w:p>
        </w:tc>
        <w:tc>
          <w:tcPr>
            <w:tcW w:w="473" w:type="pct"/>
          </w:tcPr>
          <w:p w14:paraId="2972C7E2"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21,574</w:t>
            </w:r>
          </w:p>
        </w:tc>
        <w:tc>
          <w:tcPr>
            <w:tcW w:w="463" w:type="pct"/>
          </w:tcPr>
          <w:p w14:paraId="336AE499"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27,285</w:t>
            </w:r>
          </w:p>
        </w:tc>
        <w:tc>
          <w:tcPr>
            <w:tcW w:w="363" w:type="pct"/>
          </w:tcPr>
          <w:p w14:paraId="26D07D9A"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-5,712</w:t>
            </w:r>
          </w:p>
        </w:tc>
        <w:tc>
          <w:tcPr>
            <w:tcW w:w="441" w:type="pct"/>
          </w:tcPr>
          <w:p w14:paraId="276F4361"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20.77</w:t>
            </w:r>
          </w:p>
        </w:tc>
        <w:tc>
          <w:tcPr>
            <w:tcW w:w="432" w:type="pct"/>
          </w:tcPr>
          <w:p w14:paraId="7278B02F"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26.32</w:t>
            </w:r>
          </w:p>
        </w:tc>
        <w:tc>
          <w:tcPr>
            <w:cnfStyle w:val="000100000000" w:firstRow="0" w:lastRow="0" w:firstColumn="0" w:lastColumn="1" w:oddVBand="0" w:evenVBand="0" w:oddHBand="0" w:evenHBand="0" w:firstRowFirstColumn="0" w:firstRowLastColumn="0" w:lastRowFirstColumn="0" w:lastRowLastColumn="0"/>
            <w:tcW w:w="359" w:type="pct"/>
          </w:tcPr>
          <w:p w14:paraId="1B0BF403" w14:textId="77777777" w:rsidR="00B44672" w:rsidRDefault="00B44672" w:rsidP="00302865">
            <w:pPr>
              <w:pStyle w:val="Compact"/>
              <w:jc w:val="center"/>
            </w:pPr>
            <w:r>
              <w:t>-5.54</w:t>
            </w:r>
          </w:p>
        </w:tc>
      </w:tr>
    </w:tbl>
    <w:p w14:paraId="7F10E2F7"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45E00C1A" w14:textId="77777777" w:rsidR="00B44672" w:rsidRDefault="00B44672">
      <w:pPr>
        <w:jc w:val="left"/>
        <w:rPr>
          <w:b/>
          <w:i/>
          <w:color w:val="365F91" w:themeColor="accent1" w:themeShade="BF"/>
        </w:rPr>
      </w:pPr>
      <w:r>
        <w:br w:type="page"/>
      </w:r>
    </w:p>
    <w:p w14:paraId="3F3D0A5A" w14:textId="77777777" w:rsidR="00B44672" w:rsidRDefault="00B44672" w:rsidP="00C83581">
      <w:pPr>
        <w:pStyle w:val="TableCaption"/>
      </w:pPr>
      <w:r>
        <w:lastRenderedPageBreak/>
        <w:t>Table 21a - The impact of tax reform on stamp duty paid by wealth quintile, average 2012 – 2018 (keeping only those income units purchasing properties in both new and old policies)</w:t>
      </w:r>
    </w:p>
    <w:tbl>
      <w:tblPr>
        <w:tblStyle w:val="Table"/>
        <w:tblW w:w="5828" w:type="pct"/>
        <w:jc w:val="center"/>
        <w:tblCellMar>
          <w:left w:w="0" w:type="dxa"/>
          <w:right w:w="0" w:type="dxa"/>
        </w:tblCellMar>
        <w:tblLook w:val="07E0" w:firstRow="1" w:lastRow="1" w:firstColumn="1" w:lastColumn="1" w:noHBand="1" w:noVBand="1"/>
        <w:tblCaption w:val="Table 21a - The impact of tax reform on stamp duty paid by wealth quintile, average 2012 – 2018 (keep only those purchasing properties in both new and old policies)"/>
      </w:tblPr>
      <w:tblGrid>
        <w:gridCol w:w="2736"/>
        <w:gridCol w:w="1094"/>
        <w:gridCol w:w="1231"/>
        <w:gridCol w:w="1233"/>
        <w:gridCol w:w="1090"/>
        <w:gridCol w:w="957"/>
        <w:gridCol w:w="955"/>
        <w:gridCol w:w="1225"/>
      </w:tblGrid>
      <w:tr w:rsidR="00B44672" w14:paraId="0146E5EC" w14:textId="77777777" w:rsidTr="00A567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0" w:type="pct"/>
            <w:tcBorders>
              <w:bottom w:val="single" w:sz="0" w:space="0" w:color="auto"/>
            </w:tcBorders>
            <w:vAlign w:val="bottom"/>
          </w:tcPr>
          <w:p w14:paraId="23C2EE6C" w14:textId="77777777" w:rsidR="00B44672" w:rsidRDefault="00B44672" w:rsidP="000511CA"/>
        </w:tc>
        <w:tc>
          <w:tcPr>
            <w:tcW w:w="520" w:type="pct"/>
            <w:tcBorders>
              <w:bottom w:val="single" w:sz="0" w:space="0" w:color="auto"/>
            </w:tcBorders>
            <w:vAlign w:val="bottom"/>
          </w:tcPr>
          <w:p w14:paraId="084162E7"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Both tax policies - # affected</w:t>
            </w:r>
          </w:p>
        </w:tc>
        <w:tc>
          <w:tcPr>
            <w:tcW w:w="585" w:type="pct"/>
            <w:tcBorders>
              <w:bottom w:val="single" w:sz="0" w:space="0" w:color="auto"/>
            </w:tcBorders>
            <w:vAlign w:val="bottom"/>
          </w:tcPr>
          <w:p w14:paraId="4F7BFE33"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stamp duty $</w:t>
            </w:r>
          </w:p>
        </w:tc>
        <w:tc>
          <w:tcPr>
            <w:tcW w:w="586" w:type="pct"/>
            <w:tcBorders>
              <w:bottom w:val="single" w:sz="0" w:space="0" w:color="auto"/>
            </w:tcBorders>
            <w:vAlign w:val="bottom"/>
          </w:tcPr>
          <w:p w14:paraId="62D3D2E7"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stamp duty $</w:t>
            </w:r>
          </w:p>
        </w:tc>
        <w:tc>
          <w:tcPr>
            <w:tcW w:w="518" w:type="pct"/>
            <w:tcBorders>
              <w:bottom w:val="single" w:sz="0" w:space="0" w:color="auto"/>
            </w:tcBorders>
            <w:vAlign w:val="bottom"/>
          </w:tcPr>
          <w:p w14:paraId="734EC2BA"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stamp duty $</w:t>
            </w:r>
          </w:p>
        </w:tc>
        <w:tc>
          <w:tcPr>
            <w:tcW w:w="455" w:type="pct"/>
            <w:tcBorders>
              <w:bottom w:val="single" w:sz="0" w:space="0" w:color="auto"/>
            </w:tcBorders>
            <w:vAlign w:val="bottom"/>
          </w:tcPr>
          <w:p w14:paraId="2F915F78"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54" w:type="pct"/>
            <w:tcBorders>
              <w:bottom w:val="single" w:sz="0" w:space="0" w:color="auto"/>
            </w:tcBorders>
            <w:vAlign w:val="bottom"/>
          </w:tcPr>
          <w:p w14:paraId="770848D8"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582" w:type="pct"/>
            <w:tcBorders>
              <w:bottom w:val="single" w:sz="0" w:space="0" w:color="auto"/>
            </w:tcBorders>
            <w:vAlign w:val="bottom"/>
          </w:tcPr>
          <w:p w14:paraId="13DF86E6" w14:textId="77777777" w:rsidR="00B44672" w:rsidRDefault="00B44672" w:rsidP="000511CA">
            <w:pPr>
              <w:pStyle w:val="Compact"/>
              <w:jc w:val="center"/>
            </w:pPr>
            <w:r>
              <w:t>Diff - % point change in income</w:t>
            </w:r>
          </w:p>
        </w:tc>
      </w:tr>
      <w:tr w:rsidR="00B44672" w14:paraId="0056859D"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17EF4356" w14:textId="77777777" w:rsidR="00B44672" w:rsidRDefault="00B44672" w:rsidP="00CB6E83">
            <w:pPr>
              <w:pStyle w:val="Compact"/>
            </w:pPr>
            <w:r w:rsidRPr="00AF6491">
              <w:rPr>
                <w:b/>
                <w:i/>
                <w:iCs/>
                <w:color w:val="365F91" w:themeColor="accent1" w:themeShade="BF"/>
              </w:rPr>
              <w:t>No price change</w:t>
            </w:r>
          </w:p>
        </w:tc>
        <w:tc>
          <w:tcPr>
            <w:tcW w:w="520" w:type="pct"/>
          </w:tcPr>
          <w:p w14:paraId="50F7015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585" w:type="pct"/>
          </w:tcPr>
          <w:p w14:paraId="2EFBA72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586" w:type="pct"/>
          </w:tcPr>
          <w:p w14:paraId="0747A5D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518" w:type="pct"/>
          </w:tcPr>
          <w:p w14:paraId="62B0C39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55" w:type="pct"/>
          </w:tcPr>
          <w:p w14:paraId="324CB6C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440C9CE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82" w:type="pct"/>
          </w:tcPr>
          <w:p w14:paraId="32EB1A23" w14:textId="77777777" w:rsidR="00B44672" w:rsidRDefault="00B44672" w:rsidP="00CB6E83">
            <w:pPr>
              <w:pStyle w:val="Compact"/>
              <w:jc w:val="center"/>
            </w:pPr>
          </w:p>
        </w:tc>
      </w:tr>
      <w:tr w:rsidR="00B44672" w14:paraId="0C0611FF"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125083CC" w14:textId="77777777" w:rsidR="00B44672" w:rsidRDefault="00B44672" w:rsidP="00CB6E83">
            <w:pPr>
              <w:pStyle w:val="Compact"/>
            </w:pPr>
            <w:r>
              <w:t>Quint 1</w:t>
            </w:r>
          </w:p>
        </w:tc>
        <w:tc>
          <w:tcPr>
            <w:tcW w:w="520" w:type="pct"/>
          </w:tcPr>
          <w:p w14:paraId="35DCDF9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585" w:type="pct"/>
          </w:tcPr>
          <w:p w14:paraId="757A415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6,828</w:t>
            </w:r>
          </w:p>
        </w:tc>
        <w:tc>
          <w:tcPr>
            <w:tcW w:w="586" w:type="pct"/>
          </w:tcPr>
          <w:p w14:paraId="6E2A377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7,710</w:t>
            </w:r>
          </w:p>
        </w:tc>
        <w:tc>
          <w:tcPr>
            <w:tcW w:w="518" w:type="pct"/>
          </w:tcPr>
          <w:p w14:paraId="649FCB4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-882</w:t>
            </w:r>
          </w:p>
        </w:tc>
        <w:tc>
          <w:tcPr>
            <w:tcW w:w="455" w:type="pct"/>
          </w:tcPr>
          <w:p w14:paraId="6146D31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11.85</w:t>
            </w:r>
          </w:p>
        </w:tc>
        <w:tc>
          <w:tcPr>
            <w:tcW w:w="454" w:type="pct"/>
          </w:tcPr>
          <w:p w14:paraId="751CE0D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13.38</w:t>
            </w:r>
          </w:p>
        </w:tc>
        <w:tc>
          <w:tcPr>
            <w:cnfStyle w:val="000100000000" w:firstRow="0" w:lastRow="0" w:firstColumn="0" w:lastColumn="1" w:oddVBand="0" w:evenVBand="0" w:oddHBand="0" w:evenHBand="0" w:firstRowFirstColumn="0" w:firstRowLastColumn="0" w:lastRowFirstColumn="0" w:lastRowLastColumn="0"/>
            <w:tcW w:w="582" w:type="pct"/>
          </w:tcPr>
          <w:p w14:paraId="6FEA5685" w14:textId="77777777" w:rsidR="00B44672" w:rsidRDefault="00B44672" w:rsidP="00CB6E83">
            <w:pPr>
              <w:pStyle w:val="Compact"/>
              <w:jc w:val="center"/>
            </w:pPr>
            <w:r>
              <w:t>-1.53</w:t>
            </w:r>
          </w:p>
        </w:tc>
      </w:tr>
      <w:tr w:rsidR="00B44672" w14:paraId="24742F46"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5FED29D8" w14:textId="77777777" w:rsidR="00B44672" w:rsidRDefault="00B44672" w:rsidP="00CB6E83">
            <w:pPr>
              <w:pStyle w:val="Compact"/>
            </w:pPr>
            <w:r>
              <w:t>Quint 2</w:t>
            </w:r>
          </w:p>
        </w:tc>
        <w:tc>
          <w:tcPr>
            <w:tcW w:w="520" w:type="pct"/>
          </w:tcPr>
          <w:p w14:paraId="286B24E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1,890</w:t>
            </w:r>
          </w:p>
        </w:tc>
        <w:tc>
          <w:tcPr>
            <w:tcW w:w="585" w:type="pct"/>
          </w:tcPr>
          <w:p w14:paraId="3172844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11,755</w:t>
            </w:r>
          </w:p>
        </w:tc>
        <w:tc>
          <w:tcPr>
            <w:tcW w:w="586" w:type="pct"/>
          </w:tcPr>
          <w:p w14:paraId="114AA9D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16,357</w:t>
            </w:r>
          </w:p>
        </w:tc>
        <w:tc>
          <w:tcPr>
            <w:tcW w:w="518" w:type="pct"/>
          </w:tcPr>
          <w:p w14:paraId="78632A9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-4,602</w:t>
            </w:r>
          </w:p>
        </w:tc>
        <w:tc>
          <w:tcPr>
            <w:tcW w:w="455" w:type="pct"/>
          </w:tcPr>
          <w:p w14:paraId="0F66FD7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14.38</w:t>
            </w:r>
          </w:p>
        </w:tc>
        <w:tc>
          <w:tcPr>
            <w:tcW w:w="454" w:type="pct"/>
          </w:tcPr>
          <w:p w14:paraId="7D1680B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20.02</w:t>
            </w:r>
          </w:p>
        </w:tc>
        <w:tc>
          <w:tcPr>
            <w:cnfStyle w:val="000100000000" w:firstRow="0" w:lastRow="0" w:firstColumn="0" w:lastColumn="1" w:oddVBand="0" w:evenVBand="0" w:oddHBand="0" w:evenHBand="0" w:firstRowFirstColumn="0" w:firstRowLastColumn="0" w:lastRowFirstColumn="0" w:lastRowLastColumn="0"/>
            <w:tcW w:w="582" w:type="pct"/>
          </w:tcPr>
          <w:p w14:paraId="6353E48F" w14:textId="77777777" w:rsidR="00B44672" w:rsidRDefault="00B44672" w:rsidP="00CB6E83">
            <w:pPr>
              <w:pStyle w:val="Compact"/>
              <w:jc w:val="center"/>
            </w:pPr>
            <w:r>
              <w:t>-5.63</w:t>
            </w:r>
          </w:p>
        </w:tc>
      </w:tr>
      <w:tr w:rsidR="00B44672" w14:paraId="605D3927"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1846446F" w14:textId="77777777" w:rsidR="00B44672" w:rsidRDefault="00B44672" w:rsidP="00CB6E83">
            <w:pPr>
              <w:pStyle w:val="Compact"/>
            </w:pPr>
            <w:r>
              <w:t>Quint 3</w:t>
            </w:r>
          </w:p>
        </w:tc>
        <w:tc>
          <w:tcPr>
            <w:tcW w:w="520" w:type="pct"/>
          </w:tcPr>
          <w:p w14:paraId="5ABC0C0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3,215</w:t>
            </w:r>
          </w:p>
        </w:tc>
        <w:tc>
          <w:tcPr>
            <w:tcW w:w="585" w:type="pct"/>
          </w:tcPr>
          <w:p w14:paraId="7B270B4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17,236</w:t>
            </w:r>
          </w:p>
        </w:tc>
        <w:tc>
          <w:tcPr>
            <w:tcW w:w="586" w:type="pct"/>
          </w:tcPr>
          <w:p w14:paraId="23E8008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23,000</w:t>
            </w:r>
          </w:p>
        </w:tc>
        <w:tc>
          <w:tcPr>
            <w:tcW w:w="518" w:type="pct"/>
          </w:tcPr>
          <w:p w14:paraId="1669FAC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-5,764</w:t>
            </w:r>
          </w:p>
        </w:tc>
        <w:tc>
          <w:tcPr>
            <w:tcW w:w="455" w:type="pct"/>
          </w:tcPr>
          <w:p w14:paraId="7AC5E70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16.87</w:t>
            </w:r>
          </w:p>
        </w:tc>
        <w:tc>
          <w:tcPr>
            <w:tcW w:w="454" w:type="pct"/>
          </w:tcPr>
          <w:p w14:paraId="153BD4E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22.51</w:t>
            </w:r>
          </w:p>
        </w:tc>
        <w:tc>
          <w:tcPr>
            <w:cnfStyle w:val="000100000000" w:firstRow="0" w:lastRow="0" w:firstColumn="0" w:lastColumn="1" w:oddVBand="0" w:evenVBand="0" w:oddHBand="0" w:evenHBand="0" w:firstRowFirstColumn="0" w:firstRowLastColumn="0" w:lastRowFirstColumn="0" w:lastRowLastColumn="0"/>
            <w:tcW w:w="582" w:type="pct"/>
          </w:tcPr>
          <w:p w14:paraId="3362622D" w14:textId="77777777" w:rsidR="00B44672" w:rsidRDefault="00B44672" w:rsidP="00CB6E83">
            <w:pPr>
              <w:pStyle w:val="Compact"/>
              <w:jc w:val="center"/>
            </w:pPr>
            <w:r>
              <w:t>-5.64</w:t>
            </w:r>
          </w:p>
        </w:tc>
      </w:tr>
      <w:tr w:rsidR="00B44672" w14:paraId="0A7F1EA4"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73668114" w14:textId="77777777" w:rsidR="00B44672" w:rsidRDefault="00B44672" w:rsidP="00CB6E83">
            <w:pPr>
              <w:pStyle w:val="Compact"/>
            </w:pPr>
            <w:r>
              <w:t>Quint 4</w:t>
            </w:r>
          </w:p>
        </w:tc>
        <w:tc>
          <w:tcPr>
            <w:tcW w:w="520" w:type="pct"/>
          </w:tcPr>
          <w:p w14:paraId="3E72DC6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3,516</w:t>
            </w:r>
          </w:p>
        </w:tc>
        <w:tc>
          <w:tcPr>
            <w:tcW w:w="585" w:type="pct"/>
          </w:tcPr>
          <w:p w14:paraId="577DD98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19,226</w:t>
            </w:r>
          </w:p>
        </w:tc>
        <w:tc>
          <w:tcPr>
            <w:tcW w:w="586" w:type="pct"/>
          </w:tcPr>
          <w:p w14:paraId="120F94F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24,867</w:t>
            </w:r>
          </w:p>
        </w:tc>
        <w:tc>
          <w:tcPr>
            <w:tcW w:w="518" w:type="pct"/>
          </w:tcPr>
          <w:p w14:paraId="7AD1CD8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-5,640</w:t>
            </w:r>
          </w:p>
        </w:tc>
        <w:tc>
          <w:tcPr>
            <w:tcW w:w="455" w:type="pct"/>
          </w:tcPr>
          <w:p w14:paraId="5DC65DB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17.60</w:t>
            </w:r>
          </w:p>
        </w:tc>
        <w:tc>
          <w:tcPr>
            <w:tcW w:w="454" w:type="pct"/>
          </w:tcPr>
          <w:p w14:paraId="1E059BE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22.76</w:t>
            </w:r>
          </w:p>
        </w:tc>
        <w:tc>
          <w:tcPr>
            <w:cnfStyle w:val="000100000000" w:firstRow="0" w:lastRow="0" w:firstColumn="0" w:lastColumn="1" w:oddVBand="0" w:evenVBand="0" w:oddHBand="0" w:evenHBand="0" w:firstRowFirstColumn="0" w:firstRowLastColumn="0" w:lastRowFirstColumn="0" w:lastRowLastColumn="0"/>
            <w:tcW w:w="582" w:type="pct"/>
          </w:tcPr>
          <w:p w14:paraId="583BD59F" w14:textId="77777777" w:rsidR="00B44672" w:rsidRDefault="00B44672" w:rsidP="00CB6E83">
            <w:pPr>
              <w:pStyle w:val="Compact"/>
              <w:jc w:val="center"/>
            </w:pPr>
            <w:r>
              <w:t>-5.16</w:t>
            </w:r>
          </w:p>
        </w:tc>
      </w:tr>
      <w:tr w:rsidR="00B44672" w14:paraId="1C5D4397"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49C71FF1" w14:textId="77777777" w:rsidR="00B44672" w:rsidRDefault="00B44672" w:rsidP="00CB6E83">
            <w:pPr>
              <w:pStyle w:val="Compact"/>
            </w:pPr>
            <w:r>
              <w:t>Quint 5</w:t>
            </w:r>
          </w:p>
        </w:tc>
        <w:tc>
          <w:tcPr>
            <w:tcW w:w="520" w:type="pct"/>
          </w:tcPr>
          <w:p w14:paraId="77213A6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3,868</w:t>
            </w:r>
          </w:p>
        </w:tc>
        <w:tc>
          <w:tcPr>
            <w:tcW w:w="585" w:type="pct"/>
          </w:tcPr>
          <w:p w14:paraId="50C9E00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21,562</w:t>
            </w:r>
          </w:p>
        </w:tc>
        <w:tc>
          <w:tcPr>
            <w:tcW w:w="586" w:type="pct"/>
          </w:tcPr>
          <w:p w14:paraId="6BA3398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27,897</w:t>
            </w:r>
          </w:p>
        </w:tc>
        <w:tc>
          <w:tcPr>
            <w:tcW w:w="518" w:type="pct"/>
          </w:tcPr>
          <w:p w14:paraId="6FE33F4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-6,335</w:t>
            </w:r>
          </w:p>
        </w:tc>
        <w:tc>
          <w:tcPr>
            <w:tcW w:w="455" w:type="pct"/>
          </w:tcPr>
          <w:p w14:paraId="7C000A4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20.77</w:t>
            </w:r>
          </w:p>
        </w:tc>
        <w:tc>
          <w:tcPr>
            <w:tcW w:w="454" w:type="pct"/>
          </w:tcPr>
          <w:p w14:paraId="2896D3C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26.87</w:t>
            </w:r>
          </w:p>
        </w:tc>
        <w:tc>
          <w:tcPr>
            <w:cnfStyle w:val="000100000000" w:firstRow="0" w:lastRow="0" w:firstColumn="0" w:lastColumn="1" w:oddVBand="0" w:evenVBand="0" w:oddHBand="0" w:evenHBand="0" w:firstRowFirstColumn="0" w:firstRowLastColumn="0" w:lastRowFirstColumn="0" w:lastRowLastColumn="0"/>
            <w:tcW w:w="582" w:type="pct"/>
          </w:tcPr>
          <w:p w14:paraId="3D485E7A" w14:textId="77777777" w:rsidR="00B44672" w:rsidRDefault="00B44672" w:rsidP="00CB6E83">
            <w:pPr>
              <w:pStyle w:val="Compact"/>
              <w:jc w:val="center"/>
            </w:pPr>
            <w:r>
              <w:t>-6.10</w:t>
            </w:r>
          </w:p>
        </w:tc>
      </w:tr>
      <w:tr w:rsidR="00B44672" w14:paraId="38A62FB2"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40F6C675"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520" w:type="pct"/>
          </w:tcPr>
          <w:p w14:paraId="56283EB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85" w:type="pct"/>
          </w:tcPr>
          <w:p w14:paraId="60FB900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86" w:type="pct"/>
          </w:tcPr>
          <w:p w14:paraId="2DD165A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18" w:type="pct"/>
          </w:tcPr>
          <w:p w14:paraId="5535EDA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55" w:type="pct"/>
          </w:tcPr>
          <w:p w14:paraId="10EB9AD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399F8B7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82" w:type="pct"/>
          </w:tcPr>
          <w:p w14:paraId="38B5FC8B" w14:textId="77777777" w:rsidR="00B44672" w:rsidRDefault="00B44672" w:rsidP="00A567C4">
            <w:pPr>
              <w:pStyle w:val="Compact"/>
              <w:jc w:val="center"/>
            </w:pPr>
          </w:p>
        </w:tc>
      </w:tr>
      <w:tr w:rsidR="00B44672" w14:paraId="0E32752A"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5A809947" w14:textId="77777777" w:rsidR="00B44672" w:rsidRDefault="00B44672" w:rsidP="00A567C4">
            <w:pPr>
              <w:pStyle w:val="Compact"/>
            </w:pPr>
            <w:r>
              <w:t>Quint 1</w:t>
            </w:r>
          </w:p>
        </w:tc>
        <w:tc>
          <w:tcPr>
            <w:tcW w:w="520" w:type="pct"/>
          </w:tcPr>
          <w:p w14:paraId="12851BE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585" w:type="pct"/>
          </w:tcPr>
          <w:p w14:paraId="178D127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6,828</w:t>
            </w:r>
          </w:p>
        </w:tc>
        <w:tc>
          <w:tcPr>
            <w:tcW w:w="586" w:type="pct"/>
          </w:tcPr>
          <w:p w14:paraId="1A0B128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7,672</w:t>
            </w:r>
          </w:p>
        </w:tc>
        <w:tc>
          <w:tcPr>
            <w:tcW w:w="518" w:type="pct"/>
          </w:tcPr>
          <w:p w14:paraId="35D201E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-844</w:t>
            </w:r>
          </w:p>
        </w:tc>
        <w:tc>
          <w:tcPr>
            <w:tcW w:w="455" w:type="pct"/>
          </w:tcPr>
          <w:p w14:paraId="54A004B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11.85</w:t>
            </w:r>
          </w:p>
        </w:tc>
        <w:tc>
          <w:tcPr>
            <w:tcW w:w="454" w:type="pct"/>
          </w:tcPr>
          <w:p w14:paraId="19E1956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13.32</w:t>
            </w:r>
          </w:p>
        </w:tc>
        <w:tc>
          <w:tcPr>
            <w:cnfStyle w:val="000100000000" w:firstRow="0" w:lastRow="0" w:firstColumn="0" w:lastColumn="1" w:oddVBand="0" w:evenVBand="0" w:oddHBand="0" w:evenHBand="0" w:firstRowFirstColumn="0" w:firstRowLastColumn="0" w:lastRowFirstColumn="0" w:lastRowLastColumn="0"/>
            <w:tcW w:w="582" w:type="pct"/>
          </w:tcPr>
          <w:p w14:paraId="7E2C8D37" w14:textId="77777777" w:rsidR="00B44672" w:rsidRDefault="00B44672" w:rsidP="00A567C4">
            <w:pPr>
              <w:pStyle w:val="Compact"/>
              <w:jc w:val="center"/>
            </w:pPr>
            <w:r>
              <w:t>-1.46</w:t>
            </w:r>
          </w:p>
        </w:tc>
      </w:tr>
      <w:tr w:rsidR="00B44672" w14:paraId="0D0320B3"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40C57B3D" w14:textId="77777777" w:rsidR="00B44672" w:rsidRDefault="00B44672" w:rsidP="00A567C4">
            <w:pPr>
              <w:pStyle w:val="Compact"/>
            </w:pPr>
            <w:r>
              <w:t>Quint 2</w:t>
            </w:r>
          </w:p>
        </w:tc>
        <w:tc>
          <w:tcPr>
            <w:tcW w:w="520" w:type="pct"/>
          </w:tcPr>
          <w:p w14:paraId="7315A8B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1,903</w:t>
            </w:r>
          </w:p>
        </w:tc>
        <w:tc>
          <w:tcPr>
            <w:tcW w:w="585" w:type="pct"/>
          </w:tcPr>
          <w:p w14:paraId="20F6D20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11,759</w:t>
            </w:r>
          </w:p>
        </w:tc>
        <w:tc>
          <w:tcPr>
            <w:tcW w:w="586" w:type="pct"/>
          </w:tcPr>
          <w:p w14:paraId="37E4CE2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16,164</w:t>
            </w:r>
          </w:p>
        </w:tc>
        <w:tc>
          <w:tcPr>
            <w:tcW w:w="518" w:type="pct"/>
          </w:tcPr>
          <w:p w14:paraId="5FC6A0E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-4,405</w:t>
            </w:r>
          </w:p>
        </w:tc>
        <w:tc>
          <w:tcPr>
            <w:tcW w:w="455" w:type="pct"/>
          </w:tcPr>
          <w:p w14:paraId="6218018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14.41</w:t>
            </w:r>
          </w:p>
        </w:tc>
        <w:tc>
          <w:tcPr>
            <w:tcW w:w="454" w:type="pct"/>
          </w:tcPr>
          <w:p w14:paraId="4E00888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19.81</w:t>
            </w:r>
          </w:p>
        </w:tc>
        <w:tc>
          <w:tcPr>
            <w:cnfStyle w:val="000100000000" w:firstRow="0" w:lastRow="0" w:firstColumn="0" w:lastColumn="1" w:oddVBand="0" w:evenVBand="0" w:oddHBand="0" w:evenHBand="0" w:firstRowFirstColumn="0" w:firstRowLastColumn="0" w:lastRowFirstColumn="0" w:lastRowLastColumn="0"/>
            <w:tcW w:w="582" w:type="pct"/>
          </w:tcPr>
          <w:p w14:paraId="0582FBD0" w14:textId="77777777" w:rsidR="00B44672" w:rsidRDefault="00B44672" w:rsidP="00A567C4">
            <w:pPr>
              <w:pStyle w:val="Compact"/>
              <w:jc w:val="center"/>
            </w:pPr>
            <w:r>
              <w:t>-5.40</w:t>
            </w:r>
          </w:p>
        </w:tc>
      </w:tr>
      <w:tr w:rsidR="00B44672" w14:paraId="15AA01F0"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4C0A271A" w14:textId="77777777" w:rsidR="00B44672" w:rsidRDefault="00B44672" w:rsidP="00A567C4">
            <w:pPr>
              <w:pStyle w:val="Compact"/>
            </w:pPr>
            <w:r>
              <w:t>Quint 3</w:t>
            </w:r>
          </w:p>
        </w:tc>
        <w:tc>
          <w:tcPr>
            <w:tcW w:w="520" w:type="pct"/>
          </w:tcPr>
          <w:p w14:paraId="3C8AF38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3,215</w:t>
            </w:r>
          </w:p>
        </w:tc>
        <w:tc>
          <w:tcPr>
            <w:tcW w:w="585" w:type="pct"/>
          </w:tcPr>
          <w:p w14:paraId="39AC544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17,236</w:t>
            </w:r>
          </w:p>
        </w:tc>
        <w:tc>
          <w:tcPr>
            <w:tcW w:w="586" w:type="pct"/>
          </w:tcPr>
          <w:p w14:paraId="232A45B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22,742</w:t>
            </w:r>
          </w:p>
        </w:tc>
        <w:tc>
          <w:tcPr>
            <w:tcW w:w="518" w:type="pct"/>
          </w:tcPr>
          <w:p w14:paraId="27C25FF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-5,506</w:t>
            </w:r>
          </w:p>
        </w:tc>
        <w:tc>
          <w:tcPr>
            <w:tcW w:w="455" w:type="pct"/>
          </w:tcPr>
          <w:p w14:paraId="66E86DA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16.87</w:t>
            </w:r>
          </w:p>
        </w:tc>
        <w:tc>
          <w:tcPr>
            <w:tcW w:w="454" w:type="pct"/>
          </w:tcPr>
          <w:p w14:paraId="7DC49C1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22.26</w:t>
            </w:r>
          </w:p>
        </w:tc>
        <w:tc>
          <w:tcPr>
            <w:cnfStyle w:val="000100000000" w:firstRow="0" w:lastRow="0" w:firstColumn="0" w:lastColumn="1" w:oddVBand="0" w:evenVBand="0" w:oddHBand="0" w:evenHBand="0" w:firstRowFirstColumn="0" w:firstRowLastColumn="0" w:lastRowFirstColumn="0" w:lastRowLastColumn="0"/>
            <w:tcW w:w="582" w:type="pct"/>
          </w:tcPr>
          <w:p w14:paraId="7AA48C5F" w14:textId="77777777" w:rsidR="00B44672" w:rsidRDefault="00B44672" w:rsidP="00A567C4">
            <w:pPr>
              <w:pStyle w:val="Compact"/>
              <w:jc w:val="center"/>
            </w:pPr>
            <w:r>
              <w:t>-5.39</w:t>
            </w:r>
          </w:p>
        </w:tc>
      </w:tr>
      <w:tr w:rsidR="00B44672" w14:paraId="64B66635"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36191D8B" w14:textId="77777777" w:rsidR="00B44672" w:rsidRDefault="00B44672" w:rsidP="00A567C4">
            <w:pPr>
              <w:pStyle w:val="Compact"/>
            </w:pPr>
            <w:r>
              <w:t>Quint 4</w:t>
            </w:r>
          </w:p>
        </w:tc>
        <w:tc>
          <w:tcPr>
            <w:tcW w:w="520" w:type="pct"/>
          </w:tcPr>
          <w:p w14:paraId="7C8F30A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3,520</w:t>
            </w:r>
          </w:p>
        </w:tc>
        <w:tc>
          <w:tcPr>
            <w:tcW w:w="585" w:type="pct"/>
          </w:tcPr>
          <w:p w14:paraId="1C4ADB6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19,226</w:t>
            </w:r>
          </w:p>
        </w:tc>
        <w:tc>
          <w:tcPr>
            <w:tcW w:w="586" w:type="pct"/>
          </w:tcPr>
          <w:p w14:paraId="7ED0AD3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24,602</w:t>
            </w:r>
          </w:p>
        </w:tc>
        <w:tc>
          <w:tcPr>
            <w:tcW w:w="518" w:type="pct"/>
          </w:tcPr>
          <w:p w14:paraId="26917E1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-5,376</w:t>
            </w:r>
          </w:p>
        </w:tc>
        <w:tc>
          <w:tcPr>
            <w:tcW w:w="455" w:type="pct"/>
          </w:tcPr>
          <w:p w14:paraId="369F9FF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17.60</w:t>
            </w:r>
          </w:p>
        </w:tc>
        <w:tc>
          <w:tcPr>
            <w:tcW w:w="454" w:type="pct"/>
          </w:tcPr>
          <w:p w14:paraId="24C8652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22.52</w:t>
            </w:r>
          </w:p>
        </w:tc>
        <w:tc>
          <w:tcPr>
            <w:cnfStyle w:val="000100000000" w:firstRow="0" w:lastRow="0" w:firstColumn="0" w:lastColumn="1" w:oddVBand="0" w:evenVBand="0" w:oddHBand="0" w:evenHBand="0" w:firstRowFirstColumn="0" w:firstRowLastColumn="0" w:lastRowFirstColumn="0" w:lastRowLastColumn="0"/>
            <w:tcW w:w="582" w:type="pct"/>
          </w:tcPr>
          <w:p w14:paraId="36DD5944" w14:textId="77777777" w:rsidR="00B44672" w:rsidRDefault="00B44672" w:rsidP="00A567C4">
            <w:pPr>
              <w:pStyle w:val="Compact"/>
              <w:jc w:val="center"/>
            </w:pPr>
            <w:r>
              <w:t>-4.92</w:t>
            </w:r>
          </w:p>
        </w:tc>
      </w:tr>
      <w:tr w:rsidR="00B44672" w14:paraId="2E156DA4"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447BFDA8" w14:textId="77777777" w:rsidR="00B44672" w:rsidRDefault="00B44672" w:rsidP="00A567C4">
            <w:pPr>
              <w:pStyle w:val="Compact"/>
            </w:pPr>
            <w:r>
              <w:t>Quint 5</w:t>
            </w:r>
          </w:p>
        </w:tc>
        <w:tc>
          <w:tcPr>
            <w:tcW w:w="520" w:type="pct"/>
          </w:tcPr>
          <w:p w14:paraId="63BF004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3,875</w:t>
            </w:r>
          </w:p>
        </w:tc>
        <w:tc>
          <w:tcPr>
            <w:tcW w:w="585" w:type="pct"/>
          </w:tcPr>
          <w:p w14:paraId="317A935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21,562</w:t>
            </w:r>
          </w:p>
        </w:tc>
        <w:tc>
          <w:tcPr>
            <w:tcW w:w="586" w:type="pct"/>
          </w:tcPr>
          <w:p w14:paraId="46741C0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27,599</w:t>
            </w:r>
          </w:p>
        </w:tc>
        <w:tc>
          <w:tcPr>
            <w:tcW w:w="518" w:type="pct"/>
          </w:tcPr>
          <w:p w14:paraId="6F63BF5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-6,037</w:t>
            </w:r>
          </w:p>
        </w:tc>
        <w:tc>
          <w:tcPr>
            <w:tcW w:w="455" w:type="pct"/>
          </w:tcPr>
          <w:p w14:paraId="60B11A9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20.78</w:t>
            </w:r>
          </w:p>
        </w:tc>
        <w:tc>
          <w:tcPr>
            <w:tcW w:w="454" w:type="pct"/>
          </w:tcPr>
          <w:p w14:paraId="0555071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26.60</w:t>
            </w:r>
          </w:p>
        </w:tc>
        <w:tc>
          <w:tcPr>
            <w:cnfStyle w:val="000100000000" w:firstRow="0" w:lastRow="0" w:firstColumn="0" w:lastColumn="1" w:oddVBand="0" w:evenVBand="0" w:oddHBand="0" w:evenHBand="0" w:firstRowFirstColumn="0" w:firstRowLastColumn="0" w:lastRowFirstColumn="0" w:lastRowLastColumn="0"/>
            <w:tcW w:w="582" w:type="pct"/>
          </w:tcPr>
          <w:p w14:paraId="29FEC698" w14:textId="77777777" w:rsidR="00B44672" w:rsidRDefault="00B44672" w:rsidP="00A567C4">
            <w:pPr>
              <w:pStyle w:val="Compact"/>
              <w:jc w:val="center"/>
            </w:pPr>
            <w:r>
              <w:t>-5.82</w:t>
            </w:r>
          </w:p>
        </w:tc>
      </w:tr>
      <w:tr w:rsidR="00B44672" w14:paraId="512DB256"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071BFDCE" w14:textId="77777777" w:rsidR="00B44672" w:rsidRDefault="00B44672" w:rsidP="00302865">
            <w:pPr>
              <w:pStyle w:val="Compact"/>
            </w:pPr>
            <w:r w:rsidRPr="00113FC1">
              <w:rPr>
                <w:b/>
                <w:i/>
                <w:iCs/>
                <w:color w:val="365F91" w:themeColor="accent1" w:themeShade="BF"/>
              </w:rPr>
              <w:t>1.24 – 2.19% price change</w:t>
            </w:r>
          </w:p>
        </w:tc>
        <w:tc>
          <w:tcPr>
            <w:tcW w:w="520" w:type="pct"/>
          </w:tcPr>
          <w:p w14:paraId="57E4776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85" w:type="pct"/>
          </w:tcPr>
          <w:p w14:paraId="72C6047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86" w:type="pct"/>
          </w:tcPr>
          <w:p w14:paraId="31A5EC6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18" w:type="pct"/>
          </w:tcPr>
          <w:p w14:paraId="4569D9B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55" w:type="pct"/>
          </w:tcPr>
          <w:p w14:paraId="08D14BB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6051B0D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82" w:type="pct"/>
          </w:tcPr>
          <w:p w14:paraId="38F95B3B" w14:textId="77777777" w:rsidR="00B44672" w:rsidRDefault="00B44672" w:rsidP="00302865">
            <w:pPr>
              <w:pStyle w:val="Compact"/>
              <w:jc w:val="center"/>
            </w:pPr>
          </w:p>
        </w:tc>
      </w:tr>
      <w:tr w:rsidR="00B44672" w14:paraId="69B4A078"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611F6728" w14:textId="77777777" w:rsidR="00B44672" w:rsidRDefault="00B44672" w:rsidP="00302865">
            <w:pPr>
              <w:pStyle w:val="Compact"/>
            </w:pPr>
            <w:r>
              <w:t>Quint 1</w:t>
            </w:r>
          </w:p>
        </w:tc>
        <w:tc>
          <w:tcPr>
            <w:tcW w:w="520" w:type="pct"/>
          </w:tcPr>
          <w:p w14:paraId="0CC5422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585" w:type="pct"/>
          </w:tcPr>
          <w:p w14:paraId="0688674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6,828</w:t>
            </w:r>
          </w:p>
        </w:tc>
        <w:tc>
          <w:tcPr>
            <w:tcW w:w="586" w:type="pct"/>
          </w:tcPr>
          <w:p w14:paraId="39EDF73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7,572</w:t>
            </w:r>
          </w:p>
        </w:tc>
        <w:tc>
          <w:tcPr>
            <w:tcW w:w="518" w:type="pct"/>
          </w:tcPr>
          <w:p w14:paraId="7931C13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-744</w:t>
            </w:r>
          </w:p>
        </w:tc>
        <w:tc>
          <w:tcPr>
            <w:tcW w:w="455" w:type="pct"/>
          </w:tcPr>
          <w:p w14:paraId="04CE125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11.85</w:t>
            </w:r>
          </w:p>
        </w:tc>
        <w:tc>
          <w:tcPr>
            <w:tcW w:w="454" w:type="pct"/>
          </w:tcPr>
          <w:p w14:paraId="70A2E98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13.15</w:t>
            </w:r>
          </w:p>
        </w:tc>
        <w:tc>
          <w:tcPr>
            <w:cnfStyle w:val="000100000000" w:firstRow="0" w:lastRow="0" w:firstColumn="0" w:lastColumn="1" w:oddVBand="0" w:evenVBand="0" w:oddHBand="0" w:evenHBand="0" w:firstRowFirstColumn="0" w:firstRowLastColumn="0" w:lastRowFirstColumn="0" w:lastRowLastColumn="0"/>
            <w:tcW w:w="582" w:type="pct"/>
          </w:tcPr>
          <w:p w14:paraId="34E5A9EC" w14:textId="77777777" w:rsidR="00B44672" w:rsidRDefault="00B44672" w:rsidP="00302865">
            <w:pPr>
              <w:pStyle w:val="Compact"/>
              <w:jc w:val="center"/>
            </w:pPr>
            <w:r>
              <w:t>-1.29</w:t>
            </w:r>
          </w:p>
        </w:tc>
      </w:tr>
      <w:tr w:rsidR="00B44672" w14:paraId="347C992D"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517CFE59" w14:textId="77777777" w:rsidR="00B44672" w:rsidRDefault="00B44672" w:rsidP="00302865">
            <w:pPr>
              <w:pStyle w:val="Compact"/>
            </w:pPr>
            <w:r>
              <w:t>Quint 2</w:t>
            </w:r>
          </w:p>
        </w:tc>
        <w:tc>
          <w:tcPr>
            <w:tcW w:w="520" w:type="pct"/>
          </w:tcPr>
          <w:p w14:paraId="4336859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1,933</w:t>
            </w:r>
          </w:p>
        </w:tc>
        <w:tc>
          <w:tcPr>
            <w:tcW w:w="585" w:type="pct"/>
          </w:tcPr>
          <w:p w14:paraId="1DB06D0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11,845</w:t>
            </w:r>
          </w:p>
        </w:tc>
        <w:tc>
          <w:tcPr>
            <w:tcW w:w="586" w:type="pct"/>
          </w:tcPr>
          <w:p w14:paraId="145306E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16,072</w:t>
            </w:r>
          </w:p>
        </w:tc>
        <w:tc>
          <w:tcPr>
            <w:tcW w:w="518" w:type="pct"/>
          </w:tcPr>
          <w:p w14:paraId="503C743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-4,227</w:t>
            </w:r>
          </w:p>
        </w:tc>
        <w:tc>
          <w:tcPr>
            <w:tcW w:w="455" w:type="pct"/>
          </w:tcPr>
          <w:p w14:paraId="3A43CAA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14.46</w:t>
            </w:r>
          </w:p>
        </w:tc>
        <w:tc>
          <w:tcPr>
            <w:tcW w:w="454" w:type="pct"/>
          </w:tcPr>
          <w:p w14:paraId="55C1827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19.62</w:t>
            </w:r>
          </w:p>
        </w:tc>
        <w:tc>
          <w:tcPr>
            <w:cnfStyle w:val="000100000000" w:firstRow="0" w:lastRow="0" w:firstColumn="0" w:lastColumn="1" w:oddVBand="0" w:evenVBand="0" w:oddHBand="0" w:evenHBand="0" w:firstRowFirstColumn="0" w:firstRowLastColumn="0" w:lastRowFirstColumn="0" w:lastRowLastColumn="0"/>
            <w:tcW w:w="582" w:type="pct"/>
          </w:tcPr>
          <w:p w14:paraId="7BB6F25B" w14:textId="77777777" w:rsidR="00B44672" w:rsidRDefault="00B44672" w:rsidP="00302865">
            <w:pPr>
              <w:pStyle w:val="Compact"/>
              <w:jc w:val="center"/>
            </w:pPr>
            <w:r>
              <w:t>-5.16</w:t>
            </w:r>
          </w:p>
        </w:tc>
      </w:tr>
      <w:tr w:rsidR="00B44672" w14:paraId="04BAB55D"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2B0D209A" w14:textId="77777777" w:rsidR="00B44672" w:rsidRDefault="00B44672" w:rsidP="00302865">
            <w:pPr>
              <w:pStyle w:val="Compact"/>
            </w:pPr>
            <w:r>
              <w:t>Quint 3</w:t>
            </w:r>
          </w:p>
        </w:tc>
        <w:tc>
          <w:tcPr>
            <w:tcW w:w="520" w:type="pct"/>
          </w:tcPr>
          <w:p w14:paraId="31A871D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3,229</w:t>
            </w:r>
          </w:p>
        </w:tc>
        <w:tc>
          <w:tcPr>
            <w:tcW w:w="585" w:type="pct"/>
          </w:tcPr>
          <w:p w14:paraId="2623F9E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17,248</w:t>
            </w:r>
          </w:p>
        </w:tc>
        <w:tc>
          <w:tcPr>
            <w:tcW w:w="586" w:type="pct"/>
          </w:tcPr>
          <w:p w14:paraId="4D37FB7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22,488</w:t>
            </w:r>
          </w:p>
        </w:tc>
        <w:tc>
          <w:tcPr>
            <w:tcW w:w="518" w:type="pct"/>
          </w:tcPr>
          <w:p w14:paraId="77B72CE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-5,240</w:t>
            </w:r>
          </w:p>
        </w:tc>
        <w:tc>
          <w:tcPr>
            <w:tcW w:w="455" w:type="pct"/>
          </w:tcPr>
          <w:p w14:paraId="4942222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16.86</w:t>
            </w:r>
          </w:p>
        </w:tc>
        <w:tc>
          <w:tcPr>
            <w:tcW w:w="454" w:type="pct"/>
          </w:tcPr>
          <w:p w14:paraId="0925582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21.98</w:t>
            </w:r>
          </w:p>
        </w:tc>
        <w:tc>
          <w:tcPr>
            <w:cnfStyle w:val="000100000000" w:firstRow="0" w:lastRow="0" w:firstColumn="0" w:lastColumn="1" w:oddVBand="0" w:evenVBand="0" w:oddHBand="0" w:evenHBand="0" w:firstRowFirstColumn="0" w:firstRowLastColumn="0" w:lastRowFirstColumn="0" w:lastRowLastColumn="0"/>
            <w:tcW w:w="582" w:type="pct"/>
          </w:tcPr>
          <w:p w14:paraId="78B2F700" w14:textId="77777777" w:rsidR="00B44672" w:rsidRDefault="00B44672" w:rsidP="00302865">
            <w:pPr>
              <w:pStyle w:val="Compact"/>
              <w:jc w:val="center"/>
            </w:pPr>
            <w:r>
              <w:t>-5.12</w:t>
            </w:r>
          </w:p>
        </w:tc>
      </w:tr>
      <w:tr w:rsidR="00B44672" w14:paraId="6066A042"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300" w:type="pct"/>
          </w:tcPr>
          <w:p w14:paraId="09CC55BA" w14:textId="77777777" w:rsidR="00B44672" w:rsidRDefault="00B44672" w:rsidP="00302865">
            <w:pPr>
              <w:pStyle w:val="Compact"/>
            </w:pPr>
            <w:r>
              <w:t>Quint 4</w:t>
            </w:r>
          </w:p>
        </w:tc>
        <w:tc>
          <w:tcPr>
            <w:tcW w:w="520" w:type="pct"/>
          </w:tcPr>
          <w:p w14:paraId="7F01891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3,529</w:t>
            </w:r>
          </w:p>
        </w:tc>
        <w:tc>
          <w:tcPr>
            <w:tcW w:w="585" w:type="pct"/>
          </w:tcPr>
          <w:p w14:paraId="78F57DB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19,215</w:t>
            </w:r>
          </w:p>
        </w:tc>
        <w:tc>
          <w:tcPr>
            <w:tcW w:w="586" w:type="pct"/>
          </w:tcPr>
          <w:p w14:paraId="7CE3C1A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24,305</w:t>
            </w:r>
          </w:p>
        </w:tc>
        <w:tc>
          <w:tcPr>
            <w:tcW w:w="518" w:type="pct"/>
          </w:tcPr>
          <w:p w14:paraId="4888C8C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-5,090</w:t>
            </w:r>
          </w:p>
        </w:tc>
        <w:tc>
          <w:tcPr>
            <w:tcW w:w="455" w:type="pct"/>
          </w:tcPr>
          <w:p w14:paraId="428A910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17.57</w:t>
            </w:r>
          </w:p>
        </w:tc>
        <w:tc>
          <w:tcPr>
            <w:tcW w:w="454" w:type="pct"/>
          </w:tcPr>
          <w:p w14:paraId="58EA3EC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22.22</w:t>
            </w:r>
          </w:p>
        </w:tc>
        <w:tc>
          <w:tcPr>
            <w:cnfStyle w:val="000100000000" w:firstRow="0" w:lastRow="0" w:firstColumn="0" w:lastColumn="1" w:oddVBand="0" w:evenVBand="0" w:oddHBand="0" w:evenHBand="0" w:firstRowFirstColumn="0" w:firstRowLastColumn="0" w:lastRowFirstColumn="0" w:lastRowLastColumn="0"/>
            <w:tcW w:w="582" w:type="pct"/>
          </w:tcPr>
          <w:p w14:paraId="2D779A49" w14:textId="77777777" w:rsidR="00B44672" w:rsidRDefault="00B44672" w:rsidP="00302865">
            <w:pPr>
              <w:pStyle w:val="Compact"/>
              <w:jc w:val="center"/>
            </w:pPr>
            <w:r>
              <w:t>-4.65</w:t>
            </w:r>
          </w:p>
        </w:tc>
      </w:tr>
      <w:tr w:rsidR="00B44672" w14:paraId="121D4744" w14:textId="77777777" w:rsidTr="00A567C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0" w:type="pct"/>
          </w:tcPr>
          <w:p w14:paraId="5C1EF797" w14:textId="77777777" w:rsidR="00B44672" w:rsidRDefault="00B44672" w:rsidP="00302865">
            <w:pPr>
              <w:pStyle w:val="Compact"/>
            </w:pPr>
            <w:r>
              <w:t>Quint 5</w:t>
            </w:r>
          </w:p>
        </w:tc>
        <w:tc>
          <w:tcPr>
            <w:tcW w:w="520" w:type="pct"/>
          </w:tcPr>
          <w:p w14:paraId="2B0D401C"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3,882</w:t>
            </w:r>
          </w:p>
        </w:tc>
        <w:tc>
          <w:tcPr>
            <w:tcW w:w="585" w:type="pct"/>
          </w:tcPr>
          <w:p w14:paraId="36614D5C"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21,569</w:t>
            </w:r>
          </w:p>
        </w:tc>
        <w:tc>
          <w:tcPr>
            <w:tcW w:w="586" w:type="pct"/>
          </w:tcPr>
          <w:p w14:paraId="4DE19E6F"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27,289</w:t>
            </w:r>
          </w:p>
        </w:tc>
        <w:tc>
          <w:tcPr>
            <w:tcW w:w="518" w:type="pct"/>
          </w:tcPr>
          <w:p w14:paraId="6387E442"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-5,720</w:t>
            </w:r>
          </w:p>
        </w:tc>
        <w:tc>
          <w:tcPr>
            <w:tcW w:w="455" w:type="pct"/>
          </w:tcPr>
          <w:p w14:paraId="6F4CB34E"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20.79</w:t>
            </w:r>
          </w:p>
        </w:tc>
        <w:tc>
          <w:tcPr>
            <w:tcW w:w="454" w:type="pct"/>
          </w:tcPr>
          <w:p w14:paraId="6C87B6C9"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26.30</w:t>
            </w:r>
          </w:p>
        </w:tc>
        <w:tc>
          <w:tcPr>
            <w:cnfStyle w:val="000100000000" w:firstRow="0" w:lastRow="0" w:firstColumn="0" w:lastColumn="1" w:oddVBand="0" w:evenVBand="0" w:oddHBand="0" w:evenHBand="0" w:firstRowFirstColumn="0" w:firstRowLastColumn="0" w:lastRowFirstColumn="0" w:lastRowLastColumn="0"/>
            <w:tcW w:w="582" w:type="pct"/>
          </w:tcPr>
          <w:p w14:paraId="2D7C3C2D" w14:textId="77777777" w:rsidR="00B44672" w:rsidRDefault="00B44672" w:rsidP="00302865">
            <w:pPr>
              <w:pStyle w:val="Compact"/>
              <w:jc w:val="center"/>
            </w:pPr>
            <w:r>
              <w:t>-5.51</w:t>
            </w:r>
          </w:p>
        </w:tc>
      </w:tr>
    </w:tbl>
    <w:p w14:paraId="0843C908"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2B83FCC4" w14:textId="77777777" w:rsidR="00B44672" w:rsidRDefault="00B44672">
      <w:pPr>
        <w:jc w:val="left"/>
        <w:rPr>
          <w:b/>
        </w:rPr>
      </w:pPr>
      <w:r>
        <w:rPr>
          <w:b/>
        </w:rPr>
        <w:br w:type="page"/>
      </w:r>
    </w:p>
    <w:p w14:paraId="0184C246" w14:textId="77777777" w:rsidR="00B44672" w:rsidRDefault="00B44672" w:rsidP="00C83581">
      <w:pPr>
        <w:pStyle w:val="FirstParagraph"/>
      </w:pPr>
      <w:r>
        <w:rPr>
          <w:b/>
        </w:rPr>
        <w:lastRenderedPageBreak/>
        <w:t>Rate payment distribution</w:t>
      </w:r>
    </w:p>
    <w:p w14:paraId="5D1DAD74" w14:textId="77777777" w:rsidR="00B44672" w:rsidRDefault="00B44672" w:rsidP="00C83581">
      <w:pPr>
        <w:pStyle w:val="TableCaption"/>
      </w:pPr>
      <w:r>
        <w:t>Table 22 - The impact of tax reform on the general rate distribution (net of rebate) by wealth quintile, average 2012 - 2018</w:t>
      </w:r>
    </w:p>
    <w:tbl>
      <w:tblPr>
        <w:tblStyle w:val="Table"/>
        <w:tblW w:w="5037" w:type="pct"/>
        <w:jc w:val="center"/>
        <w:tblCellMar>
          <w:left w:w="0" w:type="dxa"/>
          <w:right w:w="0" w:type="dxa"/>
        </w:tblCellMar>
        <w:tblLook w:val="07E0" w:firstRow="1" w:lastRow="1" w:firstColumn="1" w:lastColumn="1" w:noHBand="1" w:noVBand="1"/>
        <w:tblCaption w:val="Table 22 - The impact of tax reform on the general rate distribution (net of rebate) by wealth quintile, average 2012 - 2018"/>
      </w:tblPr>
      <w:tblGrid>
        <w:gridCol w:w="2733"/>
        <w:gridCol w:w="2597"/>
        <w:gridCol w:w="2461"/>
        <w:gridCol w:w="1302"/>
      </w:tblGrid>
      <w:tr w:rsidR="00B44672" w14:paraId="03365FA2" w14:textId="77777777" w:rsidTr="00A567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3" w:type="pct"/>
            <w:tcBorders>
              <w:bottom w:val="single" w:sz="0" w:space="0" w:color="auto"/>
            </w:tcBorders>
            <w:vAlign w:val="bottom"/>
          </w:tcPr>
          <w:p w14:paraId="5694138E" w14:textId="77777777" w:rsidR="00B44672" w:rsidRDefault="00B44672" w:rsidP="000511CA"/>
        </w:tc>
        <w:tc>
          <w:tcPr>
            <w:tcW w:w="1428" w:type="pct"/>
            <w:tcBorders>
              <w:bottom w:val="single" w:sz="0" w:space="0" w:color="auto"/>
            </w:tcBorders>
            <w:vAlign w:val="bottom"/>
          </w:tcPr>
          <w:p w14:paraId="09BF20C8"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w:t>
            </w:r>
          </w:p>
        </w:tc>
        <w:tc>
          <w:tcPr>
            <w:tcW w:w="1353" w:type="pct"/>
            <w:tcBorders>
              <w:bottom w:val="single" w:sz="0" w:space="0" w:color="auto"/>
            </w:tcBorders>
            <w:vAlign w:val="bottom"/>
          </w:tcPr>
          <w:p w14:paraId="0459453E"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w:t>
            </w:r>
          </w:p>
        </w:tc>
        <w:tc>
          <w:tcPr>
            <w:cnfStyle w:val="000100000000" w:firstRow="0" w:lastRow="0" w:firstColumn="0" w:lastColumn="1" w:oddVBand="0" w:evenVBand="0" w:oddHBand="0" w:evenHBand="0" w:firstRowFirstColumn="0" w:firstRowLastColumn="0" w:lastRowFirstColumn="0" w:lastRowLastColumn="0"/>
            <w:tcW w:w="716" w:type="pct"/>
            <w:tcBorders>
              <w:bottom w:val="single" w:sz="0" w:space="0" w:color="auto"/>
            </w:tcBorders>
            <w:vAlign w:val="bottom"/>
          </w:tcPr>
          <w:p w14:paraId="6FC211EB" w14:textId="77777777" w:rsidR="00B44672" w:rsidRDefault="00B44672" w:rsidP="000511CA">
            <w:pPr>
              <w:pStyle w:val="Compact"/>
              <w:jc w:val="center"/>
            </w:pPr>
            <w:r>
              <w:t>Diff (% point)</w:t>
            </w:r>
          </w:p>
        </w:tc>
      </w:tr>
      <w:tr w:rsidR="00B44672" w14:paraId="123758D1"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57FF75AF" w14:textId="77777777" w:rsidR="00B44672" w:rsidRDefault="00B44672" w:rsidP="00CB6E83">
            <w:pPr>
              <w:pStyle w:val="Compact"/>
            </w:pPr>
            <w:r w:rsidRPr="00AF6491">
              <w:rPr>
                <w:b/>
                <w:i/>
                <w:iCs/>
                <w:color w:val="365F91" w:themeColor="accent1" w:themeShade="BF"/>
              </w:rPr>
              <w:t>No price change</w:t>
            </w:r>
          </w:p>
        </w:tc>
        <w:tc>
          <w:tcPr>
            <w:tcW w:w="1428" w:type="pct"/>
          </w:tcPr>
          <w:p w14:paraId="7E529E6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1353" w:type="pct"/>
          </w:tcPr>
          <w:p w14:paraId="4292DDF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16" w:type="pct"/>
          </w:tcPr>
          <w:p w14:paraId="175AD202" w14:textId="77777777" w:rsidR="00B44672" w:rsidRDefault="00B44672" w:rsidP="00CB6E83">
            <w:pPr>
              <w:pStyle w:val="Compact"/>
              <w:jc w:val="center"/>
            </w:pPr>
          </w:p>
        </w:tc>
      </w:tr>
      <w:tr w:rsidR="00B44672" w14:paraId="1E46CE0E"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70570557" w14:textId="77777777" w:rsidR="00B44672" w:rsidRDefault="00B44672" w:rsidP="00CB6E83">
            <w:pPr>
              <w:pStyle w:val="Compact"/>
            </w:pPr>
            <w:r>
              <w:t>Quint 1</w:t>
            </w:r>
          </w:p>
        </w:tc>
        <w:tc>
          <w:tcPr>
            <w:tcW w:w="1428" w:type="pct"/>
          </w:tcPr>
          <w:p w14:paraId="5574DC6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0.23</w:t>
            </w:r>
          </w:p>
        </w:tc>
        <w:tc>
          <w:tcPr>
            <w:tcW w:w="1353" w:type="pct"/>
          </w:tcPr>
          <w:p w14:paraId="7F376627"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0.26</w:t>
            </w:r>
          </w:p>
        </w:tc>
        <w:tc>
          <w:tcPr>
            <w:cnfStyle w:val="000100000000" w:firstRow="0" w:lastRow="0" w:firstColumn="0" w:lastColumn="1" w:oddVBand="0" w:evenVBand="0" w:oddHBand="0" w:evenHBand="0" w:firstRowFirstColumn="0" w:firstRowLastColumn="0" w:lastRowFirstColumn="0" w:lastRowLastColumn="0"/>
            <w:tcW w:w="716" w:type="pct"/>
          </w:tcPr>
          <w:p w14:paraId="0B56DC1C" w14:textId="77777777" w:rsidR="00B44672" w:rsidRDefault="00B44672" w:rsidP="00CB6E83">
            <w:pPr>
              <w:pStyle w:val="Compact"/>
              <w:jc w:val="center"/>
            </w:pPr>
            <w:r>
              <w:t>-0.04</w:t>
            </w:r>
          </w:p>
        </w:tc>
      </w:tr>
      <w:tr w:rsidR="00B44672" w14:paraId="7889682C"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1D5BA530" w14:textId="77777777" w:rsidR="00B44672" w:rsidRDefault="00B44672" w:rsidP="00CB6E83">
            <w:pPr>
              <w:pStyle w:val="Compact"/>
            </w:pPr>
            <w:r>
              <w:t>Quint 2</w:t>
            </w:r>
          </w:p>
        </w:tc>
        <w:tc>
          <w:tcPr>
            <w:tcW w:w="1428" w:type="pct"/>
          </w:tcPr>
          <w:p w14:paraId="5FDCDB7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3.66</w:t>
            </w:r>
          </w:p>
        </w:tc>
        <w:tc>
          <w:tcPr>
            <w:tcW w:w="1353" w:type="pct"/>
          </w:tcPr>
          <w:p w14:paraId="36DBFA1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4.04</w:t>
            </w:r>
          </w:p>
        </w:tc>
        <w:tc>
          <w:tcPr>
            <w:cnfStyle w:val="000100000000" w:firstRow="0" w:lastRow="0" w:firstColumn="0" w:lastColumn="1" w:oddVBand="0" w:evenVBand="0" w:oddHBand="0" w:evenHBand="0" w:firstRowFirstColumn="0" w:firstRowLastColumn="0" w:lastRowFirstColumn="0" w:lastRowLastColumn="0"/>
            <w:tcW w:w="716" w:type="pct"/>
          </w:tcPr>
          <w:p w14:paraId="3016DF83" w14:textId="77777777" w:rsidR="00B44672" w:rsidRDefault="00B44672" w:rsidP="00CB6E83">
            <w:pPr>
              <w:pStyle w:val="Compact"/>
              <w:jc w:val="center"/>
            </w:pPr>
            <w:r>
              <w:t>-0.38</w:t>
            </w:r>
          </w:p>
        </w:tc>
      </w:tr>
      <w:tr w:rsidR="00B44672" w14:paraId="4EEB79D4"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4A6E5A0B" w14:textId="77777777" w:rsidR="00B44672" w:rsidRDefault="00B44672" w:rsidP="00CB6E83">
            <w:pPr>
              <w:pStyle w:val="Compact"/>
            </w:pPr>
            <w:r>
              <w:t>Quint 3</w:t>
            </w:r>
          </w:p>
        </w:tc>
        <w:tc>
          <w:tcPr>
            <w:tcW w:w="1428" w:type="pct"/>
          </w:tcPr>
          <w:p w14:paraId="06812DC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17.25</w:t>
            </w:r>
          </w:p>
        </w:tc>
        <w:tc>
          <w:tcPr>
            <w:tcW w:w="1353" w:type="pct"/>
          </w:tcPr>
          <w:p w14:paraId="24C6776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18.64</w:t>
            </w:r>
          </w:p>
        </w:tc>
        <w:tc>
          <w:tcPr>
            <w:cnfStyle w:val="000100000000" w:firstRow="0" w:lastRow="0" w:firstColumn="0" w:lastColumn="1" w:oddVBand="0" w:evenVBand="0" w:oddHBand="0" w:evenHBand="0" w:firstRowFirstColumn="0" w:firstRowLastColumn="0" w:lastRowFirstColumn="0" w:lastRowLastColumn="0"/>
            <w:tcW w:w="716" w:type="pct"/>
          </w:tcPr>
          <w:p w14:paraId="6CDF55CD" w14:textId="77777777" w:rsidR="00B44672" w:rsidRDefault="00B44672" w:rsidP="00CB6E83">
            <w:pPr>
              <w:pStyle w:val="Compact"/>
              <w:jc w:val="center"/>
            </w:pPr>
            <w:r>
              <w:t>-1.39</w:t>
            </w:r>
          </w:p>
        </w:tc>
      </w:tr>
      <w:tr w:rsidR="00B44672" w14:paraId="2E66E1AB"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3AADAAA2" w14:textId="77777777" w:rsidR="00B44672" w:rsidRDefault="00B44672" w:rsidP="00CB6E83">
            <w:pPr>
              <w:pStyle w:val="Compact"/>
            </w:pPr>
            <w:r>
              <w:t>Quint 4</w:t>
            </w:r>
          </w:p>
        </w:tc>
        <w:tc>
          <w:tcPr>
            <w:tcW w:w="1428" w:type="pct"/>
          </w:tcPr>
          <w:p w14:paraId="3377E2E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24.80</w:t>
            </w:r>
          </w:p>
        </w:tc>
        <w:tc>
          <w:tcPr>
            <w:tcW w:w="1353" w:type="pct"/>
          </w:tcPr>
          <w:p w14:paraId="1949119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26.22</w:t>
            </w:r>
          </w:p>
        </w:tc>
        <w:tc>
          <w:tcPr>
            <w:cnfStyle w:val="000100000000" w:firstRow="0" w:lastRow="0" w:firstColumn="0" w:lastColumn="1" w:oddVBand="0" w:evenVBand="0" w:oddHBand="0" w:evenHBand="0" w:firstRowFirstColumn="0" w:firstRowLastColumn="0" w:lastRowFirstColumn="0" w:lastRowLastColumn="0"/>
            <w:tcW w:w="716" w:type="pct"/>
          </w:tcPr>
          <w:p w14:paraId="23347485" w14:textId="77777777" w:rsidR="00B44672" w:rsidRDefault="00B44672" w:rsidP="00CB6E83">
            <w:pPr>
              <w:pStyle w:val="Compact"/>
              <w:jc w:val="center"/>
            </w:pPr>
            <w:r>
              <w:t>-1.42</w:t>
            </w:r>
          </w:p>
        </w:tc>
      </w:tr>
      <w:tr w:rsidR="00B44672" w14:paraId="7B555F22"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3BEC1E4F" w14:textId="77777777" w:rsidR="00B44672" w:rsidRDefault="00B44672" w:rsidP="00CB6E83">
            <w:pPr>
              <w:pStyle w:val="Compact"/>
            </w:pPr>
            <w:r>
              <w:t>Quint 5</w:t>
            </w:r>
          </w:p>
        </w:tc>
        <w:tc>
          <w:tcPr>
            <w:tcW w:w="1428" w:type="pct"/>
          </w:tcPr>
          <w:p w14:paraId="6C53979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54.06</w:t>
            </w:r>
          </w:p>
        </w:tc>
        <w:tc>
          <w:tcPr>
            <w:tcW w:w="1353" w:type="pct"/>
          </w:tcPr>
          <w:p w14:paraId="5DEB3BF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50.84</w:t>
            </w:r>
          </w:p>
        </w:tc>
        <w:tc>
          <w:tcPr>
            <w:cnfStyle w:val="000100000000" w:firstRow="0" w:lastRow="0" w:firstColumn="0" w:lastColumn="1" w:oddVBand="0" w:evenVBand="0" w:oddHBand="0" w:evenHBand="0" w:firstRowFirstColumn="0" w:firstRowLastColumn="0" w:lastRowFirstColumn="0" w:lastRowLastColumn="0"/>
            <w:tcW w:w="716" w:type="pct"/>
          </w:tcPr>
          <w:p w14:paraId="24696BB2" w14:textId="77777777" w:rsidR="00B44672" w:rsidRDefault="00B44672" w:rsidP="00CB6E83">
            <w:pPr>
              <w:pStyle w:val="Compact"/>
              <w:jc w:val="center"/>
            </w:pPr>
            <w:r>
              <w:t>3.23</w:t>
            </w:r>
          </w:p>
        </w:tc>
      </w:tr>
      <w:tr w:rsidR="00B44672" w14:paraId="79FBC295"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152F8288"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1428" w:type="pct"/>
          </w:tcPr>
          <w:p w14:paraId="5AAF538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1353" w:type="pct"/>
          </w:tcPr>
          <w:p w14:paraId="13243DC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16" w:type="pct"/>
          </w:tcPr>
          <w:p w14:paraId="7061FB8A" w14:textId="77777777" w:rsidR="00B44672" w:rsidRDefault="00B44672" w:rsidP="00A567C4">
            <w:pPr>
              <w:pStyle w:val="Compact"/>
              <w:jc w:val="center"/>
            </w:pPr>
          </w:p>
        </w:tc>
      </w:tr>
      <w:tr w:rsidR="00B44672" w14:paraId="2279B6F7"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4A64CC3C" w14:textId="77777777" w:rsidR="00B44672" w:rsidRDefault="00B44672" w:rsidP="00A567C4">
            <w:pPr>
              <w:pStyle w:val="Compact"/>
            </w:pPr>
            <w:r>
              <w:t>Quint 1</w:t>
            </w:r>
          </w:p>
        </w:tc>
        <w:tc>
          <w:tcPr>
            <w:tcW w:w="1428" w:type="pct"/>
          </w:tcPr>
          <w:p w14:paraId="17FBE84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0.23</w:t>
            </w:r>
          </w:p>
        </w:tc>
        <w:tc>
          <w:tcPr>
            <w:tcW w:w="1353" w:type="pct"/>
          </w:tcPr>
          <w:p w14:paraId="3609998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0.26</w:t>
            </w:r>
          </w:p>
        </w:tc>
        <w:tc>
          <w:tcPr>
            <w:cnfStyle w:val="000100000000" w:firstRow="0" w:lastRow="0" w:firstColumn="0" w:lastColumn="1" w:oddVBand="0" w:evenVBand="0" w:oddHBand="0" w:evenHBand="0" w:firstRowFirstColumn="0" w:firstRowLastColumn="0" w:lastRowFirstColumn="0" w:lastRowLastColumn="0"/>
            <w:tcW w:w="716" w:type="pct"/>
          </w:tcPr>
          <w:p w14:paraId="29544F7A" w14:textId="77777777" w:rsidR="00B44672" w:rsidRDefault="00B44672" w:rsidP="00A567C4">
            <w:pPr>
              <w:pStyle w:val="Compact"/>
              <w:jc w:val="center"/>
            </w:pPr>
            <w:r>
              <w:t>-0.03</w:t>
            </w:r>
          </w:p>
        </w:tc>
      </w:tr>
      <w:tr w:rsidR="00B44672" w14:paraId="129314AB"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326CEBB0" w14:textId="77777777" w:rsidR="00B44672" w:rsidRDefault="00B44672" w:rsidP="00A567C4">
            <w:pPr>
              <w:pStyle w:val="Compact"/>
            </w:pPr>
            <w:r>
              <w:t>Quint 2</w:t>
            </w:r>
          </w:p>
        </w:tc>
        <w:tc>
          <w:tcPr>
            <w:tcW w:w="1428" w:type="pct"/>
          </w:tcPr>
          <w:p w14:paraId="179A7D2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3.66</w:t>
            </w:r>
          </w:p>
        </w:tc>
        <w:tc>
          <w:tcPr>
            <w:tcW w:w="1353" w:type="pct"/>
          </w:tcPr>
          <w:p w14:paraId="1CBF2BB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4.05</w:t>
            </w:r>
          </w:p>
        </w:tc>
        <w:tc>
          <w:tcPr>
            <w:cnfStyle w:val="000100000000" w:firstRow="0" w:lastRow="0" w:firstColumn="0" w:lastColumn="1" w:oddVBand="0" w:evenVBand="0" w:oddHBand="0" w:evenHBand="0" w:firstRowFirstColumn="0" w:firstRowLastColumn="0" w:lastRowFirstColumn="0" w:lastRowLastColumn="0"/>
            <w:tcW w:w="716" w:type="pct"/>
          </w:tcPr>
          <w:p w14:paraId="6CFBCA76" w14:textId="77777777" w:rsidR="00B44672" w:rsidRDefault="00B44672" w:rsidP="00A567C4">
            <w:pPr>
              <w:pStyle w:val="Compact"/>
              <w:jc w:val="center"/>
            </w:pPr>
            <w:r>
              <w:t>-0.39</w:t>
            </w:r>
          </w:p>
        </w:tc>
      </w:tr>
      <w:tr w:rsidR="00B44672" w14:paraId="56155D8C"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2F8CAB14" w14:textId="77777777" w:rsidR="00B44672" w:rsidRDefault="00B44672" w:rsidP="00A567C4">
            <w:pPr>
              <w:pStyle w:val="Compact"/>
            </w:pPr>
            <w:r>
              <w:t>Quint 3</w:t>
            </w:r>
          </w:p>
        </w:tc>
        <w:tc>
          <w:tcPr>
            <w:tcW w:w="1428" w:type="pct"/>
          </w:tcPr>
          <w:p w14:paraId="428BF8A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17.25</w:t>
            </w:r>
          </w:p>
        </w:tc>
        <w:tc>
          <w:tcPr>
            <w:tcW w:w="1353" w:type="pct"/>
          </w:tcPr>
          <w:p w14:paraId="0ECE149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18.63</w:t>
            </w:r>
          </w:p>
        </w:tc>
        <w:tc>
          <w:tcPr>
            <w:cnfStyle w:val="000100000000" w:firstRow="0" w:lastRow="0" w:firstColumn="0" w:lastColumn="1" w:oddVBand="0" w:evenVBand="0" w:oddHBand="0" w:evenHBand="0" w:firstRowFirstColumn="0" w:firstRowLastColumn="0" w:lastRowFirstColumn="0" w:lastRowLastColumn="0"/>
            <w:tcW w:w="716" w:type="pct"/>
          </w:tcPr>
          <w:p w14:paraId="12F82E50" w14:textId="77777777" w:rsidR="00B44672" w:rsidRDefault="00B44672" w:rsidP="00A567C4">
            <w:pPr>
              <w:pStyle w:val="Compact"/>
              <w:jc w:val="center"/>
            </w:pPr>
            <w:r>
              <w:t>-1.39</w:t>
            </w:r>
          </w:p>
        </w:tc>
      </w:tr>
      <w:tr w:rsidR="00B44672" w14:paraId="1255DDFE"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0CB29D54" w14:textId="77777777" w:rsidR="00B44672" w:rsidRDefault="00B44672" w:rsidP="00A567C4">
            <w:pPr>
              <w:pStyle w:val="Compact"/>
            </w:pPr>
            <w:r>
              <w:t>Quint 4</w:t>
            </w:r>
          </w:p>
        </w:tc>
        <w:tc>
          <w:tcPr>
            <w:tcW w:w="1428" w:type="pct"/>
          </w:tcPr>
          <w:p w14:paraId="3B4A4E5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24.80</w:t>
            </w:r>
          </w:p>
        </w:tc>
        <w:tc>
          <w:tcPr>
            <w:tcW w:w="1353" w:type="pct"/>
          </w:tcPr>
          <w:p w14:paraId="2CAC73F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26.22</w:t>
            </w:r>
          </w:p>
        </w:tc>
        <w:tc>
          <w:tcPr>
            <w:cnfStyle w:val="000100000000" w:firstRow="0" w:lastRow="0" w:firstColumn="0" w:lastColumn="1" w:oddVBand="0" w:evenVBand="0" w:oddHBand="0" w:evenHBand="0" w:firstRowFirstColumn="0" w:firstRowLastColumn="0" w:lastRowFirstColumn="0" w:lastRowLastColumn="0"/>
            <w:tcW w:w="716" w:type="pct"/>
          </w:tcPr>
          <w:p w14:paraId="6EE99714" w14:textId="77777777" w:rsidR="00B44672" w:rsidRDefault="00B44672" w:rsidP="00A567C4">
            <w:pPr>
              <w:pStyle w:val="Compact"/>
              <w:jc w:val="center"/>
            </w:pPr>
            <w:r>
              <w:t>-1.42</w:t>
            </w:r>
          </w:p>
        </w:tc>
      </w:tr>
      <w:tr w:rsidR="00B44672" w14:paraId="3451C5D0"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03321957" w14:textId="77777777" w:rsidR="00B44672" w:rsidRDefault="00B44672" w:rsidP="00A567C4">
            <w:pPr>
              <w:pStyle w:val="Compact"/>
            </w:pPr>
            <w:r>
              <w:t>Quint 5</w:t>
            </w:r>
          </w:p>
        </w:tc>
        <w:tc>
          <w:tcPr>
            <w:tcW w:w="1428" w:type="pct"/>
          </w:tcPr>
          <w:p w14:paraId="3402DDB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54.06</w:t>
            </w:r>
          </w:p>
        </w:tc>
        <w:tc>
          <w:tcPr>
            <w:tcW w:w="1353" w:type="pct"/>
          </w:tcPr>
          <w:p w14:paraId="6CFFCD4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50.83</w:t>
            </w:r>
          </w:p>
        </w:tc>
        <w:tc>
          <w:tcPr>
            <w:cnfStyle w:val="000100000000" w:firstRow="0" w:lastRow="0" w:firstColumn="0" w:lastColumn="1" w:oddVBand="0" w:evenVBand="0" w:oddHBand="0" w:evenHBand="0" w:firstRowFirstColumn="0" w:firstRowLastColumn="0" w:lastRowFirstColumn="0" w:lastRowLastColumn="0"/>
            <w:tcW w:w="716" w:type="pct"/>
          </w:tcPr>
          <w:p w14:paraId="2C72346B" w14:textId="77777777" w:rsidR="00B44672" w:rsidRDefault="00B44672" w:rsidP="00A567C4">
            <w:pPr>
              <w:pStyle w:val="Compact"/>
              <w:jc w:val="center"/>
            </w:pPr>
            <w:r>
              <w:t>3.23</w:t>
            </w:r>
          </w:p>
        </w:tc>
      </w:tr>
      <w:tr w:rsidR="00B44672" w14:paraId="3BE7709F"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401E8757" w14:textId="77777777" w:rsidR="00B44672" w:rsidRDefault="00B44672" w:rsidP="00302865">
            <w:pPr>
              <w:pStyle w:val="Compact"/>
            </w:pPr>
            <w:r w:rsidRPr="00113FC1">
              <w:rPr>
                <w:b/>
                <w:i/>
                <w:iCs/>
                <w:color w:val="365F91" w:themeColor="accent1" w:themeShade="BF"/>
              </w:rPr>
              <w:t>1.24 – 2.19% price change</w:t>
            </w:r>
          </w:p>
        </w:tc>
        <w:tc>
          <w:tcPr>
            <w:tcW w:w="1428" w:type="pct"/>
          </w:tcPr>
          <w:p w14:paraId="6E3AF91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1353" w:type="pct"/>
          </w:tcPr>
          <w:p w14:paraId="67728AB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16" w:type="pct"/>
          </w:tcPr>
          <w:p w14:paraId="3040AADB" w14:textId="77777777" w:rsidR="00B44672" w:rsidRDefault="00B44672" w:rsidP="00302865">
            <w:pPr>
              <w:pStyle w:val="Compact"/>
              <w:jc w:val="center"/>
            </w:pPr>
          </w:p>
        </w:tc>
      </w:tr>
      <w:tr w:rsidR="00B44672" w14:paraId="3174616A"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38D84E2B" w14:textId="77777777" w:rsidR="00B44672" w:rsidRDefault="00B44672" w:rsidP="00302865">
            <w:pPr>
              <w:pStyle w:val="Compact"/>
            </w:pPr>
            <w:r>
              <w:t>Quint 1</w:t>
            </w:r>
          </w:p>
        </w:tc>
        <w:tc>
          <w:tcPr>
            <w:tcW w:w="1428" w:type="pct"/>
          </w:tcPr>
          <w:p w14:paraId="5D3B894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0.23</w:t>
            </w:r>
          </w:p>
        </w:tc>
        <w:tc>
          <w:tcPr>
            <w:tcW w:w="1353" w:type="pct"/>
          </w:tcPr>
          <w:p w14:paraId="500D875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0.27</w:t>
            </w:r>
          </w:p>
        </w:tc>
        <w:tc>
          <w:tcPr>
            <w:cnfStyle w:val="000100000000" w:firstRow="0" w:lastRow="0" w:firstColumn="0" w:lastColumn="1" w:oddVBand="0" w:evenVBand="0" w:oddHBand="0" w:evenHBand="0" w:firstRowFirstColumn="0" w:firstRowLastColumn="0" w:lastRowFirstColumn="0" w:lastRowLastColumn="0"/>
            <w:tcW w:w="716" w:type="pct"/>
          </w:tcPr>
          <w:p w14:paraId="320CD5D7" w14:textId="77777777" w:rsidR="00B44672" w:rsidRDefault="00B44672" w:rsidP="00302865">
            <w:pPr>
              <w:pStyle w:val="Compact"/>
              <w:jc w:val="center"/>
            </w:pPr>
            <w:r>
              <w:t>-0.04</w:t>
            </w:r>
          </w:p>
        </w:tc>
      </w:tr>
      <w:tr w:rsidR="00B44672" w14:paraId="0F96EEF1"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58C9DDD9" w14:textId="77777777" w:rsidR="00B44672" w:rsidRDefault="00B44672" w:rsidP="00302865">
            <w:pPr>
              <w:pStyle w:val="Compact"/>
            </w:pPr>
            <w:r>
              <w:t>Quint 2</w:t>
            </w:r>
          </w:p>
        </w:tc>
        <w:tc>
          <w:tcPr>
            <w:tcW w:w="1428" w:type="pct"/>
          </w:tcPr>
          <w:p w14:paraId="5350AC7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3.66</w:t>
            </w:r>
          </w:p>
        </w:tc>
        <w:tc>
          <w:tcPr>
            <w:tcW w:w="1353" w:type="pct"/>
          </w:tcPr>
          <w:p w14:paraId="58F53AE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4.07</w:t>
            </w:r>
          </w:p>
        </w:tc>
        <w:tc>
          <w:tcPr>
            <w:cnfStyle w:val="000100000000" w:firstRow="0" w:lastRow="0" w:firstColumn="0" w:lastColumn="1" w:oddVBand="0" w:evenVBand="0" w:oddHBand="0" w:evenHBand="0" w:firstRowFirstColumn="0" w:firstRowLastColumn="0" w:lastRowFirstColumn="0" w:lastRowLastColumn="0"/>
            <w:tcW w:w="716" w:type="pct"/>
          </w:tcPr>
          <w:p w14:paraId="52E0A7EC" w14:textId="77777777" w:rsidR="00B44672" w:rsidRDefault="00B44672" w:rsidP="00302865">
            <w:pPr>
              <w:pStyle w:val="Compact"/>
              <w:jc w:val="center"/>
            </w:pPr>
            <w:r>
              <w:t>-0.41</w:t>
            </w:r>
          </w:p>
        </w:tc>
      </w:tr>
      <w:tr w:rsidR="00B44672" w14:paraId="1745AA88"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2C593DBD" w14:textId="77777777" w:rsidR="00B44672" w:rsidRDefault="00B44672" w:rsidP="00302865">
            <w:pPr>
              <w:pStyle w:val="Compact"/>
            </w:pPr>
            <w:r>
              <w:t>Quint 3</w:t>
            </w:r>
          </w:p>
        </w:tc>
        <w:tc>
          <w:tcPr>
            <w:tcW w:w="1428" w:type="pct"/>
          </w:tcPr>
          <w:p w14:paraId="76A2394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17.25</w:t>
            </w:r>
          </w:p>
        </w:tc>
        <w:tc>
          <w:tcPr>
            <w:tcW w:w="1353" w:type="pct"/>
          </w:tcPr>
          <w:p w14:paraId="487B31E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18.63</w:t>
            </w:r>
          </w:p>
        </w:tc>
        <w:tc>
          <w:tcPr>
            <w:cnfStyle w:val="000100000000" w:firstRow="0" w:lastRow="0" w:firstColumn="0" w:lastColumn="1" w:oddVBand="0" w:evenVBand="0" w:oddHBand="0" w:evenHBand="0" w:firstRowFirstColumn="0" w:firstRowLastColumn="0" w:lastRowFirstColumn="0" w:lastRowLastColumn="0"/>
            <w:tcW w:w="716" w:type="pct"/>
          </w:tcPr>
          <w:p w14:paraId="39373DAB" w14:textId="77777777" w:rsidR="00B44672" w:rsidRDefault="00B44672" w:rsidP="00302865">
            <w:pPr>
              <w:pStyle w:val="Compact"/>
              <w:jc w:val="center"/>
            </w:pPr>
            <w:r>
              <w:t>-1.38</w:t>
            </w:r>
          </w:p>
        </w:tc>
      </w:tr>
      <w:tr w:rsidR="00B44672" w14:paraId="560CE04C"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503" w:type="pct"/>
          </w:tcPr>
          <w:p w14:paraId="66ABDBFA" w14:textId="77777777" w:rsidR="00B44672" w:rsidRDefault="00B44672" w:rsidP="00302865">
            <w:pPr>
              <w:pStyle w:val="Compact"/>
            </w:pPr>
            <w:r>
              <w:t>Quint 4</w:t>
            </w:r>
          </w:p>
        </w:tc>
        <w:tc>
          <w:tcPr>
            <w:tcW w:w="1428" w:type="pct"/>
          </w:tcPr>
          <w:p w14:paraId="6A22E4F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24.80</w:t>
            </w:r>
          </w:p>
        </w:tc>
        <w:tc>
          <w:tcPr>
            <w:tcW w:w="1353" w:type="pct"/>
          </w:tcPr>
          <w:p w14:paraId="57B73EE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26.22</w:t>
            </w:r>
          </w:p>
        </w:tc>
        <w:tc>
          <w:tcPr>
            <w:cnfStyle w:val="000100000000" w:firstRow="0" w:lastRow="0" w:firstColumn="0" w:lastColumn="1" w:oddVBand="0" w:evenVBand="0" w:oddHBand="0" w:evenHBand="0" w:firstRowFirstColumn="0" w:firstRowLastColumn="0" w:lastRowFirstColumn="0" w:lastRowLastColumn="0"/>
            <w:tcW w:w="716" w:type="pct"/>
          </w:tcPr>
          <w:p w14:paraId="2BF44BCE" w14:textId="77777777" w:rsidR="00B44672" w:rsidRDefault="00B44672" w:rsidP="00302865">
            <w:pPr>
              <w:pStyle w:val="Compact"/>
              <w:jc w:val="center"/>
            </w:pPr>
            <w:r>
              <w:t>-1.42</w:t>
            </w:r>
          </w:p>
        </w:tc>
      </w:tr>
      <w:tr w:rsidR="00B44672" w14:paraId="1534C15C" w14:textId="77777777" w:rsidTr="00A567C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3" w:type="pct"/>
          </w:tcPr>
          <w:p w14:paraId="4705A1DE" w14:textId="77777777" w:rsidR="00B44672" w:rsidRDefault="00B44672" w:rsidP="00302865">
            <w:pPr>
              <w:pStyle w:val="Compact"/>
            </w:pPr>
            <w:r>
              <w:t>Quint 5</w:t>
            </w:r>
          </w:p>
        </w:tc>
        <w:tc>
          <w:tcPr>
            <w:tcW w:w="1428" w:type="pct"/>
          </w:tcPr>
          <w:p w14:paraId="3E1FAED2"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54.06</w:t>
            </w:r>
          </w:p>
        </w:tc>
        <w:tc>
          <w:tcPr>
            <w:tcW w:w="1353" w:type="pct"/>
          </w:tcPr>
          <w:p w14:paraId="60827AB7"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50.81</w:t>
            </w:r>
          </w:p>
        </w:tc>
        <w:tc>
          <w:tcPr>
            <w:cnfStyle w:val="000100000000" w:firstRow="0" w:lastRow="0" w:firstColumn="0" w:lastColumn="1" w:oddVBand="0" w:evenVBand="0" w:oddHBand="0" w:evenHBand="0" w:firstRowFirstColumn="0" w:firstRowLastColumn="0" w:lastRowFirstColumn="0" w:lastRowLastColumn="0"/>
            <w:tcW w:w="716" w:type="pct"/>
          </w:tcPr>
          <w:p w14:paraId="08AAA2D0" w14:textId="77777777" w:rsidR="00B44672" w:rsidRDefault="00B44672" w:rsidP="00302865">
            <w:pPr>
              <w:pStyle w:val="Compact"/>
              <w:jc w:val="center"/>
            </w:pPr>
            <w:r>
              <w:t>3.25</w:t>
            </w:r>
          </w:p>
        </w:tc>
      </w:tr>
    </w:tbl>
    <w:p w14:paraId="23EA97F4" w14:textId="77777777" w:rsidR="00B44672" w:rsidRDefault="00B44672" w:rsidP="001066CD">
      <w:pPr>
        <w:pStyle w:val="BlockText"/>
      </w:pPr>
      <w:r>
        <w:rPr>
          <w:i/>
        </w:rPr>
        <w:t>Source:</w:t>
      </w:r>
      <w:r>
        <w:t xml:space="preserve"> Calculations from NATSEM microsimulation model.</w:t>
      </w:r>
      <w:r>
        <w:br/>
      </w:r>
      <w:r>
        <w:rPr>
          <w:i/>
        </w:rPr>
        <w:t>Note:</w:t>
      </w:r>
      <w:r>
        <w:t xml:space="preserve"> </w:t>
      </w:r>
      <w:bookmarkStart w:id="130" w:name="_Hlk39237086"/>
      <w:r>
        <w:t>(</w:t>
      </w:r>
      <w:proofErr w:type="spellStart"/>
      <w:r>
        <w:t>i</w:t>
      </w:r>
      <w:proofErr w:type="spellEnd"/>
      <w:r>
        <w:t>) The % is the percent of total general rates paid by all the income units who paid rates in each income quintile. It will sum to 100 across all income quintiles; (ii) Diff means the difference between the new and old tax policies</w:t>
      </w:r>
      <w:bookmarkEnd w:id="130"/>
      <w:r>
        <w:t xml:space="preserve">. </w:t>
      </w:r>
    </w:p>
    <w:p w14:paraId="79D42196" w14:textId="77777777" w:rsidR="00B44672" w:rsidRDefault="00B44672">
      <w:pPr>
        <w:jc w:val="left"/>
        <w:rPr>
          <w:b/>
          <w:i/>
          <w:color w:val="365F91" w:themeColor="accent1" w:themeShade="BF"/>
        </w:rPr>
      </w:pPr>
      <w:r>
        <w:br w:type="page"/>
      </w:r>
    </w:p>
    <w:p w14:paraId="5A196F4D" w14:textId="77777777" w:rsidR="00B44672" w:rsidRDefault="00B44672" w:rsidP="00C83581">
      <w:pPr>
        <w:pStyle w:val="TableCaption"/>
      </w:pPr>
      <w:r>
        <w:lastRenderedPageBreak/>
        <w:t>Table 23 - The impact of tax reform on rate paid by wealth quintile, average 2012 – 2018</w:t>
      </w:r>
    </w:p>
    <w:tbl>
      <w:tblPr>
        <w:tblStyle w:val="Table"/>
        <w:tblW w:w="5834" w:type="pct"/>
        <w:jc w:val="center"/>
        <w:tblCellMar>
          <w:left w:w="0" w:type="dxa"/>
          <w:right w:w="0" w:type="dxa"/>
        </w:tblCellMar>
        <w:tblLook w:val="07E0" w:firstRow="1" w:lastRow="1" w:firstColumn="1" w:lastColumn="1" w:noHBand="1" w:noVBand="1"/>
        <w:tblCaption w:val="Table 23 - The impact of tax reform on rate paid by wealth quintile, average 2012 – 2018"/>
      </w:tblPr>
      <w:tblGrid>
        <w:gridCol w:w="2736"/>
        <w:gridCol w:w="961"/>
        <w:gridCol w:w="821"/>
        <w:gridCol w:w="817"/>
        <w:gridCol w:w="946"/>
        <w:gridCol w:w="923"/>
        <w:gridCol w:w="573"/>
        <w:gridCol w:w="973"/>
        <w:gridCol w:w="956"/>
        <w:gridCol w:w="826"/>
      </w:tblGrid>
      <w:tr w:rsidR="00B44672" w14:paraId="25546252" w14:textId="77777777" w:rsidTr="00A567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9" w:type="pct"/>
            <w:tcBorders>
              <w:bottom w:val="single" w:sz="0" w:space="0" w:color="auto"/>
            </w:tcBorders>
            <w:vAlign w:val="bottom"/>
          </w:tcPr>
          <w:p w14:paraId="1CCFC7E6" w14:textId="77777777" w:rsidR="00B44672" w:rsidRDefault="00B44672" w:rsidP="000511CA"/>
        </w:tc>
        <w:tc>
          <w:tcPr>
            <w:tcW w:w="456" w:type="pct"/>
            <w:tcBorders>
              <w:bottom w:val="single" w:sz="0" w:space="0" w:color="auto"/>
            </w:tcBorders>
            <w:vAlign w:val="bottom"/>
          </w:tcPr>
          <w:p w14:paraId="6A347DBF"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affected</w:t>
            </w:r>
          </w:p>
        </w:tc>
        <w:tc>
          <w:tcPr>
            <w:tcW w:w="390" w:type="pct"/>
            <w:tcBorders>
              <w:bottom w:val="single" w:sz="0" w:space="0" w:color="auto"/>
            </w:tcBorders>
            <w:vAlign w:val="bottom"/>
          </w:tcPr>
          <w:p w14:paraId="7AC8F54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affected</w:t>
            </w:r>
          </w:p>
        </w:tc>
        <w:tc>
          <w:tcPr>
            <w:tcW w:w="388" w:type="pct"/>
            <w:tcBorders>
              <w:bottom w:val="single" w:sz="0" w:space="0" w:color="auto"/>
            </w:tcBorders>
            <w:vAlign w:val="bottom"/>
          </w:tcPr>
          <w:p w14:paraId="0A75BBE6"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 affected</w:t>
            </w:r>
          </w:p>
        </w:tc>
        <w:tc>
          <w:tcPr>
            <w:tcW w:w="449" w:type="pct"/>
            <w:tcBorders>
              <w:bottom w:val="single" w:sz="0" w:space="0" w:color="auto"/>
            </w:tcBorders>
            <w:vAlign w:val="bottom"/>
          </w:tcPr>
          <w:p w14:paraId="61B60EA4"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rate</w:t>
            </w:r>
          </w:p>
          <w:p w14:paraId="205C8A3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38" w:type="pct"/>
            <w:tcBorders>
              <w:bottom w:val="single" w:sz="0" w:space="0" w:color="auto"/>
            </w:tcBorders>
            <w:vAlign w:val="bottom"/>
          </w:tcPr>
          <w:p w14:paraId="193005C7"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rate</w:t>
            </w:r>
          </w:p>
          <w:p w14:paraId="625A5EEF"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272" w:type="pct"/>
            <w:tcBorders>
              <w:bottom w:val="single" w:sz="0" w:space="0" w:color="auto"/>
            </w:tcBorders>
            <w:vAlign w:val="bottom"/>
          </w:tcPr>
          <w:p w14:paraId="3FF8E724"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rate</w:t>
            </w:r>
          </w:p>
          <w:p w14:paraId="4AC834A2"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62" w:type="pct"/>
            <w:tcBorders>
              <w:bottom w:val="single" w:sz="0" w:space="0" w:color="auto"/>
            </w:tcBorders>
            <w:vAlign w:val="bottom"/>
          </w:tcPr>
          <w:p w14:paraId="7D97FB8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54" w:type="pct"/>
            <w:tcBorders>
              <w:bottom w:val="single" w:sz="0" w:space="0" w:color="auto"/>
            </w:tcBorders>
            <w:vAlign w:val="bottom"/>
          </w:tcPr>
          <w:p w14:paraId="4A9A1BC0"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392" w:type="pct"/>
            <w:tcBorders>
              <w:bottom w:val="single" w:sz="0" w:space="0" w:color="auto"/>
            </w:tcBorders>
            <w:vAlign w:val="bottom"/>
          </w:tcPr>
          <w:p w14:paraId="15277230" w14:textId="77777777" w:rsidR="00B44672" w:rsidRDefault="00B44672" w:rsidP="000511CA">
            <w:pPr>
              <w:pStyle w:val="Compact"/>
              <w:jc w:val="center"/>
            </w:pPr>
            <w:r>
              <w:t>Diff - % point change in income</w:t>
            </w:r>
          </w:p>
        </w:tc>
      </w:tr>
      <w:tr w:rsidR="00B44672" w14:paraId="38DB4153"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314CB72F" w14:textId="77777777" w:rsidR="00B44672" w:rsidRDefault="00B44672" w:rsidP="00CB6E83">
            <w:pPr>
              <w:pStyle w:val="Compact"/>
            </w:pPr>
            <w:r w:rsidRPr="00AF6491">
              <w:rPr>
                <w:b/>
                <w:i/>
                <w:iCs/>
                <w:color w:val="365F91" w:themeColor="accent1" w:themeShade="BF"/>
              </w:rPr>
              <w:t>No price change</w:t>
            </w:r>
          </w:p>
        </w:tc>
        <w:tc>
          <w:tcPr>
            <w:tcW w:w="456" w:type="pct"/>
          </w:tcPr>
          <w:p w14:paraId="671C664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390" w:type="pct"/>
          </w:tcPr>
          <w:p w14:paraId="478CBAB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388" w:type="pct"/>
          </w:tcPr>
          <w:p w14:paraId="7CE2C64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49" w:type="pct"/>
          </w:tcPr>
          <w:p w14:paraId="22DE8C68"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38" w:type="pct"/>
          </w:tcPr>
          <w:p w14:paraId="4EBD452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272" w:type="pct"/>
          </w:tcPr>
          <w:p w14:paraId="4E13AF8E"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62" w:type="pct"/>
          </w:tcPr>
          <w:p w14:paraId="6442BD1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6F5DFC4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92" w:type="pct"/>
          </w:tcPr>
          <w:p w14:paraId="03A3AAC7" w14:textId="77777777" w:rsidR="00B44672" w:rsidRDefault="00B44672" w:rsidP="00CB6E83">
            <w:pPr>
              <w:pStyle w:val="Compact"/>
              <w:jc w:val="center"/>
            </w:pPr>
          </w:p>
        </w:tc>
      </w:tr>
      <w:tr w:rsidR="00B44672" w14:paraId="7B8EB089"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4E65ED5C" w14:textId="77777777" w:rsidR="00B44672" w:rsidRDefault="00B44672" w:rsidP="00CB6E83">
            <w:pPr>
              <w:pStyle w:val="Compact"/>
            </w:pPr>
            <w:r>
              <w:t>Quint 1</w:t>
            </w:r>
          </w:p>
        </w:tc>
        <w:tc>
          <w:tcPr>
            <w:tcW w:w="456" w:type="pct"/>
          </w:tcPr>
          <w:p w14:paraId="374FC4F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390" w:type="pct"/>
          </w:tcPr>
          <w:p w14:paraId="0A43990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388" w:type="pct"/>
          </w:tcPr>
          <w:p w14:paraId="5E51CFC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039D986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1,100</w:t>
            </w:r>
          </w:p>
        </w:tc>
        <w:tc>
          <w:tcPr>
            <w:tcW w:w="438" w:type="pct"/>
          </w:tcPr>
          <w:p w14:paraId="4FED8D3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958</w:t>
            </w:r>
          </w:p>
        </w:tc>
        <w:tc>
          <w:tcPr>
            <w:tcW w:w="272" w:type="pct"/>
          </w:tcPr>
          <w:p w14:paraId="674EC42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142</w:t>
            </w:r>
          </w:p>
        </w:tc>
        <w:tc>
          <w:tcPr>
            <w:tcW w:w="462" w:type="pct"/>
          </w:tcPr>
          <w:p w14:paraId="53C8ECB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1.43</w:t>
            </w:r>
          </w:p>
        </w:tc>
        <w:tc>
          <w:tcPr>
            <w:tcW w:w="454" w:type="pct"/>
          </w:tcPr>
          <w:p w14:paraId="5E2DA6F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1.25</w:t>
            </w:r>
          </w:p>
        </w:tc>
        <w:tc>
          <w:tcPr>
            <w:cnfStyle w:val="000100000000" w:firstRow="0" w:lastRow="0" w:firstColumn="0" w:lastColumn="1" w:oddVBand="0" w:evenVBand="0" w:oddHBand="0" w:evenHBand="0" w:firstRowFirstColumn="0" w:firstRowLastColumn="0" w:lastRowFirstColumn="0" w:lastRowLastColumn="0"/>
            <w:tcW w:w="392" w:type="pct"/>
          </w:tcPr>
          <w:p w14:paraId="186BD31D" w14:textId="77777777" w:rsidR="00B44672" w:rsidRDefault="00B44672" w:rsidP="00CB6E83">
            <w:pPr>
              <w:pStyle w:val="Compact"/>
              <w:jc w:val="center"/>
            </w:pPr>
            <w:r>
              <w:t>0.18</w:t>
            </w:r>
          </w:p>
        </w:tc>
      </w:tr>
      <w:tr w:rsidR="00B44672" w14:paraId="57AD6CD0"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2C177008" w14:textId="77777777" w:rsidR="00B44672" w:rsidRDefault="00B44672" w:rsidP="00CB6E83">
            <w:pPr>
              <w:pStyle w:val="Compact"/>
            </w:pPr>
            <w:r>
              <w:t>Quint 2</w:t>
            </w:r>
          </w:p>
        </w:tc>
        <w:tc>
          <w:tcPr>
            <w:tcW w:w="456" w:type="pct"/>
          </w:tcPr>
          <w:p w14:paraId="1A31AAE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7,822</w:t>
            </w:r>
          </w:p>
        </w:tc>
        <w:tc>
          <w:tcPr>
            <w:tcW w:w="390" w:type="pct"/>
          </w:tcPr>
          <w:p w14:paraId="7E769BD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7,648</w:t>
            </w:r>
          </w:p>
        </w:tc>
        <w:tc>
          <w:tcPr>
            <w:tcW w:w="388" w:type="pct"/>
          </w:tcPr>
          <w:p w14:paraId="27454FD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174</w:t>
            </w:r>
          </w:p>
        </w:tc>
        <w:tc>
          <w:tcPr>
            <w:tcW w:w="449" w:type="pct"/>
          </w:tcPr>
          <w:p w14:paraId="2915932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1,198</w:t>
            </w:r>
          </w:p>
        </w:tc>
        <w:tc>
          <w:tcPr>
            <w:tcW w:w="438" w:type="pct"/>
          </w:tcPr>
          <w:p w14:paraId="3BBAE5A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1,018</w:t>
            </w:r>
          </w:p>
        </w:tc>
        <w:tc>
          <w:tcPr>
            <w:tcW w:w="272" w:type="pct"/>
          </w:tcPr>
          <w:p w14:paraId="0C0A2BFD"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180</w:t>
            </w:r>
          </w:p>
        </w:tc>
        <w:tc>
          <w:tcPr>
            <w:tcW w:w="462" w:type="pct"/>
          </w:tcPr>
          <w:p w14:paraId="7D46525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1.49</w:t>
            </w:r>
          </w:p>
        </w:tc>
        <w:tc>
          <w:tcPr>
            <w:tcW w:w="454" w:type="pct"/>
          </w:tcPr>
          <w:p w14:paraId="0DD1ADB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1.26</w:t>
            </w:r>
          </w:p>
        </w:tc>
        <w:tc>
          <w:tcPr>
            <w:cnfStyle w:val="000100000000" w:firstRow="0" w:lastRow="0" w:firstColumn="0" w:lastColumn="1" w:oddVBand="0" w:evenVBand="0" w:oddHBand="0" w:evenHBand="0" w:firstRowFirstColumn="0" w:firstRowLastColumn="0" w:lastRowFirstColumn="0" w:lastRowLastColumn="0"/>
            <w:tcW w:w="392" w:type="pct"/>
          </w:tcPr>
          <w:p w14:paraId="40033FA5" w14:textId="77777777" w:rsidR="00B44672" w:rsidRDefault="00B44672" w:rsidP="00CB6E83">
            <w:pPr>
              <w:pStyle w:val="Compact"/>
              <w:jc w:val="center"/>
            </w:pPr>
            <w:r>
              <w:t>0.22</w:t>
            </w:r>
          </w:p>
        </w:tc>
      </w:tr>
      <w:tr w:rsidR="00B44672" w14:paraId="0A66FC49"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33345988" w14:textId="77777777" w:rsidR="00B44672" w:rsidRDefault="00B44672" w:rsidP="00CB6E83">
            <w:pPr>
              <w:pStyle w:val="Compact"/>
            </w:pPr>
            <w:r>
              <w:t>Quint 3</w:t>
            </w:r>
          </w:p>
        </w:tc>
        <w:tc>
          <w:tcPr>
            <w:tcW w:w="456" w:type="pct"/>
          </w:tcPr>
          <w:p w14:paraId="7A5B7472"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28,107</w:t>
            </w:r>
          </w:p>
        </w:tc>
        <w:tc>
          <w:tcPr>
            <w:tcW w:w="390" w:type="pct"/>
          </w:tcPr>
          <w:p w14:paraId="218F228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28,071</w:t>
            </w:r>
          </w:p>
        </w:tc>
        <w:tc>
          <w:tcPr>
            <w:tcW w:w="388" w:type="pct"/>
          </w:tcPr>
          <w:p w14:paraId="0B2CDBF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49" w:type="pct"/>
          </w:tcPr>
          <w:p w14:paraId="52FFE97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1,556</w:t>
            </w:r>
          </w:p>
        </w:tc>
        <w:tc>
          <w:tcPr>
            <w:tcW w:w="438" w:type="pct"/>
          </w:tcPr>
          <w:p w14:paraId="3EACB720"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1,276</w:t>
            </w:r>
          </w:p>
        </w:tc>
        <w:tc>
          <w:tcPr>
            <w:tcW w:w="272" w:type="pct"/>
          </w:tcPr>
          <w:p w14:paraId="02FA1D3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280</w:t>
            </w:r>
          </w:p>
        </w:tc>
        <w:tc>
          <w:tcPr>
            <w:tcW w:w="462" w:type="pct"/>
          </w:tcPr>
          <w:p w14:paraId="5040AC7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tcW w:w="454" w:type="pct"/>
          </w:tcPr>
          <w:p w14:paraId="5C251C0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1.38</w:t>
            </w:r>
          </w:p>
        </w:tc>
        <w:tc>
          <w:tcPr>
            <w:cnfStyle w:val="000100000000" w:firstRow="0" w:lastRow="0" w:firstColumn="0" w:lastColumn="1" w:oddVBand="0" w:evenVBand="0" w:oddHBand="0" w:evenHBand="0" w:firstRowFirstColumn="0" w:firstRowLastColumn="0" w:lastRowFirstColumn="0" w:lastRowLastColumn="0"/>
            <w:tcW w:w="392" w:type="pct"/>
          </w:tcPr>
          <w:p w14:paraId="16B07436" w14:textId="77777777" w:rsidR="00B44672" w:rsidRDefault="00B44672" w:rsidP="00CB6E83">
            <w:pPr>
              <w:pStyle w:val="Compact"/>
              <w:jc w:val="center"/>
            </w:pPr>
            <w:r>
              <w:t>0.30</w:t>
            </w:r>
          </w:p>
        </w:tc>
      </w:tr>
      <w:tr w:rsidR="00B44672" w14:paraId="62CD6907"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2BE926A1" w14:textId="77777777" w:rsidR="00B44672" w:rsidRDefault="00B44672" w:rsidP="00CB6E83">
            <w:pPr>
              <w:pStyle w:val="Compact"/>
            </w:pPr>
            <w:r>
              <w:t>Quint 4</w:t>
            </w:r>
          </w:p>
        </w:tc>
        <w:tc>
          <w:tcPr>
            <w:tcW w:w="456" w:type="pct"/>
          </w:tcPr>
          <w:p w14:paraId="2A7BCB7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34,163</w:t>
            </w:r>
          </w:p>
        </w:tc>
        <w:tc>
          <w:tcPr>
            <w:tcW w:w="390" w:type="pct"/>
          </w:tcPr>
          <w:p w14:paraId="6A39CAC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34,145</w:t>
            </w:r>
          </w:p>
        </w:tc>
        <w:tc>
          <w:tcPr>
            <w:tcW w:w="388" w:type="pct"/>
          </w:tcPr>
          <w:p w14:paraId="46243A3C"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w:t>
            </w:r>
          </w:p>
        </w:tc>
        <w:tc>
          <w:tcPr>
            <w:tcW w:w="449" w:type="pct"/>
          </w:tcPr>
          <w:p w14:paraId="76DAEDC1"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1,840</w:t>
            </w:r>
          </w:p>
        </w:tc>
        <w:tc>
          <w:tcPr>
            <w:tcW w:w="438" w:type="pct"/>
          </w:tcPr>
          <w:p w14:paraId="47DFFCC6"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1,476</w:t>
            </w:r>
          </w:p>
        </w:tc>
        <w:tc>
          <w:tcPr>
            <w:tcW w:w="272" w:type="pct"/>
          </w:tcPr>
          <w:p w14:paraId="76F114E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364</w:t>
            </w:r>
          </w:p>
        </w:tc>
        <w:tc>
          <w:tcPr>
            <w:tcW w:w="462" w:type="pct"/>
          </w:tcPr>
          <w:p w14:paraId="19BC3ECF"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2.03</w:t>
            </w:r>
          </w:p>
        </w:tc>
        <w:tc>
          <w:tcPr>
            <w:tcW w:w="454" w:type="pct"/>
          </w:tcPr>
          <w:p w14:paraId="65C250F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1.63</w:t>
            </w:r>
          </w:p>
        </w:tc>
        <w:tc>
          <w:tcPr>
            <w:cnfStyle w:val="000100000000" w:firstRow="0" w:lastRow="0" w:firstColumn="0" w:lastColumn="1" w:oddVBand="0" w:evenVBand="0" w:oddHBand="0" w:evenHBand="0" w:firstRowFirstColumn="0" w:firstRowLastColumn="0" w:lastRowFirstColumn="0" w:lastRowLastColumn="0"/>
            <w:tcW w:w="392" w:type="pct"/>
          </w:tcPr>
          <w:p w14:paraId="6AA8A4F6" w14:textId="77777777" w:rsidR="00B44672" w:rsidRDefault="00B44672" w:rsidP="00CB6E83">
            <w:pPr>
              <w:pStyle w:val="Compact"/>
              <w:jc w:val="center"/>
            </w:pPr>
            <w:r>
              <w:t>0.40</w:t>
            </w:r>
          </w:p>
        </w:tc>
      </w:tr>
      <w:tr w:rsidR="00B44672" w14:paraId="10B73A2A"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7D430E73" w14:textId="77777777" w:rsidR="00B44672" w:rsidRDefault="00B44672" w:rsidP="00CB6E83">
            <w:pPr>
              <w:pStyle w:val="Compact"/>
            </w:pPr>
            <w:r>
              <w:t>Quint 5</w:t>
            </w:r>
          </w:p>
        </w:tc>
        <w:tc>
          <w:tcPr>
            <w:tcW w:w="456" w:type="pct"/>
          </w:tcPr>
          <w:p w14:paraId="108E5AF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42,052</w:t>
            </w:r>
          </w:p>
        </w:tc>
        <w:tc>
          <w:tcPr>
            <w:tcW w:w="390" w:type="pct"/>
          </w:tcPr>
          <w:p w14:paraId="4044CC6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42,052</w:t>
            </w:r>
          </w:p>
        </w:tc>
        <w:tc>
          <w:tcPr>
            <w:tcW w:w="388" w:type="pct"/>
          </w:tcPr>
          <w:p w14:paraId="2A62BCB3"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28EDEFBA"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3,256</w:t>
            </w:r>
          </w:p>
        </w:tc>
        <w:tc>
          <w:tcPr>
            <w:tcW w:w="438" w:type="pct"/>
          </w:tcPr>
          <w:p w14:paraId="4B127E19"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2,323</w:t>
            </w:r>
          </w:p>
        </w:tc>
        <w:tc>
          <w:tcPr>
            <w:tcW w:w="272" w:type="pct"/>
          </w:tcPr>
          <w:p w14:paraId="1F7C6285"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933</w:t>
            </w:r>
          </w:p>
        </w:tc>
        <w:tc>
          <w:tcPr>
            <w:tcW w:w="462" w:type="pct"/>
          </w:tcPr>
          <w:p w14:paraId="01DC4F34"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3.18</w:t>
            </w:r>
          </w:p>
        </w:tc>
        <w:tc>
          <w:tcPr>
            <w:tcW w:w="454" w:type="pct"/>
          </w:tcPr>
          <w:p w14:paraId="7BD72AEB" w14:textId="77777777" w:rsidR="00B44672" w:rsidRDefault="00B44672" w:rsidP="00CB6E83">
            <w:pPr>
              <w:pStyle w:val="Compact"/>
              <w:jc w:val="center"/>
              <w:cnfStyle w:val="000000000000" w:firstRow="0" w:lastRow="0" w:firstColumn="0" w:lastColumn="0" w:oddVBand="0" w:evenVBand="0" w:oddHBand="0" w:evenHBand="0" w:firstRowFirstColumn="0" w:firstRowLastColumn="0" w:lastRowFirstColumn="0" w:lastRowLastColumn="0"/>
            </w:pPr>
            <w:r>
              <w:t>2.27</w:t>
            </w:r>
          </w:p>
        </w:tc>
        <w:tc>
          <w:tcPr>
            <w:cnfStyle w:val="000100000000" w:firstRow="0" w:lastRow="0" w:firstColumn="0" w:lastColumn="1" w:oddVBand="0" w:evenVBand="0" w:oddHBand="0" w:evenHBand="0" w:firstRowFirstColumn="0" w:firstRowLastColumn="0" w:lastRowFirstColumn="0" w:lastRowLastColumn="0"/>
            <w:tcW w:w="392" w:type="pct"/>
          </w:tcPr>
          <w:p w14:paraId="08967FF3" w14:textId="77777777" w:rsidR="00B44672" w:rsidRDefault="00B44672" w:rsidP="00CB6E83">
            <w:pPr>
              <w:pStyle w:val="Compact"/>
              <w:jc w:val="center"/>
            </w:pPr>
            <w:r>
              <w:t>0.91</w:t>
            </w:r>
          </w:p>
        </w:tc>
      </w:tr>
      <w:tr w:rsidR="00B44672" w14:paraId="0FC17E54"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603F092A"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456" w:type="pct"/>
          </w:tcPr>
          <w:p w14:paraId="6D4F7B0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90" w:type="pct"/>
          </w:tcPr>
          <w:p w14:paraId="1D2FB58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88" w:type="pct"/>
          </w:tcPr>
          <w:p w14:paraId="4A53CAC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49" w:type="pct"/>
          </w:tcPr>
          <w:p w14:paraId="0B97A3E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38" w:type="pct"/>
          </w:tcPr>
          <w:p w14:paraId="53781D8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272" w:type="pct"/>
          </w:tcPr>
          <w:p w14:paraId="42109B0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2" w:type="pct"/>
          </w:tcPr>
          <w:p w14:paraId="1217579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2488411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92" w:type="pct"/>
          </w:tcPr>
          <w:p w14:paraId="1A357475" w14:textId="77777777" w:rsidR="00B44672" w:rsidRDefault="00B44672" w:rsidP="00A567C4">
            <w:pPr>
              <w:pStyle w:val="Compact"/>
              <w:jc w:val="center"/>
            </w:pPr>
          </w:p>
        </w:tc>
      </w:tr>
      <w:tr w:rsidR="00B44672" w14:paraId="054B0D6B"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0D181D7B" w14:textId="77777777" w:rsidR="00B44672" w:rsidRDefault="00B44672" w:rsidP="00A567C4">
            <w:pPr>
              <w:pStyle w:val="Compact"/>
            </w:pPr>
            <w:r>
              <w:t>Quint 1</w:t>
            </w:r>
          </w:p>
        </w:tc>
        <w:tc>
          <w:tcPr>
            <w:tcW w:w="456" w:type="pct"/>
          </w:tcPr>
          <w:p w14:paraId="712FBDA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390" w:type="pct"/>
          </w:tcPr>
          <w:p w14:paraId="4F8C159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388" w:type="pct"/>
          </w:tcPr>
          <w:p w14:paraId="4C26602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7742DD5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1,100</w:t>
            </w:r>
          </w:p>
        </w:tc>
        <w:tc>
          <w:tcPr>
            <w:tcW w:w="438" w:type="pct"/>
          </w:tcPr>
          <w:p w14:paraId="5B32C03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958</w:t>
            </w:r>
          </w:p>
        </w:tc>
        <w:tc>
          <w:tcPr>
            <w:tcW w:w="272" w:type="pct"/>
          </w:tcPr>
          <w:p w14:paraId="4504642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142</w:t>
            </w:r>
          </w:p>
        </w:tc>
        <w:tc>
          <w:tcPr>
            <w:tcW w:w="462" w:type="pct"/>
          </w:tcPr>
          <w:p w14:paraId="54822CA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1.43</w:t>
            </w:r>
          </w:p>
        </w:tc>
        <w:tc>
          <w:tcPr>
            <w:tcW w:w="454" w:type="pct"/>
          </w:tcPr>
          <w:p w14:paraId="20F7639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1.25</w:t>
            </w:r>
          </w:p>
        </w:tc>
        <w:tc>
          <w:tcPr>
            <w:cnfStyle w:val="000100000000" w:firstRow="0" w:lastRow="0" w:firstColumn="0" w:lastColumn="1" w:oddVBand="0" w:evenVBand="0" w:oddHBand="0" w:evenHBand="0" w:firstRowFirstColumn="0" w:firstRowLastColumn="0" w:lastRowFirstColumn="0" w:lastRowLastColumn="0"/>
            <w:tcW w:w="392" w:type="pct"/>
          </w:tcPr>
          <w:p w14:paraId="4DB3C9A1" w14:textId="77777777" w:rsidR="00B44672" w:rsidRDefault="00B44672" w:rsidP="00A567C4">
            <w:pPr>
              <w:pStyle w:val="Compact"/>
              <w:jc w:val="center"/>
            </w:pPr>
            <w:r>
              <w:t>0.18</w:t>
            </w:r>
          </w:p>
        </w:tc>
      </w:tr>
      <w:tr w:rsidR="00B44672" w14:paraId="683AF3F3"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2B4E72E0" w14:textId="77777777" w:rsidR="00B44672" w:rsidRDefault="00B44672" w:rsidP="00A567C4">
            <w:pPr>
              <w:pStyle w:val="Compact"/>
            </w:pPr>
            <w:r>
              <w:t>Quint 2</w:t>
            </w:r>
          </w:p>
        </w:tc>
        <w:tc>
          <w:tcPr>
            <w:tcW w:w="456" w:type="pct"/>
          </w:tcPr>
          <w:p w14:paraId="7B99CD4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7,822</w:t>
            </w:r>
          </w:p>
        </w:tc>
        <w:tc>
          <w:tcPr>
            <w:tcW w:w="390" w:type="pct"/>
          </w:tcPr>
          <w:p w14:paraId="5664BE5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7,662</w:t>
            </w:r>
          </w:p>
        </w:tc>
        <w:tc>
          <w:tcPr>
            <w:tcW w:w="388" w:type="pct"/>
          </w:tcPr>
          <w:p w14:paraId="71E7B7A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159</w:t>
            </w:r>
          </w:p>
        </w:tc>
        <w:tc>
          <w:tcPr>
            <w:tcW w:w="449" w:type="pct"/>
          </w:tcPr>
          <w:p w14:paraId="617D282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1,198</w:t>
            </w:r>
          </w:p>
        </w:tc>
        <w:tc>
          <w:tcPr>
            <w:tcW w:w="438" w:type="pct"/>
          </w:tcPr>
          <w:p w14:paraId="197B54A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1,018</w:t>
            </w:r>
          </w:p>
        </w:tc>
        <w:tc>
          <w:tcPr>
            <w:tcW w:w="272" w:type="pct"/>
          </w:tcPr>
          <w:p w14:paraId="2B6AC89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180</w:t>
            </w:r>
          </w:p>
        </w:tc>
        <w:tc>
          <w:tcPr>
            <w:tcW w:w="462" w:type="pct"/>
          </w:tcPr>
          <w:p w14:paraId="3A9DCE0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1.49</w:t>
            </w:r>
          </w:p>
        </w:tc>
        <w:tc>
          <w:tcPr>
            <w:tcW w:w="454" w:type="pct"/>
          </w:tcPr>
          <w:p w14:paraId="52F5AA7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1.27</w:t>
            </w:r>
          </w:p>
        </w:tc>
        <w:tc>
          <w:tcPr>
            <w:cnfStyle w:val="000100000000" w:firstRow="0" w:lastRow="0" w:firstColumn="0" w:lastColumn="1" w:oddVBand="0" w:evenVBand="0" w:oddHBand="0" w:evenHBand="0" w:firstRowFirstColumn="0" w:firstRowLastColumn="0" w:lastRowFirstColumn="0" w:lastRowLastColumn="0"/>
            <w:tcW w:w="392" w:type="pct"/>
          </w:tcPr>
          <w:p w14:paraId="3599CC2F" w14:textId="77777777" w:rsidR="00B44672" w:rsidRDefault="00B44672" w:rsidP="00A567C4">
            <w:pPr>
              <w:pStyle w:val="Compact"/>
              <w:jc w:val="center"/>
            </w:pPr>
            <w:r>
              <w:t>0.22</w:t>
            </w:r>
          </w:p>
        </w:tc>
      </w:tr>
      <w:tr w:rsidR="00B44672" w14:paraId="73268F69"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38AD990E" w14:textId="77777777" w:rsidR="00B44672" w:rsidRDefault="00B44672" w:rsidP="00A567C4">
            <w:pPr>
              <w:pStyle w:val="Compact"/>
            </w:pPr>
            <w:r>
              <w:t>Quint 3</w:t>
            </w:r>
          </w:p>
        </w:tc>
        <w:tc>
          <w:tcPr>
            <w:tcW w:w="456" w:type="pct"/>
          </w:tcPr>
          <w:p w14:paraId="76D5778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28,107</w:t>
            </w:r>
          </w:p>
        </w:tc>
        <w:tc>
          <w:tcPr>
            <w:tcW w:w="390" w:type="pct"/>
          </w:tcPr>
          <w:p w14:paraId="7656DD1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28,071</w:t>
            </w:r>
          </w:p>
        </w:tc>
        <w:tc>
          <w:tcPr>
            <w:tcW w:w="388" w:type="pct"/>
          </w:tcPr>
          <w:p w14:paraId="7D6CA8F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49" w:type="pct"/>
          </w:tcPr>
          <w:p w14:paraId="4C9B4EC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1,556</w:t>
            </w:r>
          </w:p>
        </w:tc>
        <w:tc>
          <w:tcPr>
            <w:tcW w:w="438" w:type="pct"/>
          </w:tcPr>
          <w:p w14:paraId="7D29AE3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1,276</w:t>
            </w:r>
          </w:p>
        </w:tc>
        <w:tc>
          <w:tcPr>
            <w:tcW w:w="272" w:type="pct"/>
          </w:tcPr>
          <w:p w14:paraId="430D34D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280</w:t>
            </w:r>
          </w:p>
        </w:tc>
        <w:tc>
          <w:tcPr>
            <w:tcW w:w="462" w:type="pct"/>
          </w:tcPr>
          <w:p w14:paraId="6CB20E2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tcW w:w="454" w:type="pct"/>
          </w:tcPr>
          <w:p w14:paraId="05D6B2E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1.38</w:t>
            </w:r>
          </w:p>
        </w:tc>
        <w:tc>
          <w:tcPr>
            <w:cnfStyle w:val="000100000000" w:firstRow="0" w:lastRow="0" w:firstColumn="0" w:lastColumn="1" w:oddVBand="0" w:evenVBand="0" w:oddHBand="0" w:evenHBand="0" w:firstRowFirstColumn="0" w:firstRowLastColumn="0" w:lastRowFirstColumn="0" w:lastRowLastColumn="0"/>
            <w:tcW w:w="392" w:type="pct"/>
          </w:tcPr>
          <w:p w14:paraId="189A511D" w14:textId="77777777" w:rsidR="00B44672" w:rsidRDefault="00B44672" w:rsidP="00A567C4">
            <w:pPr>
              <w:pStyle w:val="Compact"/>
              <w:jc w:val="center"/>
            </w:pPr>
            <w:r>
              <w:t>0.30</w:t>
            </w:r>
          </w:p>
        </w:tc>
      </w:tr>
      <w:tr w:rsidR="00B44672" w14:paraId="082FE020"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2958B318" w14:textId="77777777" w:rsidR="00B44672" w:rsidRDefault="00B44672" w:rsidP="00A567C4">
            <w:pPr>
              <w:pStyle w:val="Compact"/>
            </w:pPr>
            <w:r>
              <w:t>Quint 4</w:t>
            </w:r>
          </w:p>
        </w:tc>
        <w:tc>
          <w:tcPr>
            <w:tcW w:w="456" w:type="pct"/>
          </w:tcPr>
          <w:p w14:paraId="4ADB749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34,163</w:t>
            </w:r>
          </w:p>
        </w:tc>
        <w:tc>
          <w:tcPr>
            <w:tcW w:w="390" w:type="pct"/>
          </w:tcPr>
          <w:p w14:paraId="60157D2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34,147</w:t>
            </w:r>
          </w:p>
        </w:tc>
        <w:tc>
          <w:tcPr>
            <w:tcW w:w="388" w:type="pct"/>
          </w:tcPr>
          <w:p w14:paraId="336F445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449" w:type="pct"/>
          </w:tcPr>
          <w:p w14:paraId="4E9EA60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1,840</w:t>
            </w:r>
          </w:p>
        </w:tc>
        <w:tc>
          <w:tcPr>
            <w:tcW w:w="438" w:type="pct"/>
          </w:tcPr>
          <w:p w14:paraId="37538F1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1,476</w:t>
            </w:r>
          </w:p>
        </w:tc>
        <w:tc>
          <w:tcPr>
            <w:tcW w:w="272" w:type="pct"/>
          </w:tcPr>
          <w:p w14:paraId="1BA5429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364</w:t>
            </w:r>
          </w:p>
        </w:tc>
        <w:tc>
          <w:tcPr>
            <w:tcW w:w="462" w:type="pct"/>
          </w:tcPr>
          <w:p w14:paraId="2DF78D0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2.03</w:t>
            </w:r>
          </w:p>
        </w:tc>
        <w:tc>
          <w:tcPr>
            <w:tcW w:w="454" w:type="pct"/>
          </w:tcPr>
          <w:p w14:paraId="0CE9B23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1.63</w:t>
            </w:r>
          </w:p>
        </w:tc>
        <w:tc>
          <w:tcPr>
            <w:cnfStyle w:val="000100000000" w:firstRow="0" w:lastRow="0" w:firstColumn="0" w:lastColumn="1" w:oddVBand="0" w:evenVBand="0" w:oddHBand="0" w:evenHBand="0" w:firstRowFirstColumn="0" w:firstRowLastColumn="0" w:lastRowFirstColumn="0" w:lastRowLastColumn="0"/>
            <w:tcW w:w="392" w:type="pct"/>
          </w:tcPr>
          <w:p w14:paraId="7C66A0B3" w14:textId="77777777" w:rsidR="00B44672" w:rsidRDefault="00B44672" w:rsidP="00A567C4">
            <w:pPr>
              <w:pStyle w:val="Compact"/>
              <w:jc w:val="center"/>
            </w:pPr>
            <w:r>
              <w:t>0.40</w:t>
            </w:r>
          </w:p>
        </w:tc>
      </w:tr>
      <w:tr w:rsidR="00B44672" w14:paraId="29A4A689"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2FB5F116" w14:textId="77777777" w:rsidR="00B44672" w:rsidRDefault="00B44672" w:rsidP="00A567C4">
            <w:pPr>
              <w:pStyle w:val="Compact"/>
            </w:pPr>
            <w:r>
              <w:t>Quint 5</w:t>
            </w:r>
          </w:p>
        </w:tc>
        <w:tc>
          <w:tcPr>
            <w:tcW w:w="456" w:type="pct"/>
          </w:tcPr>
          <w:p w14:paraId="71EE9B1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42,052</w:t>
            </w:r>
          </w:p>
        </w:tc>
        <w:tc>
          <w:tcPr>
            <w:tcW w:w="390" w:type="pct"/>
          </w:tcPr>
          <w:p w14:paraId="69C0300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42,052</w:t>
            </w:r>
          </w:p>
        </w:tc>
        <w:tc>
          <w:tcPr>
            <w:tcW w:w="388" w:type="pct"/>
          </w:tcPr>
          <w:p w14:paraId="0D0017D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49" w:type="pct"/>
          </w:tcPr>
          <w:p w14:paraId="579FB15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3,256</w:t>
            </w:r>
          </w:p>
        </w:tc>
        <w:tc>
          <w:tcPr>
            <w:tcW w:w="438" w:type="pct"/>
          </w:tcPr>
          <w:p w14:paraId="2463BB8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2,323</w:t>
            </w:r>
          </w:p>
        </w:tc>
        <w:tc>
          <w:tcPr>
            <w:tcW w:w="272" w:type="pct"/>
          </w:tcPr>
          <w:p w14:paraId="211D670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933</w:t>
            </w:r>
          </w:p>
        </w:tc>
        <w:tc>
          <w:tcPr>
            <w:tcW w:w="462" w:type="pct"/>
          </w:tcPr>
          <w:p w14:paraId="0007757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3.18</w:t>
            </w:r>
          </w:p>
        </w:tc>
        <w:tc>
          <w:tcPr>
            <w:tcW w:w="454" w:type="pct"/>
          </w:tcPr>
          <w:p w14:paraId="3931B62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2.27</w:t>
            </w:r>
          </w:p>
        </w:tc>
        <w:tc>
          <w:tcPr>
            <w:cnfStyle w:val="000100000000" w:firstRow="0" w:lastRow="0" w:firstColumn="0" w:lastColumn="1" w:oddVBand="0" w:evenVBand="0" w:oddHBand="0" w:evenHBand="0" w:firstRowFirstColumn="0" w:firstRowLastColumn="0" w:lastRowFirstColumn="0" w:lastRowLastColumn="0"/>
            <w:tcW w:w="392" w:type="pct"/>
          </w:tcPr>
          <w:p w14:paraId="432626A0" w14:textId="77777777" w:rsidR="00B44672" w:rsidRDefault="00B44672" w:rsidP="00A567C4">
            <w:pPr>
              <w:pStyle w:val="Compact"/>
              <w:jc w:val="center"/>
            </w:pPr>
            <w:r>
              <w:t>0.91</w:t>
            </w:r>
          </w:p>
        </w:tc>
      </w:tr>
      <w:tr w:rsidR="00B44672" w14:paraId="1AB5C168"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2C95AA84" w14:textId="77777777" w:rsidR="00B44672" w:rsidRDefault="00B44672" w:rsidP="00302865">
            <w:pPr>
              <w:pStyle w:val="Compact"/>
            </w:pPr>
            <w:r w:rsidRPr="00113FC1">
              <w:rPr>
                <w:b/>
                <w:i/>
                <w:iCs/>
                <w:color w:val="365F91" w:themeColor="accent1" w:themeShade="BF"/>
              </w:rPr>
              <w:t>1.24 – 2.19% price change</w:t>
            </w:r>
          </w:p>
        </w:tc>
        <w:tc>
          <w:tcPr>
            <w:tcW w:w="456" w:type="pct"/>
          </w:tcPr>
          <w:p w14:paraId="04BB4E2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90" w:type="pct"/>
          </w:tcPr>
          <w:p w14:paraId="20B179C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88" w:type="pct"/>
          </w:tcPr>
          <w:p w14:paraId="539A3BD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49" w:type="pct"/>
          </w:tcPr>
          <w:p w14:paraId="5EF73BF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38" w:type="pct"/>
          </w:tcPr>
          <w:p w14:paraId="4DC452C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272" w:type="pct"/>
          </w:tcPr>
          <w:p w14:paraId="7FA8E3F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2" w:type="pct"/>
          </w:tcPr>
          <w:p w14:paraId="0D3ECA6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3CE8CB4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92" w:type="pct"/>
          </w:tcPr>
          <w:p w14:paraId="49CB6385" w14:textId="77777777" w:rsidR="00B44672" w:rsidRDefault="00B44672" w:rsidP="00302865">
            <w:pPr>
              <w:pStyle w:val="Compact"/>
              <w:jc w:val="center"/>
            </w:pPr>
          </w:p>
        </w:tc>
      </w:tr>
      <w:tr w:rsidR="00B44672" w14:paraId="38C3F3A7"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49C96F53" w14:textId="77777777" w:rsidR="00B44672" w:rsidRDefault="00B44672" w:rsidP="00302865">
            <w:pPr>
              <w:pStyle w:val="Compact"/>
            </w:pPr>
            <w:r>
              <w:t>Quint 1</w:t>
            </w:r>
          </w:p>
        </w:tc>
        <w:tc>
          <w:tcPr>
            <w:tcW w:w="456" w:type="pct"/>
          </w:tcPr>
          <w:p w14:paraId="4FC0940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390" w:type="pct"/>
          </w:tcPr>
          <w:p w14:paraId="29FA9D7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540</w:t>
            </w:r>
          </w:p>
        </w:tc>
        <w:tc>
          <w:tcPr>
            <w:tcW w:w="388" w:type="pct"/>
          </w:tcPr>
          <w:p w14:paraId="0E77B36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w:t>
            </w:r>
          </w:p>
        </w:tc>
        <w:tc>
          <w:tcPr>
            <w:tcW w:w="449" w:type="pct"/>
          </w:tcPr>
          <w:p w14:paraId="212B243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1,100</w:t>
            </w:r>
          </w:p>
        </w:tc>
        <w:tc>
          <w:tcPr>
            <w:tcW w:w="438" w:type="pct"/>
          </w:tcPr>
          <w:p w14:paraId="0F19B7C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961</w:t>
            </w:r>
          </w:p>
        </w:tc>
        <w:tc>
          <w:tcPr>
            <w:tcW w:w="272" w:type="pct"/>
          </w:tcPr>
          <w:p w14:paraId="68AC776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139</w:t>
            </w:r>
          </w:p>
        </w:tc>
        <w:tc>
          <w:tcPr>
            <w:tcW w:w="462" w:type="pct"/>
          </w:tcPr>
          <w:p w14:paraId="3B6CAA8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1.43</w:t>
            </w:r>
          </w:p>
        </w:tc>
        <w:tc>
          <w:tcPr>
            <w:tcW w:w="454" w:type="pct"/>
          </w:tcPr>
          <w:p w14:paraId="52D6617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1.26</w:t>
            </w:r>
          </w:p>
        </w:tc>
        <w:tc>
          <w:tcPr>
            <w:cnfStyle w:val="000100000000" w:firstRow="0" w:lastRow="0" w:firstColumn="0" w:lastColumn="1" w:oddVBand="0" w:evenVBand="0" w:oddHBand="0" w:evenHBand="0" w:firstRowFirstColumn="0" w:firstRowLastColumn="0" w:lastRowFirstColumn="0" w:lastRowLastColumn="0"/>
            <w:tcW w:w="392" w:type="pct"/>
          </w:tcPr>
          <w:p w14:paraId="0566186E" w14:textId="77777777" w:rsidR="00B44672" w:rsidRDefault="00B44672" w:rsidP="00302865">
            <w:pPr>
              <w:pStyle w:val="Compact"/>
              <w:jc w:val="center"/>
            </w:pPr>
            <w:r>
              <w:t>0.17</w:t>
            </w:r>
          </w:p>
        </w:tc>
      </w:tr>
      <w:tr w:rsidR="00B44672" w14:paraId="2C77FD21"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50671047" w14:textId="77777777" w:rsidR="00B44672" w:rsidRDefault="00B44672" w:rsidP="00302865">
            <w:pPr>
              <w:pStyle w:val="Compact"/>
            </w:pPr>
            <w:r>
              <w:t>Quint 2</w:t>
            </w:r>
          </w:p>
        </w:tc>
        <w:tc>
          <w:tcPr>
            <w:tcW w:w="456" w:type="pct"/>
          </w:tcPr>
          <w:p w14:paraId="1CE85FF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7,822</w:t>
            </w:r>
          </w:p>
        </w:tc>
        <w:tc>
          <w:tcPr>
            <w:tcW w:w="390" w:type="pct"/>
          </w:tcPr>
          <w:p w14:paraId="19B751D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7,695</w:t>
            </w:r>
          </w:p>
        </w:tc>
        <w:tc>
          <w:tcPr>
            <w:tcW w:w="388" w:type="pct"/>
          </w:tcPr>
          <w:p w14:paraId="28CB724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127</w:t>
            </w:r>
          </w:p>
        </w:tc>
        <w:tc>
          <w:tcPr>
            <w:tcW w:w="449" w:type="pct"/>
          </w:tcPr>
          <w:p w14:paraId="1FEC117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1,198</w:t>
            </w:r>
          </w:p>
        </w:tc>
        <w:tc>
          <w:tcPr>
            <w:tcW w:w="438" w:type="pct"/>
          </w:tcPr>
          <w:p w14:paraId="3E65FB5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1,019</w:t>
            </w:r>
          </w:p>
        </w:tc>
        <w:tc>
          <w:tcPr>
            <w:tcW w:w="272" w:type="pct"/>
          </w:tcPr>
          <w:p w14:paraId="6968D40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179</w:t>
            </w:r>
          </w:p>
        </w:tc>
        <w:tc>
          <w:tcPr>
            <w:tcW w:w="462" w:type="pct"/>
          </w:tcPr>
          <w:p w14:paraId="759C22E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1.49</w:t>
            </w:r>
          </w:p>
        </w:tc>
        <w:tc>
          <w:tcPr>
            <w:tcW w:w="454" w:type="pct"/>
          </w:tcPr>
          <w:p w14:paraId="01F407D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1.27</w:t>
            </w:r>
          </w:p>
        </w:tc>
        <w:tc>
          <w:tcPr>
            <w:cnfStyle w:val="000100000000" w:firstRow="0" w:lastRow="0" w:firstColumn="0" w:lastColumn="1" w:oddVBand="0" w:evenVBand="0" w:oddHBand="0" w:evenHBand="0" w:firstRowFirstColumn="0" w:firstRowLastColumn="0" w:lastRowFirstColumn="0" w:lastRowLastColumn="0"/>
            <w:tcW w:w="392" w:type="pct"/>
          </w:tcPr>
          <w:p w14:paraId="09DE33DB" w14:textId="77777777" w:rsidR="00B44672" w:rsidRDefault="00B44672" w:rsidP="00302865">
            <w:pPr>
              <w:pStyle w:val="Compact"/>
              <w:jc w:val="center"/>
            </w:pPr>
            <w:r>
              <w:t>0.22</w:t>
            </w:r>
          </w:p>
        </w:tc>
      </w:tr>
      <w:tr w:rsidR="00B44672" w14:paraId="50AF574C"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123697AD" w14:textId="77777777" w:rsidR="00B44672" w:rsidRDefault="00B44672" w:rsidP="00302865">
            <w:pPr>
              <w:pStyle w:val="Compact"/>
            </w:pPr>
            <w:r>
              <w:t>Quint 3</w:t>
            </w:r>
          </w:p>
        </w:tc>
        <w:tc>
          <w:tcPr>
            <w:tcW w:w="456" w:type="pct"/>
          </w:tcPr>
          <w:p w14:paraId="5365710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28,107</w:t>
            </w:r>
          </w:p>
        </w:tc>
        <w:tc>
          <w:tcPr>
            <w:tcW w:w="390" w:type="pct"/>
          </w:tcPr>
          <w:p w14:paraId="75ADB29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28,081</w:t>
            </w:r>
          </w:p>
        </w:tc>
        <w:tc>
          <w:tcPr>
            <w:tcW w:w="388" w:type="pct"/>
          </w:tcPr>
          <w:p w14:paraId="23A9C81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26</w:t>
            </w:r>
          </w:p>
        </w:tc>
        <w:tc>
          <w:tcPr>
            <w:tcW w:w="449" w:type="pct"/>
          </w:tcPr>
          <w:p w14:paraId="436ED84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1,556</w:t>
            </w:r>
          </w:p>
        </w:tc>
        <w:tc>
          <w:tcPr>
            <w:tcW w:w="438" w:type="pct"/>
          </w:tcPr>
          <w:p w14:paraId="0E6BEA2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1,277</w:t>
            </w:r>
          </w:p>
        </w:tc>
        <w:tc>
          <w:tcPr>
            <w:tcW w:w="272" w:type="pct"/>
          </w:tcPr>
          <w:p w14:paraId="5D034D4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280</w:t>
            </w:r>
          </w:p>
        </w:tc>
        <w:tc>
          <w:tcPr>
            <w:tcW w:w="462" w:type="pct"/>
          </w:tcPr>
          <w:p w14:paraId="62B9B9C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tcW w:w="454" w:type="pct"/>
          </w:tcPr>
          <w:p w14:paraId="0A19A8B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1.38</w:t>
            </w:r>
          </w:p>
        </w:tc>
        <w:tc>
          <w:tcPr>
            <w:cnfStyle w:val="000100000000" w:firstRow="0" w:lastRow="0" w:firstColumn="0" w:lastColumn="1" w:oddVBand="0" w:evenVBand="0" w:oddHBand="0" w:evenHBand="0" w:firstRowFirstColumn="0" w:firstRowLastColumn="0" w:lastRowFirstColumn="0" w:lastRowLastColumn="0"/>
            <w:tcW w:w="392" w:type="pct"/>
          </w:tcPr>
          <w:p w14:paraId="156B4E81" w14:textId="77777777" w:rsidR="00B44672" w:rsidRDefault="00B44672" w:rsidP="00302865">
            <w:pPr>
              <w:pStyle w:val="Compact"/>
              <w:jc w:val="center"/>
            </w:pPr>
            <w:r>
              <w:t>0.30</w:t>
            </w:r>
          </w:p>
        </w:tc>
      </w:tr>
      <w:tr w:rsidR="00B44672" w14:paraId="786E04E5"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99" w:type="pct"/>
          </w:tcPr>
          <w:p w14:paraId="71B4CD6E" w14:textId="77777777" w:rsidR="00B44672" w:rsidRDefault="00B44672" w:rsidP="00302865">
            <w:pPr>
              <w:pStyle w:val="Compact"/>
            </w:pPr>
            <w:r>
              <w:t>Quint 4</w:t>
            </w:r>
          </w:p>
        </w:tc>
        <w:tc>
          <w:tcPr>
            <w:tcW w:w="456" w:type="pct"/>
          </w:tcPr>
          <w:p w14:paraId="4039F87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34,163</w:t>
            </w:r>
          </w:p>
        </w:tc>
        <w:tc>
          <w:tcPr>
            <w:tcW w:w="390" w:type="pct"/>
          </w:tcPr>
          <w:p w14:paraId="0AFD985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34,154</w:t>
            </w:r>
          </w:p>
        </w:tc>
        <w:tc>
          <w:tcPr>
            <w:tcW w:w="388" w:type="pct"/>
          </w:tcPr>
          <w:p w14:paraId="3DC91FE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w:t>
            </w:r>
          </w:p>
        </w:tc>
        <w:tc>
          <w:tcPr>
            <w:tcW w:w="449" w:type="pct"/>
          </w:tcPr>
          <w:p w14:paraId="67DA083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1,840</w:t>
            </w:r>
          </w:p>
        </w:tc>
        <w:tc>
          <w:tcPr>
            <w:tcW w:w="438" w:type="pct"/>
          </w:tcPr>
          <w:p w14:paraId="327AB06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1,476</w:t>
            </w:r>
          </w:p>
        </w:tc>
        <w:tc>
          <w:tcPr>
            <w:tcW w:w="272" w:type="pct"/>
          </w:tcPr>
          <w:p w14:paraId="27CF1C2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363</w:t>
            </w:r>
          </w:p>
        </w:tc>
        <w:tc>
          <w:tcPr>
            <w:tcW w:w="462" w:type="pct"/>
          </w:tcPr>
          <w:p w14:paraId="4F77630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2.03</w:t>
            </w:r>
          </w:p>
        </w:tc>
        <w:tc>
          <w:tcPr>
            <w:tcW w:w="454" w:type="pct"/>
          </w:tcPr>
          <w:p w14:paraId="321FB8A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1.63</w:t>
            </w:r>
          </w:p>
        </w:tc>
        <w:tc>
          <w:tcPr>
            <w:cnfStyle w:val="000100000000" w:firstRow="0" w:lastRow="0" w:firstColumn="0" w:lastColumn="1" w:oddVBand="0" w:evenVBand="0" w:oddHBand="0" w:evenHBand="0" w:firstRowFirstColumn="0" w:firstRowLastColumn="0" w:lastRowFirstColumn="0" w:lastRowLastColumn="0"/>
            <w:tcW w:w="392" w:type="pct"/>
          </w:tcPr>
          <w:p w14:paraId="05FA8FDF" w14:textId="77777777" w:rsidR="00B44672" w:rsidRDefault="00B44672" w:rsidP="00302865">
            <w:pPr>
              <w:pStyle w:val="Compact"/>
              <w:jc w:val="center"/>
            </w:pPr>
            <w:r>
              <w:t>0.40</w:t>
            </w:r>
          </w:p>
        </w:tc>
      </w:tr>
      <w:tr w:rsidR="00B44672" w14:paraId="7ED20D10" w14:textId="77777777" w:rsidTr="00A567C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9" w:type="pct"/>
          </w:tcPr>
          <w:p w14:paraId="2FBECFCF" w14:textId="77777777" w:rsidR="00B44672" w:rsidRDefault="00B44672" w:rsidP="00302865">
            <w:pPr>
              <w:pStyle w:val="Compact"/>
            </w:pPr>
            <w:r>
              <w:t>Quint 5</w:t>
            </w:r>
          </w:p>
        </w:tc>
        <w:tc>
          <w:tcPr>
            <w:tcW w:w="456" w:type="pct"/>
          </w:tcPr>
          <w:p w14:paraId="46371389"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42,052</w:t>
            </w:r>
          </w:p>
        </w:tc>
        <w:tc>
          <w:tcPr>
            <w:tcW w:w="390" w:type="pct"/>
          </w:tcPr>
          <w:p w14:paraId="49F558B8"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42,052</w:t>
            </w:r>
          </w:p>
        </w:tc>
        <w:tc>
          <w:tcPr>
            <w:tcW w:w="388" w:type="pct"/>
          </w:tcPr>
          <w:p w14:paraId="64595E89"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0</w:t>
            </w:r>
          </w:p>
        </w:tc>
        <w:tc>
          <w:tcPr>
            <w:tcW w:w="449" w:type="pct"/>
          </w:tcPr>
          <w:p w14:paraId="538CA9DA"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3,256</w:t>
            </w:r>
          </w:p>
        </w:tc>
        <w:tc>
          <w:tcPr>
            <w:tcW w:w="438" w:type="pct"/>
          </w:tcPr>
          <w:p w14:paraId="565CE23E"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2,324</w:t>
            </w:r>
          </w:p>
        </w:tc>
        <w:tc>
          <w:tcPr>
            <w:tcW w:w="272" w:type="pct"/>
          </w:tcPr>
          <w:p w14:paraId="44603A64"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932</w:t>
            </w:r>
          </w:p>
        </w:tc>
        <w:tc>
          <w:tcPr>
            <w:tcW w:w="462" w:type="pct"/>
          </w:tcPr>
          <w:p w14:paraId="3AACEE50"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3.18</w:t>
            </w:r>
          </w:p>
        </w:tc>
        <w:tc>
          <w:tcPr>
            <w:tcW w:w="454" w:type="pct"/>
          </w:tcPr>
          <w:p w14:paraId="173F40B1"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2.27</w:t>
            </w:r>
          </w:p>
        </w:tc>
        <w:tc>
          <w:tcPr>
            <w:cnfStyle w:val="000100000000" w:firstRow="0" w:lastRow="0" w:firstColumn="0" w:lastColumn="1" w:oddVBand="0" w:evenVBand="0" w:oddHBand="0" w:evenHBand="0" w:firstRowFirstColumn="0" w:firstRowLastColumn="0" w:lastRowFirstColumn="0" w:lastRowLastColumn="0"/>
            <w:tcW w:w="392" w:type="pct"/>
          </w:tcPr>
          <w:p w14:paraId="70A180AB" w14:textId="77777777" w:rsidR="00B44672" w:rsidRDefault="00B44672" w:rsidP="00302865">
            <w:pPr>
              <w:pStyle w:val="Compact"/>
              <w:jc w:val="center"/>
            </w:pPr>
            <w:r>
              <w:t>0.91</w:t>
            </w:r>
          </w:p>
        </w:tc>
      </w:tr>
    </w:tbl>
    <w:p w14:paraId="5B4C2336"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12EFA6F6" w14:textId="77777777" w:rsidR="00B44672" w:rsidRDefault="00B44672">
      <w:pPr>
        <w:jc w:val="left"/>
        <w:rPr>
          <w:b/>
          <w:i/>
          <w:color w:val="365F91" w:themeColor="accent1" w:themeShade="BF"/>
        </w:rPr>
      </w:pPr>
      <w:r>
        <w:br w:type="page"/>
      </w:r>
    </w:p>
    <w:p w14:paraId="0EE4E4C4" w14:textId="77777777" w:rsidR="00B44672" w:rsidRDefault="00B44672" w:rsidP="00C83581">
      <w:pPr>
        <w:pStyle w:val="TableCaption"/>
      </w:pPr>
      <w:r>
        <w:lastRenderedPageBreak/>
        <w:t>Table 23a - The impact of tax reform on rate paid by wealth quintile, average 2012 – 2018 (keeping only those income units purchasing properties in both new and old policies)</w:t>
      </w:r>
    </w:p>
    <w:tbl>
      <w:tblPr>
        <w:tblStyle w:val="Table"/>
        <w:tblW w:w="5751" w:type="pct"/>
        <w:jc w:val="center"/>
        <w:tblCellMar>
          <w:left w:w="0" w:type="dxa"/>
          <w:right w:w="0" w:type="dxa"/>
        </w:tblCellMar>
        <w:tblLook w:val="07E0" w:firstRow="1" w:lastRow="1" w:firstColumn="1" w:lastColumn="1" w:noHBand="1" w:noVBand="1"/>
        <w:tblCaption w:val="Table 23a - The impact of tax reform on rate paid by wealth quintile, average 2012 – 2018 (keep only those purchasing properties in both new and old policies)"/>
      </w:tblPr>
      <w:tblGrid>
        <w:gridCol w:w="2741"/>
        <w:gridCol w:w="1246"/>
        <w:gridCol w:w="1231"/>
        <w:gridCol w:w="1090"/>
        <w:gridCol w:w="806"/>
        <w:gridCol w:w="957"/>
        <w:gridCol w:w="955"/>
        <w:gridCol w:w="1356"/>
      </w:tblGrid>
      <w:tr w:rsidR="00B44672" w14:paraId="293383BA" w14:textId="77777777" w:rsidTr="003028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Borders>
              <w:bottom w:val="single" w:sz="0" w:space="0" w:color="auto"/>
            </w:tcBorders>
            <w:vAlign w:val="bottom"/>
          </w:tcPr>
          <w:p w14:paraId="7E28EBEC" w14:textId="77777777" w:rsidR="00B44672" w:rsidRDefault="00B44672" w:rsidP="000511CA"/>
        </w:tc>
        <w:tc>
          <w:tcPr>
            <w:tcW w:w="600" w:type="pct"/>
            <w:tcBorders>
              <w:bottom w:val="single" w:sz="0" w:space="0" w:color="auto"/>
            </w:tcBorders>
            <w:vAlign w:val="bottom"/>
          </w:tcPr>
          <w:p w14:paraId="02EFA9D6"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Both tax policies - # affected</w:t>
            </w:r>
          </w:p>
        </w:tc>
        <w:tc>
          <w:tcPr>
            <w:tcW w:w="593" w:type="pct"/>
            <w:tcBorders>
              <w:bottom w:val="single" w:sz="0" w:space="0" w:color="auto"/>
            </w:tcBorders>
            <w:vAlign w:val="bottom"/>
          </w:tcPr>
          <w:p w14:paraId="3F5315D6"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rate $</w:t>
            </w:r>
          </w:p>
        </w:tc>
        <w:tc>
          <w:tcPr>
            <w:tcW w:w="525" w:type="pct"/>
            <w:tcBorders>
              <w:bottom w:val="single" w:sz="0" w:space="0" w:color="auto"/>
            </w:tcBorders>
            <w:vAlign w:val="bottom"/>
          </w:tcPr>
          <w:p w14:paraId="71799B3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rate $</w:t>
            </w:r>
          </w:p>
        </w:tc>
        <w:tc>
          <w:tcPr>
            <w:tcW w:w="388" w:type="pct"/>
            <w:tcBorders>
              <w:bottom w:val="single" w:sz="0" w:space="0" w:color="auto"/>
            </w:tcBorders>
            <w:vAlign w:val="bottom"/>
          </w:tcPr>
          <w:p w14:paraId="61439F95"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rate $</w:t>
            </w:r>
          </w:p>
        </w:tc>
        <w:tc>
          <w:tcPr>
            <w:tcW w:w="461" w:type="pct"/>
            <w:tcBorders>
              <w:bottom w:val="single" w:sz="0" w:space="0" w:color="auto"/>
            </w:tcBorders>
            <w:vAlign w:val="bottom"/>
          </w:tcPr>
          <w:p w14:paraId="7A4E0FD6"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60" w:type="pct"/>
            <w:tcBorders>
              <w:bottom w:val="single" w:sz="0" w:space="0" w:color="auto"/>
            </w:tcBorders>
            <w:vAlign w:val="bottom"/>
          </w:tcPr>
          <w:p w14:paraId="1FC2767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654" w:type="pct"/>
            <w:tcBorders>
              <w:bottom w:val="single" w:sz="0" w:space="0" w:color="auto"/>
            </w:tcBorders>
            <w:vAlign w:val="bottom"/>
          </w:tcPr>
          <w:p w14:paraId="024842B3" w14:textId="77777777" w:rsidR="00B44672" w:rsidRDefault="00B44672" w:rsidP="000511CA">
            <w:pPr>
              <w:pStyle w:val="Compact"/>
              <w:jc w:val="center"/>
            </w:pPr>
            <w:r>
              <w:t>Diff - % point change in income</w:t>
            </w:r>
          </w:p>
        </w:tc>
      </w:tr>
      <w:tr w:rsidR="00B44672" w14:paraId="09936394"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385140FA" w14:textId="77777777" w:rsidR="00B44672" w:rsidRDefault="00B44672" w:rsidP="00C32ED3">
            <w:pPr>
              <w:pStyle w:val="Compact"/>
            </w:pPr>
            <w:r w:rsidRPr="00AF6491">
              <w:rPr>
                <w:b/>
                <w:i/>
                <w:iCs/>
                <w:color w:val="365F91" w:themeColor="accent1" w:themeShade="BF"/>
              </w:rPr>
              <w:t>No price change</w:t>
            </w:r>
          </w:p>
        </w:tc>
        <w:tc>
          <w:tcPr>
            <w:tcW w:w="600" w:type="pct"/>
          </w:tcPr>
          <w:p w14:paraId="20368F76"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593" w:type="pct"/>
          </w:tcPr>
          <w:p w14:paraId="682A7722"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525" w:type="pct"/>
          </w:tcPr>
          <w:p w14:paraId="40294851"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388" w:type="pct"/>
          </w:tcPr>
          <w:p w14:paraId="0AC813A9"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461" w:type="pct"/>
          </w:tcPr>
          <w:p w14:paraId="38A6F1C4"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460" w:type="pct"/>
          </w:tcPr>
          <w:p w14:paraId="7795CEF5"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54" w:type="pct"/>
          </w:tcPr>
          <w:p w14:paraId="49317647" w14:textId="77777777" w:rsidR="00B44672" w:rsidRDefault="00B44672" w:rsidP="00C32ED3">
            <w:pPr>
              <w:pStyle w:val="Compact"/>
              <w:jc w:val="center"/>
            </w:pPr>
          </w:p>
        </w:tc>
      </w:tr>
      <w:tr w:rsidR="00B44672" w14:paraId="6C541487"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765FD9D0" w14:textId="77777777" w:rsidR="00B44672" w:rsidRDefault="00B44672" w:rsidP="00C32ED3">
            <w:pPr>
              <w:pStyle w:val="Compact"/>
            </w:pPr>
            <w:r>
              <w:t>Quint 1</w:t>
            </w:r>
          </w:p>
        </w:tc>
        <w:tc>
          <w:tcPr>
            <w:tcW w:w="600" w:type="pct"/>
          </w:tcPr>
          <w:p w14:paraId="5633F17A"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593" w:type="pct"/>
          </w:tcPr>
          <w:p w14:paraId="21C3CB56"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1,100</w:t>
            </w:r>
          </w:p>
        </w:tc>
        <w:tc>
          <w:tcPr>
            <w:tcW w:w="525" w:type="pct"/>
          </w:tcPr>
          <w:p w14:paraId="6F5C58F0"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958</w:t>
            </w:r>
          </w:p>
        </w:tc>
        <w:tc>
          <w:tcPr>
            <w:tcW w:w="388" w:type="pct"/>
          </w:tcPr>
          <w:p w14:paraId="44CCDFF4"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142</w:t>
            </w:r>
          </w:p>
        </w:tc>
        <w:tc>
          <w:tcPr>
            <w:tcW w:w="461" w:type="pct"/>
          </w:tcPr>
          <w:p w14:paraId="02B87BB8"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1.43</w:t>
            </w:r>
          </w:p>
        </w:tc>
        <w:tc>
          <w:tcPr>
            <w:tcW w:w="460" w:type="pct"/>
          </w:tcPr>
          <w:p w14:paraId="7A6F00C8"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1.25</w:t>
            </w:r>
          </w:p>
        </w:tc>
        <w:tc>
          <w:tcPr>
            <w:cnfStyle w:val="000100000000" w:firstRow="0" w:lastRow="0" w:firstColumn="0" w:lastColumn="1" w:oddVBand="0" w:evenVBand="0" w:oddHBand="0" w:evenHBand="0" w:firstRowFirstColumn="0" w:firstRowLastColumn="0" w:lastRowFirstColumn="0" w:lastRowLastColumn="0"/>
            <w:tcW w:w="654" w:type="pct"/>
          </w:tcPr>
          <w:p w14:paraId="0F7DE8AE" w14:textId="77777777" w:rsidR="00B44672" w:rsidRDefault="00B44672" w:rsidP="00C32ED3">
            <w:pPr>
              <w:pStyle w:val="Compact"/>
              <w:jc w:val="center"/>
            </w:pPr>
            <w:r>
              <w:t>0.18</w:t>
            </w:r>
          </w:p>
        </w:tc>
      </w:tr>
      <w:tr w:rsidR="00B44672" w14:paraId="08862821"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70A47D85" w14:textId="77777777" w:rsidR="00B44672" w:rsidRDefault="00B44672" w:rsidP="00C32ED3">
            <w:pPr>
              <w:pStyle w:val="Compact"/>
            </w:pPr>
            <w:r>
              <w:t>Quint 2</w:t>
            </w:r>
          </w:p>
        </w:tc>
        <w:tc>
          <w:tcPr>
            <w:tcW w:w="600" w:type="pct"/>
          </w:tcPr>
          <w:p w14:paraId="71704888"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7,648</w:t>
            </w:r>
          </w:p>
        </w:tc>
        <w:tc>
          <w:tcPr>
            <w:tcW w:w="593" w:type="pct"/>
          </w:tcPr>
          <w:p w14:paraId="7B9B74ED"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1,191</w:t>
            </w:r>
          </w:p>
        </w:tc>
        <w:tc>
          <w:tcPr>
            <w:tcW w:w="525" w:type="pct"/>
          </w:tcPr>
          <w:p w14:paraId="15E19B1E"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1,018</w:t>
            </w:r>
          </w:p>
        </w:tc>
        <w:tc>
          <w:tcPr>
            <w:tcW w:w="388" w:type="pct"/>
          </w:tcPr>
          <w:p w14:paraId="0B087A7C"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174</w:t>
            </w:r>
          </w:p>
        </w:tc>
        <w:tc>
          <w:tcPr>
            <w:tcW w:w="461" w:type="pct"/>
          </w:tcPr>
          <w:p w14:paraId="5F4F9D71"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1.48</w:t>
            </w:r>
          </w:p>
        </w:tc>
        <w:tc>
          <w:tcPr>
            <w:tcW w:w="460" w:type="pct"/>
          </w:tcPr>
          <w:p w14:paraId="0C57F350"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1.26</w:t>
            </w:r>
          </w:p>
        </w:tc>
        <w:tc>
          <w:tcPr>
            <w:cnfStyle w:val="000100000000" w:firstRow="0" w:lastRow="0" w:firstColumn="0" w:lastColumn="1" w:oddVBand="0" w:evenVBand="0" w:oddHBand="0" w:evenHBand="0" w:firstRowFirstColumn="0" w:firstRowLastColumn="0" w:lastRowFirstColumn="0" w:lastRowLastColumn="0"/>
            <w:tcW w:w="654" w:type="pct"/>
          </w:tcPr>
          <w:p w14:paraId="251DEFD3" w14:textId="77777777" w:rsidR="00B44672" w:rsidRDefault="00B44672" w:rsidP="00C32ED3">
            <w:pPr>
              <w:pStyle w:val="Compact"/>
              <w:jc w:val="center"/>
            </w:pPr>
            <w:r>
              <w:t>0.22</w:t>
            </w:r>
          </w:p>
        </w:tc>
      </w:tr>
      <w:tr w:rsidR="00B44672" w14:paraId="68CDD82C"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1DBE2F7D" w14:textId="77777777" w:rsidR="00B44672" w:rsidRDefault="00B44672" w:rsidP="00C32ED3">
            <w:pPr>
              <w:pStyle w:val="Compact"/>
            </w:pPr>
            <w:r>
              <w:t>Quint 3</w:t>
            </w:r>
          </w:p>
        </w:tc>
        <w:tc>
          <w:tcPr>
            <w:tcW w:w="600" w:type="pct"/>
          </w:tcPr>
          <w:p w14:paraId="24309C6A"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28,071</w:t>
            </w:r>
          </w:p>
        </w:tc>
        <w:tc>
          <w:tcPr>
            <w:tcW w:w="593" w:type="pct"/>
          </w:tcPr>
          <w:p w14:paraId="77ED455A"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1,556</w:t>
            </w:r>
          </w:p>
        </w:tc>
        <w:tc>
          <w:tcPr>
            <w:tcW w:w="525" w:type="pct"/>
          </w:tcPr>
          <w:p w14:paraId="648A8C66"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1,276</w:t>
            </w:r>
          </w:p>
        </w:tc>
        <w:tc>
          <w:tcPr>
            <w:tcW w:w="388" w:type="pct"/>
          </w:tcPr>
          <w:p w14:paraId="323904E4"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280</w:t>
            </w:r>
          </w:p>
        </w:tc>
        <w:tc>
          <w:tcPr>
            <w:tcW w:w="461" w:type="pct"/>
          </w:tcPr>
          <w:p w14:paraId="507D5E84"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tcW w:w="460" w:type="pct"/>
          </w:tcPr>
          <w:p w14:paraId="749FD6ED"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1.38</w:t>
            </w:r>
          </w:p>
        </w:tc>
        <w:tc>
          <w:tcPr>
            <w:cnfStyle w:val="000100000000" w:firstRow="0" w:lastRow="0" w:firstColumn="0" w:lastColumn="1" w:oddVBand="0" w:evenVBand="0" w:oddHBand="0" w:evenHBand="0" w:firstRowFirstColumn="0" w:firstRowLastColumn="0" w:lastRowFirstColumn="0" w:lastRowLastColumn="0"/>
            <w:tcW w:w="654" w:type="pct"/>
          </w:tcPr>
          <w:p w14:paraId="33052E4C" w14:textId="77777777" w:rsidR="00B44672" w:rsidRDefault="00B44672" w:rsidP="00C32ED3">
            <w:pPr>
              <w:pStyle w:val="Compact"/>
              <w:jc w:val="center"/>
            </w:pPr>
            <w:r>
              <w:t>0.30</w:t>
            </w:r>
          </w:p>
        </w:tc>
      </w:tr>
      <w:tr w:rsidR="00B44672" w14:paraId="4DE4BEDA"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3BEB0386" w14:textId="77777777" w:rsidR="00B44672" w:rsidRDefault="00B44672" w:rsidP="00C32ED3">
            <w:pPr>
              <w:pStyle w:val="Compact"/>
            </w:pPr>
            <w:r>
              <w:t>Quint 4</w:t>
            </w:r>
          </w:p>
        </w:tc>
        <w:tc>
          <w:tcPr>
            <w:tcW w:w="600" w:type="pct"/>
          </w:tcPr>
          <w:p w14:paraId="41F308F7"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34,145</w:t>
            </w:r>
          </w:p>
        </w:tc>
        <w:tc>
          <w:tcPr>
            <w:tcW w:w="593" w:type="pct"/>
          </w:tcPr>
          <w:p w14:paraId="23ABCB0B"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1,840</w:t>
            </w:r>
          </w:p>
        </w:tc>
        <w:tc>
          <w:tcPr>
            <w:tcW w:w="525" w:type="pct"/>
          </w:tcPr>
          <w:p w14:paraId="10991A46"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1,476</w:t>
            </w:r>
          </w:p>
        </w:tc>
        <w:tc>
          <w:tcPr>
            <w:tcW w:w="388" w:type="pct"/>
          </w:tcPr>
          <w:p w14:paraId="5C91A886"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364</w:t>
            </w:r>
          </w:p>
        </w:tc>
        <w:tc>
          <w:tcPr>
            <w:tcW w:w="461" w:type="pct"/>
          </w:tcPr>
          <w:p w14:paraId="5AFB0641"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2.03</w:t>
            </w:r>
          </w:p>
        </w:tc>
        <w:tc>
          <w:tcPr>
            <w:tcW w:w="460" w:type="pct"/>
          </w:tcPr>
          <w:p w14:paraId="6B2BC2D4"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1.63</w:t>
            </w:r>
          </w:p>
        </w:tc>
        <w:tc>
          <w:tcPr>
            <w:cnfStyle w:val="000100000000" w:firstRow="0" w:lastRow="0" w:firstColumn="0" w:lastColumn="1" w:oddVBand="0" w:evenVBand="0" w:oddHBand="0" w:evenHBand="0" w:firstRowFirstColumn="0" w:firstRowLastColumn="0" w:lastRowFirstColumn="0" w:lastRowLastColumn="0"/>
            <w:tcW w:w="654" w:type="pct"/>
          </w:tcPr>
          <w:p w14:paraId="08DE2958" w14:textId="77777777" w:rsidR="00B44672" w:rsidRDefault="00B44672" w:rsidP="00C32ED3">
            <w:pPr>
              <w:pStyle w:val="Compact"/>
              <w:jc w:val="center"/>
            </w:pPr>
            <w:r>
              <w:t>0.40</w:t>
            </w:r>
          </w:p>
        </w:tc>
      </w:tr>
      <w:tr w:rsidR="00B44672" w14:paraId="4177B6B0"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B7A9FA3" w14:textId="77777777" w:rsidR="00B44672" w:rsidRDefault="00B44672" w:rsidP="00C32ED3">
            <w:pPr>
              <w:pStyle w:val="Compact"/>
            </w:pPr>
            <w:r>
              <w:t>Quint 5</w:t>
            </w:r>
          </w:p>
        </w:tc>
        <w:tc>
          <w:tcPr>
            <w:tcW w:w="600" w:type="pct"/>
          </w:tcPr>
          <w:p w14:paraId="0A4B2661"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42,052</w:t>
            </w:r>
          </w:p>
        </w:tc>
        <w:tc>
          <w:tcPr>
            <w:tcW w:w="593" w:type="pct"/>
          </w:tcPr>
          <w:p w14:paraId="000C1BE0"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3,256</w:t>
            </w:r>
          </w:p>
        </w:tc>
        <w:tc>
          <w:tcPr>
            <w:tcW w:w="525" w:type="pct"/>
          </w:tcPr>
          <w:p w14:paraId="6B962289"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2,323</w:t>
            </w:r>
          </w:p>
        </w:tc>
        <w:tc>
          <w:tcPr>
            <w:tcW w:w="388" w:type="pct"/>
          </w:tcPr>
          <w:p w14:paraId="79B7CA84"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933</w:t>
            </w:r>
          </w:p>
        </w:tc>
        <w:tc>
          <w:tcPr>
            <w:tcW w:w="461" w:type="pct"/>
          </w:tcPr>
          <w:p w14:paraId="1AE13566"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3.18</w:t>
            </w:r>
          </w:p>
        </w:tc>
        <w:tc>
          <w:tcPr>
            <w:tcW w:w="460" w:type="pct"/>
          </w:tcPr>
          <w:p w14:paraId="4CCA3EE1"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2.27</w:t>
            </w:r>
          </w:p>
        </w:tc>
        <w:tc>
          <w:tcPr>
            <w:cnfStyle w:val="000100000000" w:firstRow="0" w:lastRow="0" w:firstColumn="0" w:lastColumn="1" w:oddVBand="0" w:evenVBand="0" w:oddHBand="0" w:evenHBand="0" w:firstRowFirstColumn="0" w:firstRowLastColumn="0" w:lastRowFirstColumn="0" w:lastRowLastColumn="0"/>
            <w:tcW w:w="654" w:type="pct"/>
          </w:tcPr>
          <w:p w14:paraId="05DB19C1" w14:textId="77777777" w:rsidR="00B44672" w:rsidRDefault="00B44672" w:rsidP="00C32ED3">
            <w:pPr>
              <w:pStyle w:val="Compact"/>
              <w:jc w:val="center"/>
            </w:pPr>
            <w:r>
              <w:t>0.91</w:t>
            </w:r>
          </w:p>
        </w:tc>
      </w:tr>
      <w:tr w:rsidR="00B44672" w14:paraId="01856F09"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28A852E8"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600" w:type="pct"/>
          </w:tcPr>
          <w:p w14:paraId="5C81675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93" w:type="pct"/>
          </w:tcPr>
          <w:p w14:paraId="6B67803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25" w:type="pct"/>
          </w:tcPr>
          <w:p w14:paraId="7CAF0D4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88" w:type="pct"/>
          </w:tcPr>
          <w:p w14:paraId="629E5A4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1" w:type="pct"/>
          </w:tcPr>
          <w:p w14:paraId="6FF93F4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0" w:type="pct"/>
          </w:tcPr>
          <w:p w14:paraId="47FCCA6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54" w:type="pct"/>
          </w:tcPr>
          <w:p w14:paraId="47ED9BF9" w14:textId="77777777" w:rsidR="00B44672" w:rsidRDefault="00B44672" w:rsidP="00A567C4">
            <w:pPr>
              <w:pStyle w:val="Compact"/>
              <w:jc w:val="center"/>
            </w:pPr>
          </w:p>
        </w:tc>
      </w:tr>
      <w:tr w:rsidR="00B44672" w14:paraId="24C0E963"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77015BFF" w14:textId="77777777" w:rsidR="00B44672" w:rsidRDefault="00B44672" w:rsidP="00A567C4">
            <w:pPr>
              <w:pStyle w:val="Compact"/>
            </w:pPr>
            <w:r>
              <w:t>Quint 1</w:t>
            </w:r>
          </w:p>
        </w:tc>
        <w:tc>
          <w:tcPr>
            <w:tcW w:w="600" w:type="pct"/>
          </w:tcPr>
          <w:p w14:paraId="0A333A8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593" w:type="pct"/>
          </w:tcPr>
          <w:p w14:paraId="6A5919D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1,100</w:t>
            </w:r>
          </w:p>
        </w:tc>
        <w:tc>
          <w:tcPr>
            <w:tcW w:w="525" w:type="pct"/>
          </w:tcPr>
          <w:p w14:paraId="7741544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958</w:t>
            </w:r>
          </w:p>
        </w:tc>
        <w:tc>
          <w:tcPr>
            <w:tcW w:w="388" w:type="pct"/>
          </w:tcPr>
          <w:p w14:paraId="204AF55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142</w:t>
            </w:r>
          </w:p>
        </w:tc>
        <w:tc>
          <w:tcPr>
            <w:tcW w:w="461" w:type="pct"/>
          </w:tcPr>
          <w:p w14:paraId="76B30AC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1.43</w:t>
            </w:r>
          </w:p>
        </w:tc>
        <w:tc>
          <w:tcPr>
            <w:tcW w:w="460" w:type="pct"/>
          </w:tcPr>
          <w:p w14:paraId="4DB278D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1.25</w:t>
            </w:r>
          </w:p>
        </w:tc>
        <w:tc>
          <w:tcPr>
            <w:cnfStyle w:val="000100000000" w:firstRow="0" w:lastRow="0" w:firstColumn="0" w:lastColumn="1" w:oddVBand="0" w:evenVBand="0" w:oddHBand="0" w:evenHBand="0" w:firstRowFirstColumn="0" w:firstRowLastColumn="0" w:lastRowFirstColumn="0" w:lastRowLastColumn="0"/>
            <w:tcW w:w="654" w:type="pct"/>
          </w:tcPr>
          <w:p w14:paraId="52D3DC8D" w14:textId="77777777" w:rsidR="00B44672" w:rsidRDefault="00B44672" w:rsidP="00A567C4">
            <w:pPr>
              <w:pStyle w:val="Compact"/>
              <w:jc w:val="center"/>
            </w:pPr>
            <w:r>
              <w:t>0.18</w:t>
            </w:r>
          </w:p>
        </w:tc>
      </w:tr>
      <w:tr w:rsidR="00B44672" w14:paraId="3C612452"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17C63E7A" w14:textId="77777777" w:rsidR="00B44672" w:rsidRDefault="00B44672" w:rsidP="00A567C4">
            <w:pPr>
              <w:pStyle w:val="Compact"/>
            </w:pPr>
            <w:r>
              <w:t>Quint 2</w:t>
            </w:r>
          </w:p>
        </w:tc>
        <w:tc>
          <w:tcPr>
            <w:tcW w:w="600" w:type="pct"/>
          </w:tcPr>
          <w:p w14:paraId="2B579B0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7,660</w:t>
            </w:r>
          </w:p>
        </w:tc>
        <w:tc>
          <w:tcPr>
            <w:tcW w:w="593" w:type="pct"/>
          </w:tcPr>
          <w:p w14:paraId="5AE3F53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1,192</w:t>
            </w:r>
          </w:p>
        </w:tc>
        <w:tc>
          <w:tcPr>
            <w:tcW w:w="525" w:type="pct"/>
          </w:tcPr>
          <w:p w14:paraId="7642773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1,018</w:t>
            </w:r>
          </w:p>
        </w:tc>
        <w:tc>
          <w:tcPr>
            <w:tcW w:w="388" w:type="pct"/>
          </w:tcPr>
          <w:p w14:paraId="6EE3B8E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173</w:t>
            </w:r>
          </w:p>
        </w:tc>
        <w:tc>
          <w:tcPr>
            <w:tcW w:w="461" w:type="pct"/>
          </w:tcPr>
          <w:p w14:paraId="3139DDA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1.48</w:t>
            </w:r>
          </w:p>
        </w:tc>
        <w:tc>
          <w:tcPr>
            <w:tcW w:w="460" w:type="pct"/>
          </w:tcPr>
          <w:p w14:paraId="13F9E24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1.27</w:t>
            </w:r>
          </w:p>
        </w:tc>
        <w:tc>
          <w:tcPr>
            <w:cnfStyle w:val="000100000000" w:firstRow="0" w:lastRow="0" w:firstColumn="0" w:lastColumn="1" w:oddVBand="0" w:evenVBand="0" w:oddHBand="0" w:evenHBand="0" w:firstRowFirstColumn="0" w:firstRowLastColumn="0" w:lastRowFirstColumn="0" w:lastRowLastColumn="0"/>
            <w:tcW w:w="654" w:type="pct"/>
          </w:tcPr>
          <w:p w14:paraId="746AB2FA" w14:textId="77777777" w:rsidR="00B44672" w:rsidRDefault="00B44672" w:rsidP="00A567C4">
            <w:pPr>
              <w:pStyle w:val="Compact"/>
              <w:jc w:val="center"/>
            </w:pPr>
            <w:r>
              <w:t>0.22</w:t>
            </w:r>
          </w:p>
        </w:tc>
      </w:tr>
      <w:tr w:rsidR="00B44672" w14:paraId="13368FA2"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75BB2F3C" w14:textId="77777777" w:rsidR="00B44672" w:rsidRDefault="00B44672" w:rsidP="00A567C4">
            <w:pPr>
              <w:pStyle w:val="Compact"/>
            </w:pPr>
            <w:r>
              <w:t>Quint 3</w:t>
            </w:r>
          </w:p>
        </w:tc>
        <w:tc>
          <w:tcPr>
            <w:tcW w:w="600" w:type="pct"/>
          </w:tcPr>
          <w:p w14:paraId="290FFBA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28,071</w:t>
            </w:r>
          </w:p>
        </w:tc>
        <w:tc>
          <w:tcPr>
            <w:tcW w:w="593" w:type="pct"/>
          </w:tcPr>
          <w:p w14:paraId="6535C3A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1,556</w:t>
            </w:r>
          </w:p>
        </w:tc>
        <w:tc>
          <w:tcPr>
            <w:tcW w:w="525" w:type="pct"/>
          </w:tcPr>
          <w:p w14:paraId="5AA0C2C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1,276</w:t>
            </w:r>
          </w:p>
        </w:tc>
        <w:tc>
          <w:tcPr>
            <w:tcW w:w="388" w:type="pct"/>
          </w:tcPr>
          <w:p w14:paraId="645D1A9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280</w:t>
            </w:r>
          </w:p>
        </w:tc>
        <w:tc>
          <w:tcPr>
            <w:tcW w:w="461" w:type="pct"/>
          </w:tcPr>
          <w:p w14:paraId="62D20BF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tcW w:w="460" w:type="pct"/>
          </w:tcPr>
          <w:p w14:paraId="2F20E46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1.38</w:t>
            </w:r>
          </w:p>
        </w:tc>
        <w:tc>
          <w:tcPr>
            <w:cnfStyle w:val="000100000000" w:firstRow="0" w:lastRow="0" w:firstColumn="0" w:lastColumn="1" w:oddVBand="0" w:evenVBand="0" w:oddHBand="0" w:evenHBand="0" w:firstRowFirstColumn="0" w:firstRowLastColumn="0" w:lastRowFirstColumn="0" w:lastRowLastColumn="0"/>
            <w:tcW w:w="654" w:type="pct"/>
          </w:tcPr>
          <w:p w14:paraId="1BE74B0A" w14:textId="77777777" w:rsidR="00B44672" w:rsidRDefault="00B44672" w:rsidP="00A567C4">
            <w:pPr>
              <w:pStyle w:val="Compact"/>
              <w:jc w:val="center"/>
            </w:pPr>
            <w:r>
              <w:t>0.30</w:t>
            </w:r>
          </w:p>
        </w:tc>
      </w:tr>
      <w:tr w:rsidR="00B44672" w14:paraId="4BF15FA9"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2F30FAE4" w14:textId="77777777" w:rsidR="00B44672" w:rsidRDefault="00B44672" w:rsidP="00A567C4">
            <w:pPr>
              <w:pStyle w:val="Compact"/>
            </w:pPr>
            <w:r>
              <w:t>Quint 4</w:t>
            </w:r>
          </w:p>
        </w:tc>
        <w:tc>
          <w:tcPr>
            <w:tcW w:w="600" w:type="pct"/>
          </w:tcPr>
          <w:p w14:paraId="0515C9C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34,147</w:t>
            </w:r>
          </w:p>
        </w:tc>
        <w:tc>
          <w:tcPr>
            <w:tcW w:w="593" w:type="pct"/>
          </w:tcPr>
          <w:p w14:paraId="2FEAC60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1,840</w:t>
            </w:r>
          </w:p>
        </w:tc>
        <w:tc>
          <w:tcPr>
            <w:tcW w:w="525" w:type="pct"/>
          </w:tcPr>
          <w:p w14:paraId="5CBC32F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1,476</w:t>
            </w:r>
          </w:p>
        </w:tc>
        <w:tc>
          <w:tcPr>
            <w:tcW w:w="388" w:type="pct"/>
          </w:tcPr>
          <w:p w14:paraId="3AFB221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364</w:t>
            </w:r>
          </w:p>
        </w:tc>
        <w:tc>
          <w:tcPr>
            <w:tcW w:w="461" w:type="pct"/>
          </w:tcPr>
          <w:p w14:paraId="4F56A9D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2.03</w:t>
            </w:r>
          </w:p>
        </w:tc>
        <w:tc>
          <w:tcPr>
            <w:tcW w:w="460" w:type="pct"/>
          </w:tcPr>
          <w:p w14:paraId="4ABE516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1.63</w:t>
            </w:r>
          </w:p>
        </w:tc>
        <w:tc>
          <w:tcPr>
            <w:cnfStyle w:val="000100000000" w:firstRow="0" w:lastRow="0" w:firstColumn="0" w:lastColumn="1" w:oddVBand="0" w:evenVBand="0" w:oddHBand="0" w:evenHBand="0" w:firstRowFirstColumn="0" w:firstRowLastColumn="0" w:lastRowFirstColumn="0" w:lastRowLastColumn="0"/>
            <w:tcW w:w="654" w:type="pct"/>
          </w:tcPr>
          <w:p w14:paraId="0245D462" w14:textId="77777777" w:rsidR="00B44672" w:rsidRDefault="00B44672" w:rsidP="00A567C4">
            <w:pPr>
              <w:pStyle w:val="Compact"/>
              <w:jc w:val="center"/>
            </w:pPr>
            <w:r>
              <w:t>0.40</w:t>
            </w:r>
          </w:p>
        </w:tc>
      </w:tr>
      <w:tr w:rsidR="00B44672" w14:paraId="6ED9D5C4"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05EFA8BF" w14:textId="77777777" w:rsidR="00B44672" w:rsidRDefault="00B44672" w:rsidP="00A567C4">
            <w:pPr>
              <w:pStyle w:val="Compact"/>
            </w:pPr>
            <w:r>
              <w:t>Quint 5</w:t>
            </w:r>
          </w:p>
        </w:tc>
        <w:tc>
          <w:tcPr>
            <w:tcW w:w="600" w:type="pct"/>
          </w:tcPr>
          <w:p w14:paraId="5629636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42,052</w:t>
            </w:r>
          </w:p>
        </w:tc>
        <w:tc>
          <w:tcPr>
            <w:tcW w:w="593" w:type="pct"/>
          </w:tcPr>
          <w:p w14:paraId="0CD7533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3,256</w:t>
            </w:r>
          </w:p>
        </w:tc>
        <w:tc>
          <w:tcPr>
            <w:tcW w:w="525" w:type="pct"/>
          </w:tcPr>
          <w:p w14:paraId="3BA034E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2,323</w:t>
            </w:r>
          </w:p>
        </w:tc>
        <w:tc>
          <w:tcPr>
            <w:tcW w:w="388" w:type="pct"/>
          </w:tcPr>
          <w:p w14:paraId="0C1B610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933</w:t>
            </w:r>
          </w:p>
        </w:tc>
        <w:tc>
          <w:tcPr>
            <w:tcW w:w="461" w:type="pct"/>
          </w:tcPr>
          <w:p w14:paraId="1166503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3.18</w:t>
            </w:r>
          </w:p>
        </w:tc>
        <w:tc>
          <w:tcPr>
            <w:tcW w:w="460" w:type="pct"/>
          </w:tcPr>
          <w:p w14:paraId="1D1F2AF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2.27</w:t>
            </w:r>
          </w:p>
        </w:tc>
        <w:tc>
          <w:tcPr>
            <w:cnfStyle w:val="000100000000" w:firstRow="0" w:lastRow="0" w:firstColumn="0" w:lastColumn="1" w:oddVBand="0" w:evenVBand="0" w:oddHBand="0" w:evenHBand="0" w:firstRowFirstColumn="0" w:firstRowLastColumn="0" w:lastRowFirstColumn="0" w:lastRowLastColumn="0"/>
            <w:tcW w:w="654" w:type="pct"/>
          </w:tcPr>
          <w:p w14:paraId="4FBF096F" w14:textId="77777777" w:rsidR="00B44672" w:rsidRDefault="00B44672" w:rsidP="00A567C4">
            <w:pPr>
              <w:pStyle w:val="Compact"/>
              <w:jc w:val="center"/>
            </w:pPr>
            <w:r>
              <w:t>0.91</w:t>
            </w:r>
          </w:p>
        </w:tc>
      </w:tr>
      <w:tr w:rsidR="00B44672" w14:paraId="763B49FD"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35EAB65E" w14:textId="77777777" w:rsidR="00B44672" w:rsidRDefault="00B44672" w:rsidP="00302865">
            <w:pPr>
              <w:pStyle w:val="Compact"/>
            </w:pPr>
            <w:r w:rsidRPr="00113FC1">
              <w:rPr>
                <w:b/>
                <w:i/>
                <w:iCs/>
                <w:color w:val="365F91" w:themeColor="accent1" w:themeShade="BF"/>
              </w:rPr>
              <w:t>1.24 – 2.19% price change</w:t>
            </w:r>
          </w:p>
        </w:tc>
        <w:tc>
          <w:tcPr>
            <w:tcW w:w="600" w:type="pct"/>
          </w:tcPr>
          <w:p w14:paraId="0862F8D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93" w:type="pct"/>
          </w:tcPr>
          <w:p w14:paraId="57F1D90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25" w:type="pct"/>
          </w:tcPr>
          <w:p w14:paraId="7420AC5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88" w:type="pct"/>
          </w:tcPr>
          <w:p w14:paraId="2480D05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1" w:type="pct"/>
          </w:tcPr>
          <w:p w14:paraId="7CC6475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0" w:type="pct"/>
          </w:tcPr>
          <w:p w14:paraId="5DABC05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54" w:type="pct"/>
          </w:tcPr>
          <w:p w14:paraId="20FF1E54" w14:textId="77777777" w:rsidR="00B44672" w:rsidRDefault="00B44672" w:rsidP="00302865">
            <w:pPr>
              <w:pStyle w:val="Compact"/>
              <w:jc w:val="center"/>
            </w:pPr>
          </w:p>
        </w:tc>
      </w:tr>
      <w:tr w:rsidR="00B44672" w14:paraId="0FEB7517"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B926811" w14:textId="77777777" w:rsidR="00B44672" w:rsidRDefault="00B44672" w:rsidP="00302865">
            <w:pPr>
              <w:pStyle w:val="Compact"/>
            </w:pPr>
            <w:r>
              <w:t>Quint 1</w:t>
            </w:r>
          </w:p>
        </w:tc>
        <w:tc>
          <w:tcPr>
            <w:tcW w:w="600" w:type="pct"/>
          </w:tcPr>
          <w:p w14:paraId="1AAF497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593" w:type="pct"/>
          </w:tcPr>
          <w:p w14:paraId="51A131C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1,100</w:t>
            </w:r>
          </w:p>
        </w:tc>
        <w:tc>
          <w:tcPr>
            <w:tcW w:w="525" w:type="pct"/>
          </w:tcPr>
          <w:p w14:paraId="3000060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958</w:t>
            </w:r>
          </w:p>
        </w:tc>
        <w:tc>
          <w:tcPr>
            <w:tcW w:w="388" w:type="pct"/>
          </w:tcPr>
          <w:p w14:paraId="0BF2EBE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142</w:t>
            </w:r>
          </w:p>
        </w:tc>
        <w:tc>
          <w:tcPr>
            <w:tcW w:w="461" w:type="pct"/>
          </w:tcPr>
          <w:p w14:paraId="0150650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1.43</w:t>
            </w:r>
          </w:p>
        </w:tc>
        <w:tc>
          <w:tcPr>
            <w:tcW w:w="460" w:type="pct"/>
          </w:tcPr>
          <w:p w14:paraId="0440267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1.25</w:t>
            </w:r>
          </w:p>
        </w:tc>
        <w:tc>
          <w:tcPr>
            <w:cnfStyle w:val="000100000000" w:firstRow="0" w:lastRow="0" w:firstColumn="0" w:lastColumn="1" w:oddVBand="0" w:evenVBand="0" w:oddHBand="0" w:evenHBand="0" w:firstRowFirstColumn="0" w:firstRowLastColumn="0" w:lastRowFirstColumn="0" w:lastRowLastColumn="0"/>
            <w:tcW w:w="654" w:type="pct"/>
          </w:tcPr>
          <w:p w14:paraId="2C107F2C" w14:textId="77777777" w:rsidR="00B44672" w:rsidRDefault="00B44672" w:rsidP="00302865">
            <w:pPr>
              <w:pStyle w:val="Compact"/>
              <w:jc w:val="center"/>
            </w:pPr>
            <w:r>
              <w:t>0.18</w:t>
            </w:r>
          </w:p>
        </w:tc>
      </w:tr>
      <w:tr w:rsidR="00B44672" w14:paraId="02A46651"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6F7AD16" w14:textId="77777777" w:rsidR="00B44672" w:rsidRDefault="00B44672" w:rsidP="00302865">
            <w:pPr>
              <w:pStyle w:val="Compact"/>
            </w:pPr>
            <w:r>
              <w:t>Quint 2</w:t>
            </w:r>
          </w:p>
        </w:tc>
        <w:tc>
          <w:tcPr>
            <w:tcW w:w="600" w:type="pct"/>
          </w:tcPr>
          <w:p w14:paraId="76B8104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7,690</w:t>
            </w:r>
          </w:p>
        </w:tc>
        <w:tc>
          <w:tcPr>
            <w:tcW w:w="593" w:type="pct"/>
          </w:tcPr>
          <w:p w14:paraId="0E5454F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1,193</w:t>
            </w:r>
          </w:p>
        </w:tc>
        <w:tc>
          <w:tcPr>
            <w:tcW w:w="525" w:type="pct"/>
          </w:tcPr>
          <w:p w14:paraId="544B9EC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1,020</w:t>
            </w:r>
          </w:p>
        </w:tc>
        <w:tc>
          <w:tcPr>
            <w:tcW w:w="388" w:type="pct"/>
          </w:tcPr>
          <w:p w14:paraId="74163FF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173</w:t>
            </w:r>
          </w:p>
        </w:tc>
        <w:tc>
          <w:tcPr>
            <w:tcW w:w="461" w:type="pct"/>
          </w:tcPr>
          <w:p w14:paraId="14A07EC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1.48</w:t>
            </w:r>
          </w:p>
        </w:tc>
        <w:tc>
          <w:tcPr>
            <w:tcW w:w="460" w:type="pct"/>
          </w:tcPr>
          <w:p w14:paraId="6C2CA45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1.27</w:t>
            </w:r>
          </w:p>
        </w:tc>
        <w:tc>
          <w:tcPr>
            <w:cnfStyle w:val="000100000000" w:firstRow="0" w:lastRow="0" w:firstColumn="0" w:lastColumn="1" w:oddVBand="0" w:evenVBand="0" w:oddHBand="0" w:evenHBand="0" w:firstRowFirstColumn="0" w:firstRowLastColumn="0" w:lastRowFirstColumn="0" w:lastRowLastColumn="0"/>
            <w:tcW w:w="654" w:type="pct"/>
          </w:tcPr>
          <w:p w14:paraId="07A93D61" w14:textId="77777777" w:rsidR="00B44672" w:rsidRDefault="00B44672" w:rsidP="00302865">
            <w:pPr>
              <w:pStyle w:val="Compact"/>
              <w:jc w:val="center"/>
            </w:pPr>
            <w:r>
              <w:t>0.22</w:t>
            </w:r>
          </w:p>
        </w:tc>
      </w:tr>
      <w:tr w:rsidR="00B44672" w14:paraId="34A95A20"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77F5EE1D" w14:textId="77777777" w:rsidR="00B44672" w:rsidRDefault="00B44672" w:rsidP="00302865">
            <w:pPr>
              <w:pStyle w:val="Compact"/>
            </w:pPr>
            <w:r>
              <w:t>Quint 3</w:t>
            </w:r>
          </w:p>
        </w:tc>
        <w:tc>
          <w:tcPr>
            <w:tcW w:w="600" w:type="pct"/>
          </w:tcPr>
          <w:p w14:paraId="30BCD3B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28,081</w:t>
            </w:r>
          </w:p>
        </w:tc>
        <w:tc>
          <w:tcPr>
            <w:tcW w:w="593" w:type="pct"/>
          </w:tcPr>
          <w:p w14:paraId="5711C8C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1,556</w:t>
            </w:r>
          </w:p>
        </w:tc>
        <w:tc>
          <w:tcPr>
            <w:tcW w:w="525" w:type="pct"/>
          </w:tcPr>
          <w:p w14:paraId="60512D5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1,277</w:t>
            </w:r>
          </w:p>
        </w:tc>
        <w:tc>
          <w:tcPr>
            <w:tcW w:w="388" w:type="pct"/>
          </w:tcPr>
          <w:p w14:paraId="2545971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280</w:t>
            </w:r>
          </w:p>
        </w:tc>
        <w:tc>
          <w:tcPr>
            <w:tcW w:w="461" w:type="pct"/>
          </w:tcPr>
          <w:p w14:paraId="79C2D69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tcW w:w="460" w:type="pct"/>
          </w:tcPr>
          <w:p w14:paraId="42AFAC1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1.38</w:t>
            </w:r>
          </w:p>
        </w:tc>
        <w:tc>
          <w:tcPr>
            <w:cnfStyle w:val="000100000000" w:firstRow="0" w:lastRow="0" w:firstColumn="0" w:lastColumn="1" w:oddVBand="0" w:evenVBand="0" w:oddHBand="0" w:evenHBand="0" w:firstRowFirstColumn="0" w:firstRowLastColumn="0" w:lastRowFirstColumn="0" w:lastRowLastColumn="0"/>
            <w:tcW w:w="654" w:type="pct"/>
          </w:tcPr>
          <w:p w14:paraId="68698F3F" w14:textId="77777777" w:rsidR="00B44672" w:rsidRDefault="00B44672" w:rsidP="00302865">
            <w:pPr>
              <w:pStyle w:val="Compact"/>
              <w:jc w:val="center"/>
            </w:pPr>
            <w:r>
              <w:t>0.30</w:t>
            </w:r>
          </w:p>
        </w:tc>
      </w:tr>
      <w:tr w:rsidR="00B44672" w14:paraId="544DA0AD" w14:textId="77777777" w:rsidTr="00302865">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FF3493A" w14:textId="77777777" w:rsidR="00B44672" w:rsidRDefault="00B44672" w:rsidP="00302865">
            <w:pPr>
              <w:pStyle w:val="Compact"/>
            </w:pPr>
            <w:r>
              <w:t>Quint 4</w:t>
            </w:r>
          </w:p>
        </w:tc>
        <w:tc>
          <w:tcPr>
            <w:tcW w:w="600" w:type="pct"/>
          </w:tcPr>
          <w:p w14:paraId="134D1A7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34,154</w:t>
            </w:r>
          </w:p>
        </w:tc>
        <w:tc>
          <w:tcPr>
            <w:tcW w:w="593" w:type="pct"/>
          </w:tcPr>
          <w:p w14:paraId="0FFD7D1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1,840</w:t>
            </w:r>
          </w:p>
        </w:tc>
        <w:tc>
          <w:tcPr>
            <w:tcW w:w="525" w:type="pct"/>
          </w:tcPr>
          <w:p w14:paraId="0AB4626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1,476</w:t>
            </w:r>
          </w:p>
        </w:tc>
        <w:tc>
          <w:tcPr>
            <w:tcW w:w="388" w:type="pct"/>
          </w:tcPr>
          <w:p w14:paraId="452FBFB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363</w:t>
            </w:r>
          </w:p>
        </w:tc>
        <w:tc>
          <w:tcPr>
            <w:tcW w:w="461" w:type="pct"/>
          </w:tcPr>
          <w:p w14:paraId="53DBA9F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2.03</w:t>
            </w:r>
          </w:p>
        </w:tc>
        <w:tc>
          <w:tcPr>
            <w:tcW w:w="460" w:type="pct"/>
          </w:tcPr>
          <w:p w14:paraId="2D13A58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1.63</w:t>
            </w:r>
          </w:p>
        </w:tc>
        <w:tc>
          <w:tcPr>
            <w:cnfStyle w:val="000100000000" w:firstRow="0" w:lastRow="0" w:firstColumn="0" w:lastColumn="1" w:oddVBand="0" w:evenVBand="0" w:oddHBand="0" w:evenHBand="0" w:firstRowFirstColumn="0" w:firstRowLastColumn="0" w:lastRowFirstColumn="0" w:lastRowLastColumn="0"/>
            <w:tcW w:w="654" w:type="pct"/>
          </w:tcPr>
          <w:p w14:paraId="65C1BBC7" w14:textId="77777777" w:rsidR="00B44672" w:rsidRDefault="00B44672" w:rsidP="00302865">
            <w:pPr>
              <w:pStyle w:val="Compact"/>
              <w:jc w:val="center"/>
            </w:pPr>
            <w:r>
              <w:t>0.40</w:t>
            </w:r>
          </w:p>
        </w:tc>
      </w:tr>
      <w:tr w:rsidR="00B44672" w14:paraId="5F9E5F88" w14:textId="77777777" w:rsidTr="0030286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4119EF74" w14:textId="77777777" w:rsidR="00B44672" w:rsidRDefault="00B44672" w:rsidP="00302865">
            <w:pPr>
              <w:pStyle w:val="Compact"/>
            </w:pPr>
            <w:r>
              <w:t>Quint 5</w:t>
            </w:r>
          </w:p>
        </w:tc>
        <w:tc>
          <w:tcPr>
            <w:tcW w:w="600" w:type="pct"/>
          </w:tcPr>
          <w:p w14:paraId="1B04107B"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42,052</w:t>
            </w:r>
          </w:p>
        </w:tc>
        <w:tc>
          <w:tcPr>
            <w:tcW w:w="593" w:type="pct"/>
          </w:tcPr>
          <w:p w14:paraId="05F90246"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3,256</w:t>
            </w:r>
          </w:p>
        </w:tc>
        <w:tc>
          <w:tcPr>
            <w:tcW w:w="525" w:type="pct"/>
          </w:tcPr>
          <w:p w14:paraId="3CD8E4C3"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2,324</w:t>
            </w:r>
          </w:p>
        </w:tc>
        <w:tc>
          <w:tcPr>
            <w:tcW w:w="388" w:type="pct"/>
          </w:tcPr>
          <w:p w14:paraId="67CCE28E"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932</w:t>
            </w:r>
          </w:p>
        </w:tc>
        <w:tc>
          <w:tcPr>
            <w:tcW w:w="461" w:type="pct"/>
          </w:tcPr>
          <w:p w14:paraId="3A1C59FF"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3.18</w:t>
            </w:r>
          </w:p>
        </w:tc>
        <w:tc>
          <w:tcPr>
            <w:tcW w:w="460" w:type="pct"/>
          </w:tcPr>
          <w:p w14:paraId="6CB56181"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2.27</w:t>
            </w:r>
          </w:p>
        </w:tc>
        <w:tc>
          <w:tcPr>
            <w:cnfStyle w:val="000100000000" w:firstRow="0" w:lastRow="0" w:firstColumn="0" w:lastColumn="1" w:oddVBand="0" w:evenVBand="0" w:oddHBand="0" w:evenHBand="0" w:firstRowFirstColumn="0" w:firstRowLastColumn="0" w:lastRowFirstColumn="0" w:lastRowLastColumn="0"/>
            <w:tcW w:w="654" w:type="pct"/>
          </w:tcPr>
          <w:p w14:paraId="056A71DA" w14:textId="77777777" w:rsidR="00B44672" w:rsidRDefault="00B44672" w:rsidP="00302865">
            <w:pPr>
              <w:pStyle w:val="Compact"/>
              <w:jc w:val="center"/>
            </w:pPr>
            <w:r>
              <w:t>0.91</w:t>
            </w:r>
          </w:p>
        </w:tc>
      </w:tr>
    </w:tbl>
    <w:p w14:paraId="59C3CC1B"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477A10A2" w14:textId="77777777" w:rsidR="00B44672" w:rsidRDefault="00B44672">
      <w:pPr>
        <w:jc w:val="left"/>
        <w:rPr>
          <w:b/>
        </w:rPr>
      </w:pPr>
      <w:r>
        <w:rPr>
          <w:b/>
        </w:rPr>
        <w:br w:type="page"/>
      </w:r>
    </w:p>
    <w:p w14:paraId="30DCF51D" w14:textId="77777777" w:rsidR="00B44672" w:rsidRDefault="00B44672" w:rsidP="00C83581">
      <w:pPr>
        <w:pStyle w:val="FirstParagraph"/>
      </w:pPr>
      <w:r>
        <w:rPr>
          <w:b/>
        </w:rPr>
        <w:lastRenderedPageBreak/>
        <w:t>Stamp duty and rate payment distribution</w:t>
      </w:r>
    </w:p>
    <w:p w14:paraId="27B42058" w14:textId="77777777" w:rsidR="00B44672" w:rsidRDefault="00B44672" w:rsidP="00C83581">
      <w:pPr>
        <w:pStyle w:val="TableCaption"/>
      </w:pPr>
      <w:r>
        <w:t>Table 24 - The impact of tax reform on the stamp duty and general rate distribution by wealth quintile, average 2012 - 2018</w:t>
      </w:r>
    </w:p>
    <w:tbl>
      <w:tblPr>
        <w:tblStyle w:val="Table"/>
        <w:tblW w:w="4956" w:type="pct"/>
        <w:jc w:val="center"/>
        <w:tblCellMar>
          <w:left w:w="0" w:type="dxa"/>
          <w:right w:w="0" w:type="dxa"/>
        </w:tblCellMar>
        <w:tblLook w:val="07E0" w:firstRow="1" w:lastRow="1" w:firstColumn="1" w:lastColumn="1" w:noHBand="1" w:noVBand="1"/>
        <w:tblCaption w:val="Table 24 - The impact of tax reform on the stamp duty and general rate distribution by wealth quintile, average 2012 - 2018"/>
      </w:tblPr>
      <w:tblGrid>
        <w:gridCol w:w="2506"/>
        <w:gridCol w:w="2553"/>
        <w:gridCol w:w="2634"/>
        <w:gridCol w:w="1254"/>
      </w:tblGrid>
      <w:tr w:rsidR="00B44672" w14:paraId="6AB3A2B7" w14:textId="77777777" w:rsidTr="00A567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0" w:type="pct"/>
            <w:tcBorders>
              <w:bottom w:val="single" w:sz="0" w:space="0" w:color="auto"/>
            </w:tcBorders>
            <w:vAlign w:val="bottom"/>
          </w:tcPr>
          <w:p w14:paraId="44499C65" w14:textId="77777777" w:rsidR="00B44672" w:rsidRDefault="00B44672" w:rsidP="000511CA"/>
        </w:tc>
        <w:tc>
          <w:tcPr>
            <w:tcW w:w="1427" w:type="pct"/>
            <w:tcBorders>
              <w:bottom w:val="single" w:sz="0" w:space="0" w:color="auto"/>
            </w:tcBorders>
            <w:vAlign w:val="bottom"/>
          </w:tcPr>
          <w:p w14:paraId="5701B305"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w:t>
            </w:r>
          </w:p>
        </w:tc>
        <w:tc>
          <w:tcPr>
            <w:tcW w:w="1472" w:type="pct"/>
            <w:tcBorders>
              <w:bottom w:val="single" w:sz="0" w:space="0" w:color="auto"/>
            </w:tcBorders>
            <w:vAlign w:val="bottom"/>
          </w:tcPr>
          <w:p w14:paraId="773DA8F8"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w:t>
            </w:r>
          </w:p>
        </w:tc>
        <w:tc>
          <w:tcPr>
            <w:cnfStyle w:val="000100000000" w:firstRow="0" w:lastRow="0" w:firstColumn="0" w:lastColumn="1" w:oddVBand="0" w:evenVBand="0" w:oddHBand="0" w:evenHBand="0" w:firstRowFirstColumn="0" w:firstRowLastColumn="0" w:lastRowFirstColumn="0" w:lastRowLastColumn="0"/>
            <w:tcW w:w="701" w:type="pct"/>
            <w:tcBorders>
              <w:bottom w:val="single" w:sz="0" w:space="0" w:color="auto"/>
            </w:tcBorders>
            <w:vAlign w:val="bottom"/>
          </w:tcPr>
          <w:p w14:paraId="1388305A" w14:textId="77777777" w:rsidR="00B44672" w:rsidRDefault="00B44672" w:rsidP="000511CA">
            <w:pPr>
              <w:pStyle w:val="Compact"/>
              <w:jc w:val="center"/>
            </w:pPr>
            <w:r>
              <w:t>Diff (% point)</w:t>
            </w:r>
          </w:p>
        </w:tc>
      </w:tr>
      <w:tr w:rsidR="00B44672" w14:paraId="36C4708F"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08764543" w14:textId="77777777" w:rsidR="00B44672" w:rsidRDefault="00B44672" w:rsidP="00C32ED3">
            <w:pPr>
              <w:pStyle w:val="Compact"/>
            </w:pPr>
            <w:r w:rsidRPr="00AF6491">
              <w:rPr>
                <w:b/>
                <w:i/>
                <w:iCs/>
                <w:color w:val="365F91" w:themeColor="accent1" w:themeShade="BF"/>
              </w:rPr>
              <w:t>No price change</w:t>
            </w:r>
          </w:p>
        </w:tc>
        <w:tc>
          <w:tcPr>
            <w:tcW w:w="1427" w:type="pct"/>
          </w:tcPr>
          <w:p w14:paraId="3C4BDBB4"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1472" w:type="pct"/>
          </w:tcPr>
          <w:p w14:paraId="4538635B"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01" w:type="pct"/>
          </w:tcPr>
          <w:p w14:paraId="1F48612B" w14:textId="77777777" w:rsidR="00B44672" w:rsidRDefault="00B44672" w:rsidP="00C32ED3">
            <w:pPr>
              <w:pStyle w:val="Compact"/>
              <w:jc w:val="center"/>
            </w:pPr>
          </w:p>
        </w:tc>
      </w:tr>
      <w:tr w:rsidR="00B44672" w14:paraId="644B9317"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291EF1CC" w14:textId="77777777" w:rsidR="00B44672" w:rsidRDefault="00B44672" w:rsidP="00C32ED3">
            <w:pPr>
              <w:pStyle w:val="Compact"/>
            </w:pPr>
            <w:r>
              <w:t>Quint 1</w:t>
            </w:r>
          </w:p>
        </w:tc>
        <w:tc>
          <w:tcPr>
            <w:tcW w:w="1427" w:type="pct"/>
          </w:tcPr>
          <w:p w14:paraId="232EDC67"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0.13</w:t>
            </w:r>
          </w:p>
        </w:tc>
        <w:tc>
          <w:tcPr>
            <w:tcW w:w="1472" w:type="pct"/>
          </w:tcPr>
          <w:p w14:paraId="57CA2539"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0.11</w:t>
            </w:r>
          </w:p>
        </w:tc>
        <w:tc>
          <w:tcPr>
            <w:cnfStyle w:val="000100000000" w:firstRow="0" w:lastRow="0" w:firstColumn="0" w:lastColumn="1" w:oddVBand="0" w:evenVBand="0" w:oddHBand="0" w:evenHBand="0" w:firstRowFirstColumn="0" w:firstRowLastColumn="0" w:lastRowFirstColumn="0" w:lastRowLastColumn="0"/>
            <w:tcW w:w="701" w:type="pct"/>
          </w:tcPr>
          <w:p w14:paraId="0102D254" w14:textId="77777777" w:rsidR="00B44672" w:rsidRDefault="00B44672" w:rsidP="00C32ED3">
            <w:pPr>
              <w:pStyle w:val="Compact"/>
              <w:jc w:val="center"/>
            </w:pPr>
            <w:r>
              <w:t>0.01</w:t>
            </w:r>
          </w:p>
        </w:tc>
      </w:tr>
      <w:tr w:rsidR="00B44672" w14:paraId="60774B4C"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4256CA80" w14:textId="77777777" w:rsidR="00B44672" w:rsidRDefault="00B44672" w:rsidP="00C32ED3">
            <w:pPr>
              <w:pStyle w:val="Compact"/>
            </w:pPr>
            <w:r>
              <w:t>Quint 2</w:t>
            </w:r>
          </w:p>
        </w:tc>
        <w:tc>
          <w:tcPr>
            <w:tcW w:w="1427" w:type="pct"/>
          </w:tcPr>
          <w:p w14:paraId="16A35A15"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6.60</w:t>
            </w:r>
          </w:p>
        </w:tc>
        <w:tc>
          <w:tcPr>
            <w:tcW w:w="1472" w:type="pct"/>
          </w:tcPr>
          <w:p w14:paraId="13C39958"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7.09</w:t>
            </w:r>
          </w:p>
        </w:tc>
        <w:tc>
          <w:tcPr>
            <w:cnfStyle w:val="000100000000" w:firstRow="0" w:lastRow="0" w:firstColumn="0" w:lastColumn="1" w:oddVBand="0" w:evenVBand="0" w:oddHBand="0" w:evenHBand="0" w:firstRowFirstColumn="0" w:firstRowLastColumn="0" w:lastRowFirstColumn="0" w:lastRowLastColumn="0"/>
            <w:tcW w:w="701" w:type="pct"/>
          </w:tcPr>
          <w:p w14:paraId="51DE83E8" w14:textId="77777777" w:rsidR="00B44672" w:rsidRDefault="00B44672" w:rsidP="00C32ED3">
            <w:pPr>
              <w:pStyle w:val="Compact"/>
              <w:jc w:val="center"/>
            </w:pPr>
            <w:r>
              <w:t>-0.49</w:t>
            </w:r>
          </w:p>
        </w:tc>
      </w:tr>
      <w:tr w:rsidR="00B44672" w14:paraId="670A4302"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5B9091A7" w14:textId="77777777" w:rsidR="00B44672" w:rsidRDefault="00B44672" w:rsidP="00C32ED3">
            <w:pPr>
              <w:pStyle w:val="Compact"/>
            </w:pPr>
            <w:r>
              <w:t>Quint 3</w:t>
            </w:r>
          </w:p>
        </w:tc>
        <w:tc>
          <w:tcPr>
            <w:tcW w:w="1427" w:type="pct"/>
          </w:tcPr>
          <w:p w14:paraId="543094D9"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20.74</w:t>
            </w:r>
          </w:p>
        </w:tc>
        <w:tc>
          <w:tcPr>
            <w:tcW w:w="1472" w:type="pct"/>
          </w:tcPr>
          <w:p w14:paraId="66CB3939"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22.49</w:t>
            </w:r>
          </w:p>
        </w:tc>
        <w:tc>
          <w:tcPr>
            <w:cnfStyle w:val="000100000000" w:firstRow="0" w:lastRow="0" w:firstColumn="0" w:lastColumn="1" w:oddVBand="0" w:evenVBand="0" w:oddHBand="0" w:evenHBand="0" w:firstRowFirstColumn="0" w:firstRowLastColumn="0" w:lastRowFirstColumn="0" w:lastRowLastColumn="0"/>
            <w:tcW w:w="701" w:type="pct"/>
          </w:tcPr>
          <w:p w14:paraId="1D5F2B3B" w14:textId="77777777" w:rsidR="00B44672" w:rsidRDefault="00B44672" w:rsidP="00C32ED3">
            <w:pPr>
              <w:pStyle w:val="Compact"/>
              <w:jc w:val="center"/>
            </w:pPr>
            <w:r>
              <w:t>-1.75</w:t>
            </w:r>
          </w:p>
        </w:tc>
      </w:tr>
      <w:tr w:rsidR="00B44672" w14:paraId="1BBB6B5F"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0FB995FF" w14:textId="77777777" w:rsidR="00B44672" w:rsidRDefault="00B44672" w:rsidP="00C32ED3">
            <w:pPr>
              <w:pStyle w:val="Compact"/>
            </w:pPr>
            <w:r>
              <w:t>Quint 4</w:t>
            </w:r>
          </w:p>
        </w:tc>
        <w:tc>
          <w:tcPr>
            <w:tcW w:w="1427" w:type="pct"/>
          </w:tcPr>
          <w:p w14:paraId="5DBC0B30"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26.98</w:t>
            </w:r>
          </w:p>
        </w:tc>
        <w:tc>
          <w:tcPr>
            <w:tcW w:w="1472" w:type="pct"/>
          </w:tcPr>
          <w:p w14:paraId="12060915"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28.23</w:t>
            </w:r>
          </w:p>
        </w:tc>
        <w:tc>
          <w:tcPr>
            <w:cnfStyle w:val="000100000000" w:firstRow="0" w:lastRow="0" w:firstColumn="0" w:lastColumn="1" w:oddVBand="0" w:evenVBand="0" w:oddHBand="0" w:evenHBand="0" w:firstRowFirstColumn="0" w:firstRowLastColumn="0" w:lastRowFirstColumn="0" w:lastRowLastColumn="0"/>
            <w:tcW w:w="701" w:type="pct"/>
          </w:tcPr>
          <w:p w14:paraId="0C97198A" w14:textId="77777777" w:rsidR="00B44672" w:rsidRDefault="00B44672" w:rsidP="00C32ED3">
            <w:pPr>
              <w:pStyle w:val="Compact"/>
              <w:jc w:val="center"/>
            </w:pPr>
            <w:r>
              <w:t>-1.24</w:t>
            </w:r>
          </w:p>
        </w:tc>
      </w:tr>
      <w:tr w:rsidR="00B44672" w14:paraId="053107BE"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0012E3BF" w14:textId="77777777" w:rsidR="00B44672" w:rsidRDefault="00B44672" w:rsidP="00C32ED3">
            <w:pPr>
              <w:pStyle w:val="Compact"/>
            </w:pPr>
            <w:r>
              <w:t>Quint 5</w:t>
            </w:r>
          </w:p>
        </w:tc>
        <w:tc>
          <w:tcPr>
            <w:tcW w:w="1427" w:type="pct"/>
          </w:tcPr>
          <w:p w14:paraId="6FB7CDC2"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45.55</w:t>
            </w:r>
          </w:p>
        </w:tc>
        <w:tc>
          <w:tcPr>
            <w:tcW w:w="1472" w:type="pct"/>
          </w:tcPr>
          <w:p w14:paraId="795D6E3B"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42.08</w:t>
            </w:r>
          </w:p>
        </w:tc>
        <w:tc>
          <w:tcPr>
            <w:cnfStyle w:val="000100000000" w:firstRow="0" w:lastRow="0" w:firstColumn="0" w:lastColumn="1" w:oddVBand="0" w:evenVBand="0" w:oddHBand="0" w:evenHBand="0" w:firstRowFirstColumn="0" w:firstRowLastColumn="0" w:lastRowFirstColumn="0" w:lastRowLastColumn="0"/>
            <w:tcW w:w="701" w:type="pct"/>
          </w:tcPr>
          <w:p w14:paraId="105AC47F" w14:textId="77777777" w:rsidR="00B44672" w:rsidRDefault="00B44672" w:rsidP="00C32ED3">
            <w:pPr>
              <w:pStyle w:val="Compact"/>
              <w:jc w:val="center"/>
            </w:pPr>
            <w:r>
              <w:t>3.47</w:t>
            </w:r>
          </w:p>
        </w:tc>
      </w:tr>
      <w:tr w:rsidR="00B44672" w14:paraId="65F73D39"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4502C210"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1427" w:type="pct"/>
          </w:tcPr>
          <w:p w14:paraId="15DBC8F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1472" w:type="pct"/>
          </w:tcPr>
          <w:p w14:paraId="2BB872F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01" w:type="pct"/>
          </w:tcPr>
          <w:p w14:paraId="5E1EFDB0" w14:textId="77777777" w:rsidR="00B44672" w:rsidRDefault="00B44672" w:rsidP="00A567C4">
            <w:pPr>
              <w:pStyle w:val="Compact"/>
              <w:jc w:val="center"/>
            </w:pPr>
          </w:p>
        </w:tc>
      </w:tr>
      <w:tr w:rsidR="00B44672" w14:paraId="3FF58D36"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58F4B050" w14:textId="77777777" w:rsidR="00B44672" w:rsidRDefault="00B44672" w:rsidP="00A567C4">
            <w:pPr>
              <w:pStyle w:val="Compact"/>
            </w:pPr>
            <w:r>
              <w:t>Quint 1</w:t>
            </w:r>
          </w:p>
        </w:tc>
        <w:tc>
          <w:tcPr>
            <w:tcW w:w="1427" w:type="pct"/>
          </w:tcPr>
          <w:p w14:paraId="3E1CC98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0.13</w:t>
            </w:r>
          </w:p>
        </w:tc>
        <w:tc>
          <w:tcPr>
            <w:tcW w:w="1472" w:type="pct"/>
          </w:tcPr>
          <w:p w14:paraId="716BF91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0.11</w:t>
            </w:r>
          </w:p>
        </w:tc>
        <w:tc>
          <w:tcPr>
            <w:cnfStyle w:val="000100000000" w:firstRow="0" w:lastRow="0" w:firstColumn="0" w:lastColumn="1" w:oddVBand="0" w:evenVBand="0" w:oddHBand="0" w:evenHBand="0" w:firstRowFirstColumn="0" w:firstRowLastColumn="0" w:lastRowFirstColumn="0" w:lastRowLastColumn="0"/>
            <w:tcW w:w="701" w:type="pct"/>
          </w:tcPr>
          <w:p w14:paraId="563EBD6B" w14:textId="77777777" w:rsidR="00B44672" w:rsidRDefault="00B44672" w:rsidP="00A567C4">
            <w:pPr>
              <w:pStyle w:val="Compact"/>
              <w:jc w:val="center"/>
            </w:pPr>
            <w:r>
              <w:t>0.01</w:t>
            </w:r>
          </w:p>
        </w:tc>
      </w:tr>
      <w:tr w:rsidR="00B44672" w14:paraId="39F92EA0"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4A371434" w14:textId="77777777" w:rsidR="00B44672" w:rsidRDefault="00B44672" w:rsidP="00A567C4">
            <w:pPr>
              <w:pStyle w:val="Compact"/>
            </w:pPr>
            <w:r>
              <w:t>Quint 2</w:t>
            </w:r>
          </w:p>
        </w:tc>
        <w:tc>
          <w:tcPr>
            <w:tcW w:w="1427" w:type="pct"/>
          </w:tcPr>
          <w:p w14:paraId="3E0EE29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6.60</w:t>
            </w:r>
          </w:p>
        </w:tc>
        <w:tc>
          <w:tcPr>
            <w:tcW w:w="1472" w:type="pct"/>
          </w:tcPr>
          <w:p w14:paraId="5C176A3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7.13</w:t>
            </w:r>
          </w:p>
        </w:tc>
        <w:tc>
          <w:tcPr>
            <w:cnfStyle w:val="000100000000" w:firstRow="0" w:lastRow="0" w:firstColumn="0" w:lastColumn="1" w:oddVBand="0" w:evenVBand="0" w:oddHBand="0" w:evenHBand="0" w:firstRowFirstColumn="0" w:firstRowLastColumn="0" w:lastRowFirstColumn="0" w:lastRowLastColumn="0"/>
            <w:tcW w:w="701" w:type="pct"/>
          </w:tcPr>
          <w:p w14:paraId="09526BAB" w14:textId="77777777" w:rsidR="00B44672" w:rsidRDefault="00B44672" w:rsidP="00A567C4">
            <w:pPr>
              <w:pStyle w:val="Compact"/>
              <w:jc w:val="center"/>
            </w:pPr>
            <w:r>
              <w:t>-0.52</w:t>
            </w:r>
          </w:p>
        </w:tc>
      </w:tr>
      <w:tr w:rsidR="00B44672" w14:paraId="4A0A4E9C"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277E901C" w14:textId="77777777" w:rsidR="00B44672" w:rsidRDefault="00B44672" w:rsidP="00A567C4">
            <w:pPr>
              <w:pStyle w:val="Compact"/>
            </w:pPr>
            <w:r>
              <w:t>Quint 3</w:t>
            </w:r>
          </w:p>
        </w:tc>
        <w:tc>
          <w:tcPr>
            <w:tcW w:w="1427" w:type="pct"/>
          </w:tcPr>
          <w:p w14:paraId="3D6B4FC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20.74</w:t>
            </w:r>
          </w:p>
        </w:tc>
        <w:tc>
          <w:tcPr>
            <w:tcW w:w="1472" w:type="pct"/>
          </w:tcPr>
          <w:p w14:paraId="58E125D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22.44</w:t>
            </w:r>
          </w:p>
        </w:tc>
        <w:tc>
          <w:tcPr>
            <w:cnfStyle w:val="000100000000" w:firstRow="0" w:lastRow="0" w:firstColumn="0" w:lastColumn="1" w:oddVBand="0" w:evenVBand="0" w:oddHBand="0" w:evenHBand="0" w:firstRowFirstColumn="0" w:firstRowLastColumn="0" w:lastRowFirstColumn="0" w:lastRowLastColumn="0"/>
            <w:tcW w:w="701" w:type="pct"/>
          </w:tcPr>
          <w:p w14:paraId="5075960D" w14:textId="77777777" w:rsidR="00B44672" w:rsidRDefault="00B44672" w:rsidP="00A567C4">
            <w:pPr>
              <w:pStyle w:val="Compact"/>
              <w:jc w:val="center"/>
            </w:pPr>
            <w:r>
              <w:t>-1.70</w:t>
            </w:r>
          </w:p>
        </w:tc>
      </w:tr>
      <w:tr w:rsidR="00B44672" w14:paraId="7B16D943"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08768101" w14:textId="77777777" w:rsidR="00B44672" w:rsidRDefault="00B44672" w:rsidP="00A567C4">
            <w:pPr>
              <w:pStyle w:val="Compact"/>
            </w:pPr>
            <w:r>
              <w:t>Quint 4</w:t>
            </w:r>
          </w:p>
        </w:tc>
        <w:tc>
          <w:tcPr>
            <w:tcW w:w="1427" w:type="pct"/>
          </w:tcPr>
          <w:p w14:paraId="453FBE0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26.98</w:t>
            </w:r>
          </w:p>
        </w:tc>
        <w:tc>
          <w:tcPr>
            <w:tcW w:w="1472" w:type="pct"/>
          </w:tcPr>
          <w:p w14:paraId="396A1B5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28.21</w:t>
            </w:r>
          </w:p>
        </w:tc>
        <w:tc>
          <w:tcPr>
            <w:cnfStyle w:val="000100000000" w:firstRow="0" w:lastRow="0" w:firstColumn="0" w:lastColumn="1" w:oddVBand="0" w:evenVBand="0" w:oddHBand="0" w:evenHBand="0" w:firstRowFirstColumn="0" w:firstRowLastColumn="0" w:lastRowFirstColumn="0" w:lastRowLastColumn="0"/>
            <w:tcW w:w="701" w:type="pct"/>
          </w:tcPr>
          <w:p w14:paraId="36A88C30" w14:textId="77777777" w:rsidR="00B44672" w:rsidRDefault="00B44672" w:rsidP="00A567C4">
            <w:pPr>
              <w:pStyle w:val="Compact"/>
              <w:jc w:val="center"/>
            </w:pPr>
            <w:r>
              <w:t>-1.23</w:t>
            </w:r>
          </w:p>
        </w:tc>
      </w:tr>
      <w:tr w:rsidR="00B44672" w14:paraId="7D43A66E"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3699D8A6" w14:textId="77777777" w:rsidR="00B44672" w:rsidRDefault="00B44672" w:rsidP="00A567C4">
            <w:pPr>
              <w:pStyle w:val="Compact"/>
            </w:pPr>
            <w:r>
              <w:t>Quint 5</w:t>
            </w:r>
          </w:p>
        </w:tc>
        <w:tc>
          <w:tcPr>
            <w:tcW w:w="1427" w:type="pct"/>
          </w:tcPr>
          <w:p w14:paraId="4719352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45.55</w:t>
            </w:r>
          </w:p>
        </w:tc>
        <w:tc>
          <w:tcPr>
            <w:tcW w:w="1472" w:type="pct"/>
          </w:tcPr>
          <w:p w14:paraId="2D1881F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42.12</w:t>
            </w:r>
          </w:p>
        </w:tc>
        <w:tc>
          <w:tcPr>
            <w:cnfStyle w:val="000100000000" w:firstRow="0" w:lastRow="0" w:firstColumn="0" w:lastColumn="1" w:oddVBand="0" w:evenVBand="0" w:oddHBand="0" w:evenHBand="0" w:firstRowFirstColumn="0" w:firstRowLastColumn="0" w:lastRowFirstColumn="0" w:lastRowLastColumn="0"/>
            <w:tcW w:w="701" w:type="pct"/>
          </w:tcPr>
          <w:p w14:paraId="203DC88E" w14:textId="77777777" w:rsidR="00B44672" w:rsidRDefault="00B44672" w:rsidP="00A567C4">
            <w:pPr>
              <w:pStyle w:val="Compact"/>
              <w:jc w:val="center"/>
            </w:pPr>
            <w:r>
              <w:t>3.44</w:t>
            </w:r>
          </w:p>
        </w:tc>
      </w:tr>
      <w:tr w:rsidR="00B44672" w14:paraId="22E57D8E"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2754C8AB" w14:textId="77777777" w:rsidR="00B44672" w:rsidRDefault="00B44672" w:rsidP="00302865">
            <w:pPr>
              <w:pStyle w:val="Compact"/>
            </w:pPr>
            <w:r w:rsidRPr="00113FC1">
              <w:rPr>
                <w:b/>
                <w:i/>
                <w:iCs/>
                <w:color w:val="365F91" w:themeColor="accent1" w:themeShade="BF"/>
              </w:rPr>
              <w:t>1.24 – 2.19% price change</w:t>
            </w:r>
          </w:p>
        </w:tc>
        <w:tc>
          <w:tcPr>
            <w:tcW w:w="1427" w:type="pct"/>
          </w:tcPr>
          <w:p w14:paraId="7AA3019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1472" w:type="pct"/>
          </w:tcPr>
          <w:p w14:paraId="5A80E3E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01" w:type="pct"/>
          </w:tcPr>
          <w:p w14:paraId="1DB42468" w14:textId="77777777" w:rsidR="00B44672" w:rsidRDefault="00B44672" w:rsidP="00302865">
            <w:pPr>
              <w:pStyle w:val="Compact"/>
              <w:jc w:val="center"/>
            </w:pPr>
          </w:p>
        </w:tc>
      </w:tr>
      <w:tr w:rsidR="00B44672" w14:paraId="253667C9"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590E66E8" w14:textId="77777777" w:rsidR="00B44672" w:rsidRDefault="00B44672" w:rsidP="00302865">
            <w:pPr>
              <w:pStyle w:val="Compact"/>
            </w:pPr>
            <w:r>
              <w:t>Quint 1</w:t>
            </w:r>
          </w:p>
        </w:tc>
        <w:tc>
          <w:tcPr>
            <w:tcW w:w="1427" w:type="pct"/>
          </w:tcPr>
          <w:p w14:paraId="188EC69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0.13</w:t>
            </w:r>
          </w:p>
        </w:tc>
        <w:tc>
          <w:tcPr>
            <w:tcW w:w="1472" w:type="pct"/>
          </w:tcPr>
          <w:p w14:paraId="3864A54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0.12</w:t>
            </w:r>
          </w:p>
        </w:tc>
        <w:tc>
          <w:tcPr>
            <w:cnfStyle w:val="000100000000" w:firstRow="0" w:lastRow="0" w:firstColumn="0" w:lastColumn="1" w:oddVBand="0" w:evenVBand="0" w:oddHBand="0" w:evenHBand="0" w:firstRowFirstColumn="0" w:firstRowLastColumn="0" w:lastRowFirstColumn="0" w:lastRowLastColumn="0"/>
            <w:tcW w:w="701" w:type="pct"/>
          </w:tcPr>
          <w:p w14:paraId="0825979F" w14:textId="77777777" w:rsidR="00B44672" w:rsidRDefault="00B44672" w:rsidP="00302865">
            <w:pPr>
              <w:pStyle w:val="Compact"/>
              <w:jc w:val="center"/>
            </w:pPr>
            <w:r>
              <w:t>0.01</w:t>
            </w:r>
          </w:p>
        </w:tc>
      </w:tr>
      <w:tr w:rsidR="00B44672" w14:paraId="70DF0A8D"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33384643" w14:textId="77777777" w:rsidR="00B44672" w:rsidRDefault="00B44672" w:rsidP="00302865">
            <w:pPr>
              <w:pStyle w:val="Compact"/>
            </w:pPr>
            <w:r>
              <w:t>Quint 2</w:t>
            </w:r>
          </w:p>
        </w:tc>
        <w:tc>
          <w:tcPr>
            <w:tcW w:w="1427" w:type="pct"/>
          </w:tcPr>
          <w:p w14:paraId="10EC53A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6.60</w:t>
            </w:r>
          </w:p>
        </w:tc>
        <w:tc>
          <w:tcPr>
            <w:tcW w:w="1472" w:type="pct"/>
          </w:tcPr>
          <w:p w14:paraId="5552FDC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7.21</w:t>
            </w:r>
          </w:p>
        </w:tc>
        <w:tc>
          <w:tcPr>
            <w:cnfStyle w:val="000100000000" w:firstRow="0" w:lastRow="0" w:firstColumn="0" w:lastColumn="1" w:oddVBand="0" w:evenVBand="0" w:oddHBand="0" w:evenHBand="0" w:firstRowFirstColumn="0" w:firstRowLastColumn="0" w:lastRowFirstColumn="0" w:lastRowLastColumn="0"/>
            <w:tcW w:w="701" w:type="pct"/>
          </w:tcPr>
          <w:p w14:paraId="6BDF4ECD" w14:textId="77777777" w:rsidR="00B44672" w:rsidRDefault="00B44672" w:rsidP="00302865">
            <w:pPr>
              <w:pStyle w:val="Compact"/>
              <w:jc w:val="center"/>
            </w:pPr>
            <w:r>
              <w:t>-0.61</w:t>
            </w:r>
          </w:p>
        </w:tc>
      </w:tr>
      <w:tr w:rsidR="00B44672" w14:paraId="068D8784"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37A4BBA2" w14:textId="77777777" w:rsidR="00B44672" w:rsidRDefault="00B44672" w:rsidP="00302865">
            <w:pPr>
              <w:pStyle w:val="Compact"/>
            </w:pPr>
            <w:r>
              <w:t>Quint 3</w:t>
            </w:r>
          </w:p>
        </w:tc>
        <w:tc>
          <w:tcPr>
            <w:tcW w:w="1427" w:type="pct"/>
          </w:tcPr>
          <w:p w14:paraId="45BF0BC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20.74</w:t>
            </w:r>
          </w:p>
        </w:tc>
        <w:tc>
          <w:tcPr>
            <w:tcW w:w="1472" w:type="pct"/>
          </w:tcPr>
          <w:p w14:paraId="4D3451B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22.41</w:t>
            </w:r>
          </w:p>
        </w:tc>
        <w:tc>
          <w:tcPr>
            <w:cnfStyle w:val="000100000000" w:firstRow="0" w:lastRow="0" w:firstColumn="0" w:lastColumn="1" w:oddVBand="0" w:evenVBand="0" w:oddHBand="0" w:evenHBand="0" w:firstRowFirstColumn="0" w:firstRowLastColumn="0" w:lastRowFirstColumn="0" w:lastRowLastColumn="0"/>
            <w:tcW w:w="701" w:type="pct"/>
          </w:tcPr>
          <w:p w14:paraId="6B2F0988" w14:textId="77777777" w:rsidR="00B44672" w:rsidRDefault="00B44672" w:rsidP="00302865">
            <w:pPr>
              <w:pStyle w:val="Compact"/>
              <w:jc w:val="center"/>
            </w:pPr>
            <w:r>
              <w:t>-1.67</w:t>
            </w:r>
          </w:p>
        </w:tc>
      </w:tr>
      <w:tr w:rsidR="00B44672" w14:paraId="4DA8212F"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400" w:type="pct"/>
          </w:tcPr>
          <w:p w14:paraId="7E949603" w14:textId="77777777" w:rsidR="00B44672" w:rsidRDefault="00B44672" w:rsidP="00302865">
            <w:pPr>
              <w:pStyle w:val="Compact"/>
            </w:pPr>
            <w:r>
              <w:t>Quint 4</w:t>
            </w:r>
          </w:p>
        </w:tc>
        <w:tc>
          <w:tcPr>
            <w:tcW w:w="1427" w:type="pct"/>
          </w:tcPr>
          <w:p w14:paraId="254BE0B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26.98</w:t>
            </w:r>
          </w:p>
        </w:tc>
        <w:tc>
          <w:tcPr>
            <w:tcW w:w="1472" w:type="pct"/>
          </w:tcPr>
          <w:p w14:paraId="6AF958A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28.20</w:t>
            </w:r>
          </w:p>
        </w:tc>
        <w:tc>
          <w:tcPr>
            <w:cnfStyle w:val="000100000000" w:firstRow="0" w:lastRow="0" w:firstColumn="0" w:lastColumn="1" w:oddVBand="0" w:evenVBand="0" w:oddHBand="0" w:evenHBand="0" w:firstRowFirstColumn="0" w:firstRowLastColumn="0" w:lastRowFirstColumn="0" w:lastRowLastColumn="0"/>
            <w:tcW w:w="701" w:type="pct"/>
          </w:tcPr>
          <w:p w14:paraId="7ACAB5A9" w14:textId="77777777" w:rsidR="00B44672" w:rsidRDefault="00B44672" w:rsidP="00302865">
            <w:pPr>
              <w:pStyle w:val="Compact"/>
              <w:jc w:val="center"/>
            </w:pPr>
            <w:r>
              <w:t>-1.21</w:t>
            </w:r>
          </w:p>
        </w:tc>
      </w:tr>
      <w:tr w:rsidR="00B44672" w14:paraId="13D2224E" w14:textId="77777777" w:rsidTr="00A567C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0" w:type="pct"/>
          </w:tcPr>
          <w:p w14:paraId="460DED9A" w14:textId="77777777" w:rsidR="00B44672" w:rsidRDefault="00B44672" w:rsidP="00302865">
            <w:pPr>
              <w:pStyle w:val="Compact"/>
            </w:pPr>
            <w:r>
              <w:t>Quint 5</w:t>
            </w:r>
          </w:p>
        </w:tc>
        <w:tc>
          <w:tcPr>
            <w:tcW w:w="1427" w:type="pct"/>
          </w:tcPr>
          <w:p w14:paraId="1F610B82"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45.55</w:t>
            </w:r>
          </w:p>
        </w:tc>
        <w:tc>
          <w:tcPr>
            <w:tcW w:w="1472" w:type="pct"/>
          </w:tcPr>
          <w:p w14:paraId="6903368B"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42.07</w:t>
            </w:r>
          </w:p>
        </w:tc>
        <w:tc>
          <w:tcPr>
            <w:cnfStyle w:val="000100000000" w:firstRow="0" w:lastRow="0" w:firstColumn="0" w:lastColumn="1" w:oddVBand="0" w:evenVBand="0" w:oddHBand="0" w:evenHBand="0" w:firstRowFirstColumn="0" w:firstRowLastColumn="0" w:lastRowFirstColumn="0" w:lastRowLastColumn="0"/>
            <w:tcW w:w="701" w:type="pct"/>
          </w:tcPr>
          <w:p w14:paraId="3B5054CD" w14:textId="77777777" w:rsidR="00B44672" w:rsidRDefault="00B44672" w:rsidP="00302865">
            <w:pPr>
              <w:pStyle w:val="Compact"/>
              <w:jc w:val="center"/>
            </w:pPr>
            <w:r>
              <w:t>3.48</w:t>
            </w:r>
          </w:p>
        </w:tc>
      </w:tr>
    </w:tbl>
    <w:p w14:paraId="7F7AB80A" w14:textId="77777777" w:rsidR="00B44672" w:rsidRDefault="00B44672" w:rsidP="001066CD">
      <w:pPr>
        <w:pStyle w:val="BlockText"/>
      </w:pPr>
      <w:r>
        <w:rPr>
          <w:i/>
        </w:rPr>
        <w:t>Source:</w:t>
      </w:r>
      <w:r>
        <w:t xml:space="preserve"> Calculations from NATSEM microsimulation model.</w:t>
      </w:r>
      <w:r>
        <w:br/>
      </w:r>
      <w:r>
        <w:rPr>
          <w:i/>
        </w:rPr>
        <w:t>Note:</w:t>
      </w:r>
      <w:r>
        <w:t xml:space="preserve"> (</w:t>
      </w:r>
      <w:proofErr w:type="spellStart"/>
      <w:r>
        <w:t>i</w:t>
      </w:r>
      <w:proofErr w:type="spellEnd"/>
      <w:r>
        <w:t xml:space="preserve">) The % is the percent of total stamp duty </w:t>
      </w:r>
      <w:r w:rsidRPr="00A76EB5">
        <w:t xml:space="preserve">and rates </w:t>
      </w:r>
      <w:r>
        <w:t xml:space="preserve">paid by all the income units who paid stamp duty </w:t>
      </w:r>
      <w:r w:rsidRPr="00A76EB5">
        <w:t xml:space="preserve">and/or rates </w:t>
      </w:r>
      <w:r>
        <w:t xml:space="preserve">in each wealth quintile. It will sum to 100 across all wealth quintiles; (ii) Diff means the difference between the new and old tax policies. </w:t>
      </w:r>
    </w:p>
    <w:p w14:paraId="21F35032" w14:textId="77777777" w:rsidR="00B44672" w:rsidRDefault="00B44672">
      <w:pPr>
        <w:jc w:val="left"/>
        <w:rPr>
          <w:b/>
          <w:i/>
          <w:color w:val="365F91" w:themeColor="accent1" w:themeShade="BF"/>
        </w:rPr>
      </w:pPr>
      <w:r>
        <w:br w:type="page"/>
      </w:r>
    </w:p>
    <w:p w14:paraId="0E584BAF" w14:textId="77777777" w:rsidR="00B44672" w:rsidRDefault="00B44672" w:rsidP="00C83581">
      <w:pPr>
        <w:pStyle w:val="TableCaption"/>
      </w:pPr>
      <w:r>
        <w:lastRenderedPageBreak/>
        <w:t>Table 25 - The impact of tax reform on stamp duty and rate paid by wealth quintile, average 2012 – 2018</w:t>
      </w:r>
    </w:p>
    <w:tbl>
      <w:tblPr>
        <w:tblStyle w:val="Table"/>
        <w:tblW w:w="6036" w:type="pct"/>
        <w:jc w:val="center"/>
        <w:tblCellMar>
          <w:left w:w="0" w:type="dxa"/>
          <w:right w:w="0" w:type="dxa"/>
        </w:tblCellMar>
        <w:tblLook w:val="07E0" w:firstRow="1" w:lastRow="1" w:firstColumn="1" w:lastColumn="1" w:noHBand="1" w:noVBand="1"/>
        <w:tblCaption w:val="Table 25 - The impact of tax reform on stamp duty and rate paid by wealth quintile, average 2012 – 2018"/>
      </w:tblPr>
      <w:tblGrid>
        <w:gridCol w:w="2601"/>
        <w:gridCol w:w="1058"/>
        <w:gridCol w:w="857"/>
        <w:gridCol w:w="852"/>
        <w:gridCol w:w="1018"/>
        <w:gridCol w:w="998"/>
        <w:gridCol w:w="708"/>
        <w:gridCol w:w="1007"/>
        <w:gridCol w:w="989"/>
        <w:gridCol w:w="808"/>
      </w:tblGrid>
      <w:tr w:rsidR="00B44672" w14:paraId="210286A6" w14:textId="77777777" w:rsidTr="00A567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3" w:type="pct"/>
            <w:tcBorders>
              <w:bottom w:val="single" w:sz="0" w:space="0" w:color="auto"/>
            </w:tcBorders>
            <w:vAlign w:val="bottom"/>
          </w:tcPr>
          <w:p w14:paraId="6C5C30EB" w14:textId="77777777" w:rsidR="00B44672" w:rsidRDefault="00B44672" w:rsidP="000511CA"/>
        </w:tc>
        <w:tc>
          <w:tcPr>
            <w:tcW w:w="485" w:type="pct"/>
            <w:tcBorders>
              <w:bottom w:val="single" w:sz="0" w:space="0" w:color="auto"/>
            </w:tcBorders>
            <w:vAlign w:val="bottom"/>
          </w:tcPr>
          <w:p w14:paraId="27CD97F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affected</w:t>
            </w:r>
          </w:p>
        </w:tc>
        <w:tc>
          <w:tcPr>
            <w:tcW w:w="393" w:type="pct"/>
            <w:tcBorders>
              <w:bottom w:val="single" w:sz="0" w:space="0" w:color="auto"/>
            </w:tcBorders>
            <w:vAlign w:val="bottom"/>
          </w:tcPr>
          <w:p w14:paraId="154C9F0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affected</w:t>
            </w:r>
          </w:p>
        </w:tc>
        <w:tc>
          <w:tcPr>
            <w:tcW w:w="391" w:type="pct"/>
            <w:tcBorders>
              <w:bottom w:val="single" w:sz="0" w:space="0" w:color="auto"/>
            </w:tcBorders>
            <w:vAlign w:val="bottom"/>
          </w:tcPr>
          <w:p w14:paraId="377E7CE8"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 affected</w:t>
            </w:r>
          </w:p>
        </w:tc>
        <w:tc>
          <w:tcPr>
            <w:tcW w:w="467" w:type="pct"/>
            <w:tcBorders>
              <w:bottom w:val="single" w:sz="0" w:space="0" w:color="auto"/>
            </w:tcBorders>
            <w:vAlign w:val="bottom"/>
          </w:tcPr>
          <w:p w14:paraId="0A8A993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duty &amp; rate</w:t>
            </w:r>
          </w:p>
          <w:p w14:paraId="0223962A"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58" w:type="pct"/>
            <w:tcBorders>
              <w:bottom w:val="single" w:sz="0" w:space="0" w:color="auto"/>
            </w:tcBorders>
            <w:vAlign w:val="bottom"/>
          </w:tcPr>
          <w:p w14:paraId="2A4486E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duty &amp; rate</w:t>
            </w:r>
          </w:p>
          <w:p w14:paraId="21F8F863"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325" w:type="pct"/>
            <w:tcBorders>
              <w:bottom w:val="single" w:sz="0" w:space="0" w:color="auto"/>
            </w:tcBorders>
            <w:vAlign w:val="bottom"/>
          </w:tcPr>
          <w:p w14:paraId="675DA09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duty &amp; rate</w:t>
            </w:r>
          </w:p>
          <w:p w14:paraId="0DE79F26"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t>
            </w:r>
          </w:p>
        </w:tc>
        <w:tc>
          <w:tcPr>
            <w:tcW w:w="462" w:type="pct"/>
            <w:tcBorders>
              <w:bottom w:val="single" w:sz="0" w:space="0" w:color="auto"/>
            </w:tcBorders>
            <w:vAlign w:val="bottom"/>
          </w:tcPr>
          <w:p w14:paraId="09D12ECE"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454" w:type="pct"/>
            <w:tcBorders>
              <w:bottom w:val="single" w:sz="0" w:space="0" w:color="auto"/>
            </w:tcBorders>
            <w:vAlign w:val="bottom"/>
          </w:tcPr>
          <w:p w14:paraId="38FD3894"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371" w:type="pct"/>
            <w:tcBorders>
              <w:bottom w:val="single" w:sz="0" w:space="0" w:color="auto"/>
            </w:tcBorders>
            <w:vAlign w:val="bottom"/>
          </w:tcPr>
          <w:p w14:paraId="657051E4" w14:textId="77777777" w:rsidR="00B44672" w:rsidRDefault="00B44672" w:rsidP="000511CA">
            <w:pPr>
              <w:pStyle w:val="Compact"/>
              <w:jc w:val="center"/>
            </w:pPr>
            <w:r>
              <w:t>Diff - % point change in income</w:t>
            </w:r>
          </w:p>
        </w:tc>
      </w:tr>
      <w:tr w:rsidR="00B44672" w14:paraId="21C418B3"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78F45A94" w14:textId="77777777" w:rsidR="00B44672" w:rsidRDefault="00B44672" w:rsidP="00C32ED3">
            <w:pPr>
              <w:pStyle w:val="Compact"/>
            </w:pPr>
            <w:r w:rsidRPr="00AF6491">
              <w:rPr>
                <w:b/>
                <w:i/>
                <w:iCs/>
                <w:color w:val="365F91" w:themeColor="accent1" w:themeShade="BF"/>
              </w:rPr>
              <w:t>No price change</w:t>
            </w:r>
          </w:p>
        </w:tc>
        <w:tc>
          <w:tcPr>
            <w:tcW w:w="485" w:type="pct"/>
          </w:tcPr>
          <w:p w14:paraId="5143DC85"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393" w:type="pct"/>
          </w:tcPr>
          <w:p w14:paraId="336FC4CA"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391" w:type="pct"/>
          </w:tcPr>
          <w:p w14:paraId="61DD577E"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467" w:type="pct"/>
          </w:tcPr>
          <w:p w14:paraId="03725C03"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458" w:type="pct"/>
          </w:tcPr>
          <w:p w14:paraId="55408D65"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325" w:type="pct"/>
          </w:tcPr>
          <w:p w14:paraId="287D3F46"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462" w:type="pct"/>
          </w:tcPr>
          <w:p w14:paraId="67F12343"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28E2C271"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71" w:type="pct"/>
          </w:tcPr>
          <w:p w14:paraId="1E4A419E" w14:textId="77777777" w:rsidR="00B44672" w:rsidRDefault="00B44672" w:rsidP="00C32ED3">
            <w:pPr>
              <w:pStyle w:val="Compact"/>
              <w:jc w:val="center"/>
            </w:pPr>
          </w:p>
        </w:tc>
      </w:tr>
      <w:tr w:rsidR="00B44672" w14:paraId="274E0566"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7AF45DBF" w14:textId="77777777" w:rsidR="00B44672" w:rsidRDefault="00B44672" w:rsidP="00C32ED3">
            <w:pPr>
              <w:pStyle w:val="Compact"/>
            </w:pPr>
            <w:r>
              <w:t>Quint 1</w:t>
            </w:r>
          </w:p>
        </w:tc>
        <w:tc>
          <w:tcPr>
            <w:tcW w:w="485" w:type="pct"/>
          </w:tcPr>
          <w:p w14:paraId="0BBD569C"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393" w:type="pct"/>
          </w:tcPr>
          <w:p w14:paraId="79B059A3"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391" w:type="pct"/>
          </w:tcPr>
          <w:p w14:paraId="7D6BC08A"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67" w:type="pct"/>
          </w:tcPr>
          <w:p w14:paraId="29C677ED"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1,176</w:t>
            </w:r>
          </w:p>
        </w:tc>
        <w:tc>
          <w:tcPr>
            <w:tcW w:w="458" w:type="pct"/>
          </w:tcPr>
          <w:p w14:paraId="3DF39A70"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1,044</w:t>
            </w:r>
          </w:p>
        </w:tc>
        <w:tc>
          <w:tcPr>
            <w:tcW w:w="325" w:type="pct"/>
          </w:tcPr>
          <w:p w14:paraId="45787E46"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132</w:t>
            </w:r>
          </w:p>
        </w:tc>
        <w:tc>
          <w:tcPr>
            <w:tcW w:w="462" w:type="pct"/>
          </w:tcPr>
          <w:p w14:paraId="3A911720"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1.53</w:t>
            </w:r>
          </w:p>
        </w:tc>
        <w:tc>
          <w:tcPr>
            <w:tcW w:w="454" w:type="pct"/>
          </w:tcPr>
          <w:p w14:paraId="6B30FC57"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1.36</w:t>
            </w:r>
          </w:p>
        </w:tc>
        <w:tc>
          <w:tcPr>
            <w:cnfStyle w:val="000100000000" w:firstRow="0" w:lastRow="0" w:firstColumn="0" w:lastColumn="1" w:oddVBand="0" w:evenVBand="0" w:oddHBand="0" w:evenHBand="0" w:firstRowFirstColumn="0" w:firstRowLastColumn="0" w:lastRowFirstColumn="0" w:lastRowLastColumn="0"/>
            <w:tcW w:w="371" w:type="pct"/>
          </w:tcPr>
          <w:p w14:paraId="514D8E04" w14:textId="77777777" w:rsidR="00B44672" w:rsidRDefault="00B44672" w:rsidP="00C32ED3">
            <w:pPr>
              <w:pStyle w:val="Compact"/>
              <w:jc w:val="center"/>
            </w:pPr>
            <w:r>
              <w:t>0.17</w:t>
            </w:r>
          </w:p>
        </w:tc>
      </w:tr>
      <w:tr w:rsidR="00B44672" w14:paraId="2B5F6DA4"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7731DAA4" w14:textId="77777777" w:rsidR="00B44672" w:rsidRDefault="00B44672" w:rsidP="00C32ED3">
            <w:pPr>
              <w:pStyle w:val="Compact"/>
            </w:pPr>
            <w:r>
              <w:t>Quint 2</w:t>
            </w:r>
          </w:p>
        </w:tc>
        <w:tc>
          <w:tcPr>
            <w:tcW w:w="485" w:type="pct"/>
          </w:tcPr>
          <w:p w14:paraId="4E9DB572"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7,822</w:t>
            </w:r>
          </w:p>
        </w:tc>
        <w:tc>
          <w:tcPr>
            <w:tcW w:w="393" w:type="pct"/>
          </w:tcPr>
          <w:p w14:paraId="1346B799"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7,648</w:t>
            </w:r>
          </w:p>
        </w:tc>
        <w:tc>
          <w:tcPr>
            <w:tcW w:w="391" w:type="pct"/>
          </w:tcPr>
          <w:p w14:paraId="1AFE329D"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174</w:t>
            </w:r>
          </w:p>
        </w:tc>
        <w:tc>
          <w:tcPr>
            <w:tcW w:w="467" w:type="pct"/>
          </w:tcPr>
          <w:p w14:paraId="24E87632"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4,113</w:t>
            </w:r>
          </w:p>
        </w:tc>
        <w:tc>
          <w:tcPr>
            <w:tcW w:w="458" w:type="pct"/>
          </w:tcPr>
          <w:p w14:paraId="050B28BF"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4,553</w:t>
            </w:r>
          </w:p>
        </w:tc>
        <w:tc>
          <w:tcPr>
            <w:tcW w:w="325" w:type="pct"/>
          </w:tcPr>
          <w:p w14:paraId="1826CCEE"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-440</w:t>
            </w:r>
          </w:p>
        </w:tc>
        <w:tc>
          <w:tcPr>
            <w:tcW w:w="462" w:type="pct"/>
          </w:tcPr>
          <w:p w14:paraId="23907A03"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5.11</w:t>
            </w:r>
          </w:p>
        </w:tc>
        <w:tc>
          <w:tcPr>
            <w:tcW w:w="454" w:type="pct"/>
          </w:tcPr>
          <w:p w14:paraId="78A59DBA"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5.66</w:t>
            </w:r>
          </w:p>
        </w:tc>
        <w:tc>
          <w:tcPr>
            <w:cnfStyle w:val="000100000000" w:firstRow="0" w:lastRow="0" w:firstColumn="0" w:lastColumn="1" w:oddVBand="0" w:evenVBand="0" w:oddHBand="0" w:evenHBand="0" w:firstRowFirstColumn="0" w:firstRowLastColumn="0" w:lastRowFirstColumn="0" w:lastRowLastColumn="0"/>
            <w:tcW w:w="371" w:type="pct"/>
          </w:tcPr>
          <w:p w14:paraId="04A0E435" w14:textId="77777777" w:rsidR="00B44672" w:rsidRDefault="00B44672" w:rsidP="00C32ED3">
            <w:pPr>
              <w:pStyle w:val="Compact"/>
              <w:jc w:val="center"/>
            </w:pPr>
            <w:r>
              <w:t>-0.55</w:t>
            </w:r>
          </w:p>
        </w:tc>
      </w:tr>
      <w:tr w:rsidR="00B44672" w14:paraId="269F746D"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06FE02C0" w14:textId="77777777" w:rsidR="00B44672" w:rsidRDefault="00B44672" w:rsidP="00C32ED3">
            <w:pPr>
              <w:pStyle w:val="Compact"/>
            </w:pPr>
            <w:r>
              <w:t>Quint 3</w:t>
            </w:r>
          </w:p>
        </w:tc>
        <w:tc>
          <w:tcPr>
            <w:tcW w:w="485" w:type="pct"/>
          </w:tcPr>
          <w:p w14:paraId="59BC2EE1"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28,107</w:t>
            </w:r>
          </w:p>
        </w:tc>
        <w:tc>
          <w:tcPr>
            <w:tcW w:w="393" w:type="pct"/>
          </w:tcPr>
          <w:p w14:paraId="235F513F"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28,071</w:t>
            </w:r>
          </w:p>
        </w:tc>
        <w:tc>
          <w:tcPr>
            <w:tcW w:w="391" w:type="pct"/>
          </w:tcPr>
          <w:p w14:paraId="1ABC99C2"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67" w:type="pct"/>
          </w:tcPr>
          <w:p w14:paraId="50635FF9"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3,578</w:t>
            </w:r>
          </w:p>
        </w:tc>
        <w:tc>
          <w:tcPr>
            <w:tcW w:w="458" w:type="pct"/>
          </w:tcPr>
          <w:p w14:paraId="0F65ABA7"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3,909</w:t>
            </w:r>
          </w:p>
        </w:tc>
        <w:tc>
          <w:tcPr>
            <w:tcW w:w="325" w:type="pct"/>
          </w:tcPr>
          <w:p w14:paraId="4A76D120"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-331</w:t>
            </w:r>
          </w:p>
        </w:tc>
        <w:tc>
          <w:tcPr>
            <w:tcW w:w="462" w:type="pct"/>
          </w:tcPr>
          <w:p w14:paraId="4B419FF3"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3.86</w:t>
            </w:r>
          </w:p>
        </w:tc>
        <w:tc>
          <w:tcPr>
            <w:tcW w:w="454" w:type="pct"/>
          </w:tcPr>
          <w:p w14:paraId="2FA219A0"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4.22</w:t>
            </w:r>
          </w:p>
        </w:tc>
        <w:tc>
          <w:tcPr>
            <w:cnfStyle w:val="000100000000" w:firstRow="0" w:lastRow="0" w:firstColumn="0" w:lastColumn="1" w:oddVBand="0" w:evenVBand="0" w:oddHBand="0" w:evenHBand="0" w:firstRowFirstColumn="0" w:firstRowLastColumn="0" w:lastRowFirstColumn="0" w:lastRowLastColumn="0"/>
            <w:tcW w:w="371" w:type="pct"/>
          </w:tcPr>
          <w:p w14:paraId="78BDDBA0" w14:textId="77777777" w:rsidR="00B44672" w:rsidRDefault="00B44672" w:rsidP="00C32ED3">
            <w:pPr>
              <w:pStyle w:val="Compact"/>
              <w:jc w:val="center"/>
            </w:pPr>
            <w:r>
              <w:t>-0.36</w:t>
            </w:r>
          </w:p>
        </w:tc>
      </w:tr>
      <w:tr w:rsidR="00B44672" w14:paraId="321448FA"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4E423145" w14:textId="77777777" w:rsidR="00B44672" w:rsidRDefault="00B44672" w:rsidP="00C32ED3">
            <w:pPr>
              <w:pStyle w:val="Compact"/>
            </w:pPr>
            <w:r>
              <w:t>Quint 4</w:t>
            </w:r>
          </w:p>
        </w:tc>
        <w:tc>
          <w:tcPr>
            <w:tcW w:w="485" w:type="pct"/>
          </w:tcPr>
          <w:p w14:paraId="5C68FC55"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34,163</w:t>
            </w:r>
          </w:p>
        </w:tc>
        <w:tc>
          <w:tcPr>
            <w:tcW w:w="393" w:type="pct"/>
          </w:tcPr>
          <w:p w14:paraId="42A521AB"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34,145</w:t>
            </w:r>
          </w:p>
        </w:tc>
        <w:tc>
          <w:tcPr>
            <w:tcW w:w="391" w:type="pct"/>
          </w:tcPr>
          <w:p w14:paraId="54098053"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18</w:t>
            </w:r>
          </w:p>
        </w:tc>
        <w:tc>
          <w:tcPr>
            <w:tcW w:w="467" w:type="pct"/>
          </w:tcPr>
          <w:p w14:paraId="0B8CDCE0"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3,830</w:t>
            </w:r>
          </w:p>
        </w:tc>
        <w:tc>
          <w:tcPr>
            <w:tcW w:w="458" w:type="pct"/>
          </w:tcPr>
          <w:p w14:paraId="3602465B"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4,034</w:t>
            </w:r>
          </w:p>
        </w:tc>
        <w:tc>
          <w:tcPr>
            <w:tcW w:w="325" w:type="pct"/>
          </w:tcPr>
          <w:p w14:paraId="1051E7C1"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-204</w:t>
            </w:r>
          </w:p>
        </w:tc>
        <w:tc>
          <w:tcPr>
            <w:tcW w:w="462" w:type="pct"/>
          </w:tcPr>
          <w:p w14:paraId="313490A9"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4.22</w:t>
            </w:r>
          </w:p>
        </w:tc>
        <w:tc>
          <w:tcPr>
            <w:tcW w:w="454" w:type="pct"/>
          </w:tcPr>
          <w:p w14:paraId="489E6A0D"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4.44</w:t>
            </w:r>
          </w:p>
        </w:tc>
        <w:tc>
          <w:tcPr>
            <w:cnfStyle w:val="000100000000" w:firstRow="0" w:lastRow="0" w:firstColumn="0" w:lastColumn="1" w:oddVBand="0" w:evenVBand="0" w:oddHBand="0" w:evenHBand="0" w:firstRowFirstColumn="0" w:firstRowLastColumn="0" w:lastRowFirstColumn="0" w:lastRowLastColumn="0"/>
            <w:tcW w:w="371" w:type="pct"/>
          </w:tcPr>
          <w:p w14:paraId="00575995" w14:textId="77777777" w:rsidR="00B44672" w:rsidRDefault="00B44672" w:rsidP="00C32ED3">
            <w:pPr>
              <w:pStyle w:val="Compact"/>
              <w:jc w:val="center"/>
            </w:pPr>
            <w:r>
              <w:t>-0.23</w:t>
            </w:r>
          </w:p>
        </w:tc>
      </w:tr>
      <w:tr w:rsidR="00B44672" w14:paraId="0A92D9EA"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4F4059DD" w14:textId="77777777" w:rsidR="00B44672" w:rsidRDefault="00B44672" w:rsidP="00C32ED3">
            <w:pPr>
              <w:pStyle w:val="Compact"/>
            </w:pPr>
            <w:r>
              <w:t>Quint 5</w:t>
            </w:r>
          </w:p>
        </w:tc>
        <w:tc>
          <w:tcPr>
            <w:tcW w:w="485" w:type="pct"/>
          </w:tcPr>
          <w:p w14:paraId="72C4609A"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42,052</w:t>
            </w:r>
          </w:p>
        </w:tc>
        <w:tc>
          <w:tcPr>
            <w:tcW w:w="393" w:type="pct"/>
          </w:tcPr>
          <w:p w14:paraId="72BAF4AB"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42,052</w:t>
            </w:r>
          </w:p>
        </w:tc>
        <w:tc>
          <w:tcPr>
            <w:tcW w:w="391" w:type="pct"/>
          </w:tcPr>
          <w:p w14:paraId="094946BA"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67" w:type="pct"/>
          </w:tcPr>
          <w:p w14:paraId="5B2AF1C2"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5,248</w:t>
            </w:r>
          </w:p>
        </w:tc>
        <w:tc>
          <w:tcPr>
            <w:tcW w:w="458" w:type="pct"/>
          </w:tcPr>
          <w:p w14:paraId="1989956B"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4,882</w:t>
            </w:r>
          </w:p>
        </w:tc>
        <w:tc>
          <w:tcPr>
            <w:tcW w:w="325" w:type="pct"/>
          </w:tcPr>
          <w:p w14:paraId="4E35D99A"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365</w:t>
            </w:r>
          </w:p>
        </w:tc>
        <w:tc>
          <w:tcPr>
            <w:tcW w:w="462" w:type="pct"/>
          </w:tcPr>
          <w:p w14:paraId="02E9B779"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5.12</w:t>
            </w:r>
          </w:p>
        </w:tc>
        <w:tc>
          <w:tcPr>
            <w:tcW w:w="454" w:type="pct"/>
          </w:tcPr>
          <w:p w14:paraId="5B305E38"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4.77</w:t>
            </w:r>
          </w:p>
        </w:tc>
        <w:tc>
          <w:tcPr>
            <w:cnfStyle w:val="000100000000" w:firstRow="0" w:lastRow="0" w:firstColumn="0" w:lastColumn="1" w:oddVBand="0" w:evenVBand="0" w:oddHBand="0" w:evenHBand="0" w:firstRowFirstColumn="0" w:firstRowLastColumn="0" w:lastRowFirstColumn="0" w:lastRowLastColumn="0"/>
            <w:tcW w:w="371" w:type="pct"/>
          </w:tcPr>
          <w:p w14:paraId="699B6C33" w14:textId="77777777" w:rsidR="00B44672" w:rsidRDefault="00B44672" w:rsidP="00C32ED3">
            <w:pPr>
              <w:pStyle w:val="Compact"/>
              <w:jc w:val="center"/>
            </w:pPr>
            <w:r>
              <w:t>0.36</w:t>
            </w:r>
          </w:p>
        </w:tc>
      </w:tr>
      <w:tr w:rsidR="00B44672" w14:paraId="3D8548AA"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3EBEA360"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485" w:type="pct"/>
          </w:tcPr>
          <w:p w14:paraId="328E6AA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93" w:type="pct"/>
          </w:tcPr>
          <w:p w14:paraId="1C9E34C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91" w:type="pct"/>
          </w:tcPr>
          <w:p w14:paraId="7C5C75C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7" w:type="pct"/>
          </w:tcPr>
          <w:p w14:paraId="021F8DA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58" w:type="pct"/>
          </w:tcPr>
          <w:p w14:paraId="0F899C8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325" w:type="pct"/>
          </w:tcPr>
          <w:p w14:paraId="2D46B99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2" w:type="pct"/>
          </w:tcPr>
          <w:p w14:paraId="0D4BB35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2C2B313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71" w:type="pct"/>
          </w:tcPr>
          <w:p w14:paraId="100C28C8" w14:textId="77777777" w:rsidR="00B44672" w:rsidRDefault="00B44672" w:rsidP="00A567C4">
            <w:pPr>
              <w:pStyle w:val="Compact"/>
              <w:jc w:val="center"/>
            </w:pPr>
          </w:p>
        </w:tc>
      </w:tr>
      <w:tr w:rsidR="00B44672" w14:paraId="24214B33"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3D416A97" w14:textId="77777777" w:rsidR="00B44672" w:rsidRDefault="00B44672" w:rsidP="00A567C4">
            <w:pPr>
              <w:pStyle w:val="Compact"/>
            </w:pPr>
            <w:r>
              <w:t>Quint 1</w:t>
            </w:r>
          </w:p>
        </w:tc>
        <w:tc>
          <w:tcPr>
            <w:tcW w:w="485" w:type="pct"/>
          </w:tcPr>
          <w:p w14:paraId="11A2EB9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393" w:type="pct"/>
          </w:tcPr>
          <w:p w14:paraId="3235A7D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391" w:type="pct"/>
          </w:tcPr>
          <w:p w14:paraId="4F740F8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67" w:type="pct"/>
          </w:tcPr>
          <w:p w14:paraId="3285CCD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1,176</w:t>
            </w:r>
          </w:p>
        </w:tc>
        <w:tc>
          <w:tcPr>
            <w:tcW w:w="458" w:type="pct"/>
          </w:tcPr>
          <w:p w14:paraId="521069E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1,043</w:t>
            </w:r>
          </w:p>
        </w:tc>
        <w:tc>
          <w:tcPr>
            <w:tcW w:w="325" w:type="pct"/>
          </w:tcPr>
          <w:p w14:paraId="5ABB072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132</w:t>
            </w:r>
          </w:p>
        </w:tc>
        <w:tc>
          <w:tcPr>
            <w:tcW w:w="462" w:type="pct"/>
          </w:tcPr>
          <w:p w14:paraId="540D326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1.53</w:t>
            </w:r>
          </w:p>
        </w:tc>
        <w:tc>
          <w:tcPr>
            <w:tcW w:w="454" w:type="pct"/>
          </w:tcPr>
          <w:p w14:paraId="1953D38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1.36</w:t>
            </w:r>
          </w:p>
        </w:tc>
        <w:tc>
          <w:tcPr>
            <w:cnfStyle w:val="000100000000" w:firstRow="0" w:lastRow="0" w:firstColumn="0" w:lastColumn="1" w:oddVBand="0" w:evenVBand="0" w:oddHBand="0" w:evenHBand="0" w:firstRowFirstColumn="0" w:firstRowLastColumn="0" w:lastRowFirstColumn="0" w:lastRowLastColumn="0"/>
            <w:tcW w:w="371" w:type="pct"/>
          </w:tcPr>
          <w:p w14:paraId="3FE73677" w14:textId="77777777" w:rsidR="00B44672" w:rsidRDefault="00B44672" w:rsidP="00A567C4">
            <w:pPr>
              <w:pStyle w:val="Compact"/>
              <w:jc w:val="center"/>
            </w:pPr>
            <w:r>
              <w:t>0.17</w:t>
            </w:r>
          </w:p>
        </w:tc>
      </w:tr>
      <w:tr w:rsidR="00B44672" w14:paraId="4D12FC05"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2C4EA072" w14:textId="77777777" w:rsidR="00B44672" w:rsidRDefault="00B44672" w:rsidP="00A567C4">
            <w:pPr>
              <w:pStyle w:val="Compact"/>
            </w:pPr>
            <w:r>
              <w:t>Quint 2</w:t>
            </w:r>
          </w:p>
        </w:tc>
        <w:tc>
          <w:tcPr>
            <w:tcW w:w="485" w:type="pct"/>
          </w:tcPr>
          <w:p w14:paraId="5F6E02B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7,822</w:t>
            </w:r>
          </w:p>
        </w:tc>
        <w:tc>
          <w:tcPr>
            <w:tcW w:w="393" w:type="pct"/>
          </w:tcPr>
          <w:p w14:paraId="1A6BF7E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7,662</w:t>
            </w:r>
          </w:p>
        </w:tc>
        <w:tc>
          <w:tcPr>
            <w:tcW w:w="391" w:type="pct"/>
          </w:tcPr>
          <w:p w14:paraId="3B11702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159</w:t>
            </w:r>
          </w:p>
        </w:tc>
        <w:tc>
          <w:tcPr>
            <w:tcW w:w="467" w:type="pct"/>
          </w:tcPr>
          <w:p w14:paraId="2708FE0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4,113</w:t>
            </w:r>
          </w:p>
        </w:tc>
        <w:tc>
          <w:tcPr>
            <w:tcW w:w="458" w:type="pct"/>
          </w:tcPr>
          <w:p w14:paraId="1F056B2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4,543</w:t>
            </w:r>
          </w:p>
        </w:tc>
        <w:tc>
          <w:tcPr>
            <w:tcW w:w="325" w:type="pct"/>
          </w:tcPr>
          <w:p w14:paraId="2DEC2AC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-430</w:t>
            </w:r>
          </w:p>
        </w:tc>
        <w:tc>
          <w:tcPr>
            <w:tcW w:w="462" w:type="pct"/>
          </w:tcPr>
          <w:p w14:paraId="5832FBC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5.11</w:t>
            </w:r>
          </w:p>
        </w:tc>
        <w:tc>
          <w:tcPr>
            <w:tcW w:w="454" w:type="pct"/>
          </w:tcPr>
          <w:p w14:paraId="36F2AE9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5.65</w:t>
            </w:r>
          </w:p>
        </w:tc>
        <w:tc>
          <w:tcPr>
            <w:cnfStyle w:val="000100000000" w:firstRow="0" w:lastRow="0" w:firstColumn="0" w:lastColumn="1" w:oddVBand="0" w:evenVBand="0" w:oddHBand="0" w:evenHBand="0" w:firstRowFirstColumn="0" w:firstRowLastColumn="0" w:lastRowFirstColumn="0" w:lastRowLastColumn="0"/>
            <w:tcW w:w="371" w:type="pct"/>
          </w:tcPr>
          <w:p w14:paraId="17204C12" w14:textId="77777777" w:rsidR="00B44672" w:rsidRDefault="00B44672" w:rsidP="00A567C4">
            <w:pPr>
              <w:pStyle w:val="Compact"/>
              <w:jc w:val="center"/>
            </w:pPr>
            <w:r>
              <w:t>-0.54</w:t>
            </w:r>
          </w:p>
        </w:tc>
      </w:tr>
      <w:tr w:rsidR="00B44672" w14:paraId="13482361"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6C5B2F78" w14:textId="77777777" w:rsidR="00B44672" w:rsidRDefault="00B44672" w:rsidP="00A567C4">
            <w:pPr>
              <w:pStyle w:val="Compact"/>
            </w:pPr>
            <w:r>
              <w:t>Quint 3</w:t>
            </w:r>
          </w:p>
        </w:tc>
        <w:tc>
          <w:tcPr>
            <w:tcW w:w="485" w:type="pct"/>
          </w:tcPr>
          <w:p w14:paraId="0138FEC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28,107</w:t>
            </w:r>
          </w:p>
        </w:tc>
        <w:tc>
          <w:tcPr>
            <w:tcW w:w="393" w:type="pct"/>
          </w:tcPr>
          <w:p w14:paraId="0292558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28,071</w:t>
            </w:r>
          </w:p>
        </w:tc>
        <w:tc>
          <w:tcPr>
            <w:tcW w:w="391" w:type="pct"/>
          </w:tcPr>
          <w:p w14:paraId="42E8225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67" w:type="pct"/>
          </w:tcPr>
          <w:p w14:paraId="5E794F9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3,578</w:t>
            </w:r>
          </w:p>
        </w:tc>
        <w:tc>
          <w:tcPr>
            <w:tcW w:w="458" w:type="pct"/>
          </w:tcPr>
          <w:p w14:paraId="6EEEE3A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3,880</w:t>
            </w:r>
          </w:p>
        </w:tc>
        <w:tc>
          <w:tcPr>
            <w:tcW w:w="325" w:type="pct"/>
          </w:tcPr>
          <w:p w14:paraId="5DA0D71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-302</w:t>
            </w:r>
          </w:p>
        </w:tc>
        <w:tc>
          <w:tcPr>
            <w:tcW w:w="462" w:type="pct"/>
          </w:tcPr>
          <w:p w14:paraId="7E692BC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3.86</w:t>
            </w:r>
          </w:p>
        </w:tc>
        <w:tc>
          <w:tcPr>
            <w:tcW w:w="454" w:type="pct"/>
          </w:tcPr>
          <w:p w14:paraId="23C2677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4.19</w:t>
            </w:r>
          </w:p>
        </w:tc>
        <w:tc>
          <w:tcPr>
            <w:cnfStyle w:val="000100000000" w:firstRow="0" w:lastRow="0" w:firstColumn="0" w:lastColumn="1" w:oddVBand="0" w:evenVBand="0" w:oddHBand="0" w:evenHBand="0" w:firstRowFirstColumn="0" w:firstRowLastColumn="0" w:lastRowFirstColumn="0" w:lastRowLastColumn="0"/>
            <w:tcW w:w="371" w:type="pct"/>
          </w:tcPr>
          <w:p w14:paraId="7408DE61" w14:textId="77777777" w:rsidR="00B44672" w:rsidRDefault="00B44672" w:rsidP="00A567C4">
            <w:pPr>
              <w:pStyle w:val="Compact"/>
              <w:jc w:val="center"/>
            </w:pPr>
            <w:r>
              <w:t>-0.33</w:t>
            </w:r>
          </w:p>
        </w:tc>
      </w:tr>
      <w:tr w:rsidR="00B44672" w14:paraId="0B184F9E"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518208B1" w14:textId="77777777" w:rsidR="00B44672" w:rsidRDefault="00B44672" w:rsidP="00A567C4">
            <w:pPr>
              <w:pStyle w:val="Compact"/>
            </w:pPr>
            <w:r>
              <w:t>Quint 4</w:t>
            </w:r>
          </w:p>
        </w:tc>
        <w:tc>
          <w:tcPr>
            <w:tcW w:w="485" w:type="pct"/>
          </w:tcPr>
          <w:p w14:paraId="049460F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34,163</w:t>
            </w:r>
          </w:p>
        </w:tc>
        <w:tc>
          <w:tcPr>
            <w:tcW w:w="393" w:type="pct"/>
          </w:tcPr>
          <w:p w14:paraId="4B57D3F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34,147</w:t>
            </w:r>
          </w:p>
        </w:tc>
        <w:tc>
          <w:tcPr>
            <w:tcW w:w="391" w:type="pct"/>
          </w:tcPr>
          <w:p w14:paraId="036AAEF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467" w:type="pct"/>
          </w:tcPr>
          <w:p w14:paraId="2EC6776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3,830</w:t>
            </w:r>
          </w:p>
        </w:tc>
        <w:tc>
          <w:tcPr>
            <w:tcW w:w="458" w:type="pct"/>
          </w:tcPr>
          <w:p w14:paraId="0EE0273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4,011</w:t>
            </w:r>
          </w:p>
        </w:tc>
        <w:tc>
          <w:tcPr>
            <w:tcW w:w="325" w:type="pct"/>
          </w:tcPr>
          <w:p w14:paraId="484DB05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-182</w:t>
            </w:r>
          </w:p>
        </w:tc>
        <w:tc>
          <w:tcPr>
            <w:tcW w:w="462" w:type="pct"/>
          </w:tcPr>
          <w:p w14:paraId="6773C6E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4.22</w:t>
            </w:r>
          </w:p>
        </w:tc>
        <w:tc>
          <w:tcPr>
            <w:tcW w:w="454" w:type="pct"/>
          </w:tcPr>
          <w:p w14:paraId="5FA1C9E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4.42</w:t>
            </w:r>
          </w:p>
        </w:tc>
        <w:tc>
          <w:tcPr>
            <w:cnfStyle w:val="000100000000" w:firstRow="0" w:lastRow="0" w:firstColumn="0" w:lastColumn="1" w:oddVBand="0" w:evenVBand="0" w:oddHBand="0" w:evenHBand="0" w:firstRowFirstColumn="0" w:firstRowLastColumn="0" w:lastRowFirstColumn="0" w:lastRowLastColumn="0"/>
            <w:tcW w:w="371" w:type="pct"/>
          </w:tcPr>
          <w:p w14:paraId="5CCBA225" w14:textId="77777777" w:rsidR="00B44672" w:rsidRDefault="00B44672" w:rsidP="00A567C4">
            <w:pPr>
              <w:pStyle w:val="Compact"/>
              <w:jc w:val="center"/>
            </w:pPr>
            <w:r>
              <w:t>-0.20</w:t>
            </w:r>
          </w:p>
        </w:tc>
      </w:tr>
      <w:tr w:rsidR="00B44672" w14:paraId="3D96E9C5"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3EB322A3" w14:textId="77777777" w:rsidR="00B44672" w:rsidRDefault="00B44672" w:rsidP="00A567C4">
            <w:pPr>
              <w:pStyle w:val="Compact"/>
            </w:pPr>
            <w:r>
              <w:t>Quint 5</w:t>
            </w:r>
          </w:p>
        </w:tc>
        <w:tc>
          <w:tcPr>
            <w:tcW w:w="485" w:type="pct"/>
          </w:tcPr>
          <w:p w14:paraId="7944909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42,052</w:t>
            </w:r>
          </w:p>
        </w:tc>
        <w:tc>
          <w:tcPr>
            <w:tcW w:w="393" w:type="pct"/>
          </w:tcPr>
          <w:p w14:paraId="566B043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42,052</w:t>
            </w:r>
          </w:p>
        </w:tc>
        <w:tc>
          <w:tcPr>
            <w:tcW w:w="391" w:type="pct"/>
          </w:tcPr>
          <w:p w14:paraId="628D571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67" w:type="pct"/>
          </w:tcPr>
          <w:p w14:paraId="6352240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5,248</w:t>
            </w:r>
          </w:p>
        </w:tc>
        <w:tc>
          <w:tcPr>
            <w:tcW w:w="458" w:type="pct"/>
          </w:tcPr>
          <w:p w14:paraId="613C2BB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4,863</w:t>
            </w:r>
          </w:p>
        </w:tc>
        <w:tc>
          <w:tcPr>
            <w:tcW w:w="325" w:type="pct"/>
          </w:tcPr>
          <w:p w14:paraId="5C6677F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385</w:t>
            </w:r>
          </w:p>
        </w:tc>
        <w:tc>
          <w:tcPr>
            <w:tcW w:w="462" w:type="pct"/>
          </w:tcPr>
          <w:p w14:paraId="6214AF5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5.12</w:t>
            </w:r>
          </w:p>
        </w:tc>
        <w:tc>
          <w:tcPr>
            <w:tcW w:w="454" w:type="pct"/>
          </w:tcPr>
          <w:p w14:paraId="4E98A04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4.75</w:t>
            </w:r>
          </w:p>
        </w:tc>
        <w:tc>
          <w:tcPr>
            <w:cnfStyle w:val="000100000000" w:firstRow="0" w:lastRow="0" w:firstColumn="0" w:lastColumn="1" w:oddVBand="0" w:evenVBand="0" w:oddHBand="0" w:evenHBand="0" w:firstRowFirstColumn="0" w:firstRowLastColumn="0" w:lastRowFirstColumn="0" w:lastRowLastColumn="0"/>
            <w:tcW w:w="371" w:type="pct"/>
          </w:tcPr>
          <w:p w14:paraId="5049E304" w14:textId="77777777" w:rsidR="00B44672" w:rsidRDefault="00B44672" w:rsidP="00A567C4">
            <w:pPr>
              <w:pStyle w:val="Compact"/>
              <w:jc w:val="center"/>
            </w:pPr>
            <w:r>
              <w:t>0.38</w:t>
            </w:r>
          </w:p>
        </w:tc>
      </w:tr>
      <w:tr w:rsidR="00B44672" w14:paraId="6E6CE82C"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6192F1D2" w14:textId="77777777" w:rsidR="00B44672" w:rsidRDefault="00B44672" w:rsidP="00302865">
            <w:pPr>
              <w:pStyle w:val="Compact"/>
            </w:pPr>
            <w:r w:rsidRPr="00113FC1">
              <w:rPr>
                <w:b/>
                <w:i/>
                <w:iCs/>
                <w:color w:val="365F91" w:themeColor="accent1" w:themeShade="BF"/>
              </w:rPr>
              <w:t>1.24 – 2.19% price change</w:t>
            </w:r>
          </w:p>
        </w:tc>
        <w:tc>
          <w:tcPr>
            <w:tcW w:w="485" w:type="pct"/>
          </w:tcPr>
          <w:p w14:paraId="5D53FB8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93" w:type="pct"/>
          </w:tcPr>
          <w:p w14:paraId="79E535A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91" w:type="pct"/>
          </w:tcPr>
          <w:p w14:paraId="6947DF5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7" w:type="pct"/>
          </w:tcPr>
          <w:p w14:paraId="05501C1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58" w:type="pct"/>
          </w:tcPr>
          <w:p w14:paraId="6D52987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325" w:type="pct"/>
          </w:tcPr>
          <w:p w14:paraId="14B0D01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2" w:type="pct"/>
          </w:tcPr>
          <w:p w14:paraId="5E2C1D1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54" w:type="pct"/>
          </w:tcPr>
          <w:p w14:paraId="5D648BD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371" w:type="pct"/>
          </w:tcPr>
          <w:p w14:paraId="75558F71" w14:textId="77777777" w:rsidR="00B44672" w:rsidRDefault="00B44672" w:rsidP="00302865">
            <w:pPr>
              <w:pStyle w:val="Compact"/>
              <w:jc w:val="center"/>
            </w:pPr>
          </w:p>
        </w:tc>
      </w:tr>
      <w:tr w:rsidR="00B44672" w14:paraId="08C76075"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6313BF37" w14:textId="77777777" w:rsidR="00B44672" w:rsidRDefault="00B44672" w:rsidP="00302865">
            <w:pPr>
              <w:pStyle w:val="Compact"/>
            </w:pPr>
            <w:r>
              <w:t>Quint 1</w:t>
            </w:r>
          </w:p>
        </w:tc>
        <w:tc>
          <w:tcPr>
            <w:tcW w:w="485" w:type="pct"/>
          </w:tcPr>
          <w:p w14:paraId="079B9C1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393" w:type="pct"/>
          </w:tcPr>
          <w:p w14:paraId="77BFE28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540</w:t>
            </w:r>
          </w:p>
        </w:tc>
        <w:tc>
          <w:tcPr>
            <w:tcW w:w="391" w:type="pct"/>
          </w:tcPr>
          <w:p w14:paraId="1762AD3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w:t>
            </w:r>
          </w:p>
        </w:tc>
        <w:tc>
          <w:tcPr>
            <w:tcW w:w="467" w:type="pct"/>
          </w:tcPr>
          <w:p w14:paraId="3F9BCBCE"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1,176</w:t>
            </w:r>
          </w:p>
        </w:tc>
        <w:tc>
          <w:tcPr>
            <w:tcW w:w="458" w:type="pct"/>
          </w:tcPr>
          <w:p w14:paraId="56E679D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1,034</w:t>
            </w:r>
          </w:p>
        </w:tc>
        <w:tc>
          <w:tcPr>
            <w:tcW w:w="325" w:type="pct"/>
          </w:tcPr>
          <w:p w14:paraId="62DD55C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141</w:t>
            </w:r>
          </w:p>
        </w:tc>
        <w:tc>
          <w:tcPr>
            <w:tcW w:w="462" w:type="pct"/>
          </w:tcPr>
          <w:p w14:paraId="60303B8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1.53</w:t>
            </w:r>
          </w:p>
        </w:tc>
        <w:tc>
          <w:tcPr>
            <w:tcW w:w="454" w:type="pct"/>
          </w:tcPr>
          <w:p w14:paraId="3568CFD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1.36</w:t>
            </w:r>
          </w:p>
        </w:tc>
        <w:tc>
          <w:tcPr>
            <w:cnfStyle w:val="000100000000" w:firstRow="0" w:lastRow="0" w:firstColumn="0" w:lastColumn="1" w:oddVBand="0" w:evenVBand="0" w:oddHBand="0" w:evenHBand="0" w:firstRowFirstColumn="0" w:firstRowLastColumn="0" w:lastRowFirstColumn="0" w:lastRowLastColumn="0"/>
            <w:tcW w:w="371" w:type="pct"/>
          </w:tcPr>
          <w:p w14:paraId="10FB03A4" w14:textId="77777777" w:rsidR="00B44672" w:rsidRDefault="00B44672" w:rsidP="00302865">
            <w:pPr>
              <w:pStyle w:val="Compact"/>
              <w:jc w:val="center"/>
            </w:pPr>
            <w:r>
              <w:t>0.18</w:t>
            </w:r>
          </w:p>
        </w:tc>
      </w:tr>
      <w:tr w:rsidR="00B44672" w14:paraId="4A932CBA"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63CC0C9E" w14:textId="77777777" w:rsidR="00B44672" w:rsidRDefault="00B44672" w:rsidP="00302865">
            <w:pPr>
              <w:pStyle w:val="Compact"/>
            </w:pPr>
            <w:r>
              <w:t>Quint 2</w:t>
            </w:r>
          </w:p>
        </w:tc>
        <w:tc>
          <w:tcPr>
            <w:tcW w:w="485" w:type="pct"/>
          </w:tcPr>
          <w:p w14:paraId="260CF85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7,822</w:t>
            </w:r>
          </w:p>
        </w:tc>
        <w:tc>
          <w:tcPr>
            <w:tcW w:w="393" w:type="pct"/>
          </w:tcPr>
          <w:p w14:paraId="5AA1085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7,695</w:t>
            </w:r>
          </w:p>
        </w:tc>
        <w:tc>
          <w:tcPr>
            <w:tcW w:w="391" w:type="pct"/>
          </w:tcPr>
          <w:p w14:paraId="6ECAA5E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127</w:t>
            </w:r>
          </w:p>
        </w:tc>
        <w:tc>
          <w:tcPr>
            <w:tcW w:w="467" w:type="pct"/>
          </w:tcPr>
          <w:p w14:paraId="6F4CACF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4,113</w:t>
            </w:r>
          </w:p>
        </w:tc>
        <w:tc>
          <w:tcPr>
            <w:tcW w:w="458" w:type="pct"/>
          </w:tcPr>
          <w:p w14:paraId="6B949CB4"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4,567</w:t>
            </w:r>
          </w:p>
        </w:tc>
        <w:tc>
          <w:tcPr>
            <w:tcW w:w="325" w:type="pct"/>
          </w:tcPr>
          <w:p w14:paraId="3F4C93E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-454</w:t>
            </w:r>
          </w:p>
        </w:tc>
        <w:tc>
          <w:tcPr>
            <w:tcW w:w="462" w:type="pct"/>
          </w:tcPr>
          <w:p w14:paraId="77D3287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5.11</w:t>
            </w:r>
          </w:p>
        </w:tc>
        <w:tc>
          <w:tcPr>
            <w:tcW w:w="454" w:type="pct"/>
          </w:tcPr>
          <w:p w14:paraId="7AC50AE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5.67</w:t>
            </w:r>
          </w:p>
        </w:tc>
        <w:tc>
          <w:tcPr>
            <w:cnfStyle w:val="000100000000" w:firstRow="0" w:lastRow="0" w:firstColumn="0" w:lastColumn="1" w:oddVBand="0" w:evenVBand="0" w:oddHBand="0" w:evenHBand="0" w:firstRowFirstColumn="0" w:firstRowLastColumn="0" w:lastRowFirstColumn="0" w:lastRowLastColumn="0"/>
            <w:tcW w:w="371" w:type="pct"/>
          </w:tcPr>
          <w:p w14:paraId="743FB1C1" w14:textId="77777777" w:rsidR="00B44672" w:rsidRDefault="00B44672" w:rsidP="00302865">
            <w:pPr>
              <w:pStyle w:val="Compact"/>
              <w:jc w:val="center"/>
            </w:pPr>
            <w:r>
              <w:t>-0.56</w:t>
            </w:r>
          </w:p>
        </w:tc>
      </w:tr>
      <w:tr w:rsidR="00B44672" w14:paraId="568C0AC3"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0B27BFE7" w14:textId="77777777" w:rsidR="00B44672" w:rsidRDefault="00B44672" w:rsidP="00302865">
            <w:pPr>
              <w:pStyle w:val="Compact"/>
            </w:pPr>
            <w:r>
              <w:t>Quint 3</w:t>
            </w:r>
          </w:p>
        </w:tc>
        <w:tc>
          <w:tcPr>
            <w:tcW w:w="485" w:type="pct"/>
          </w:tcPr>
          <w:p w14:paraId="0EF9BCB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28,107</w:t>
            </w:r>
          </w:p>
        </w:tc>
        <w:tc>
          <w:tcPr>
            <w:tcW w:w="393" w:type="pct"/>
          </w:tcPr>
          <w:p w14:paraId="1DC96A0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28,081</w:t>
            </w:r>
          </w:p>
        </w:tc>
        <w:tc>
          <w:tcPr>
            <w:tcW w:w="391" w:type="pct"/>
          </w:tcPr>
          <w:p w14:paraId="52F4AB0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26</w:t>
            </w:r>
          </w:p>
        </w:tc>
        <w:tc>
          <w:tcPr>
            <w:tcW w:w="467" w:type="pct"/>
          </w:tcPr>
          <w:p w14:paraId="0F52701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3,578</w:t>
            </w:r>
          </w:p>
        </w:tc>
        <w:tc>
          <w:tcPr>
            <w:tcW w:w="458" w:type="pct"/>
          </w:tcPr>
          <w:p w14:paraId="68A29A1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3,864</w:t>
            </w:r>
          </w:p>
        </w:tc>
        <w:tc>
          <w:tcPr>
            <w:tcW w:w="325" w:type="pct"/>
          </w:tcPr>
          <w:p w14:paraId="40FF252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-286</w:t>
            </w:r>
          </w:p>
        </w:tc>
        <w:tc>
          <w:tcPr>
            <w:tcW w:w="462" w:type="pct"/>
          </w:tcPr>
          <w:p w14:paraId="1740074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3.86</w:t>
            </w:r>
          </w:p>
        </w:tc>
        <w:tc>
          <w:tcPr>
            <w:tcW w:w="454" w:type="pct"/>
          </w:tcPr>
          <w:p w14:paraId="0E631F2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4.17</w:t>
            </w:r>
          </w:p>
        </w:tc>
        <w:tc>
          <w:tcPr>
            <w:cnfStyle w:val="000100000000" w:firstRow="0" w:lastRow="0" w:firstColumn="0" w:lastColumn="1" w:oddVBand="0" w:evenVBand="0" w:oddHBand="0" w:evenHBand="0" w:firstRowFirstColumn="0" w:firstRowLastColumn="0" w:lastRowFirstColumn="0" w:lastRowLastColumn="0"/>
            <w:tcW w:w="371" w:type="pct"/>
          </w:tcPr>
          <w:p w14:paraId="0BAF1382" w14:textId="77777777" w:rsidR="00B44672" w:rsidRDefault="00B44672" w:rsidP="00302865">
            <w:pPr>
              <w:pStyle w:val="Compact"/>
              <w:jc w:val="center"/>
            </w:pPr>
            <w:r>
              <w:t>-0.31</w:t>
            </w:r>
          </w:p>
        </w:tc>
      </w:tr>
      <w:tr w:rsidR="00B44672" w14:paraId="055EDE12"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193" w:type="pct"/>
          </w:tcPr>
          <w:p w14:paraId="5585BEF1" w14:textId="77777777" w:rsidR="00B44672" w:rsidRDefault="00B44672" w:rsidP="00302865">
            <w:pPr>
              <w:pStyle w:val="Compact"/>
            </w:pPr>
            <w:r>
              <w:t>Quint 4</w:t>
            </w:r>
          </w:p>
        </w:tc>
        <w:tc>
          <w:tcPr>
            <w:tcW w:w="485" w:type="pct"/>
          </w:tcPr>
          <w:p w14:paraId="06FB172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34,163</w:t>
            </w:r>
          </w:p>
        </w:tc>
        <w:tc>
          <w:tcPr>
            <w:tcW w:w="393" w:type="pct"/>
          </w:tcPr>
          <w:p w14:paraId="69B48A8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34,154</w:t>
            </w:r>
          </w:p>
        </w:tc>
        <w:tc>
          <w:tcPr>
            <w:tcW w:w="391" w:type="pct"/>
          </w:tcPr>
          <w:p w14:paraId="4E329EC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9</w:t>
            </w:r>
          </w:p>
        </w:tc>
        <w:tc>
          <w:tcPr>
            <w:tcW w:w="467" w:type="pct"/>
          </w:tcPr>
          <w:p w14:paraId="0702144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3,830</w:t>
            </w:r>
          </w:p>
        </w:tc>
        <w:tc>
          <w:tcPr>
            <w:tcW w:w="458" w:type="pct"/>
          </w:tcPr>
          <w:p w14:paraId="75D1D04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3,998</w:t>
            </w:r>
          </w:p>
        </w:tc>
        <w:tc>
          <w:tcPr>
            <w:tcW w:w="325" w:type="pct"/>
          </w:tcPr>
          <w:p w14:paraId="0D2FE26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tcW w:w="462" w:type="pct"/>
          </w:tcPr>
          <w:p w14:paraId="010D3C4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4.22</w:t>
            </w:r>
          </w:p>
        </w:tc>
        <w:tc>
          <w:tcPr>
            <w:tcW w:w="454" w:type="pct"/>
          </w:tcPr>
          <w:p w14:paraId="73CEEFE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4.40</w:t>
            </w:r>
          </w:p>
        </w:tc>
        <w:tc>
          <w:tcPr>
            <w:cnfStyle w:val="000100000000" w:firstRow="0" w:lastRow="0" w:firstColumn="0" w:lastColumn="1" w:oddVBand="0" w:evenVBand="0" w:oddHBand="0" w:evenHBand="0" w:firstRowFirstColumn="0" w:firstRowLastColumn="0" w:lastRowFirstColumn="0" w:lastRowLastColumn="0"/>
            <w:tcW w:w="371" w:type="pct"/>
          </w:tcPr>
          <w:p w14:paraId="64D61E8C" w14:textId="77777777" w:rsidR="00B44672" w:rsidRDefault="00B44672" w:rsidP="00302865">
            <w:pPr>
              <w:pStyle w:val="Compact"/>
              <w:jc w:val="center"/>
            </w:pPr>
            <w:r>
              <w:t>-0.19</w:t>
            </w:r>
          </w:p>
        </w:tc>
      </w:tr>
      <w:tr w:rsidR="00B44672" w14:paraId="2B9C3FDD" w14:textId="77777777" w:rsidTr="00A567C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3" w:type="pct"/>
          </w:tcPr>
          <w:p w14:paraId="2379F9A9" w14:textId="77777777" w:rsidR="00B44672" w:rsidRDefault="00B44672" w:rsidP="00302865">
            <w:pPr>
              <w:pStyle w:val="Compact"/>
            </w:pPr>
            <w:r>
              <w:t>Quint 5</w:t>
            </w:r>
          </w:p>
        </w:tc>
        <w:tc>
          <w:tcPr>
            <w:tcW w:w="485" w:type="pct"/>
          </w:tcPr>
          <w:p w14:paraId="196B86D0"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42,052</w:t>
            </w:r>
          </w:p>
        </w:tc>
        <w:tc>
          <w:tcPr>
            <w:tcW w:w="393" w:type="pct"/>
          </w:tcPr>
          <w:p w14:paraId="4D1F98CD"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42,052</w:t>
            </w:r>
          </w:p>
        </w:tc>
        <w:tc>
          <w:tcPr>
            <w:tcW w:w="391" w:type="pct"/>
          </w:tcPr>
          <w:p w14:paraId="5035D600"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0</w:t>
            </w:r>
          </w:p>
        </w:tc>
        <w:tc>
          <w:tcPr>
            <w:tcW w:w="467" w:type="pct"/>
          </w:tcPr>
          <w:p w14:paraId="3C5F9C8F"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5,248</w:t>
            </w:r>
          </w:p>
        </w:tc>
        <w:tc>
          <w:tcPr>
            <w:tcW w:w="458" w:type="pct"/>
          </w:tcPr>
          <w:p w14:paraId="3B05FCA1"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4,844</w:t>
            </w:r>
          </w:p>
        </w:tc>
        <w:tc>
          <w:tcPr>
            <w:tcW w:w="325" w:type="pct"/>
          </w:tcPr>
          <w:p w14:paraId="6FB98ECB"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403</w:t>
            </w:r>
          </w:p>
        </w:tc>
        <w:tc>
          <w:tcPr>
            <w:tcW w:w="462" w:type="pct"/>
          </w:tcPr>
          <w:p w14:paraId="3CA7E793"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5.12</w:t>
            </w:r>
          </w:p>
        </w:tc>
        <w:tc>
          <w:tcPr>
            <w:tcW w:w="454" w:type="pct"/>
          </w:tcPr>
          <w:p w14:paraId="106BC68D"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4.73</w:t>
            </w:r>
          </w:p>
        </w:tc>
        <w:tc>
          <w:tcPr>
            <w:cnfStyle w:val="000100000000" w:firstRow="0" w:lastRow="0" w:firstColumn="0" w:lastColumn="1" w:oddVBand="0" w:evenVBand="0" w:oddHBand="0" w:evenHBand="0" w:firstRowFirstColumn="0" w:firstRowLastColumn="0" w:lastRowFirstColumn="0" w:lastRowLastColumn="0"/>
            <w:tcW w:w="371" w:type="pct"/>
          </w:tcPr>
          <w:p w14:paraId="11ACC207" w14:textId="77777777" w:rsidR="00B44672" w:rsidRDefault="00B44672" w:rsidP="00302865">
            <w:pPr>
              <w:pStyle w:val="Compact"/>
              <w:jc w:val="center"/>
            </w:pPr>
            <w:r>
              <w:t>0.39</w:t>
            </w:r>
          </w:p>
        </w:tc>
      </w:tr>
    </w:tbl>
    <w:p w14:paraId="244AD967"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66830F45" w14:textId="77777777" w:rsidR="00B44672" w:rsidRDefault="00B44672">
      <w:pPr>
        <w:jc w:val="left"/>
        <w:rPr>
          <w:b/>
          <w:i/>
          <w:color w:val="365F91" w:themeColor="accent1" w:themeShade="BF"/>
        </w:rPr>
      </w:pPr>
      <w:r>
        <w:br w:type="page"/>
      </w:r>
    </w:p>
    <w:p w14:paraId="4CEDB583" w14:textId="77777777" w:rsidR="00B44672" w:rsidRDefault="00B44672" w:rsidP="00C83581">
      <w:pPr>
        <w:pStyle w:val="TableCaption"/>
      </w:pPr>
      <w:r>
        <w:lastRenderedPageBreak/>
        <w:t>Table 25a - The impact of tax reform on stamp duty rate paid by wealth quintile, average 2012 – 2018 (keeping only those income units purchasing properties in both new and old policies)</w:t>
      </w:r>
    </w:p>
    <w:tbl>
      <w:tblPr>
        <w:tblStyle w:val="Table"/>
        <w:tblW w:w="5705" w:type="pct"/>
        <w:jc w:val="center"/>
        <w:tblCellMar>
          <w:left w:w="0" w:type="dxa"/>
          <w:right w:w="0" w:type="dxa"/>
        </w:tblCellMar>
        <w:tblLook w:val="07E0" w:firstRow="1" w:lastRow="1" w:firstColumn="1" w:lastColumn="1" w:noHBand="1" w:noVBand="1"/>
        <w:tblCaption w:val="Table 25a - The impact of tax reform on stamp duty rate paid by wealth quintile, average 2012 – 2018 (keep only those purchasing properties in both new and old policies)"/>
      </w:tblPr>
      <w:tblGrid>
        <w:gridCol w:w="2599"/>
        <w:gridCol w:w="1232"/>
        <w:gridCol w:w="956"/>
        <w:gridCol w:w="1092"/>
        <w:gridCol w:w="943"/>
        <w:gridCol w:w="1219"/>
        <w:gridCol w:w="1032"/>
        <w:gridCol w:w="1226"/>
      </w:tblGrid>
      <w:tr w:rsidR="00B44672" w14:paraId="70777F6A" w14:textId="77777777" w:rsidTr="00A567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2" w:type="pct"/>
            <w:tcBorders>
              <w:bottom w:val="single" w:sz="0" w:space="0" w:color="auto"/>
            </w:tcBorders>
            <w:vAlign w:val="bottom"/>
          </w:tcPr>
          <w:p w14:paraId="56594E8F" w14:textId="77777777" w:rsidR="00B44672" w:rsidRDefault="00B44672" w:rsidP="000511CA"/>
        </w:tc>
        <w:tc>
          <w:tcPr>
            <w:tcW w:w="598" w:type="pct"/>
            <w:tcBorders>
              <w:bottom w:val="single" w:sz="0" w:space="0" w:color="auto"/>
            </w:tcBorders>
            <w:vAlign w:val="bottom"/>
          </w:tcPr>
          <w:p w14:paraId="3B27BA56"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Both tax policies - # affected</w:t>
            </w:r>
          </w:p>
        </w:tc>
        <w:tc>
          <w:tcPr>
            <w:tcW w:w="464" w:type="pct"/>
            <w:tcBorders>
              <w:bottom w:val="single" w:sz="0" w:space="0" w:color="auto"/>
            </w:tcBorders>
            <w:vAlign w:val="bottom"/>
          </w:tcPr>
          <w:p w14:paraId="7E244EC7"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Avg duty &amp; rate $</w:t>
            </w:r>
          </w:p>
        </w:tc>
        <w:tc>
          <w:tcPr>
            <w:tcW w:w="530" w:type="pct"/>
            <w:tcBorders>
              <w:bottom w:val="single" w:sz="0" w:space="0" w:color="auto"/>
            </w:tcBorders>
            <w:vAlign w:val="bottom"/>
          </w:tcPr>
          <w:p w14:paraId="51EF2AD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Avg duty &amp; rate $</w:t>
            </w:r>
          </w:p>
        </w:tc>
        <w:tc>
          <w:tcPr>
            <w:tcW w:w="458" w:type="pct"/>
            <w:tcBorders>
              <w:bottom w:val="single" w:sz="0" w:space="0" w:color="auto"/>
            </w:tcBorders>
            <w:vAlign w:val="bottom"/>
          </w:tcPr>
          <w:p w14:paraId="5F4A7DF3"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Diff - Avg duty &amp; rate $</w:t>
            </w:r>
          </w:p>
        </w:tc>
        <w:tc>
          <w:tcPr>
            <w:tcW w:w="592" w:type="pct"/>
            <w:tcBorders>
              <w:bottom w:val="single" w:sz="0" w:space="0" w:color="auto"/>
            </w:tcBorders>
            <w:vAlign w:val="bottom"/>
          </w:tcPr>
          <w:p w14:paraId="47CEADF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tax policy - % income</w:t>
            </w:r>
          </w:p>
        </w:tc>
        <w:tc>
          <w:tcPr>
            <w:tcW w:w="501" w:type="pct"/>
            <w:tcBorders>
              <w:bottom w:val="single" w:sz="0" w:space="0" w:color="auto"/>
            </w:tcBorders>
            <w:vAlign w:val="bottom"/>
          </w:tcPr>
          <w:p w14:paraId="5EF3C825"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Old tax policy - % income</w:t>
            </w:r>
          </w:p>
        </w:tc>
        <w:tc>
          <w:tcPr>
            <w:cnfStyle w:val="000100000000" w:firstRow="0" w:lastRow="0" w:firstColumn="0" w:lastColumn="1" w:oddVBand="0" w:evenVBand="0" w:oddHBand="0" w:evenHBand="0" w:firstRowFirstColumn="0" w:firstRowLastColumn="0" w:lastRowFirstColumn="0" w:lastRowLastColumn="0"/>
            <w:tcW w:w="595" w:type="pct"/>
            <w:tcBorders>
              <w:bottom w:val="single" w:sz="0" w:space="0" w:color="auto"/>
            </w:tcBorders>
            <w:vAlign w:val="bottom"/>
          </w:tcPr>
          <w:p w14:paraId="49522C3A" w14:textId="77777777" w:rsidR="00B44672" w:rsidRDefault="00B44672" w:rsidP="000511CA">
            <w:pPr>
              <w:pStyle w:val="Compact"/>
              <w:jc w:val="center"/>
            </w:pPr>
            <w:r>
              <w:t>Diff - % point change in income</w:t>
            </w:r>
          </w:p>
        </w:tc>
      </w:tr>
      <w:tr w:rsidR="00B44672" w14:paraId="009C125E"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335FF740" w14:textId="77777777" w:rsidR="00B44672" w:rsidRDefault="00B44672" w:rsidP="00C32ED3">
            <w:pPr>
              <w:pStyle w:val="Compact"/>
            </w:pPr>
            <w:r w:rsidRPr="00AF6491">
              <w:rPr>
                <w:b/>
                <w:i/>
                <w:iCs/>
                <w:color w:val="365F91" w:themeColor="accent1" w:themeShade="BF"/>
              </w:rPr>
              <w:t>No price change</w:t>
            </w:r>
          </w:p>
        </w:tc>
        <w:tc>
          <w:tcPr>
            <w:tcW w:w="598" w:type="pct"/>
          </w:tcPr>
          <w:p w14:paraId="039D21E7"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464" w:type="pct"/>
          </w:tcPr>
          <w:p w14:paraId="3E2A519E"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530" w:type="pct"/>
          </w:tcPr>
          <w:p w14:paraId="7889E4CD"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458" w:type="pct"/>
          </w:tcPr>
          <w:p w14:paraId="5D1B7479"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592" w:type="pct"/>
          </w:tcPr>
          <w:p w14:paraId="0150244C"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tcW w:w="501" w:type="pct"/>
          </w:tcPr>
          <w:p w14:paraId="7A8D1F05"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95" w:type="pct"/>
          </w:tcPr>
          <w:p w14:paraId="12EBF17D" w14:textId="77777777" w:rsidR="00B44672" w:rsidRDefault="00B44672" w:rsidP="00C32ED3">
            <w:pPr>
              <w:pStyle w:val="Compact"/>
              <w:jc w:val="center"/>
            </w:pPr>
          </w:p>
        </w:tc>
      </w:tr>
      <w:tr w:rsidR="00B44672" w14:paraId="6AFEF0F3"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7E795E56" w14:textId="77777777" w:rsidR="00B44672" w:rsidRDefault="00B44672" w:rsidP="00C32ED3">
            <w:pPr>
              <w:pStyle w:val="Compact"/>
            </w:pPr>
            <w:r>
              <w:t>Quint 1</w:t>
            </w:r>
          </w:p>
        </w:tc>
        <w:tc>
          <w:tcPr>
            <w:tcW w:w="598" w:type="pct"/>
          </w:tcPr>
          <w:p w14:paraId="1125004F"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464" w:type="pct"/>
          </w:tcPr>
          <w:p w14:paraId="5389877A"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1,176</w:t>
            </w:r>
          </w:p>
        </w:tc>
        <w:tc>
          <w:tcPr>
            <w:tcW w:w="530" w:type="pct"/>
          </w:tcPr>
          <w:p w14:paraId="5E1F36AC"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1,044</w:t>
            </w:r>
          </w:p>
        </w:tc>
        <w:tc>
          <w:tcPr>
            <w:tcW w:w="458" w:type="pct"/>
          </w:tcPr>
          <w:p w14:paraId="6E815F24"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132</w:t>
            </w:r>
          </w:p>
        </w:tc>
        <w:tc>
          <w:tcPr>
            <w:tcW w:w="592" w:type="pct"/>
          </w:tcPr>
          <w:p w14:paraId="742BCF2D"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1.53</w:t>
            </w:r>
          </w:p>
        </w:tc>
        <w:tc>
          <w:tcPr>
            <w:tcW w:w="501" w:type="pct"/>
          </w:tcPr>
          <w:p w14:paraId="4FB7EF27"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1.36</w:t>
            </w:r>
          </w:p>
        </w:tc>
        <w:tc>
          <w:tcPr>
            <w:cnfStyle w:val="000100000000" w:firstRow="0" w:lastRow="0" w:firstColumn="0" w:lastColumn="1" w:oddVBand="0" w:evenVBand="0" w:oddHBand="0" w:evenHBand="0" w:firstRowFirstColumn="0" w:firstRowLastColumn="0" w:lastRowFirstColumn="0" w:lastRowLastColumn="0"/>
            <w:tcW w:w="595" w:type="pct"/>
          </w:tcPr>
          <w:p w14:paraId="5E5E841B" w14:textId="77777777" w:rsidR="00B44672" w:rsidRDefault="00B44672" w:rsidP="00C32ED3">
            <w:pPr>
              <w:pStyle w:val="Compact"/>
              <w:jc w:val="center"/>
            </w:pPr>
            <w:r>
              <w:t>0.17</w:t>
            </w:r>
          </w:p>
        </w:tc>
      </w:tr>
      <w:tr w:rsidR="00B44672" w14:paraId="25803F82"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516E7EC1" w14:textId="77777777" w:rsidR="00B44672" w:rsidRDefault="00B44672" w:rsidP="00C32ED3">
            <w:pPr>
              <w:pStyle w:val="Compact"/>
            </w:pPr>
            <w:r>
              <w:t>Quint 2</w:t>
            </w:r>
          </w:p>
        </w:tc>
        <w:tc>
          <w:tcPr>
            <w:tcW w:w="598" w:type="pct"/>
          </w:tcPr>
          <w:p w14:paraId="1701A249"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7,648</w:t>
            </w:r>
          </w:p>
        </w:tc>
        <w:tc>
          <w:tcPr>
            <w:tcW w:w="464" w:type="pct"/>
          </w:tcPr>
          <w:p w14:paraId="34BB7AC6"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3,847</w:t>
            </w:r>
          </w:p>
        </w:tc>
        <w:tc>
          <w:tcPr>
            <w:tcW w:w="530" w:type="pct"/>
          </w:tcPr>
          <w:p w14:paraId="1761D6DF"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4,553</w:t>
            </w:r>
          </w:p>
        </w:tc>
        <w:tc>
          <w:tcPr>
            <w:tcW w:w="458" w:type="pct"/>
          </w:tcPr>
          <w:p w14:paraId="1F7CF3CB"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-705</w:t>
            </w:r>
          </w:p>
        </w:tc>
        <w:tc>
          <w:tcPr>
            <w:tcW w:w="592" w:type="pct"/>
          </w:tcPr>
          <w:p w14:paraId="17A170DD"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4.78</w:t>
            </w:r>
          </w:p>
        </w:tc>
        <w:tc>
          <w:tcPr>
            <w:tcW w:w="501" w:type="pct"/>
          </w:tcPr>
          <w:p w14:paraId="27739804"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5.66</w:t>
            </w:r>
          </w:p>
        </w:tc>
        <w:tc>
          <w:tcPr>
            <w:cnfStyle w:val="000100000000" w:firstRow="0" w:lastRow="0" w:firstColumn="0" w:lastColumn="1" w:oddVBand="0" w:evenVBand="0" w:oddHBand="0" w:evenHBand="0" w:firstRowFirstColumn="0" w:firstRowLastColumn="0" w:lastRowFirstColumn="0" w:lastRowLastColumn="0"/>
            <w:tcW w:w="595" w:type="pct"/>
          </w:tcPr>
          <w:p w14:paraId="189BA11B" w14:textId="77777777" w:rsidR="00B44672" w:rsidRDefault="00B44672" w:rsidP="00C32ED3">
            <w:pPr>
              <w:pStyle w:val="Compact"/>
              <w:jc w:val="center"/>
            </w:pPr>
            <w:r>
              <w:t>-0.88</w:t>
            </w:r>
          </w:p>
        </w:tc>
      </w:tr>
      <w:tr w:rsidR="00B44672" w14:paraId="27E82EDC"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441128A1" w14:textId="77777777" w:rsidR="00B44672" w:rsidRDefault="00B44672" w:rsidP="00C32ED3">
            <w:pPr>
              <w:pStyle w:val="Compact"/>
            </w:pPr>
            <w:r>
              <w:t>Quint 3</w:t>
            </w:r>
          </w:p>
        </w:tc>
        <w:tc>
          <w:tcPr>
            <w:tcW w:w="598" w:type="pct"/>
          </w:tcPr>
          <w:p w14:paraId="6150907D"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28,071</w:t>
            </w:r>
          </w:p>
        </w:tc>
        <w:tc>
          <w:tcPr>
            <w:tcW w:w="464" w:type="pct"/>
          </w:tcPr>
          <w:p w14:paraId="6AC3E9BE"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3,558</w:t>
            </w:r>
          </w:p>
        </w:tc>
        <w:tc>
          <w:tcPr>
            <w:tcW w:w="530" w:type="pct"/>
          </w:tcPr>
          <w:p w14:paraId="78EB1229"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3,909</w:t>
            </w:r>
          </w:p>
        </w:tc>
        <w:tc>
          <w:tcPr>
            <w:tcW w:w="458" w:type="pct"/>
          </w:tcPr>
          <w:p w14:paraId="6D249D90"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-351</w:t>
            </w:r>
          </w:p>
        </w:tc>
        <w:tc>
          <w:tcPr>
            <w:tcW w:w="592" w:type="pct"/>
          </w:tcPr>
          <w:p w14:paraId="30BD8218"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3.84</w:t>
            </w:r>
          </w:p>
        </w:tc>
        <w:tc>
          <w:tcPr>
            <w:tcW w:w="501" w:type="pct"/>
          </w:tcPr>
          <w:p w14:paraId="71349208"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4.22</w:t>
            </w:r>
          </w:p>
        </w:tc>
        <w:tc>
          <w:tcPr>
            <w:cnfStyle w:val="000100000000" w:firstRow="0" w:lastRow="0" w:firstColumn="0" w:lastColumn="1" w:oddVBand="0" w:evenVBand="0" w:oddHBand="0" w:evenHBand="0" w:firstRowFirstColumn="0" w:firstRowLastColumn="0" w:lastRowFirstColumn="0" w:lastRowLastColumn="0"/>
            <w:tcW w:w="595" w:type="pct"/>
          </w:tcPr>
          <w:p w14:paraId="08D32968" w14:textId="77777777" w:rsidR="00B44672" w:rsidRDefault="00B44672" w:rsidP="00C32ED3">
            <w:pPr>
              <w:pStyle w:val="Compact"/>
              <w:jc w:val="center"/>
            </w:pPr>
            <w:r>
              <w:t>-0.38</w:t>
            </w:r>
          </w:p>
        </w:tc>
      </w:tr>
      <w:tr w:rsidR="00B44672" w14:paraId="0BC11F1D"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115A6A9E" w14:textId="77777777" w:rsidR="00B44672" w:rsidRDefault="00B44672" w:rsidP="00C32ED3">
            <w:pPr>
              <w:pStyle w:val="Compact"/>
            </w:pPr>
            <w:r>
              <w:t>Quint 4</w:t>
            </w:r>
          </w:p>
        </w:tc>
        <w:tc>
          <w:tcPr>
            <w:tcW w:w="598" w:type="pct"/>
          </w:tcPr>
          <w:p w14:paraId="54B8E7D2"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34,145</w:t>
            </w:r>
          </w:p>
        </w:tc>
        <w:tc>
          <w:tcPr>
            <w:tcW w:w="464" w:type="pct"/>
          </w:tcPr>
          <w:p w14:paraId="54A23483"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3,822</w:t>
            </w:r>
          </w:p>
        </w:tc>
        <w:tc>
          <w:tcPr>
            <w:tcW w:w="530" w:type="pct"/>
          </w:tcPr>
          <w:p w14:paraId="6DC55B88"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4,034</w:t>
            </w:r>
          </w:p>
        </w:tc>
        <w:tc>
          <w:tcPr>
            <w:tcW w:w="458" w:type="pct"/>
          </w:tcPr>
          <w:p w14:paraId="4755575C"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-212</w:t>
            </w:r>
          </w:p>
        </w:tc>
        <w:tc>
          <w:tcPr>
            <w:tcW w:w="592" w:type="pct"/>
          </w:tcPr>
          <w:p w14:paraId="30052E14"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4.21</w:t>
            </w:r>
          </w:p>
        </w:tc>
        <w:tc>
          <w:tcPr>
            <w:tcW w:w="501" w:type="pct"/>
          </w:tcPr>
          <w:p w14:paraId="51C57DF2"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4.44</w:t>
            </w:r>
          </w:p>
        </w:tc>
        <w:tc>
          <w:tcPr>
            <w:cnfStyle w:val="000100000000" w:firstRow="0" w:lastRow="0" w:firstColumn="0" w:lastColumn="1" w:oddVBand="0" w:evenVBand="0" w:oddHBand="0" w:evenHBand="0" w:firstRowFirstColumn="0" w:firstRowLastColumn="0" w:lastRowFirstColumn="0" w:lastRowLastColumn="0"/>
            <w:tcW w:w="595" w:type="pct"/>
          </w:tcPr>
          <w:p w14:paraId="207D8E19" w14:textId="77777777" w:rsidR="00B44672" w:rsidRDefault="00B44672" w:rsidP="00C32ED3">
            <w:pPr>
              <w:pStyle w:val="Compact"/>
              <w:jc w:val="center"/>
            </w:pPr>
            <w:r>
              <w:t>-0.23</w:t>
            </w:r>
          </w:p>
        </w:tc>
      </w:tr>
      <w:tr w:rsidR="00B44672" w14:paraId="46CD03D9"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0AD360B3" w14:textId="77777777" w:rsidR="00B44672" w:rsidRDefault="00B44672" w:rsidP="00C32ED3">
            <w:pPr>
              <w:pStyle w:val="Compact"/>
            </w:pPr>
            <w:r>
              <w:t>Quint 5</w:t>
            </w:r>
          </w:p>
        </w:tc>
        <w:tc>
          <w:tcPr>
            <w:tcW w:w="598" w:type="pct"/>
          </w:tcPr>
          <w:p w14:paraId="6A31593D"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42,052</w:t>
            </w:r>
          </w:p>
        </w:tc>
        <w:tc>
          <w:tcPr>
            <w:tcW w:w="464" w:type="pct"/>
          </w:tcPr>
          <w:p w14:paraId="02396B6E"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5,248</w:t>
            </w:r>
          </w:p>
        </w:tc>
        <w:tc>
          <w:tcPr>
            <w:tcW w:w="530" w:type="pct"/>
          </w:tcPr>
          <w:p w14:paraId="6FDB0E82"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4,882</w:t>
            </w:r>
          </w:p>
        </w:tc>
        <w:tc>
          <w:tcPr>
            <w:tcW w:w="458" w:type="pct"/>
          </w:tcPr>
          <w:p w14:paraId="41C8903C"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365</w:t>
            </w:r>
          </w:p>
        </w:tc>
        <w:tc>
          <w:tcPr>
            <w:tcW w:w="592" w:type="pct"/>
          </w:tcPr>
          <w:p w14:paraId="465213B4"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5.12</w:t>
            </w:r>
          </w:p>
        </w:tc>
        <w:tc>
          <w:tcPr>
            <w:tcW w:w="501" w:type="pct"/>
          </w:tcPr>
          <w:p w14:paraId="55CACC49" w14:textId="77777777" w:rsidR="00B44672" w:rsidRDefault="00B44672" w:rsidP="00C32ED3">
            <w:pPr>
              <w:pStyle w:val="Compact"/>
              <w:jc w:val="center"/>
              <w:cnfStyle w:val="000000000000" w:firstRow="0" w:lastRow="0" w:firstColumn="0" w:lastColumn="0" w:oddVBand="0" w:evenVBand="0" w:oddHBand="0" w:evenHBand="0" w:firstRowFirstColumn="0" w:firstRowLastColumn="0" w:lastRowFirstColumn="0" w:lastRowLastColumn="0"/>
            </w:pPr>
            <w:r>
              <w:t>4.77</w:t>
            </w:r>
          </w:p>
        </w:tc>
        <w:tc>
          <w:tcPr>
            <w:cnfStyle w:val="000100000000" w:firstRow="0" w:lastRow="0" w:firstColumn="0" w:lastColumn="1" w:oddVBand="0" w:evenVBand="0" w:oddHBand="0" w:evenHBand="0" w:firstRowFirstColumn="0" w:firstRowLastColumn="0" w:lastRowFirstColumn="0" w:lastRowLastColumn="0"/>
            <w:tcW w:w="595" w:type="pct"/>
          </w:tcPr>
          <w:p w14:paraId="600BFBF0" w14:textId="77777777" w:rsidR="00B44672" w:rsidRDefault="00B44672" w:rsidP="00C32ED3">
            <w:pPr>
              <w:pStyle w:val="Compact"/>
              <w:jc w:val="center"/>
            </w:pPr>
            <w:r>
              <w:t>0.36</w:t>
            </w:r>
          </w:p>
        </w:tc>
      </w:tr>
      <w:tr w:rsidR="00B44672" w14:paraId="31923C58"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4219779F" w14:textId="77777777" w:rsidR="00B44672" w:rsidRDefault="00B44672" w:rsidP="00A567C4">
            <w:pPr>
              <w:pStyle w:val="Compact"/>
            </w:pPr>
            <w:r>
              <w:rPr>
                <w:b/>
                <w:i/>
                <w:iCs/>
                <w:color w:val="365F91" w:themeColor="accent1" w:themeShade="BF"/>
              </w:rPr>
              <w:t>0.35 – 1.30%</w:t>
            </w:r>
            <w:r w:rsidRPr="00AF6491">
              <w:rPr>
                <w:b/>
                <w:i/>
                <w:iCs/>
                <w:color w:val="365F91" w:themeColor="accent1" w:themeShade="BF"/>
              </w:rPr>
              <w:t xml:space="preserve"> price change</w:t>
            </w:r>
          </w:p>
        </w:tc>
        <w:tc>
          <w:tcPr>
            <w:tcW w:w="598" w:type="pct"/>
          </w:tcPr>
          <w:p w14:paraId="660ED5C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64" w:type="pct"/>
          </w:tcPr>
          <w:p w14:paraId="622CAE1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30" w:type="pct"/>
          </w:tcPr>
          <w:p w14:paraId="671F0D3B"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458" w:type="pct"/>
          </w:tcPr>
          <w:p w14:paraId="2D4B73B7"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92" w:type="pct"/>
          </w:tcPr>
          <w:p w14:paraId="42A300C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tcW w:w="501" w:type="pct"/>
          </w:tcPr>
          <w:p w14:paraId="0262CA10"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95" w:type="pct"/>
          </w:tcPr>
          <w:p w14:paraId="22EE7885" w14:textId="77777777" w:rsidR="00B44672" w:rsidRDefault="00B44672" w:rsidP="00A567C4">
            <w:pPr>
              <w:pStyle w:val="Compact"/>
              <w:jc w:val="center"/>
            </w:pPr>
          </w:p>
        </w:tc>
      </w:tr>
      <w:tr w:rsidR="00B44672" w14:paraId="7ECD13CC"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5221C506" w14:textId="77777777" w:rsidR="00B44672" w:rsidRDefault="00B44672" w:rsidP="00A567C4">
            <w:pPr>
              <w:pStyle w:val="Compact"/>
            </w:pPr>
            <w:r>
              <w:t>Quint 1</w:t>
            </w:r>
          </w:p>
        </w:tc>
        <w:tc>
          <w:tcPr>
            <w:tcW w:w="598" w:type="pct"/>
          </w:tcPr>
          <w:p w14:paraId="749054D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464" w:type="pct"/>
          </w:tcPr>
          <w:p w14:paraId="601397E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1,176</w:t>
            </w:r>
          </w:p>
        </w:tc>
        <w:tc>
          <w:tcPr>
            <w:tcW w:w="530" w:type="pct"/>
          </w:tcPr>
          <w:p w14:paraId="6AB6F34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1,043</w:t>
            </w:r>
          </w:p>
        </w:tc>
        <w:tc>
          <w:tcPr>
            <w:tcW w:w="458" w:type="pct"/>
          </w:tcPr>
          <w:p w14:paraId="07A092EA"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132</w:t>
            </w:r>
          </w:p>
        </w:tc>
        <w:tc>
          <w:tcPr>
            <w:tcW w:w="592" w:type="pct"/>
          </w:tcPr>
          <w:p w14:paraId="3630C87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1.53</w:t>
            </w:r>
          </w:p>
        </w:tc>
        <w:tc>
          <w:tcPr>
            <w:tcW w:w="501" w:type="pct"/>
          </w:tcPr>
          <w:p w14:paraId="0888471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1.36</w:t>
            </w:r>
          </w:p>
        </w:tc>
        <w:tc>
          <w:tcPr>
            <w:cnfStyle w:val="000100000000" w:firstRow="0" w:lastRow="0" w:firstColumn="0" w:lastColumn="1" w:oddVBand="0" w:evenVBand="0" w:oddHBand="0" w:evenHBand="0" w:firstRowFirstColumn="0" w:firstRowLastColumn="0" w:lastRowFirstColumn="0" w:lastRowLastColumn="0"/>
            <w:tcW w:w="595" w:type="pct"/>
          </w:tcPr>
          <w:p w14:paraId="6F1B20FA" w14:textId="77777777" w:rsidR="00B44672" w:rsidRDefault="00B44672" w:rsidP="00A567C4">
            <w:pPr>
              <w:pStyle w:val="Compact"/>
              <w:jc w:val="center"/>
            </w:pPr>
            <w:r>
              <w:t>0.17</w:t>
            </w:r>
          </w:p>
        </w:tc>
      </w:tr>
      <w:tr w:rsidR="00B44672" w14:paraId="3AD47716"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1C7D786A" w14:textId="77777777" w:rsidR="00B44672" w:rsidRDefault="00B44672" w:rsidP="00A567C4">
            <w:pPr>
              <w:pStyle w:val="Compact"/>
            </w:pPr>
            <w:r>
              <w:t>Quint 2</w:t>
            </w:r>
          </w:p>
        </w:tc>
        <w:tc>
          <w:tcPr>
            <w:tcW w:w="598" w:type="pct"/>
          </w:tcPr>
          <w:p w14:paraId="1481455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7,660</w:t>
            </w:r>
          </w:p>
        </w:tc>
        <w:tc>
          <w:tcPr>
            <w:tcW w:w="464" w:type="pct"/>
          </w:tcPr>
          <w:p w14:paraId="3E4EC5D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3,866</w:t>
            </w:r>
          </w:p>
        </w:tc>
        <w:tc>
          <w:tcPr>
            <w:tcW w:w="530" w:type="pct"/>
          </w:tcPr>
          <w:p w14:paraId="6F09C19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4,544</w:t>
            </w:r>
          </w:p>
        </w:tc>
        <w:tc>
          <w:tcPr>
            <w:tcW w:w="458" w:type="pct"/>
          </w:tcPr>
          <w:p w14:paraId="6455C0C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-679</w:t>
            </w:r>
          </w:p>
        </w:tc>
        <w:tc>
          <w:tcPr>
            <w:tcW w:w="592" w:type="pct"/>
          </w:tcPr>
          <w:p w14:paraId="48D1B88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4.80</w:t>
            </w:r>
          </w:p>
        </w:tc>
        <w:tc>
          <w:tcPr>
            <w:tcW w:w="501" w:type="pct"/>
          </w:tcPr>
          <w:p w14:paraId="30A2221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5.65</w:t>
            </w:r>
          </w:p>
        </w:tc>
        <w:tc>
          <w:tcPr>
            <w:cnfStyle w:val="000100000000" w:firstRow="0" w:lastRow="0" w:firstColumn="0" w:lastColumn="1" w:oddVBand="0" w:evenVBand="0" w:oddHBand="0" w:evenHBand="0" w:firstRowFirstColumn="0" w:firstRowLastColumn="0" w:lastRowFirstColumn="0" w:lastRowLastColumn="0"/>
            <w:tcW w:w="595" w:type="pct"/>
          </w:tcPr>
          <w:p w14:paraId="5703760B" w14:textId="77777777" w:rsidR="00B44672" w:rsidRDefault="00B44672" w:rsidP="00A567C4">
            <w:pPr>
              <w:pStyle w:val="Compact"/>
              <w:jc w:val="center"/>
            </w:pPr>
            <w:r>
              <w:t>-0.84</w:t>
            </w:r>
          </w:p>
        </w:tc>
      </w:tr>
      <w:tr w:rsidR="00B44672" w14:paraId="42916262"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03E960D6" w14:textId="77777777" w:rsidR="00B44672" w:rsidRDefault="00B44672" w:rsidP="00A567C4">
            <w:pPr>
              <w:pStyle w:val="Compact"/>
            </w:pPr>
            <w:r>
              <w:t>Quint 3</w:t>
            </w:r>
          </w:p>
        </w:tc>
        <w:tc>
          <w:tcPr>
            <w:tcW w:w="598" w:type="pct"/>
          </w:tcPr>
          <w:p w14:paraId="2B349D0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28,071</w:t>
            </w:r>
          </w:p>
        </w:tc>
        <w:tc>
          <w:tcPr>
            <w:tcW w:w="464" w:type="pct"/>
          </w:tcPr>
          <w:p w14:paraId="1C79D51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3,558</w:t>
            </w:r>
          </w:p>
        </w:tc>
        <w:tc>
          <w:tcPr>
            <w:tcW w:w="530" w:type="pct"/>
          </w:tcPr>
          <w:p w14:paraId="08F187C4"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3,880</w:t>
            </w:r>
          </w:p>
        </w:tc>
        <w:tc>
          <w:tcPr>
            <w:tcW w:w="458" w:type="pct"/>
          </w:tcPr>
          <w:p w14:paraId="34F20F98"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-323</w:t>
            </w:r>
          </w:p>
        </w:tc>
        <w:tc>
          <w:tcPr>
            <w:tcW w:w="592" w:type="pct"/>
          </w:tcPr>
          <w:p w14:paraId="454D063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3.84</w:t>
            </w:r>
          </w:p>
        </w:tc>
        <w:tc>
          <w:tcPr>
            <w:tcW w:w="501" w:type="pct"/>
          </w:tcPr>
          <w:p w14:paraId="36F38D0C"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4.19</w:t>
            </w:r>
          </w:p>
        </w:tc>
        <w:tc>
          <w:tcPr>
            <w:cnfStyle w:val="000100000000" w:firstRow="0" w:lastRow="0" w:firstColumn="0" w:lastColumn="1" w:oddVBand="0" w:evenVBand="0" w:oddHBand="0" w:evenHBand="0" w:firstRowFirstColumn="0" w:firstRowLastColumn="0" w:lastRowFirstColumn="0" w:lastRowLastColumn="0"/>
            <w:tcW w:w="595" w:type="pct"/>
          </w:tcPr>
          <w:p w14:paraId="3876D9E1" w14:textId="77777777" w:rsidR="00B44672" w:rsidRDefault="00B44672" w:rsidP="00A567C4">
            <w:pPr>
              <w:pStyle w:val="Compact"/>
              <w:jc w:val="center"/>
            </w:pPr>
            <w:r>
              <w:t>-0.35</w:t>
            </w:r>
          </w:p>
        </w:tc>
      </w:tr>
      <w:tr w:rsidR="00B44672" w14:paraId="3C5E641F"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5E7814AE" w14:textId="77777777" w:rsidR="00B44672" w:rsidRDefault="00B44672" w:rsidP="00A567C4">
            <w:pPr>
              <w:pStyle w:val="Compact"/>
            </w:pPr>
            <w:r>
              <w:t>Quint 4</w:t>
            </w:r>
          </w:p>
        </w:tc>
        <w:tc>
          <w:tcPr>
            <w:tcW w:w="598" w:type="pct"/>
          </w:tcPr>
          <w:p w14:paraId="3FBE3133"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34,147</w:t>
            </w:r>
          </w:p>
        </w:tc>
        <w:tc>
          <w:tcPr>
            <w:tcW w:w="464" w:type="pct"/>
          </w:tcPr>
          <w:p w14:paraId="7E72512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3,823</w:t>
            </w:r>
          </w:p>
        </w:tc>
        <w:tc>
          <w:tcPr>
            <w:tcW w:w="530" w:type="pct"/>
          </w:tcPr>
          <w:p w14:paraId="029F7CD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4,011</w:t>
            </w:r>
          </w:p>
        </w:tc>
        <w:tc>
          <w:tcPr>
            <w:tcW w:w="458" w:type="pct"/>
          </w:tcPr>
          <w:p w14:paraId="3B85F956"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-188</w:t>
            </w:r>
          </w:p>
        </w:tc>
        <w:tc>
          <w:tcPr>
            <w:tcW w:w="592" w:type="pct"/>
          </w:tcPr>
          <w:p w14:paraId="1DBB23E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4.21</w:t>
            </w:r>
          </w:p>
        </w:tc>
        <w:tc>
          <w:tcPr>
            <w:tcW w:w="501" w:type="pct"/>
          </w:tcPr>
          <w:p w14:paraId="2F5DF0BF"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4.42</w:t>
            </w:r>
          </w:p>
        </w:tc>
        <w:tc>
          <w:tcPr>
            <w:cnfStyle w:val="000100000000" w:firstRow="0" w:lastRow="0" w:firstColumn="0" w:lastColumn="1" w:oddVBand="0" w:evenVBand="0" w:oddHBand="0" w:evenHBand="0" w:firstRowFirstColumn="0" w:firstRowLastColumn="0" w:lastRowFirstColumn="0" w:lastRowLastColumn="0"/>
            <w:tcW w:w="595" w:type="pct"/>
          </w:tcPr>
          <w:p w14:paraId="41E9AB53" w14:textId="77777777" w:rsidR="00B44672" w:rsidRDefault="00B44672" w:rsidP="00A567C4">
            <w:pPr>
              <w:pStyle w:val="Compact"/>
              <w:jc w:val="center"/>
            </w:pPr>
            <w:r>
              <w:t>-0.21</w:t>
            </w:r>
          </w:p>
        </w:tc>
      </w:tr>
      <w:tr w:rsidR="00B44672" w14:paraId="6B2C5DAA"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0C33D25B" w14:textId="77777777" w:rsidR="00B44672" w:rsidRDefault="00B44672" w:rsidP="00A567C4">
            <w:pPr>
              <w:pStyle w:val="Compact"/>
            </w:pPr>
            <w:r>
              <w:t>Quint 5</w:t>
            </w:r>
          </w:p>
        </w:tc>
        <w:tc>
          <w:tcPr>
            <w:tcW w:w="598" w:type="pct"/>
          </w:tcPr>
          <w:p w14:paraId="3B199F69"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42,052</w:t>
            </w:r>
          </w:p>
        </w:tc>
        <w:tc>
          <w:tcPr>
            <w:tcW w:w="464" w:type="pct"/>
          </w:tcPr>
          <w:p w14:paraId="61055B61"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5,248</w:t>
            </w:r>
          </w:p>
        </w:tc>
        <w:tc>
          <w:tcPr>
            <w:tcW w:w="530" w:type="pct"/>
          </w:tcPr>
          <w:p w14:paraId="258F8915"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4,863</w:t>
            </w:r>
          </w:p>
        </w:tc>
        <w:tc>
          <w:tcPr>
            <w:tcW w:w="458" w:type="pct"/>
          </w:tcPr>
          <w:p w14:paraId="0E8AB33D"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385</w:t>
            </w:r>
          </w:p>
        </w:tc>
        <w:tc>
          <w:tcPr>
            <w:tcW w:w="592" w:type="pct"/>
          </w:tcPr>
          <w:p w14:paraId="7A0ADF02"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5.12</w:t>
            </w:r>
          </w:p>
        </w:tc>
        <w:tc>
          <w:tcPr>
            <w:tcW w:w="501" w:type="pct"/>
          </w:tcPr>
          <w:p w14:paraId="0E1A443E" w14:textId="77777777" w:rsidR="00B44672" w:rsidRDefault="00B44672" w:rsidP="00A567C4">
            <w:pPr>
              <w:pStyle w:val="Compact"/>
              <w:jc w:val="center"/>
              <w:cnfStyle w:val="000000000000" w:firstRow="0" w:lastRow="0" w:firstColumn="0" w:lastColumn="0" w:oddVBand="0" w:evenVBand="0" w:oddHBand="0" w:evenHBand="0" w:firstRowFirstColumn="0" w:firstRowLastColumn="0" w:lastRowFirstColumn="0" w:lastRowLastColumn="0"/>
            </w:pPr>
            <w:r>
              <w:t>4.75</w:t>
            </w:r>
          </w:p>
        </w:tc>
        <w:tc>
          <w:tcPr>
            <w:cnfStyle w:val="000100000000" w:firstRow="0" w:lastRow="0" w:firstColumn="0" w:lastColumn="1" w:oddVBand="0" w:evenVBand="0" w:oddHBand="0" w:evenHBand="0" w:firstRowFirstColumn="0" w:firstRowLastColumn="0" w:lastRowFirstColumn="0" w:lastRowLastColumn="0"/>
            <w:tcW w:w="595" w:type="pct"/>
          </w:tcPr>
          <w:p w14:paraId="20B8C363" w14:textId="77777777" w:rsidR="00B44672" w:rsidRDefault="00B44672" w:rsidP="00A567C4">
            <w:pPr>
              <w:pStyle w:val="Compact"/>
              <w:jc w:val="center"/>
            </w:pPr>
            <w:r>
              <w:t>0.38</w:t>
            </w:r>
          </w:p>
        </w:tc>
      </w:tr>
      <w:tr w:rsidR="00B44672" w14:paraId="09390D14"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20124583" w14:textId="77777777" w:rsidR="00B44672" w:rsidRDefault="00B44672" w:rsidP="00302865">
            <w:pPr>
              <w:pStyle w:val="Compact"/>
            </w:pPr>
            <w:r w:rsidRPr="00113FC1">
              <w:rPr>
                <w:b/>
                <w:i/>
                <w:iCs/>
                <w:color w:val="365F91" w:themeColor="accent1" w:themeShade="BF"/>
              </w:rPr>
              <w:t>1.24 – 2.19% price change</w:t>
            </w:r>
          </w:p>
        </w:tc>
        <w:tc>
          <w:tcPr>
            <w:tcW w:w="598" w:type="pct"/>
          </w:tcPr>
          <w:p w14:paraId="780164B7"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64" w:type="pct"/>
          </w:tcPr>
          <w:p w14:paraId="6881AE2C"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30" w:type="pct"/>
          </w:tcPr>
          <w:p w14:paraId="5203CB3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458" w:type="pct"/>
          </w:tcPr>
          <w:p w14:paraId="7696DE4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92" w:type="pct"/>
          </w:tcPr>
          <w:p w14:paraId="14DA54F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tcW w:w="501" w:type="pct"/>
          </w:tcPr>
          <w:p w14:paraId="16F93A8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95" w:type="pct"/>
          </w:tcPr>
          <w:p w14:paraId="72462CFE" w14:textId="77777777" w:rsidR="00B44672" w:rsidRDefault="00B44672" w:rsidP="00302865">
            <w:pPr>
              <w:pStyle w:val="Compact"/>
              <w:jc w:val="center"/>
            </w:pPr>
          </w:p>
        </w:tc>
      </w:tr>
      <w:tr w:rsidR="00B44672" w14:paraId="4A84A628"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6CB77508" w14:textId="77777777" w:rsidR="00B44672" w:rsidRDefault="00B44672" w:rsidP="00302865">
            <w:pPr>
              <w:pStyle w:val="Compact"/>
            </w:pPr>
            <w:r>
              <w:t>Quint 1</w:t>
            </w:r>
          </w:p>
        </w:tc>
        <w:tc>
          <w:tcPr>
            <w:tcW w:w="598" w:type="pct"/>
          </w:tcPr>
          <w:p w14:paraId="551199A8"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528</w:t>
            </w:r>
          </w:p>
        </w:tc>
        <w:tc>
          <w:tcPr>
            <w:tcW w:w="464" w:type="pct"/>
          </w:tcPr>
          <w:p w14:paraId="1F40B5A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1,176</w:t>
            </w:r>
          </w:p>
        </w:tc>
        <w:tc>
          <w:tcPr>
            <w:tcW w:w="530" w:type="pct"/>
          </w:tcPr>
          <w:p w14:paraId="10855F33"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1,042</w:t>
            </w:r>
          </w:p>
        </w:tc>
        <w:tc>
          <w:tcPr>
            <w:tcW w:w="458" w:type="pct"/>
          </w:tcPr>
          <w:p w14:paraId="67A1DC5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133</w:t>
            </w:r>
          </w:p>
        </w:tc>
        <w:tc>
          <w:tcPr>
            <w:tcW w:w="592" w:type="pct"/>
          </w:tcPr>
          <w:p w14:paraId="478F44B5"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1.53</w:t>
            </w:r>
          </w:p>
        </w:tc>
        <w:tc>
          <w:tcPr>
            <w:tcW w:w="501" w:type="pct"/>
          </w:tcPr>
          <w:p w14:paraId="5E4BAFB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1.36</w:t>
            </w:r>
          </w:p>
        </w:tc>
        <w:tc>
          <w:tcPr>
            <w:cnfStyle w:val="000100000000" w:firstRow="0" w:lastRow="0" w:firstColumn="0" w:lastColumn="1" w:oddVBand="0" w:evenVBand="0" w:oddHBand="0" w:evenHBand="0" w:firstRowFirstColumn="0" w:firstRowLastColumn="0" w:lastRowFirstColumn="0" w:lastRowLastColumn="0"/>
            <w:tcW w:w="595" w:type="pct"/>
          </w:tcPr>
          <w:p w14:paraId="189FEE46" w14:textId="77777777" w:rsidR="00B44672" w:rsidRDefault="00B44672" w:rsidP="00302865">
            <w:pPr>
              <w:pStyle w:val="Compact"/>
              <w:jc w:val="center"/>
            </w:pPr>
            <w:r>
              <w:t>0.17</w:t>
            </w:r>
          </w:p>
        </w:tc>
      </w:tr>
      <w:tr w:rsidR="00B44672" w14:paraId="6F5FAE34"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5DE7253F" w14:textId="77777777" w:rsidR="00B44672" w:rsidRDefault="00B44672" w:rsidP="00302865">
            <w:pPr>
              <w:pStyle w:val="Compact"/>
            </w:pPr>
            <w:r>
              <w:t>Quint 2</w:t>
            </w:r>
          </w:p>
        </w:tc>
        <w:tc>
          <w:tcPr>
            <w:tcW w:w="598" w:type="pct"/>
          </w:tcPr>
          <w:p w14:paraId="078CBE21"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7,690</w:t>
            </w:r>
          </w:p>
        </w:tc>
        <w:tc>
          <w:tcPr>
            <w:tcW w:w="464" w:type="pct"/>
          </w:tcPr>
          <w:p w14:paraId="3D669C1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3,916</w:t>
            </w:r>
          </w:p>
        </w:tc>
        <w:tc>
          <w:tcPr>
            <w:tcW w:w="530" w:type="pct"/>
          </w:tcPr>
          <w:p w14:paraId="247F806B"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4,566</w:t>
            </w:r>
          </w:p>
        </w:tc>
        <w:tc>
          <w:tcPr>
            <w:tcW w:w="458" w:type="pct"/>
          </w:tcPr>
          <w:p w14:paraId="4A6E3CB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-650</w:t>
            </w:r>
          </w:p>
        </w:tc>
        <w:tc>
          <w:tcPr>
            <w:tcW w:w="592" w:type="pct"/>
          </w:tcPr>
          <w:p w14:paraId="021C535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4.86</w:t>
            </w:r>
          </w:p>
        </w:tc>
        <w:tc>
          <w:tcPr>
            <w:tcW w:w="501" w:type="pct"/>
          </w:tcPr>
          <w:p w14:paraId="13B6B53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5.67</w:t>
            </w:r>
          </w:p>
        </w:tc>
        <w:tc>
          <w:tcPr>
            <w:cnfStyle w:val="000100000000" w:firstRow="0" w:lastRow="0" w:firstColumn="0" w:lastColumn="1" w:oddVBand="0" w:evenVBand="0" w:oddHBand="0" w:evenHBand="0" w:firstRowFirstColumn="0" w:firstRowLastColumn="0" w:lastRowFirstColumn="0" w:lastRowLastColumn="0"/>
            <w:tcW w:w="595" w:type="pct"/>
          </w:tcPr>
          <w:p w14:paraId="6352825A" w14:textId="77777777" w:rsidR="00B44672" w:rsidRDefault="00B44672" w:rsidP="00302865">
            <w:pPr>
              <w:pStyle w:val="Compact"/>
              <w:jc w:val="center"/>
            </w:pPr>
            <w:r>
              <w:t>-0.81</w:t>
            </w:r>
          </w:p>
        </w:tc>
      </w:tr>
      <w:tr w:rsidR="00B44672" w14:paraId="0A286B7F"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44AAF63A" w14:textId="77777777" w:rsidR="00B44672" w:rsidRDefault="00B44672" w:rsidP="00302865">
            <w:pPr>
              <w:pStyle w:val="Compact"/>
            </w:pPr>
            <w:r>
              <w:t>Quint 3</w:t>
            </w:r>
          </w:p>
        </w:tc>
        <w:tc>
          <w:tcPr>
            <w:tcW w:w="598" w:type="pct"/>
          </w:tcPr>
          <w:p w14:paraId="6DB4FA4A"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28,081</w:t>
            </w:r>
          </w:p>
        </w:tc>
        <w:tc>
          <w:tcPr>
            <w:tcW w:w="464" w:type="pct"/>
          </w:tcPr>
          <w:p w14:paraId="52F2E650"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3,563</w:t>
            </w:r>
          </w:p>
        </w:tc>
        <w:tc>
          <w:tcPr>
            <w:tcW w:w="530" w:type="pct"/>
          </w:tcPr>
          <w:p w14:paraId="4B7A679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3,864</w:t>
            </w:r>
          </w:p>
        </w:tc>
        <w:tc>
          <w:tcPr>
            <w:tcW w:w="458" w:type="pct"/>
          </w:tcPr>
          <w:p w14:paraId="31E53EE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-300</w:t>
            </w:r>
          </w:p>
        </w:tc>
        <w:tc>
          <w:tcPr>
            <w:tcW w:w="592" w:type="pct"/>
          </w:tcPr>
          <w:p w14:paraId="42AC354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3.85</w:t>
            </w:r>
          </w:p>
        </w:tc>
        <w:tc>
          <w:tcPr>
            <w:tcW w:w="501" w:type="pct"/>
          </w:tcPr>
          <w:p w14:paraId="6385F36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4.17</w:t>
            </w:r>
          </w:p>
        </w:tc>
        <w:tc>
          <w:tcPr>
            <w:cnfStyle w:val="000100000000" w:firstRow="0" w:lastRow="0" w:firstColumn="0" w:lastColumn="1" w:oddVBand="0" w:evenVBand="0" w:oddHBand="0" w:evenHBand="0" w:firstRowFirstColumn="0" w:firstRowLastColumn="0" w:lastRowFirstColumn="0" w:lastRowLastColumn="0"/>
            <w:tcW w:w="595" w:type="pct"/>
          </w:tcPr>
          <w:p w14:paraId="24D7E993" w14:textId="77777777" w:rsidR="00B44672" w:rsidRDefault="00B44672" w:rsidP="00302865">
            <w:pPr>
              <w:pStyle w:val="Compact"/>
              <w:jc w:val="center"/>
            </w:pPr>
            <w:r>
              <w:t>-0.32</w:t>
            </w:r>
          </w:p>
        </w:tc>
      </w:tr>
      <w:tr w:rsidR="00B44672" w14:paraId="73428B3A" w14:textId="77777777" w:rsidTr="00A567C4">
        <w:trPr>
          <w:jc w:val="center"/>
        </w:trPr>
        <w:tc>
          <w:tcPr>
            <w:cnfStyle w:val="001000000000" w:firstRow="0" w:lastRow="0" w:firstColumn="1" w:lastColumn="0" w:oddVBand="0" w:evenVBand="0" w:oddHBand="0" w:evenHBand="0" w:firstRowFirstColumn="0" w:firstRowLastColumn="0" w:lastRowFirstColumn="0" w:lastRowLastColumn="0"/>
            <w:tcW w:w="1262" w:type="pct"/>
          </w:tcPr>
          <w:p w14:paraId="4BB0985D" w14:textId="77777777" w:rsidR="00B44672" w:rsidRDefault="00B44672" w:rsidP="00302865">
            <w:pPr>
              <w:pStyle w:val="Compact"/>
            </w:pPr>
            <w:r>
              <w:t>Quint 4</w:t>
            </w:r>
          </w:p>
        </w:tc>
        <w:tc>
          <w:tcPr>
            <w:tcW w:w="598" w:type="pct"/>
          </w:tcPr>
          <w:p w14:paraId="50D20E9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34,154</w:t>
            </w:r>
          </w:p>
        </w:tc>
        <w:tc>
          <w:tcPr>
            <w:tcW w:w="464" w:type="pct"/>
          </w:tcPr>
          <w:p w14:paraId="2586726D"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3,826</w:t>
            </w:r>
          </w:p>
        </w:tc>
        <w:tc>
          <w:tcPr>
            <w:tcW w:w="530" w:type="pct"/>
          </w:tcPr>
          <w:p w14:paraId="31E08296"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3,998</w:t>
            </w:r>
          </w:p>
        </w:tc>
        <w:tc>
          <w:tcPr>
            <w:tcW w:w="458" w:type="pct"/>
          </w:tcPr>
          <w:p w14:paraId="0CFE76CF"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-172</w:t>
            </w:r>
          </w:p>
        </w:tc>
        <w:tc>
          <w:tcPr>
            <w:tcW w:w="592" w:type="pct"/>
          </w:tcPr>
          <w:p w14:paraId="19208D29"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4.21</w:t>
            </w:r>
          </w:p>
        </w:tc>
        <w:tc>
          <w:tcPr>
            <w:tcW w:w="501" w:type="pct"/>
          </w:tcPr>
          <w:p w14:paraId="10D42CF2" w14:textId="77777777" w:rsidR="00B44672" w:rsidRDefault="00B44672" w:rsidP="00302865">
            <w:pPr>
              <w:pStyle w:val="Compact"/>
              <w:jc w:val="center"/>
              <w:cnfStyle w:val="000000000000" w:firstRow="0" w:lastRow="0" w:firstColumn="0" w:lastColumn="0" w:oddVBand="0" w:evenVBand="0" w:oddHBand="0" w:evenHBand="0" w:firstRowFirstColumn="0" w:firstRowLastColumn="0" w:lastRowFirstColumn="0" w:lastRowLastColumn="0"/>
            </w:pPr>
            <w:r>
              <w:t>4.40</w:t>
            </w:r>
          </w:p>
        </w:tc>
        <w:tc>
          <w:tcPr>
            <w:cnfStyle w:val="000100000000" w:firstRow="0" w:lastRow="0" w:firstColumn="0" w:lastColumn="1" w:oddVBand="0" w:evenVBand="0" w:oddHBand="0" w:evenHBand="0" w:firstRowFirstColumn="0" w:firstRowLastColumn="0" w:lastRowFirstColumn="0" w:lastRowLastColumn="0"/>
            <w:tcW w:w="595" w:type="pct"/>
          </w:tcPr>
          <w:p w14:paraId="36CD0B98" w14:textId="77777777" w:rsidR="00B44672" w:rsidRDefault="00B44672" w:rsidP="00302865">
            <w:pPr>
              <w:pStyle w:val="Compact"/>
              <w:jc w:val="center"/>
            </w:pPr>
            <w:r>
              <w:t>-0.19</w:t>
            </w:r>
          </w:p>
        </w:tc>
      </w:tr>
      <w:tr w:rsidR="00B44672" w14:paraId="55F7478A" w14:textId="77777777" w:rsidTr="00A567C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2" w:type="pct"/>
          </w:tcPr>
          <w:p w14:paraId="5AE41513" w14:textId="77777777" w:rsidR="00B44672" w:rsidRDefault="00B44672" w:rsidP="00302865">
            <w:pPr>
              <w:pStyle w:val="Compact"/>
            </w:pPr>
            <w:r>
              <w:t>Quint 5</w:t>
            </w:r>
          </w:p>
        </w:tc>
        <w:tc>
          <w:tcPr>
            <w:tcW w:w="598" w:type="pct"/>
          </w:tcPr>
          <w:p w14:paraId="7B094E0B"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42,052</w:t>
            </w:r>
          </w:p>
        </w:tc>
        <w:tc>
          <w:tcPr>
            <w:tcW w:w="464" w:type="pct"/>
          </w:tcPr>
          <w:p w14:paraId="2F03FB87"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5,248</w:t>
            </w:r>
          </w:p>
        </w:tc>
        <w:tc>
          <w:tcPr>
            <w:tcW w:w="530" w:type="pct"/>
          </w:tcPr>
          <w:p w14:paraId="46D52383"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4,844</w:t>
            </w:r>
          </w:p>
        </w:tc>
        <w:tc>
          <w:tcPr>
            <w:tcW w:w="458" w:type="pct"/>
          </w:tcPr>
          <w:p w14:paraId="79C03EA4"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403</w:t>
            </w:r>
          </w:p>
        </w:tc>
        <w:tc>
          <w:tcPr>
            <w:tcW w:w="592" w:type="pct"/>
          </w:tcPr>
          <w:p w14:paraId="5F30028D"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5.12</w:t>
            </w:r>
          </w:p>
        </w:tc>
        <w:tc>
          <w:tcPr>
            <w:tcW w:w="501" w:type="pct"/>
          </w:tcPr>
          <w:p w14:paraId="4FDEC77E" w14:textId="77777777" w:rsidR="00B44672" w:rsidRDefault="00B44672" w:rsidP="00302865">
            <w:pPr>
              <w:pStyle w:val="Compact"/>
              <w:jc w:val="center"/>
              <w:cnfStyle w:val="010000000000" w:firstRow="0" w:lastRow="1" w:firstColumn="0" w:lastColumn="0" w:oddVBand="0" w:evenVBand="0" w:oddHBand="0" w:evenHBand="0" w:firstRowFirstColumn="0" w:firstRowLastColumn="0" w:lastRowFirstColumn="0" w:lastRowLastColumn="0"/>
            </w:pPr>
            <w:r>
              <w:t>4.73</w:t>
            </w:r>
          </w:p>
        </w:tc>
        <w:tc>
          <w:tcPr>
            <w:cnfStyle w:val="000100000000" w:firstRow="0" w:lastRow="0" w:firstColumn="0" w:lastColumn="1" w:oddVBand="0" w:evenVBand="0" w:oddHBand="0" w:evenHBand="0" w:firstRowFirstColumn="0" w:firstRowLastColumn="0" w:lastRowFirstColumn="0" w:lastRowLastColumn="0"/>
            <w:tcW w:w="595" w:type="pct"/>
          </w:tcPr>
          <w:p w14:paraId="309818AC" w14:textId="77777777" w:rsidR="00B44672" w:rsidRDefault="00B44672" w:rsidP="00302865">
            <w:pPr>
              <w:pStyle w:val="Compact"/>
              <w:jc w:val="center"/>
            </w:pPr>
            <w:r>
              <w:t>0.39</w:t>
            </w:r>
          </w:p>
        </w:tc>
      </w:tr>
    </w:tbl>
    <w:p w14:paraId="0A8056CC" w14:textId="77777777" w:rsidR="00B44672" w:rsidRDefault="00B44672" w:rsidP="00C83581">
      <w:pPr>
        <w:pStyle w:val="BlockText"/>
      </w:pPr>
      <w:r>
        <w:rPr>
          <w:i/>
        </w:rPr>
        <w:t>Source:</w:t>
      </w:r>
      <w:r>
        <w:t xml:space="preserve"> Calculations from NATSEM microsimulation model.</w:t>
      </w:r>
      <w:r>
        <w:br/>
      </w:r>
      <w:r>
        <w:rPr>
          <w:i/>
        </w:rPr>
        <w:t>Note:</w:t>
      </w:r>
      <w:r>
        <w:t xml:space="preserve"> Diff means the difference between the new and old tax policies. </w:t>
      </w:r>
    </w:p>
    <w:p w14:paraId="788E8588" w14:textId="77777777" w:rsidR="00B44672" w:rsidRDefault="00B44672">
      <w:pPr>
        <w:jc w:val="left"/>
        <w:rPr>
          <w:rFonts w:eastAsiaTheme="majorEastAsia" w:cstheme="majorBidi"/>
          <w:b/>
          <w:bCs/>
          <w:color w:val="345A8A" w:themeColor="accent1" w:themeShade="B5"/>
          <w:sz w:val="28"/>
          <w:szCs w:val="32"/>
        </w:rPr>
      </w:pPr>
      <w:bookmarkStart w:id="131" w:name="appendix"/>
      <w:r>
        <w:br w:type="page"/>
      </w:r>
    </w:p>
    <w:p w14:paraId="0EA59FCE" w14:textId="77777777" w:rsidR="00B44672" w:rsidRDefault="00B44672" w:rsidP="00C83581">
      <w:pPr>
        <w:pStyle w:val="Heading1"/>
      </w:pPr>
      <w:bookmarkStart w:id="132" w:name="_Toc39241805"/>
      <w:bookmarkStart w:id="133" w:name="_Toc41941379"/>
      <w:r>
        <w:lastRenderedPageBreak/>
        <w:t>Appendix</w:t>
      </w:r>
      <w:bookmarkEnd w:id="131"/>
      <w:bookmarkEnd w:id="132"/>
      <w:bookmarkEnd w:id="133"/>
    </w:p>
    <w:p w14:paraId="02F05CCF" w14:textId="77777777" w:rsidR="00B44672" w:rsidRDefault="00B44672" w:rsidP="00C83581">
      <w:pPr>
        <w:pStyle w:val="TableCaption"/>
      </w:pPr>
    </w:p>
    <w:p w14:paraId="5A2522CD" w14:textId="77777777" w:rsidR="00B44672" w:rsidRDefault="00B44672" w:rsidP="00C83581">
      <w:pPr>
        <w:pStyle w:val="TableCaption"/>
      </w:pPr>
      <w:r>
        <w:t>Table A1 - Dwelling sharing among homeowners and renters in the ACT, 2011-12</w:t>
      </w:r>
    </w:p>
    <w:tbl>
      <w:tblPr>
        <w:tblStyle w:val="Table"/>
        <w:tblW w:w="5140" w:type="pct"/>
        <w:jc w:val="center"/>
        <w:tblCellMar>
          <w:left w:w="0" w:type="dxa"/>
          <w:right w:w="0" w:type="dxa"/>
        </w:tblCellMar>
        <w:tblLook w:val="07E0" w:firstRow="1" w:lastRow="1" w:firstColumn="1" w:lastColumn="1" w:noHBand="1" w:noVBand="1"/>
        <w:tblCaption w:val="Table A1 - Dwelling sharing among homeowners and renters in the ACT, 2011-12"/>
      </w:tblPr>
      <w:tblGrid>
        <w:gridCol w:w="2870"/>
        <w:gridCol w:w="1422"/>
        <w:gridCol w:w="917"/>
        <w:gridCol w:w="805"/>
        <w:gridCol w:w="1474"/>
        <w:gridCol w:w="965"/>
        <w:gridCol w:w="826"/>
      </w:tblGrid>
      <w:tr w:rsidR="00B44672" w14:paraId="56D1F9F3" w14:textId="77777777" w:rsidTr="00CC44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7" w:type="pct"/>
            <w:tcBorders>
              <w:bottom w:val="single" w:sz="0" w:space="0" w:color="auto"/>
            </w:tcBorders>
            <w:vAlign w:val="bottom"/>
          </w:tcPr>
          <w:p w14:paraId="5DB4F5C1" w14:textId="77777777" w:rsidR="00B44672" w:rsidRDefault="00B44672" w:rsidP="000511CA"/>
        </w:tc>
        <w:tc>
          <w:tcPr>
            <w:tcW w:w="766" w:type="pct"/>
            <w:tcBorders>
              <w:bottom w:val="single" w:sz="0" w:space="0" w:color="auto"/>
            </w:tcBorders>
            <w:vAlign w:val="bottom"/>
          </w:tcPr>
          <w:p w14:paraId="0244D172"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Homeowner (#)</w:t>
            </w:r>
          </w:p>
        </w:tc>
        <w:tc>
          <w:tcPr>
            <w:tcW w:w="494" w:type="pct"/>
            <w:tcBorders>
              <w:bottom w:val="single" w:sz="0" w:space="0" w:color="auto"/>
            </w:tcBorders>
            <w:vAlign w:val="bottom"/>
          </w:tcPr>
          <w:p w14:paraId="2523BE35"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Renter (#)</w:t>
            </w:r>
          </w:p>
        </w:tc>
        <w:tc>
          <w:tcPr>
            <w:tcW w:w="434" w:type="pct"/>
            <w:tcBorders>
              <w:bottom w:val="single" w:sz="0" w:space="0" w:color="auto"/>
            </w:tcBorders>
            <w:vAlign w:val="bottom"/>
          </w:tcPr>
          <w:p w14:paraId="6744CF25"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Total (#)</w:t>
            </w:r>
          </w:p>
        </w:tc>
        <w:tc>
          <w:tcPr>
            <w:tcW w:w="794" w:type="pct"/>
            <w:tcBorders>
              <w:bottom w:val="single" w:sz="0" w:space="0" w:color="auto"/>
            </w:tcBorders>
            <w:vAlign w:val="bottom"/>
          </w:tcPr>
          <w:p w14:paraId="55CBB1C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Homeowner (%)</w:t>
            </w:r>
          </w:p>
        </w:tc>
        <w:tc>
          <w:tcPr>
            <w:tcW w:w="520" w:type="pct"/>
            <w:tcBorders>
              <w:bottom w:val="single" w:sz="0" w:space="0" w:color="auto"/>
            </w:tcBorders>
            <w:vAlign w:val="bottom"/>
          </w:tcPr>
          <w:p w14:paraId="026F27D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Renter (%)</w:t>
            </w:r>
          </w:p>
        </w:tc>
        <w:tc>
          <w:tcPr>
            <w:cnfStyle w:val="000100000000" w:firstRow="0" w:lastRow="0" w:firstColumn="0" w:lastColumn="1" w:oddVBand="0" w:evenVBand="0" w:oddHBand="0" w:evenHBand="0" w:firstRowFirstColumn="0" w:firstRowLastColumn="0" w:lastRowFirstColumn="0" w:lastRowLastColumn="0"/>
            <w:tcW w:w="445" w:type="pct"/>
            <w:tcBorders>
              <w:bottom w:val="single" w:sz="0" w:space="0" w:color="auto"/>
            </w:tcBorders>
            <w:vAlign w:val="bottom"/>
          </w:tcPr>
          <w:p w14:paraId="7D58E83A" w14:textId="77777777" w:rsidR="00B44672" w:rsidRDefault="00B44672" w:rsidP="000511CA">
            <w:pPr>
              <w:pStyle w:val="Compact"/>
              <w:jc w:val="center"/>
            </w:pPr>
            <w:r>
              <w:t>Total (%)</w:t>
            </w:r>
          </w:p>
        </w:tc>
      </w:tr>
      <w:tr w:rsidR="00B44672" w14:paraId="7FE1BA04"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547" w:type="pct"/>
          </w:tcPr>
          <w:p w14:paraId="506EBA04" w14:textId="77777777" w:rsidR="00B44672" w:rsidRDefault="00B44672" w:rsidP="000511CA">
            <w:pPr>
              <w:pStyle w:val="Compact"/>
            </w:pPr>
            <w:r>
              <w:t>Single or main income unit (IU)</w:t>
            </w:r>
          </w:p>
        </w:tc>
        <w:tc>
          <w:tcPr>
            <w:tcW w:w="766" w:type="pct"/>
          </w:tcPr>
          <w:p w14:paraId="42E3040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97,649</w:t>
            </w:r>
          </w:p>
        </w:tc>
        <w:tc>
          <w:tcPr>
            <w:tcW w:w="494" w:type="pct"/>
          </w:tcPr>
          <w:p w14:paraId="1A1E021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48,034</w:t>
            </w:r>
          </w:p>
        </w:tc>
        <w:tc>
          <w:tcPr>
            <w:tcW w:w="434" w:type="pct"/>
          </w:tcPr>
          <w:p w14:paraId="0C440B9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145,683</w:t>
            </w:r>
          </w:p>
        </w:tc>
        <w:tc>
          <w:tcPr>
            <w:tcW w:w="794" w:type="pct"/>
          </w:tcPr>
          <w:p w14:paraId="297E9A9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50.5</w:t>
            </w:r>
          </w:p>
        </w:tc>
        <w:tc>
          <w:tcPr>
            <w:tcW w:w="520" w:type="pct"/>
          </w:tcPr>
          <w:p w14:paraId="78FE80A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24.8</w:t>
            </w:r>
          </w:p>
        </w:tc>
        <w:tc>
          <w:tcPr>
            <w:cnfStyle w:val="000100000000" w:firstRow="0" w:lastRow="0" w:firstColumn="0" w:lastColumn="1" w:oddVBand="0" w:evenVBand="0" w:oddHBand="0" w:evenHBand="0" w:firstRowFirstColumn="0" w:firstRowLastColumn="0" w:lastRowFirstColumn="0" w:lastRowLastColumn="0"/>
            <w:tcW w:w="445" w:type="pct"/>
          </w:tcPr>
          <w:p w14:paraId="569A7E07" w14:textId="77777777" w:rsidR="00B44672" w:rsidRDefault="00B44672" w:rsidP="000511CA">
            <w:pPr>
              <w:pStyle w:val="Compact"/>
              <w:jc w:val="center"/>
            </w:pPr>
            <w:r>
              <w:t>75.3</w:t>
            </w:r>
          </w:p>
        </w:tc>
      </w:tr>
      <w:tr w:rsidR="00B44672" w14:paraId="628848C3"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547" w:type="pct"/>
          </w:tcPr>
          <w:p w14:paraId="11AA25BD" w14:textId="77777777" w:rsidR="00B44672" w:rsidRDefault="00B44672" w:rsidP="000511CA">
            <w:pPr>
              <w:pStyle w:val="Compact"/>
            </w:pPr>
            <w:r>
              <w:t>IU sharing with homeowner</w:t>
            </w:r>
          </w:p>
        </w:tc>
        <w:tc>
          <w:tcPr>
            <w:tcW w:w="766" w:type="pct"/>
          </w:tcPr>
          <w:p w14:paraId="477687E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2,155</w:t>
            </w:r>
          </w:p>
        </w:tc>
        <w:tc>
          <w:tcPr>
            <w:tcW w:w="494" w:type="pct"/>
          </w:tcPr>
          <w:p w14:paraId="29492E6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25,360</w:t>
            </w:r>
          </w:p>
        </w:tc>
        <w:tc>
          <w:tcPr>
            <w:tcW w:w="434" w:type="pct"/>
          </w:tcPr>
          <w:p w14:paraId="778695D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27,515</w:t>
            </w:r>
          </w:p>
        </w:tc>
        <w:tc>
          <w:tcPr>
            <w:tcW w:w="794" w:type="pct"/>
          </w:tcPr>
          <w:p w14:paraId="013014B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1.1</w:t>
            </w:r>
          </w:p>
        </w:tc>
        <w:tc>
          <w:tcPr>
            <w:tcW w:w="520" w:type="pct"/>
          </w:tcPr>
          <w:p w14:paraId="2C9719E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13.1</w:t>
            </w:r>
          </w:p>
        </w:tc>
        <w:tc>
          <w:tcPr>
            <w:cnfStyle w:val="000100000000" w:firstRow="0" w:lastRow="0" w:firstColumn="0" w:lastColumn="1" w:oddVBand="0" w:evenVBand="0" w:oddHBand="0" w:evenHBand="0" w:firstRowFirstColumn="0" w:firstRowLastColumn="0" w:lastRowFirstColumn="0" w:lastRowLastColumn="0"/>
            <w:tcW w:w="445" w:type="pct"/>
          </w:tcPr>
          <w:p w14:paraId="3BCA7F74" w14:textId="77777777" w:rsidR="00B44672" w:rsidRDefault="00B44672" w:rsidP="000511CA">
            <w:pPr>
              <w:pStyle w:val="Compact"/>
              <w:jc w:val="center"/>
            </w:pPr>
            <w:r>
              <w:t>14.2</w:t>
            </w:r>
          </w:p>
        </w:tc>
      </w:tr>
      <w:tr w:rsidR="00B44672" w14:paraId="1EB2F6A1"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547" w:type="pct"/>
          </w:tcPr>
          <w:p w14:paraId="215C4B3D" w14:textId="77777777" w:rsidR="00B44672" w:rsidRDefault="00B44672" w:rsidP="000511CA">
            <w:pPr>
              <w:pStyle w:val="Compact"/>
            </w:pPr>
            <w:r>
              <w:t>IU sharing with renter</w:t>
            </w:r>
          </w:p>
        </w:tc>
        <w:tc>
          <w:tcPr>
            <w:tcW w:w="766" w:type="pct"/>
          </w:tcPr>
          <w:p w14:paraId="6CBF3A4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94" w:type="pct"/>
          </w:tcPr>
          <w:p w14:paraId="7F2C7F5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20,297</w:t>
            </w:r>
          </w:p>
        </w:tc>
        <w:tc>
          <w:tcPr>
            <w:tcW w:w="434" w:type="pct"/>
          </w:tcPr>
          <w:p w14:paraId="691D8DF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20,297</w:t>
            </w:r>
          </w:p>
        </w:tc>
        <w:tc>
          <w:tcPr>
            <w:tcW w:w="794" w:type="pct"/>
          </w:tcPr>
          <w:p w14:paraId="2DDBE51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w:t>
            </w:r>
          </w:p>
        </w:tc>
        <w:tc>
          <w:tcPr>
            <w:tcW w:w="520" w:type="pct"/>
          </w:tcPr>
          <w:p w14:paraId="67F1861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10.5</w:t>
            </w:r>
          </w:p>
        </w:tc>
        <w:tc>
          <w:tcPr>
            <w:cnfStyle w:val="000100000000" w:firstRow="0" w:lastRow="0" w:firstColumn="0" w:lastColumn="1" w:oddVBand="0" w:evenVBand="0" w:oddHBand="0" w:evenHBand="0" w:firstRowFirstColumn="0" w:firstRowLastColumn="0" w:lastRowFirstColumn="0" w:lastRowLastColumn="0"/>
            <w:tcW w:w="445" w:type="pct"/>
          </w:tcPr>
          <w:p w14:paraId="37B10FAB" w14:textId="77777777" w:rsidR="00B44672" w:rsidRDefault="00B44672" w:rsidP="000511CA">
            <w:pPr>
              <w:pStyle w:val="Compact"/>
              <w:jc w:val="center"/>
            </w:pPr>
            <w:r>
              <w:t>10.5</w:t>
            </w:r>
          </w:p>
        </w:tc>
      </w:tr>
      <w:tr w:rsidR="00B44672" w14:paraId="26D7270F" w14:textId="77777777" w:rsidTr="00CC44E7">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7" w:type="pct"/>
          </w:tcPr>
          <w:p w14:paraId="52AC3A5B" w14:textId="77777777" w:rsidR="00B44672" w:rsidRDefault="00B44672" w:rsidP="000511CA">
            <w:pPr>
              <w:pStyle w:val="Compact"/>
            </w:pPr>
            <w:r>
              <w:t>Total</w:t>
            </w:r>
          </w:p>
        </w:tc>
        <w:tc>
          <w:tcPr>
            <w:tcW w:w="766" w:type="pct"/>
          </w:tcPr>
          <w:p w14:paraId="344793EB"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99,804</w:t>
            </w:r>
          </w:p>
        </w:tc>
        <w:tc>
          <w:tcPr>
            <w:tcW w:w="494" w:type="pct"/>
          </w:tcPr>
          <w:p w14:paraId="39027690"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93,691</w:t>
            </w:r>
          </w:p>
        </w:tc>
        <w:tc>
          <w:tcPr>
            <w:tcW w:w="434" w:type="pct"/>
          </w:tcPr>
          <w:p w14:paraId="2E8B4423"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193,495</w:t>
            </w:r>
          </w:p>
        </w:tc>
        <w:tc>
          <w:tcPr>
            <w:tcW w:w="794" w:type="pct"/>
          </w:tcPr>
          <w:p w14:paraId="2FC1B3AE"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51.6</w:t>
            </w:r>
          </w:p>
        </w:tc>
        <w:tc>
          <w:tcPr>
            <w:tcW w:w="520" w:type="pct"/>
          </w:tcPr>
          <w:p w14:paraId="3516E032"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48.4</w:t>
            </w:r>
          </w:p>
        </w:tc>
        <w:tc>
          <w:tcPr>
            <w:cnfStyle w:val="000100000000" w:firstRow="0" w:lastRow="0" w:firstColumn="0" w:lastColumn="1" w:oddVBand="0" w:evenVBand="0" w:oddHBand="0" w:evenHBand="0" w:firstRowFirstColumn="0" w:firstRowLastColumn="0" w:lastRowFirstColumn="0" w:lastRowLastColumn="0"/>
            <w:tcW w:w="445" w:type="pct"/>
          </w:tcPr>
          <w:p w14:paraId="49A3AAAA" w14:textId="77777777" w:rsidR="00B44672" w:rsidRDefault="00B44672" w:rsidP="000511CA">
            <w:pPr>
              <w:pStyle w:val="Compact"/>
              <w:jc w:val="center"/>
            </w:pPr>
            <w:r>
              <w:t>100.0</w:t>
            </w:r>
          </w:p>
        </w:tc>
      </w:tr>
    </w:tbl>
    <w:p w14:paraId="2702221F" w14:textId="77777777" w:rsidR="00B44672" w:rsidRDefault="00B44672" w:rsidP="00C83581">
      <w:pPr>
        <w:pStyle w:val="BlockText"/>
      </w:pPr>
      <w:r>
        <w:rPr>
          <w:i/>
        </w:rPr>
        <w:t>Source</w:t>
      </w:r>
      <w:r>
        <w:t>: Our calculations from SIHs 2009-10 and 2011-12 with population weights collected from the ABS No. 3101 ‘Australian Demographic Statistics - June 2019’ (Table 58 - Estimated resident population by single year of age in the ACT).</w:t>
      </w:r>
      <w:r>
        <w:br/>
      </w:r>
      <w:r>
        <w:rPr>
          <w:i/>
        </w:rPr>
        <w:t>Notes</w:t>
      </w:r>
      <w:r>
        <w:t>: (</w:t>
      </w:r>
      <w:proofErr w:type="spellStart"/>
      <w:r>
        <w:t>i</w:t>
      </w:r>
      <w:proofErr w:type="spellEnd"/>
      <w:r>
        <w:t xml:space="preserve">) Single or main income units (IUs) include both homeowners and renters who are mainly responsible for their dwellings and share or do not share their residences with other income units; (ii) IUs sharing with homeowner or renter include those who share their homes with main income units. </w:t>
      </w:r>
    </w:p>
    <w:p w14:paraId="17E3D788" w14:textId="77777777" w:rsidR="00B44672" w:rsidRDefault="00B44672" w:rsidP="00C83581">
      <w:pPr>
        <w:pStyle w:val="TableCaption"/>
      </w:pPr>
    </w:p>
    <w:p w14:paraId="1AD02ED6" w14:textId="77777777" w:rsidR="00B44672" w:rsidRDefault="00B44672" w:rsidP="00C83581">
      <w:pPr>
        <w:pStyle w:val="TableCaption"/>
      </w:pPr>
      <w:r>
        <w:t>Table A2 - Home loan characteristics in the ACT, 2011-2017</w:t>
      </w:r>
    </w:p>
    <w:tbl>
      <w:tblPr>
        <w:tblStyle w:val="Table"/>
        <w:tblW w:w="5000" w:type="pct"/>
        <w:jc w:val="center"/>
        <w:tblCellMar>
          <w:left w:w="0" w:type="dxa"/>
          <w:right w:w="0" w:type="dxa"/>
        </w:tblCellMar>
        <w:tblLook w:val="07E0" w:firstRow="1" w:lastRow="1" w:firstColumn="1" w:lastColumn="1" w:noHBand="1" w:noVBand="1"/>
        <w:tblCaption w:val="Table A2 - Home loan characteristics in the ACT, 2011-2017"/>
      </w:tblPr>
      <w:tblGrid>
        <w:gridCol w:w="3200"/>
        <w:gridCol w:w="562"/>
        <w:gridCol w:w="561"/>
        <w:gridCol w:w="561"/>
        <w:gridCol w:w="561"/>
        <w:gridCol w:w="1787"/>
        <w:gridCol w:w="1787"/>
        <w:gridCol w:w="7"/>
      </w:tblGrid>
      <w:tr w:rsidR="00B44672" w14:paraId="3664B75F" w14:textId="77777777" w:rsidTr="000511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2" w:type="pct"/>
            <w:tcBorders>
              <w:bottom w:val="single" w:sz="0" w:space="0" w:color="auto"/>
            </w:tcBorders>
            <w:vAlign w:val="bottom"/>
          </w:tcPr>
          <w:p w14:paraId="3FA18496" w14:textId="77777777" w:rsidR="00B44672" w:rsidRDefault="00B44672" w:rsidP="000511CA"/>
        </w:tc>
        <w:tc>
          <w:tcPr>
            <w:tcW w:w="311" w:type="pct"/>
            <w:tcBorders>
              <w:bottom w:val="single" w:sz="0" w:space="0" w:color="auto"/>
            </w:tcBorders>
            <w:vAlign w:val="bottom"/>
          </w:tcPr>
          <w:p w14:paraId="326834DA"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2011</w:t>
            </w:r>
          </w:p>
        </w:tc>
        <w:tc>
          <w:tcPr>
            <w:tcW w:w="311" w:type="pct"/>
            <w:tcBorders>
              <w:bottom w:val="single" w:sz="0" w:space="0" w:color="auto"/>
            </w:tcBorders>
            <w:vAlign w:val="bottom"/>
          </w:tcPr>
          <w:p w14:paraId="62C0582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2013</w:t>
            </w:r>
          </w:p>
        </w:tc>
        <w:tc>
          <w:tcPr>
            <w:tcW w:w="311" w:type="pct"/>
            <w:tcBorders>
              <w:bottom w:val="single" w:sz="0" w:space="0" w:color="auto"/>
            </w:tcBorders>
            <w:vAlign w:val="bottom"/>
          </w:tcPr>
          <w:p w14:paraId="08038D0B"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2015</w:t>
            </w:r>
          </w:p>
        </w:tc>
        <w:tc>
          <w:tcPr>
            <w:tcW w:w="311" w:type="pct"/>
            <w:tcBorders>
              <w:bottom w:val="single" w:sz="0" w:space="0" w:color="auto"/>
            </w:tcBorders>
            <w:vAlign w:val="bottom"/>
          </w:tcPr>
          <w:p w14:paraId="0B46988B"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2017</w:t>
            </w:r>
          </w:p>
        </w:tc>
        <w:tc>
          <w:tcPr>
            <w:tcW w:w="990" w:type="pct"/>
            <w:tcBorders>
              <w:bottom w:val="single" w:sz="0" w:space="0" w:color="auto"/>
            </w:tcBorders>
            <w:vAlign w:val="bottom"/>
          </w:tcPr>
          <w:p w14:paraId="2E56D328"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2015 (ACT only)</w:t>
            </w:r>
          </w:p>
        </w:tc>
        <w:tc>
          <w:tcPr>
            <w:tcW w:w="990" w:type="pct"/>
            <w:tcBorders>
              <w:bottom w:val="single" w:sz="0" w:space="0" w:color="auto"/>
            </w:tcBorders>
            <w:vAlign w:val="bottom"/>
          </w:tcPr>
          <w:p w14:paraId="53EF6405"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2017 (ACT only)</w:t>
            </w:r>
          </w:p>
        </w:tc>
        <w:tc>
          <w:tcPr>
            <w:cnfStyle w:val="000100000000" w:firstRow="0" w:lastRow="0" w:firstColumn="0" w:lastColumn="1" w:oddVBand="0" w:evenVBand="0" w:oddHBand="0" w:evenHBand="0" w:firstRowFirstColumn="0" w:firstRowLastColumn="0" w:lastRowFirstColumn="0" w:lastRowLastColumn="0"/>
            <w:tcW w:w="4" w:type="pct"/>
            <w:tcBorders>
              <w:bottom w:val="single" w:sz="0" w:space="0" w:color="auto"/>
            </w:tcBorders>
            <w:vAlign w:val="bottom"/>
          </w:tcPr>
          <w:p w14:paraId="21DD0064" w14:textId="77777777" w:rsidR="00B44672" w:rsidRDefault="00B44672" w:rsidP="000511CA"/>
        </w:tc>
      </w:tr>
      <w:tr w:rsidR="00B44672" w14:paraId="71BC2847"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50DB9672" w14:textId="77777777" w:rsidR="00B44672" w:rsidRDefault="00B44672" w:rsidP="000511CA">
            <w:pPr>
              <w:pStyle w:val="Compact"/>
            </w:pPr>
            <w:r>
              <w:rPr>
                <w:b/>
              </w:rPr>
              <w:t>Among all homeowners</w:t>
            </w:r>
          </w:p>
        </w:tc>
        <w:tc>
          <w:tcPr>
            <w:tcW w:w="311" w:type="pct"/>
          </w:tcPr>
          <w:p w14:paraId="13277293"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311" w:type="pct"/>
          </w:tcPr>
          <w:p w14:paraId="6B633F1A"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311" w:type="pct"/>
          </w:tcPr>
          <w:p w14:paraId="5978B025"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311" w:type="pct"/>
          </w:tcPr>
          <w:p w14:paraId="060A6445"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990" w:type="pct"/>
          </w:tcPr>
          <w:p w14:paraId="57B562F6"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990" w:type="pct"/>
          </w:tcPr>
          <w:p w14:paraId="64A26489"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 w:type="pct"/>
          </w:tcPr>
          <w:p w14:paraId="44F7CE8F" w14:textId="77777777" w:rsidR="00B44672" w:rsidRDefault="00B44672" w:rsidP="000511CA"/>
        </w:tc>
      </w:tr>
      <w:tr w:rsidR="00B44672" w14:paraId="333CEC6B"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5A620DF3" w14:textId="77777777" w:rsidR="00B44672" w:rsidRDefault="00B44672" w:rsidP="000511CA">
            <w:pPr>
              <w:pStyle w:val="Compact"/>
            </w:pPr>
            <w:r>
              <w:t>% HHs with loans</w:t>
            </w:r>
          </w:p>
        </w:tc>
        <w:tc>
          <w:tcPr>
            <w:tcW w:w="311" w:type="pct"/>
          </w:tcPr>
          <w:p w14:paraId="7EBDFB5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56.0</w:t>
            </w:r>
          </w:p>
        </w:tc>
        <w:tc>
          <w:tcPr>
            <w:tcW w:w="311" w:type="pct"/>
          </w:tcPr>
          <w:p w14:paraId="595F3CA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54.8</w:t>
            </w:r>
          </w:p>
        </w:tc>
        <w:tc>
          <w:tcPr>
            <w:tcW w:w="311" w:type="pct"/>
          </w:tcPr>
          <w:p w14:paraId="35A7823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55.1</w:t>
            </w:r>
          </w:p>
        </w:tc>
        <w:tc>
          <w:tcPr>
            <w:tcW w:w="311" w:type="pct"/>
          </w:tcPr>
          <w:p w14:paraId="763AD80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56.9</w:t>
            </w:r>
          </w:p>
        </w:tc>
        <w:tc>
          <w:tcPr>
            <w:tcW w:w="990" w:type="pct"/>
          </w:tcPr>
          <w:p w14:paraId="4A7FA91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53.5</w:t>
            </w:r>
          </w:p>
        </w:tc>
        <w:tc>
          <w:tcPr>
            <w:tcW w:w="990" w:type="pct"/>
          </w:tcPr>
          <w:p w14:paraId="1E87AC8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53.6</w:t>
            </w:r>
          </w:p>
        </w:tc>
        <w:tc>
          <w:tcPr>
            <w:cnfStyle w:val="000100000000" w:firstRow="0" w:lastRow="0" w:firstColumn="0" w:lastColumn="1" w:oddVBand="0" w:evenVBand="0" w:oddHBand="0" w:evenHBand="0" w:firstRowFirstColumn="0" w:firstRowLastColumn="0" w:lastRowFirstColumn="0" w:lastRowLastColumn="0"/>
            <w:tcW w:w="4" w:type="pct"/>
          </w:tcPr>
          <w:p w14:paraId="55F1AB13" w14:textId="77777777" w:rsidR="00B44672" w:rsidRDefault="00B44672" w:rsidP="000511CA"/>
        </w:tc>
      </w:tr>
      <w:tr w:rsidR="00B44672" w14:paraId="3AF25196"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434689A8" w14:textId="77777777" w:rsidR="00B44672" w:rsidRDefault="00B44672" w:rsidP="000511CA">
            <w:pPr>
              <w:pStyle w:val="Compact"/>
            </w:pPr>
            <w:r>
              <w:t>Median interest rate (%)</w:t>
            </w:r>
          </w:p>
        </w:tc>
        <w:tc>
          <w:tcPr>
            <w:tcW w:w="311" w:type="pct"/>
          </w:tcPr>
          <w:p w14:paraId="041BC22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7</w:t>
            </w:r>
          </w:p>
        </w:tc>
        <w:tc>
          <w:tcPr>
            <w:tcW w:w="311" w:type="pct"/>
          </w:tcPr>
          <w:p w14:paraId="37F34C7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5.39</w:t>
            </w:r>
          </w:p>
        </w:tc>
        <w:tc>
          <w:tcPr>
            <w:tcW w:w="311" w:type="pct"/>
          </w:tcPr>
          <w:p w14:paraId="0BCA7C2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4.75</w:t>
            </w:r>
          </w:p>
        </w:tc>
        <w:tc>
          <w:tcPr>
            <w:tcW w:w="311" w:type="pct"/>
          </w:tcPr>
          <w:p w14:paraId="720AB49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4.30</w:t>
            </w:r>
          </w:p>
        </w:tc>
        <w:tc>
          <w:tcPr>
            <w:tcW w:w="990" w:type="pct"/>
          </w:tcPr>
          <w:p w14:paraId="1FBF1AC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4.76</w:t>
            </w:r>
          </w:p>
        </w:tc>
        <w:tc>
          <w:tcPr>
            <w:tcW w:w="990" w:type="pct"/>
          </w:tcPr>
          <w:p w14:paraId="01737CB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4.30</w:t>
            </w:r>
          </w:p>
        </w:tc>
        <w:tc>
          <w:tcPr>
            <w:cnfStyle w:val="000100000000" w:firstRow="0" w:lastRow="0" w:firstColumn="0" w:lastColumn="1" w:oddVBand="0" w:evenVBand="0" w:oddHBand="0" w:evenHBand="0" w:firstRowFirstColumn="0" w:firstRowLastColumn="0" w:lastRowFirstColumn="0" w:lastRowLastColumn="0"/>
            <w:tcW w:w="4" w:type="pct"/>
          </w:tcPr>
          <w:p w14:paraId="46836CD0" w14:textId="77777777" w:rsidR="00B44672" w:rsidRDefault="00B44672" w:rsidP="000511CA"/>
        </w:tc>
      </w:tr>
      <w:tr w:rsidR="00B44672" w14:paraId="6010A9E7"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7D30CD9E" w14:textId="77777777" w:rsidR="00B44672" w:rsidRDefault="00B44672" w:rsidP="000511CA">
            <w:pPr>
              <w:pStyle w:val="Compact"/>
            </w:pPr>
            <w:r>
              <w:t>Median months of loans</w:t>
            </w:r>
          </w:p>
        </w:tc>
        <w:tc>
          <w:tcPr>
            <w:tcW w:w="311" w:type="pct"/>
          </w:tcPr>
          <w:p w14:paraId="544D165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142</w:t>
            </w:r>
          </w:p>
        </w:tc>
        <w:tc>
          <w:tcPr>
            <w:tcW w:w="311" w:type="pct"/>
          </w:tcPr>
          <w:p w14:paraId="2C5EEFD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155</w:t>
            </w:r>
          </w:p>
        </w:tc>
        <w:tc>
          <w:tcPr>
            <w:tcW w:w="311" w:type="pct"/>
          </w:tcPr>
          <w:p w14:paraId="51238B4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175</w:t>
            </w:r>
          </w:p>
        </w:tc>
        <w:tc>
          <w:tcPr>
            <w:tcW w:w="311" w:type="pct"/>
          </w:tcPr>
          <w:p w14:paraId="5BA2246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190</w:t>
            </w:r>
          </w:p>
        </w:tc>
        <w:tc>
          <w:tcPr>
            <w:tcW w:w="990" w:type="pct"/>
          </w:tcPr>
          <w:p w14:paraId="765AD9C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170</w:t>
            </w:r>
          </w:p>
        </w:tc>
        <w:tc>
          <w:tcPr>
            <w:tcW w:w="990" w:type="pct"/>
          </w:tcPr>
          <w:p w14:paraId="1660C19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191</w:t>
            </w:r>
          </w:p>
        </w:tc>
        <w:tc>
          <w:tcPr>
            <w:cnfStyle w:val="000100000000" w:firstRow="0" w:lastRow="0" w:firstColumn="0" w:lastColumn="1" w:oddVBand="0" w:evenVBand="0" w:oddHBand="0" w:evenHBand="0" w:firstRowFirstColumn="0" w:firstRowLastColumn="0" w:lastRowFirstColumn="0" w:lastRowLastColumn="0"/>
            <w:tcW w:w="4" w:type="pct"/>
          </w:tcPr>
          <w:p w14:paraId="18F091A8" w14:textId="77777777" w:rsidR="00B44672" w:rsidRDefault="00B44672" w:rsidP="000511CA"/>
        </w:tc>
      </w:tr>
      <w:tr w:rsidR="00B44672" w14:paraId="28B65556"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7A52F4E1" w14:textId="77777777" w:rsidR="00B44672" w:rsidRDefault="00B44672" w:rsidP="000511CA">
            <w:pPr>
              <w:pStyle w:val="Compact"/>
            </w:pPr>
            <w:r>
              <w:t>Median loan to value (LTV)</w:t>
            </w:r>
          </w:p>
        </w:tc>
        <w:tc>
          <w:tcPr>
            <w:tcW w:w="311" w:type="pct"/>
          </w:tcPr>
          <w:p w14:paraId="5B89668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0.56</w:t>
            </w:r>
          </w:p>
        </w:tc>
        <w:tc>
          <w:tcPr>
            <w:tcW w:w="311" w:type="pct"/>
          </w:tcPr>
          <w:p w14:paraId="412E4BF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0.63</w:t>
            </w:r>
          </w:p>
        </w:tc>
        <w:tc>
          <w:tcPr>
            <w:tcW w:w="311" w:type="pct"/>
          </w:tcPr>
          <w:p w14:paraId="2825FCA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0.68</w:t>
            </w:r>
          </w:p>
        </w:tc>
        <w:tc>
          <w:tcPr>
            <w:tcW w:w="311" w:type="pct"/>
          </w:tcPr>
          <w:p w14:paraId="545B7BE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0.67</w:t>
            </w:r>
          </w:p>
        </w:tc>
        <w:tc>
          <w:tcPr>
            <w:tcW w:w="990" w:type="pct"/>
          </w:tcPr>
          <w:p w14:paraId="54ACF47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0.67</w:t>
            </w:r>
          </w:p>
        </w:tc>
        <w:tc>
          <w:tcPr>
            <w:tcW w:w="990" w:type="pct"/>
          </w:tcPr>
          <w:p w14:paraId="0A2BE8E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0.64</w:t>
            </w:r>
          </w:p>
        </w:tc>
        <w:tc>
          <w:tcPr>
            <w:cnfStyle w:val="000100000000" w:firstRow="0" w:lastRow="0" w:firstColumn="0" w:lastColumn="1" w:oddVBand="0" w:evenVBand="0" w:oddHBand="0" w:evenHBand="0" w:firstRowFirstColumn="0" w:firstRowLastColumn="0" w:lastRowFirstColumn="0" w:lastRowLastColumn="0"/>
            <w:tcW w:w="4" w:type="pct"/>
          </w:tcPr>
          <w:p w14:paraId="5193A88F" w14:textId="77777777" w:rsidR="00B44672" w:rsidRDefault="00B44672" w:rsidP="000511CA"/>
        </w:tc>
      </w:tr>
      <w:tr w:rsidR="00B44672" w14:paraId="699B65EB"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75F4807B" w14:textId="77777777" w:rsidR="00B44672" w:rsidRDefault="00B44672" w:rsidP="000511CA">
            <w:pPr>
              <w:pStyle w:val="Compact"/>
            </w:pPr>
            <w:r>
              <w:t xml:space="preserve">% of loans with LTV </w:t>
            </w:r>
            <m:oMath>
              <m:r>
                <w:rPr>
                  <w:rFonts w:ascii="Cambria Math" w:hAnsi="Cambria Math"/>
                </w:rPr>
                <m:t>≥</m:t>
              </m:r>
            </m:oMath>
            <w:r>
              <w:t xml:space="preserve"> 0.8</w:t>
            </w:r>
          </w:p>
        </w:tc>
        <w:tc>
          <w:tcPr>
            <w:tcW w:w="311" w:type="pct"/>
          </w:tcPr>
          <w:p w14:paraId="3FF1F06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19.2</w:t>
            </w:r>
          </w:p>
        </w:tc>
        <w:tc>
          <w:tcPr>
            <w:tcW w:w="311" w:type="pct"/>
          </w:tcPr>
          <w:p w14:paraId="3F9FC9A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23.0</w:t>
            </w:r>
          </w:p>
        </w:tc>
        <w:tc>
          <w:tcPr>
            <w:tcW w:w="311" w:type="pct"/>
          </w:tcPr>
          <w:p w14:paraId="7006D9C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29.5</w:t>
            </w:r>
          </w:p>
        </w:tc>
        <w:tc>
          <w:tcPr>
            <w:tcW w:w="311" w:type="pct"/>
          </w:tcPr>
          <w:p w14:paraId="51DDEBF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26.8</w:t>
            </w:r>
          </w:p>
        </w:tc>
        <w:tc>
          <w:tcPr>
            <w:tcW w:w="990" w:type="pct"/>
          </w:tcPr>
          <w:p w14:paraId="49B2CEA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26.0</w:t>
            </w:r>
          </w:p>
        </w:tc>
        <w:tc>
          <w:tcPr>
            <w:tcW w:w="990" w:type="pct"/>
          </w:tcPr>
          <w:p w14:paraId="6BAFC28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22.8</w:t>
            </w:r>
          </w:p>
        </w:tc>
        <w:tc>
          <w:tcPr>
            <w:cnfStyle w:val="000100000000" w:firstRow="0" w:lastRow="0" w:firstColumn="0" w:lastColumn="1" w:oddVBand="0" w:evenVBand="0" w:oddHBand="0" w:evenHBand="0" w:firstRowFirstColumn="0" w:firstRowLastColumn="0" w:lastRowFirstColumn="0" w:lastRowLastColumn="0"/>
            <w:tcW w:w="4" w:type="pct"/>
          </w:tcPr>
          <w:p w14:paraId="50C67C4D" w14:textId="77777777" w:rsidR="00B44672" w:rsidRDefault="00B44672" w:rsidP="000511CA"/>
        </w:tc>
      </w:tr>
      <w:tr w:rsidR="00B44672" w14:paraId="0601FE90"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09A1E14F" w14:textId="77777777" w:rsidR="00B44672" w:rsidRDefault="00B44672" w:rsidP="000511CA">
            <w:pPr>
              <w:pStyle w:val="Compact"/>
            </w:pPr>
            <w:r>
              <w:rPr>
                <w:b/>
              </w:rPr>
              <w:t>Among recent homeowners</w:t>
            </w:r>
          </w:p>
        </w:tc>
        <w:tc>
          <w:tcPr>
            <w:tcW w:w="311" w:type="pct"/>
          </w:tcPr>
          <w:p w14:paraId="224D4D9F"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311" w:type="pct"/>
          </w:tcPr>
          <w:p w14:paraId="0AA78FE7"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311" w:type="pct"/>
          </w:tcPr>
          <w:p w14:paraId="59483ACD"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311" w:type="pct"/>
          </w:tcPr>
          <w:p w14:paraId="4304B8EB"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990" w:type="pct"/>
          </w:tcPr>
          <w:p w14:paraId="2736DF2C"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990" w:type="pct"/>
          </w:tcPr>
          <w:p w14:paraId="7F1C5F9D"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 w:type="pct"/>
          </w:tcPr>
          <w:p w14:paraId="7E8D18EB" w14:textId="77777777" w:rsidR="00B44672" w:rsidRDefault="00B44672" w:rsidP="000511CA"/>
        </w:tc>
      </w:tr>
      <w:tr w:rsidR="00B44672" w14:paraId="13F53C56"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158F9249" w14:textId="77777777" w:rsidR="00B44672" w:rsidRDefault="00B44672" w:rsidP="000511CA">
            <w:pPr>
              <w:pStyle w:val="Compact"/>
            </w:pPr>
            <w:r>
              <w:t>% HHs with loans</w:t>
            </w:r>
          </w:p>
        </w:tc>
        <w:tc>
          <w:tcPr>
            <w:tcW w:w="311" w:type="pct"/>
          </w:tcPr>
          <w:p w14:paraId="3FEBC84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86.2</w:t>
            </w:r>
          </w:p>
        </w:tc>
        <w:tc>
          <w:tcPr>
            <w:tcW w:w="311" w:type="pct"/>
          </w:tcPr>
          <w:p w14:paraId="536FD3E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87.2</w:t>
            </w:r>
          </w:p>
        </w:tc>
        <w:tc>
          <w:tcPr>
            <w:tcW w:w="311" w:type="pct"/>
          </w:tcPr>
          <w:p w14:paraId="04219CB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81.9</w:t>
            </w:r>
          </w:p>
        </w:tc>
        <w:tc>
          <w:tcPr>
            <w:tcW w:w="311" w:type="pct"/>
          </w:tcPr>
          <w:p w14:paraId="1885D0C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86.5</w:t>
            </w:r>
          </w:p>
        </w:tc>
        <w:tc>
          <w:tcPr>
            <w:tcW w:w="990" w:type="pct"/>
          </w:tcPr>
          <w:p w14:paraId="60A63F6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83.7</w:t>
            </w:r>
          </w:p>
        </w:tc>
        <w:tc>
          <w:tcPr>
            <w:tcW w:w="990" w:type="pct"/>
          </w:tcPr>
          <w:p w14:paraId="64DB0A3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85.0</w:t>
            </w:r>
          </w:p>
        </w:tc>
        <w:tc>
          <w:tcPr>
            <w:cnfStyle w:val="000100000000" w:firstRow="0" w:lastRow="0" w:firstColumn="0" w:lastColumn="1" w:oddVBand="0" w:evenVBand="0" w:oddHBand="0" w:evenHBand="0" w:firstRowFirstColumn="0" w:firstRowLastColumn="0" w:lastRowFirstColumn="0" w:lastRowLastColumn="0"/>
            <w:tcW w:w="4" w:type="pct"/>
          </w:tcPr>
          <w:p w14:paraId="4224AC5D" w14:textId="77777777" w:rsidR="00B44672" w:rsidRDefault="00B44672" w:rsidP="000511CA"/>
        </w:tc>
      </w:tr>
      <w:tr w:rsidR="00B44672" w14:paraId="05A148DB"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42186CD5" w14:textId="77777777" w:rsidR="00B44672" w:rsidRDefault="00B44672" w:rsidP="000511CA">
            <w:pPr>
              <w:pStyle w:val="Compact"/>
            </w:pPr>
            <w:r>
              <w:t>Median interest rate (%)</w:t>
            </w:r>
          </w:p>
        </w:tc>
        <w:tc>
          <w:tcPr>
            <w:tcW w:w="311" w:type="pct"/>
          </w:tcPr>
          <w:p w14:paraId="3E140D0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6.94</w:t>
            </w:r>
          </w:p>
        </w:tc>
        <w:tc>
          <w:tcPr>
            <w:tcW w:w="311" w:type="pct"/>
          </w:tcPr>
          <w:p w14:paraId="2245BE9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5.20</w:t>
            </w:r>
          </w:p>
        </w:tc>
        <w:tc>
          <w:tcPr>
            <w:tcW w:w="311" w:type="pct"/>
          </w:tcPr>
          <w:p w14:paraId="68AD349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4.65</w:t>
            </w:r>
          </w:p>
        </w:tc>
        <w:tc>
          <w:tcPr>
            <w:tcW w:w="311" w:type="pct"/>
          </w:tcPr>
          <w:p w14:paraId="57C681B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990" w:type="pct"/>
          </w:tcPr>
          <w:p w14:paraId="756BC1B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4.60</w:t>
            </w:r>
          </w:p>
        </w:tc>
        <w:tc>
          <w:tcPr>
            <w:tcW w:w="990" w:type="pct"/>
          </w:tcPr>
          <w:p w14:paraId="41F3811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cnfStyle w:val="000100000000" w:firstRow="0" w:lastRow="0" w:firstColumn="0" w:lastColumn="1" w:oddVBand="0" w:evenVBand="0" w:oddHBand="0" w:evenHBand="0" w:firstRowFirstColumn="0" w:firstRowLastColumn="0" w:lastRowFirstColumn="0" w:lastRowLastColumn="0"/>
            <w:tcW w:w="4" w:type="pct"/>
          </w:tcPr>
          <w:p w14:paraId="35AB3F1F" w14:textId="77777777" w:rsidR="00B44672" w:rsidRDefault="00B44672" w:rsidP="000511CA"/>
        </w:tc>
      </w:tr>
      <w:tr w:rsidR="00B44672" w14:paraId="68D6C210"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17749CB4" w14:textId="77777777" w:rsidR="00B44672" w:rsidRDefault="00B44672" w:rsidP="000511CA">
            <w:pPr>
              <w:pStyle w:val="Compact"/>
            </w:pPr>
            <w:r>
              <w:t>Median months of loans</w:t>
            </w:r>
          </w:p>
        </w:tc>
        <w:tc>
          <w:tcPr>
            <w:tcW w:w="311" w:type="pct"/>
          </w:tcPr>
          <w:p w14:paraId="6FAC602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148</w:t>
            </w:r>
          </w:p>
        </w:tc>
        <w:tc>
          <w:tcPr>
            <w:tcW w:w="311" w:type="pct"/>
          </w:tcPr>
          <w:p w14:paraId="42F0E1C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171</w:t>
            </w:r>
          </w:p>
        </w:tc>
        <w:tc>
          <w:tcPr>
            <w:tcW w:w="311" w:type="pct"/>
          </w:tcPr>
          <w:p w14:paraId="2E1258A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186</w:t>
            </w:r>
          </w:p>
        </w:tc>
        <w:tc>
          <w:tcPr>
            <w:tcW w:w="311" w:type="pct"/>
          </w:tcPr>
          <w:p w14:paraId="10DFAB7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198</w:t>
            </w:r>
          </w:p>
        </w:tc>
        <w:tc>
          <w:tcPr>
            <w:tcW w:w="990" w:type="pct"/>
          </w:tcPr>
          <w:p w14:paraId="6FC2329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188</w:t>
            </w:r>
          </w:p>
        </w:tc>
        <w:tc>
          <w:tcPr>
            <w:tcW w:w="990" w:type="pct"/>
          </w:tcPr>
          <w:p w14:paraId="081CECA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198</w:t>
            </w:r>
          </w:p>
        </w:tc>
        <w:tc>
          <w:tcPr>
            <w:cnfStyle w:val="000100000000" w:firstRow="0" w:lastRow="0" w:firstColumn="0" w:lastColumn="1" w:oddVBand="0" w:evenVBand="0" w:oddHBand="0" w:evenHBand="0" w:firstRowFirstColumn="0" w:firstRowLastColumn="0" w:lastRowFirstColumn="0" w:lastRowLastColumn="0"/>
            <w:tcW w:w="4" w:type="pct"/>
          </w:tcPr>
          <w:p w14:paraId="58AFBC47" w14:textId="77777777" w:rsidR="00B44672" w:rsidRDefault="00B44672" w:rsidP="000511CA"/>
        </w:tc>
      </w:tr>
      <w:tr w:rsidR="00B44672" w14:paraId="36754CC3"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11DFCA97" w14:textId="77777777" w:rsidR="00B44672" w:rsidRDefault="00B44672" w:rsidP="000511CA">
            <w:pPr>
              <w:pStyle w:val="Compact"/>
            </w:pPr>
            <w:r>
              <w:t>Median loan to value (LTV)</w:t>
            </w:r>
          </w:p>
        </w:tc>
        <w:tc>
          <w:tcPr>
            <w:tcW w:w="311" w:type="pct"/>
          </w:tcPr>
          <w:p w14:paraId="516BB01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0.78</w:t>
            </w:r>
          </w:p>
        </w:tc>
        <w:tc>
          <w:tcPr>
            <w:tcW w:w="311" w:type="pct"/>
          </w:tcPr>
          <w:p w14:paraId="2B50174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0.82</w:t>
            </w:r>
          </w:p>
        </w:tc>
        <w:tc>
          <w:tcPr>
            <w:tcW w:w="311" w:type="pct"/>
          </w:tcPr>
          <w:p w14:paraId="3A9A21B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0.80</w:t>
            </w:r>
          </w:p>
        </w:tc>
        <w:tc>
          <w:tcPr>
            <w:tcW w:w="311" w:type="pct"/>
          </w:tcPr>
          <w:p w14:paraId="460B326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0.81</w:t>
            </w:r>
          </w:p>
        </w:tc>
        <w:tc>
          <w:tcPr>
            <w:tcW w:w="990" w:type="pct"/>
          </w:tcPr>
          <w:p w14:paraId="369A897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0.80</w:t>
            </w:r>
          </w:p>
        </w:tc>
        <w:tc>
          <w:tcPr>
            <w:tcW w:w="990" w:type="pct"/>
          </w:tcPr>
          <w:p w14:paraId="61987C7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0.79</w:t>
            </w:r>
          </w:p>
        </w:tc>
        <w:tc>
          <w:tcPr>
            <w:cnfStyle w:val="000100000000" w:firstRow="0" w:lastRow="0" w:firstColumn="0" w:lastColumn="1" w:oddVBand="0" w:evenVBand="0" w:oddHBand="0" w:evenHBand="0" w:firstRowFirstColumn="0" w:firstRowLastColumn="0" w:lastRowFirstColumn="0" w:lastRowLastColumn="0"/>
            <w:tcW w:w="4" w:type="pct"/>
          </w:tcPr>
          <w:p w14:paraId="31EB99BA" w14:textId="77777777" w:rsidR="00B44672" w:rsidRDefault="00B44672" w:rsidP="000511CA"/>
        </w:tc>
      </w:tr>
      <w:tr w:rsidR="00B44672" w14:paraId="6553637C"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4D0EA6A9" w14:textId="77777777" w:rsidR="00B44672" w:rsidRDefault="00B44672" w:rsidP="000511CA">
            <w:pPr>
              <w:pStyle w:val="Compact"/>
            </w:pPr>
            <w:r>
              <w:t xml:space="preserve">% of loans with LTV </w:t>
            </w:r>
            <m:oMath>
              <m:r>
                <w:rPr>
                  <w:rFonts w:ascii="Cambria Math" w:hAnsi="Cambria Math"/>
                </w:rPr>
                <m:t>≥</m:t>
              </m:r>
            </m:oMath>
            <w:r>
              <w:t xml:space="preserve"> 0.8</w:t>
            </w:r>
          </w:p>
        </w:tc>
        <w:tc>
          <w:tcPr>
            <w:tcW w:w="311" w:type="pct"/>
          </w:tcPr>
          <w:p w14:paraId="461C88B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43.0</w:t>
            </w:r>
          </w:p>
        </w:tc>
        <w:tc>
          <w:tcPr>
            <w:tcW w:w="311" w:type="pct"/>
          </w:tcPr>
          <w:p w14:paraId="4FB5E73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56.4</w:t>
            </w:r>
          </w:p>
        </w:tc>
        <w:tc>
          <w:tcPr>
            <w:tcW w:w="311" w:type="pct"/>
          </w:tcPr>
          <w:p w14:paraId="10730F4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53.0</w:t>
            </w:r>
          </w:p>
        </w:tc>
        <w:tc>
          <w:tcPr>
            <w:tcW w:w="311" w:type="pct"/>
          </w:tcPr>
          <w:p w14:paraId="291EE84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50.5</w:t>
            </w:r>
          </w:p>
        </w:tc>
        <w:tc>
          <w:tcPr>
            <w:tcW w:w="990" w:type="pct"/>
          </w:tcPr>
          <w:p w14:paraId="21C17D1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48.5</w:t>
            </w:r>
          </w:p>
        </w:tc>
        <w:tc>
          <w:tcPr>
            <w:tcW w:w="990" w:type="pct"/>
          </w:tcPr>
          <w:p w14:paraId="16E926B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44.4</w:t>
            </w:r>
          </w:p>
        </w:tc>
        <w:tc>
          <w:tcPr>
            <w:cnfStyle w:val="000100000000" w:firstRow="0" w:lastRow="0" w:firstColumn="0" w:lastColumn="1" w:oddVBand="0" w:evenVBand="0" w:oddHBand="0" w:evenHBand="0" w:firstRowFirstColumn="0" w:firstRowLastColumn="0" w:lastRowFirstColumn="0" w:lastRowLastColumn="0"/>
            <w:tcW w:w="4" w:type="pct"/>
          </w:tcPr>
          <w:p w14:paraId="097EECE9" w14:textId="77777777" w:rsidR="00B44672" w:rsidRDefault="00B44672" w:rsidP="000511CA"/>
        </w:tc>
      </w:tr>
      <w:tr w:rsidR="00B44672" w14:paraId="053B953E"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4B1C78C4" w14:textId="77777777" w:rsidR="00B44672" w:rsidRDefault="00B44672" w:rsidP="000511CA">
            <w:pPr>
              <w:pStyle w:val="Compact"/>
            </w:pPr>
            <w:r>
              <w:rPr>
                <w:b/>
              </w:rPr>
              <w:t>Among first homeowners</w:t>
            </w:r>
          </w:p>
        </w:tc>
        <w:tc>
          <w:tcPr>
            <w:tcW w:w="311" w:type="pct"/>
          </w:tcPr>
          <w:p w14:paraId="1E51E68D"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311" w:type="pct"/>
          </w:tcPr>
          <w:p w14:paraId="47065F8D"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311" w:type="pct"/>
          </w:tcPr>
          <w:p w14:paraId="5A8C8421"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311" w:type="pct"/>
          </w:tcPr>
          <w:p w14:paraId="5BB5D302"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990" w:type="pct"/>
          </w:tcPr>
          <w:p w14:paraId="696CD894"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990" w:type="pct"/>
          </w:tcPr>
          <w:p w14:paraId="0FBD9257"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 w:type="pct"/>
          </w:tcPr>
          <w:p w14:paraId="76A3CEA5" w14:textId="77777777" w:rsidR="00B44672" w:rsidRDefault="00B44672" w:rsidP="000511CA"/>
        </w:tc>
      </w:tr>
      <w:tr w:rsidR="00B44672" w14:paraId="0B4627C7"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59D92465" w14:textId="77777777" w:rsidR="00B44672" w:rsidRDefault="00B44672" w:rsidP="000511CA">
            <w:pPr>
              <w:pStyle w:val="Compact"/>
            </w:pPr>
            <w:r>
              <w:t>% HHs with loans</w:t>
            </w:r>
          </w:p>
        </w:tc>
        <w:tc>
          <w:tcPr>
            <w:tcW w:w="311" w:type="pct"/>
          </w:tcPr>
          <w:p w14:paraId="7A560B5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94.0</w:t>
            </w:r>
          </w:p>
        </w:tc>
        <w:tc>
          <w:tcPr>
            <w:tcW w:w="311" w:type="pct"/>
          </w:tcPr>
          <w:p w14:paraId="51FEAC0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92.2</w:t>
            </w:r>
          </w:p>
        </w:tc>
        <w:tc>
          <w:tcPr>
            <w:tcW w:w="311" w:type="pct"/>
          </w:tcPr>
          <w:p w14:paraId="3219654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90.8</w:t>
            </w:r>
          </w:p>
        </w:tc>
        <w:tc>
          <w:tcPr>
            <w:tcW w:w="311" w:type="pct"/>
          </w:tcPr>
          <w:p w14:paraId="134F102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97.0</w:t>
            </w:r>
          </w:p>
        </w:tc>
        <w:tc>
          <w:tcPr>
            <w:tcW w:w="990" w:type="pct"/>
          </w:tcPr>
          <w:p w14:paraId="5B2AE32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100</w:t>
            </w:r>
          </w:p>
        </w:tc>
        <w:tc>
          <w:tcPr>
            <w:tcW w:w="990" w:type="pct"/>
          </w:tcPr>
          <w:p w14:paraId="17596A9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97.7</w:t>
            </w:r>
          </w:p>
        </w:tc>
        <w:tc>
          <w:tcPr>
            <w:cnfStyle w:val="000100000000" w:firstRow="0" w:lastRow="0" w:firstColumn="0" w:lastColumn="1" w:oddVBand="0" w:evenVBand="0" w:oddHBand="0" w:evenHBand="0" w:firstRowFirstColumn="0" w:firstRowLastColumn="0" w:lastRowFirstColumn="0" w:lastRowLastColumn="0"/>
            <w:tcW w:w="4" w:type="pct"/>
          </w:tcPr>
          <w:p w14:paraId="5C5A323D" w14:textId="77777777" w:rsidR="00B44672" w:rsidRDefault="00B44672" w:rsidP="000511CA"/>
        </w:tc>
      </w:tr>
      <w:tr w:rsidR="00B44672" w14:paraId="26D8C774"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1D70BA10" w14:textId="77777777" w:rsidR="00B44672" w:rsidRDefault="00B44672" w:rsidP="000511CA">
            <w:pPr>
              <w:pStyle w:val="Compact"/>
            </w:pPr>
            <w:r>
              <w:t>Median interest rate (%)</w:t>
            </w:r>
          </w:p>
        </w:tc>
        <w:tc>
          <w:tcPr>
            <w:tcW w:w="311" w:type="pct"/>
          </w:tcPr>
          <w:p w14:paraId="089EB73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7.01</w:t>
            </w:r>
          </w:p>
        </w:tc>
        <w:tc>
          <w:tcPr>
            <w:tcW w:w="311" w:type="pct"/>
          </w:tcPr>
          <w:p w14:paraId="4BE712F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5.30</w:t>
            </w:r>
          </w:p>
        </w:tc>
        <w:tc>
          <w:tcPr>
            <w:tcW w:w="311" w:type="pct"/>
          </w:tcPr>
          <w:p w14:paraId="7AD0709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4.65</w:t>
            </w:r>
          </w:p>
        </w:tc>
        <w:tc>
          <w:tcPr>
            <w:tcW w:w="311" w:type="pct"/>
          </w:tcPr>
          <w:p w14:paraId="297C344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3.99</w:t>
            </w:r>
          </w:p>
        </w:tc>
        <w:tc>
          <w:tcPr>
            <w:tcW w:w="990" w:type="pct"/>
          </w:tcPr>
          <w:p w14:paraId="1CEEAFD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4.75</w:t>
            </w:r>
          </w:p>
        </w:tc>
        <w:tc>
          <w:tcPr>
            <w:tcW w:w="990" w:type="pct"/>
          </w:tcPr>
          <w:p w14:paraId="0BDD4E8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3.99</w:t>
            </w:r>
          </w:p>
        </w:tc>
        <w:tc>
          <w:tcPr>
            <w:cnfStyle w:val="000100000000" w:firstRow="0" w:lastRow="0" w:firstColumn="0" w:lastColumn="1" w:oddVBand="0" w:evenVBand="0" w:oddHBand="0" w:evenHBand="0" w:firstRowFirstColumn="0" w:firstRowLastColumn="0" w:lastRowFirstColumn="0" w:lastRowLastColumn="0"/>
            <w:tcW w:w="4" w:type="pct"/>
          </w:tcPr>
          <w:p w14:paraId="4419A4EC" w14:textId="77777777" w:rsidR="00B44672" w:rsidRDefault="00B44672" w:rsidP="000511CA"/>
        </w:tc>
      </w:tr>
      <w:tr w:rsidR="00B44672" w14:paraId="22383B16"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65687F2F" w14:textId="77777777" w:rsidR="00B44672" w:rsidRDefault="00B44672" w:rsidP="000511CA">
            <w:pPr>
              <w:pStyle w:val="Compact"/>
            </w:pPr>
            <w:r>
              <w:t>Median months of loans</w:t>
            </w:r>
          </w:p>
        </w:tc>
        <w:tc>
          <w:tcPr>
            <w:tcW w:w="311" w:type="pct"/>
          </w:tcPr>
          <w:p w14:paraId="74E42A4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147</w:t>
            </w:r>
          </w:p>
        </w:tc>
        <w:tc>
          <w:tcPr>
            <w:tcW w:w="311" w:type="pct"/>
          </w:tcPr>
          <w:p w14:paraId="7037D25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168</w:t>
            </w:r>
          </w:p>
        </w:tc>
        <w:tc>
          <w:tcPr>
            <w:tcW w:w="311" w:type="pct"/>
          </w:tcPr>
          <w:p w14:paraId="288C617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179</w:t>
            </w:r>
          </w:p>
        </w:tc>
        <w:tc>
          <w:tcPr>
            <w:tcW w:w="311" w:type="pct"/>
          </w:tcPr>
          <w:p w14:paraId="2C84E03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198</w:t>
            </w:r>
          </w:p>
        </w:tc>
        <w:tc>
          <w:tcPr>
            <w:tcW w:w="990" w:type="pct"/>
          </w:tcPr>
          <w:p w14:paraId="00995AD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186</w:t>
            </w:r>
          </w:p>
        </w:tc>
        <w:tc>
          <w:tcPr>
            <w:tcW w:w="990" w:type="pct"/>
          </w:tcPr>
          <w:p w14:paraId="163FD0C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199</w:t>
            </w:r>
          </w:p>
        </w:tc>
        <w:tc>
          <w:tcPr>
            <w:cnfStyle w:val="000100000000" w:firstRow="0" w:lastRow="0" w:firstColumn="0" w:lastColumn="1" w:oddVBand="0" w:evenVBand="0" w:oddHBand="0" w:evenHBand="0" w:firstRowFirstColumn="0" w:firstRowLastColumn="0" w:lastRowFirstColumn="0" w:lastRowLastColumn="0"/>
            <w:tcW w:w="4" w:type="pct"/>
          </w:tcPr>
          <w:p w14:paraId="29399C91" w14:textId="77777777" w:rsidR="00B44672" w:rsidRDefault="00B44672" w:rsidP="000511CA"/>
        </w:tc>
      </w:tr>
      <w:tr w:rsidR="00B44672" w14:paraId="1AA196C8"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72" w:type="pct"/>
          </w:tcPr>
          <w:p w14:paraId="623F7300" w14:textId="77777777" w:rsidR="00B44672" w:rsidRDefault="00B44672" w:rsidP="000511CA">
            <w:pPr>
              <w:pStyle w:val="Compact"/>
            </w:pPr>
            <w:r>
              <w:t>Median loan to value (LTV)</w:t>
            </w:r>
          </w:p>
        </w:tc>
        <w:tc>
          <w:tcPr>
            <w:tcW w:w="311" w:type="pct"/>
          </w:tcPr>
          <w:p w14:paraId="372BAB7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0.80</w:t>
            </w:r>
          </w:p>
        </w:tc>
        <w:tc>
          <w:tcPr>
            <w:tcW w:w="311" w:type="pct"/>
          </w:tcPr>
          <w:p w14:paraId="215CE78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0.83</w:t>
            </w:r>
          </w:p>
        </w:tc>
        <w:tc>
          <w:tcPr>
            <w:tcW w:w="311" w:type="pct"/>
          </w:tcPr>
          <w:p w14:paraId="042A882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0.84</w:t>
            </w:r>
          </w:p>
        </w:tc>
        <w:tc>
          <w:tcPr>
            <w:tcW w:w="311" w:type="pct"/>
          </w:tcPr>
          <w:p w14:paraId="6EB5E16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0.84</w:t>
            </w:r>
          </w:p>
        </w:tc>
        <w:tc>
          <w:tcPr>
            <w:tcW w:w="990" w:type="pct"/>
          </w:tcPr>
          <w:p w14:paraId="5296520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0.81</w:t>
            </w:r>
          </w:p>
        </w:tc>
        <w:tc>
          <w:tcPr>
            <w:tcW w:w="990" w:type="pct"/>
          </w:tcPr>
          <w:p w14:paraId="6BD6271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0.83</w:t>
            </w:r>
          </w:p>
        </w:tc>
        <w:tc>
          <w:tcPr>
            <w:cnfStyle w:val="000100000000" w:firstRow="0" w:lastRow="0" w:firstColumn="0" w:lastColumn="1" w:oddVBand="0" w:evenVBand="0" w:oddHBand="0" w:evenHBand="0" w:firstRowFirstColumn="0" w:firstRowLastColumn="0" w:lastRowFirstColumn="0" w:lastRowLastColumn="0"/>
            <w:tcW w:w="4" w:type="pct"/>
          </w:tcPr>
          <w:p w14:paraId="11A5A46D" w14:textId="77777777" w:rsidR="00B44672" w:rsidRDefault="00B44672" w:rsidP="000511CA"/>
        </w:tc>
      </w:tr>
      <w:tr w:rsidR="00B44672" w14:paraId="293D3705" w14:textId="77777777" w:rsidTr="000511C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2" w:type="pct"/>
          </w:tcPr>
          <w:p w14:paraId="44223E70" w14:textId="77777777" w:rsidR="00B44672" w:rsidRDefault="00B44672" w:rsidP="000511CA">
            <w:pPr>
              <w:pStyle w:val="Compact"/>
            </w:pPr>
            <w:r>
              <w:t xml:space="preserve">% of loans with LTV </w:t>
            </w:r>
            <m:oMath>
              <m:r>
                <w:rPr>
                  <w:rFonts w:ascii="Cambria Math" w:hAnsi="Cambria Math"/>
                </w:rPr>
                <m:t>≥</m:t>
              </m:r>
            </m:oMath>
            <w:r>
              <w:t xml:space="preserve"> 0.8</w:t>
            </w:r>
          </w:p>
        </w:tc>
        <w:tc>
          <w:tcPr>
            <w:tcW w:w="311" w:type="pct"/>
          </w:tcPr>
          <w:p w14:paraId="70C228F9"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54.5</w:t>
            </w:r>
          </w:p>
        </w:tc>
        <w:tc>
          <w:tcPr>
            <w:tcW w:w="311" w:type="pct"/>
          </w:tcPr>
          <w:p w14:paraId="63AAD3F0"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61.6</w:t>
            </w:r>
          </w:p>
        </w:tc>
        <w:tc>
          <w:tcPr>
            <w:tcW w:w="311" w:type="pct"/>
          </w:tcPr>
          <w:p w14:paraId="2B918537"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64.9</w:t>
            </w:r>
          </w:p>
        </w:tc>
        <w:tc>
          <w:tcPr>
            <w:tcW w:w="311" w:type="pct"/>
          </w:tcPr>
          <w:p w14:paraId="08B05F75"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65.0</w:t>
            </w:r>
          </w:p>
        </w:tc>
        <w:tc>
          <w:tcPr>
            <w:tcW w:w="990" w:type="pct"/>
          </w:tcPr>
          <w:p w14:paraId="714AC220"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56.4</w:t>
            </w:r>
          </w:p>
        </w:tc>
        <w:tc>
          <w:tcPr>
            <w:tcW w:w="990" w:type="pct"/>
          </w:tcPr>
          <w:p w14:paraId="5C062F6C"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60.4</w:t>
            </w:r>
          </w:p>
        </w:tc>
        <w:tc>
          <w:tcPr>
            <w:cnfStyle w:val="000100000000" w:firstRow="0" w:lastRow="0" w:firstColumn="0" w:lastColumn="1" w:oddVBand="0" w:evenVBand="0" w:oddHBand="0" w:evenHBand="0" w:firstRowFirstColumn="0" w:firstRowLastColumn="0" w:lastRowFirstColumn="0" w:lastRowLastColumn="0"/>
            <w:tcW w:w="4" w:type="pct"/>
          </w:tcPr>
          <w:p w14:paraId="74562E5A" w14:textId="77777777" w:rsidR="00B44672" w:rsidRDefault="00B44672" w:rsidP="000511CA"/>
        </w:tc>
      </w:tr>
    </w:tbl>
    <w:p w14:paraId="2C748C44" w14:textId="77777777" w:rsidR="00B44672" w:rsidRDefault="00B44672" w:rsidP="00C83581">
      <w:pPr>
        <w:pStyle w:val="BlockText"/>
      </w:pPr>
      <w:r>
        <w:rPr>
          <w:i/>
        </w:rPr>
        <w:t>Source:</w:t>
      </w:r>
      <w:r>
        <w:t xml:space="preserve"> Our calculations from SIHs 2011-12, 2013-14, 2015-16, 2017-18.</w:t>
      </w:r>
      <w:r>
        <w:br/>
      </w:r>
      <w:r>
        <w:rPr>
          <w:i/>
        </w:rPr>
        <w:t>Notes</w:t>
      </w:r>
      <w:r>
        <w:t>: (</w:t>
      </w:r>
      <w:proofErr w:type="spellStart"/>
      <w:r>
        <w:t>i</w:t>
      </w:r>
      <w:proofErr w:type="spellEnd"/>
      <w:r>
        <w:t xml:space="preserve">) The ACT population weights are applied; (ii) The first four columns include the ACT and NT while the last two ones, with the available information, include the ACT only; (iii) Only the first mortgage loans related to the current properties are included; (iv) Loan duration is calculated based on the weekly repayment and the loan amount information; (v) Recent homeowners include those whose dwelling were purchased/built in the last three years; (vi) The first homeowners are those whose dwelling purchased/built in last three years is their first home owned. </w:t>
      </w:r>
    </w:p>
    <w:p w14:paraId="0E35D131" w14:textId="77777777" w:rsidR="00B44672" w:rsidRDefault="00B44672" w:rsidP="00C83581">
      <w:pPr>
        <w:pStyle w:val="TableCaption"/>
      </w:pPr>
      <w:r>
        <w:t>Table A3 - Probability of purchasing a new property in the ACT by the age of reference person, 2011-12 (Unit: %)</w:t>
      </w:r>
    </w:p>
    <w:tbl>
      <w:tblPr>
        <w:tblStyle w:val="Table"/>
        <w:tblW w:w="5131" w:type="pct"/>
        <w:jc w:val="center"/>
        <w:tblCellMar>
          <w:left w:w="0" w:type="dxa"/>
          <w:right w:w="0" w:type="dxa"/>
        </w:tblCellMar>
        <w:tblLook w:val="07E0" w:firstRow="1" w:lastRow="1" w:firstColumn="1" w:lastColumn="1" w:noHBand="1" w:noVBand="1"/>
        <w:tblCaption w:val="Table A3 - Probability of purchasing a new property in the ACT by the age of reference person, 2011-12 (Unit: %)"/>
      </w:tblPr>
      <w:tblGrid>
        <w:gridCol w:w="3282"/>
        <w:gridCol w:w="1914"/>
        <w:gridCol w:w="2049"/>
        <w:gridCol w:w="2017"/>
      </w:tblGrid>
      <w:tr w:rsidR="00B44672" w14:paraId="7E31FB59" w14:textId="77777777" w:rsidTr="00CC44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1" w:type="pct"/>
            <w:tcBorders>
              <w:bottom w:val="single" w:sz="0" w:space="0" w:color="auto"/>
            </w:tcBorders>
            <w:vAlign w:val="bottom"/>
          </w:tcPr>
          <w:p w14:paraId="41A6F907" w14:textId="77777777" w:rsidR="00B44672" w:rsidRDefault="00B44672" w:rsidP="000511CA"/>
        </w:tc>
        <w:tc>
          <w:tcPr>
            <w:tcW w:w="1033" w:type="pct"/>
            <w:tcBorders>
              <w:bottom w:val="single" w:sz="0" w:space="0" w:color="auto"/>
            </w:tcBorders>
            <w:vAlign w:val="bottom"/>
          </w:tcPr>
          <w:p w14:paraId="3DAC4C2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FHB, % Recent homeowners</w:t>
            </w:r>
          </w:p>
        </w:tc>
        <w:tc>
          <w:tcPr>
            <w:tcW w:w="1106" w:type="pct"/>
            <w:tcBorders>
              <w:bottom w:val="single" w:sz="0" w:space="0" w:color="auto"/>
            </w:tcBorders>
            <w:vAlign w:val="bottom"/>
          </w:tcPr>
          <w:p w14:paraId="15F30A88"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New home, % recent homeowners</w:t>
            </w:r>
          </w:p>
        </w:tc>
        <w:tc>
          <w:tcPr>
            <w:cnfStyle w:val="000100000000" w:firstRow="0" w:lastRow="0" w:firstColumn="0" w:lastColumn="1" w:oddVBand="0" w:evenVBand="0" w:oddHBand="0" w:evenHBand="0" w:firstRowFirstColumn="0" w:firstRowLastColumn="0" w:lastRowFirstColumn="0" w:lastRowLastColumn="0"/>
            <w:tcW w:w="1089" w:type="pct"/>
            <w:tcBorders>
              <w:bottom w:val="single" w:sz="0" w:space="0" w:color="auto"/>
            </w:tcBorders>
            <w:vAlign w:val="bottom"/>
          </w:tcPr>
          <w:p w14:paraId="27E7AF04" w14:textId="77777777" w:rsidR="00B44672" w:rsidRDefault="00B44672" w:rsidP="000511CA">
            <w:pPr>
              <w:pStyle w:val="Compact"/>
              <w:jc w:val="center"/>
            </w:pPr>
            <w:r>
              <w:t>New home, % potential buyers</w:t>
            </w:r>
          </w:p>
        </w:tc>
      </w:tr>
      <w:tr w:rsidR="00B44672" w14:paraId="75F2B418"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771" w:type="pct"/>
          </w:tcPr>
          <w:p w14:paraId="5E848FCC" w14:textId="77777777" w:rsidR="00B44672" w:rsidRDefault="00B44672" w:rsidP="000511CA">
            <w:pPr>
              <w:pStyle w:val="Compact"/>
            </w:pPr>
            <w:r>
              <w:lastRenderedPageBreak/>
              <w:t>Under 30 years old</w:t>
            </w:r>
          </w:p>
        </w:tc>
        <w:tc>
          <w:tcPr>
            <w:tcW w:w="1033" w:type="pct"/>
          </w:tcPr>
          <w:p w14:paraId="1E8D78B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85.2</w:t>
            </w:r>
          </w:p>
        </w:tc>
        <w:tc>
          <w:tcPr>
            <w:tcW w:w="1106" w:type="pct"/>
          </w:tcPr>
          <w:p w14:paraId="345D357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12.1</w:t>
            </w:r>
          </w:p>
        </w:tc>
        <w:tc>
          <w:tcPr>
            <w:cnfStyle w:val="000100000000" w:firstRow="0" w:lastRow="0" w:firstColumn="0" w:lastColumn="1" w:oddVBand="0" w:evenVBand="0" w:oddHBand="0" w:evenHBand="0" w:firstRowFirstColumn="0" w:firstRowLastColumn="0" w:lastRowFirstColumn="0" w:lastRowLastColumn="0"/>
            <w:tcW w:w="1089" w:type="pct"/>
          </w:tcPr>
          <w:p w14:paraId="76D8CB0D" w14:textId="77777777" w:rsidR="00B44672" w:rsidRDefault="00B44672" w:rsidP="000511CA">
            <w:pPr>
              <w:pStyle w:val="Compact"/>
              <w:jc w:val="center"/>
            </w:pPr>
            <w:r>
              <w:t>12.0</w:t>
            </w:r>
          </w:p>
        </w:tc>
      </w:tr>
      <w:tr w:rsidR="00B44672" w14:paraId="0AF5E7AB"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771" w:type="pct"/>
          </w:tcPr>
          <w:p w14:paraId="7AF3FF04" w14:textId="77777777" w:rsidR="00B44672" w:rsidRDefault="00B44672" w:rsidP="000511CA">
            <w:pPr>
              <w:pStyle w:val="Compact"/>
            </w:pPr>
            <w:r>
              <w:t>30-34 years old</w:t>
            </w:r>
          </w:p>
        </w:tc>
        <w:tc>
          <w:tcPr>
            <w:tcW w:w="1033" w:type="pct"/>
          </w:tcPr>
          <w:p w14:paraId="7D8B37D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66.9</w:t>
            </w:r>
          </w:p>
        </w:tc>
        <w:tc>
          <w:tcPr>
            <w:tcW w:w="1106" w:type="pct"/>
          </w:tcPr>
          <w:p w14:paraId="60EAD30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6.4</w:t>
            </w:r>
          </w:p>
        </w:tc>
        <w:tc>
          <w:tcPr>
            <w:cnfStyle w:val="000100000000" w:firstRow="0" w:lastRow="0" w:firstColumn="0" w:lastColumn="1" w:oddVBand="0" w:evenVBand="0" w:oddHBand="0" w:evenHBand="0" w:firstRowFirstColumn="0" w:firstRowLastColumn="0" w:lastRowFirstColumn="0" w:lastRowLastColumn="0"/>
            <w:tcW w:w="1089" w:type="pct"/>
          </w:tcPr>
          <w:p w14:paraId="2BAF9BBA" w14:textId="77777777" w:rsidR="00B44672" w:rsidRDefault="00B44672" w:rsidP="000511CA">
            <w:pPr>
              <w:pStyle w:val="Compact"/>
              <w:jc w:val="center"/>
            </w:pPr>
            <w:r>
              <w:t>6.3</w:t>
            </w:r>
          </w:p>
        </w:tc>
      </w:tr>
      <w:tr w:rsidR="00B44672" w14:paraId="7B1CA43E"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771" w:type="pct"/>
          </w:tcPr>
          <w:p w14:paraId="16C54E56" w14:textId="77777777" w:rsidR="00B44672" w:rsidRDefault="00B44672" w:rsidP="000511CA">
            <w:pPr>
              <w:pStyle w:val="Compact"/>
            </w:pPr>
            <w:r>
              <w:t>35-39 years old</w:t>
            </w:r>
          </w:p>
        </w:tc>
        <w:tc>
          <w:tcPr>
            <w:tcW w:w="1033" w:type="pct"/>
          </w:tcPr>
          <w:p w14:paraId="2A5AEA1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29.1</w:t>
            </w:r>
          </w:p>
        </w:tc>
        <w:tc>
          <w:tcPr>
            <w:tcW w:w="1106" w:type="pct"/>
          </w:tcPr>
          <w:p w14:paraId="7CD3850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18.5</w:t>
            </w:r>
          </w:p>
        </w:tc>
        <w:tc>
          <w:tcPr>
            <w:cnfStyle w:val="000100000000" w:firstRow="0" w:lastRow="0" w:firstColumn="0" w:lastColumn="1" w:oddVBand="0" w:evenVBand="0" w:oddHBand="0" w:evenHBand="0" w:firstRowFirstColumn="0" w:firstRowLastColumn="0" w:lastRowFirstColumn="0" w:lastRowLastColumn="0"/>
            <w:tcW w:w="1089" w:type="pct"/>
          </w:tcPr>
          <w:p w14:paraId="59A3C72B" w14:textId="77777777" w:rsidR="00B44672" w:rsidRDefault="00B44672" w:rsidP="000511CA">
            <w:pPr>
              <w:pStyle w:val="Compact"/>
              <w:jc w:val="center"/>
            </w:pPr>
            <w:r>
              <w:t>18.4</w:t>
            </w:r>
          </w:p>
        </w:tc>
      </w:tr>
      <w:tr w:rsidR="00B44672" w14:paraId="1FA45F42"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771" w:type="pct"/>
          </w:tcPr>
          <w:p w14:paraId="14D5E6BF" w14:textId="77777777" w:rsidR="00B44672" w:rsidRDefault="00B44672" w:rsidP="000511CA">
            <w:pPr>
              <w:pStyle w:val="Compact"/>
            </w:pPr>
            <w:r>
              <w:t>40-49 years old</w:t>
            </w:r>
          </w:p>
        </w:tc>
        <w:tc>
          <w:tcPr>
            <w:tcW w:w="1033" w:type="pct"/>
          </w:tcPr>
          <w:p w14:paraId="6D01E98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13.0</w:t>
            </w:r>
          </w:p>
        </w:tc>
        <w:tc>
          <w:tcPr>
            <w:tcW w:w="1106" w:type="pct"/>
          </w:tcPr>
          <w:p w14:paraId="7D69C0F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19.7</w:t>
            </w:r>
          </w:p>
        </w:tc>
        <w:tc>
          <w:tcPr>
            <w:cnfStyle w:val="000100000000" w:firstRow="0" w:lastRow="0" w:firstColumn="0" w:lastColumn="1" w:oddVBand="0" w:evenVBand="0" w:oddHBand="0" w:evenHBand="0" w:firstRowFirstColumn="0" w:firstRowLastColumn="0" w:lastRowFirstColumn="0" w:lastRowLastColumn="0"/>
            <w:tcW w:w="1089" w:type="pct"/>
          </w:tcPr>
          <w:p w14:paraId="5D1C3EDC" w14:textId="77777777" w:rsidR="00B44672" w:rsidRDefault="00B44672" w:rsidP="000511CA">
            <w:pPr>
              <w:pStyle w:val="Compact"/>
              <w:jc w:val="center"/>
            </w:pPr>
            <w:r>
              <w:t>20.2</w:t>
            </w:r>
          </w:p>
        </w:tc>
      </w:tr>
      <w:tr w:rsidR="00B44672" w14:paraId="38B6F511"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771" w:type="pct"/>
          </w:tcPr>
          <w:p w14:paraId="7FE71893" w14:textId="77777777" w:rsidR="00B44672" w:rsidRDefault="00B44672" w:rsidP="000511CA">
            <w:pPr>
              <w:pStyle w:val="Compact"/>
            </w:pPr>
            <w:r>
              <w:t>50+ years old</w:t>
            </w:r>
          </w:p>
        </w:tc>
        <w:tc>
          <w:tcPr>
            <w:tcW w:w="1033" w:type="pct"/>
          </w:tcPr>
          <w:p w14:paraId="5FA6C90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3.6</w:t>
            </w:r>
          </w:p>
        </w:tc>
        <w:tc>
          <w:tcPr>
            <w:tcW w:w="1106" w:type="pct"/>
          </w:tcPr>
          <w:p w14:paraId="1C7B9EC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20.8</w:t>
            </w:r>
          </w:p>
        </w:tc>
        <w:tc>
          <w:tcPr>
            <w:cnfStyle w:val="000100000000" w:firstRow="0" w:lastRow="0" w:firstColumn="0" w:lastColumn="1" w:oddVBand="0" w:evenVBand="0" w:oddHBand="0" w:evenHBand="0" w:firstRowFirstColumn="0" w:firstRowLastColumn="0" w:lastRowFirstColumn="0" w:lastRowLastColumn="0"/>
            <w:tcW w:w="1089" w:type="pct"/>
          </w:tcPr>
          <w:p w14:paraId="4D866AAB" w14:textId="77777777" w:rsidR="00B44672" w:rsidRDefault="00B44672" w:rsidP="000511CA">
            <w:pPr>
              <w:pStyle w:val="Compact"/>
              <w:jc w:val="center"/>
            </w:pPr>
            <w:r>
              <w:t>20.6</w:t>
            </w:r>
          </w:p>
        </w:tc>
      </w:tr>
      <w:tr w:rsidR="00B44672" w14:paraId="723FD46D"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771" w:type="pct"/>
          </w:tcPr>
          <w:p w14:paraId="5DE469EF" w14:textId="77777777" w:rsidR="00B44672" w:rsidRDefault="00B44672" w:rsidP="000511CA">
            <w:pPr>
              <w:pStyle w:val="Compact"/>
            </w:pPr>
            <w:r>
              <w:t>Total</w:t>
            </w:r>
          </w:p>
        </w:tc>
        <w:tc>
          <w:tcPr>
            <w:tcW w:w="1033" w:type="pct"/>
          </w:tcPr>
          <w:p w14:paraId="1EC0F11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38.7</w:t>
            </w:r>
          </w:p>
        </w:tc>
        <w:tc>
          <w:tcPr>
            <w:tcW w:w="1106" w:type="pct"/>
          </w:tcPr>
          <w:p w14:paraId="6AED84B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15.7</w:t>
            </w:r>
          </w:p>
        </w:tc>
        <w:tc>
          <w:tcPr>
            <w:cnfStyle w:val="000100000000" w:firstRow="0" w:lastRow="0" w:firstColumn="0" w:lastColumn="1" w:oddVBand="0" w:evenVBand="0" w:oddHBand="0" w:evenHBand="0" w:firstRowFirstColumn="0" w:firstRowLastColumn="0" w:lastRowFirstColumn="0" w:lastRowLastColumn="0"/>
            <w:tcW w:w="1089" w:type="pct"/>
          </w:tcPr>
          <w:p w14:paraId="350A9696" w14:textId="77777777" w:rsidR="00B44672" w:rsidRDefault="00B44672" w:rsidP="000511CA">
            <w:pPr>
              <w:pStyle w:val="Compact"/>
              <w:jc w:val="center"/>
            </w:pPr>
            <w:r>
              <w:t>14.7</w:t>
            </w:r>
          </w:p>
        </w:tc>
      </w:tr>
      <w:tr w:rsidR="00B44672" w14:paraId="7D760B7A" w14:textId="77777777" w:rsidTr="00CC44E7">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1" w:type="pct"/>
          </w:tcPr>
          <w:p w14:paraId="15C554EF" w14:textId="77777777" w:rsidR="00B44672" w:rsidRDefault="00B44672" w:rsidP="000511CA">
            <w:pPr>
              <w:pStyle w:val="Compact"/>
            </w:pPr>
            <w:r>
              <w:t>No. recent owners/potential buyers</w:t>
            </w:r>
          </w:p>
        </w:tc>
        <w:tc>
          <w:tcPr>
            <w:tcW w:w="1033" w:type="pct"/>
          </w:tcPr>
          <w:p w14:paraId="4E5807B3"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23534</w:t>
            </w:r>
          </w:p>
        </w:tc>
        <w:tc>
          <w:tcPr>
            <w:tcW w:w="1106" w:type="pct"/>
          </w:tcPr>
          <w:p w14:paraId="222C44AE"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23534</w:t>
            </w:r>
          </w:p>
        </w:tc>
        <w:tc>
          <w:tcPr>
            <w:cnfStyle w:val="000100000000" w:firstRow="0" w:lastRow="0" w:firstColumn="0" w:lastColumn="1" w:oddVBand="0" w:evenVBand="0" w:oddHBand="0" w:evenHBand="0" w:firstRowFirstColumn="0" w:firstRowLastColumn="0" w:lastRowFirstColumn="0" w:lastRowLastColumn="0"/>
            <w:tcW w:w="1089" w:type="pct"/>
          </w:tcPr>
          <w:p w14:paraId="17539B35" w14:textId="77777777" w:rsidR="00B44672" w:rsidRDefault="00B44672" w:rsidP="000511CA">
            <w:pPr>
              <w:pStyle w:val="Compact"/>
              <w:jc w:val="center"/>
            </w:pPr>
            <w:r>
              <w:t>108403</w:t>
            </w:r>
          </w:p>
        </w:tc>
      </w:tr>
    </w:tbl>
    <w:p w14:paraId="34A3559C" w14:textId="77777777" w:rsidR="00B44672" w:rsidRDefault="00B44672" w:rsidP="00C83581">
      <w:pPr>
        <w:pStyle w:val="BlockText"/>
      </w:pPr>
      <w:r>
        <w:rPr>
          <w:i/>
        </w:rPr>
        <w:t>Source:</w:t>
      </w:r>
      <w:r>
        <w:t xml:space="preserve"> Our calculations from SIHs 2009-10 and 2011-12.</w:t>
      </w:r>
      <w:r>
        <w:br/>
      </w:r>
      <w:r>
        <w:rPr>
          <w:i/>
        </w:rPr>
        <w:t>Notes:</w:t>
      </w:r>
      <w:r>
        <w:t xml:space="preserve"> (</w:t>
      </w:r>
      <w:proofErr w:type="spellStart"/>
      <w:r>
        <w:t>i</w:t>
      </w:r>
      <w:proofErr w:type="spellEnd"/>
      <w:r>
        <w:t xml:space="preserve">) The recent homeowners include income units whose dwellings were purchased/built in the last three years because the information on first homeowners and new home purchase are only available among this group; (ii) Potential buyers include all renters and homeowners who do not own any other properties and are randomly assigned; (iii) Column (3) shows the result of new home purchase status assigned randomly to all potential home buyers; (iv) The ACT population weights are applied. </w:t>
      </w:r>
    </w:p>
    <w:p w14:paraId="7918191C" w14:textId="77777777" w:rsidR="00B44672" w:rsidRDefault="00B44672">
      <w:pPr>
        <w:jc w:val="left"/>
        <w:rPr>
          <w:b/>
          <w:i/>
          <w:color w:val="365F91" w:themeColor="accent1" w:themeShade="BF"/>
        </w:rPr>
      </w:pPr>
      <w:r>
        <w:br w:type="page"/>
      </w:r>
    </w:p>
    <w:p w14:paraId="2C884667" w14:textId="77777777" w:rsidR="00B44672" w:rsidRDefault="00B44672" w:rsidP="00C83581">
      <w:pPr>
        <w:pStyle w:val="TableCaption"/>
      </w:pPr>
      <w:r>
        <w:lastRenderedPageBreak/>
        <w:t>Table A4 - Characteristics of sub-groups in the ACT, 2011-12 (Unit: %)</w:t>
      </w:r>
    </w:p>
    <w:tbl>
      <w:tblPr>
        <w:tblStyle w:val="Table"/>
        <w:tblW w:w="5349" w:type="pct"/>
        <w:jc w:val="center"/>
        <w:tblCellMar>
          <w:left w:w="0" w:type="dxa"/>
          <w:right w:w="0" w:type="dxa"/>
        </w:tblCellMar>
        <w:tblLook w:val="07E0" w:firstRow="1" w:lastRow="1" w:firstColumn="1" w:lastColumn="1" w:noHBand="1" w:noVBand="1"/>
        <w:tblCaption w:val="Table A4 - Characteristics of sub-groups in the ACT, 2011-12 (Unit: %)"/>
      </w:tblPr>
      <w:tblGrid>
        <w:gridCol w:w="3552"/>
        <w:gridCol w:w="676"/>
        <w:gridCol w:w="1105"/>
        <w:gridCol w:w="1365"/>
        <w:gridCol w:w="1369"/>
        <w:gridCol w:w="676"/>
        <w:gridCol w:w="913"/>
      </w:tblGrid>
      <w:tr w:rsidR="00B44672" w14:paraId="28A57C6E" w14:textId="77777777" w:rsidTr="00CC44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pct"/>
            <w:tcBorders>
              <w:bottom w:val="single" w:sz="0" w:space="0" w:color="auto"/>
            </w:tcBorders>
            <w:vAlign w:val="bottom"/>
          </w:tcPr>
          <w:p w14:paraId="0301A162" w14:textId="77777777" w:rsidR="00B44672" w:rsidRDefault="00B44672" w:rsidP="000511CA"/>
        </w:tc>
        <w:tc>
          <w:tcPr>
            <w:tcW w:w="350" w:type="pct"/>
            <w:tcBorders>
              <w:bottom w:val="single" w:sz="0" w:space="0" w:color="auto"/>
            </w:tcBorders>
            <w:vAlign w:val="bottom"/>
          </w:tcPr>
          <w:p w14:paraId="7098D669"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Renter</w:t>
            </w:r>
          </w:p>
        </w:tc>
        <w:tc>
          <w:tcPr>
            <w:tcW w:w="572" w:type="pct"/>
            <w:tcBorders>
              <w:bottom w:val="single" w:sz="0" w:space="0" w:color="auto"/>
            </w:tcBorders>
            <w:vAlign w:val="bottom"/>
          </w:tcPr>
          <w:p w14:paraId="326661A0"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First homeowner</w:t>
            </w:r>
          </w:p>
        </w:tc>
        <w:tc>
          <w:tcPr>
            <w:tcW w:w="707" w:type="pct"/>
            <w:tcBorders>
              <w:bottom w:val="single" w:sz="0" w:space="0" w:color="auto"/>
            </w:tcBorders>
            <w:vAlign w:val="bottom"/>
          </w:tcPr>
          <w:p w14:paraId="1CBBFBB0"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Low-income homeowner</w:t>
            </w:r>
          </w:p>
        </w:tc>
        <w:tc>
          <w:tcPr>
            <w:tcW w:w="709" w:type="pct"/>
            <w:tcBorders>
              <w:bottom w:val="single" w:sz="0" w:space="0" w:color="auto"/>
            </w:tcBorders>
            <w:vAlign w:val="bottom"/>
          </w:tcPr>
          <w:p w14:paraId="72B34A2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Middle-income homeowner</w:t>
            </w:r>
          </w:p>
        </w:tc>
        <w:tc>
          <w:tcPr>
            <w:tcW w:w="350" w:type="pct"/>
            <w:tcBorders>
              <w:bottom w:val="single" w:sz="0" w:space="0" w:color="auto"/>
            </w:tcBorders>
            <w:vAlign w:val="bottom"/>
          </w:tcPr>
          <w:p w14:paraId="632FC0DB"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Female</w:t>
            </w:r>
          </w:p>
        </w:tc>
        <w:tc>
          <w:tcPr>
            <w:cnfStyle w:val="000100000000" w:firstRow="0" w:lastRow="0" w:firstColumn="0" w:lastColumn="1" w:oddVBand="0" w:evenVBand="0" w:oddHBand="0" w:evenHBand="0" w:firstRowFirstColumn="0" w:firstRowLastColumn="0" w:lastRowFirstColumn="0" w:lastRowLastColumn="0"/>
            <w:tcW w:w="474" w:type="pct"/>
            <w:tcBorders>
              <w:bottom w:val="single" w:sz="0" w:space="0" w:color="auto"/>
            </w:tcBorders>
            <w:vAlign w:val="bottom"/>
          </w:tcPr>
          <w:p w14:paraId="3A068EEA" w14:textId="77777777" w:rsidR="00B44672" w:rsidRDefault="00B44672" w:rsidP="000511CA">
            <w:pPr>
              <w:pStyle w:val="Compact"/>
              <w:jc w:val="center"/>
            </w:pPr>
            <w:r>
              <w:t>Pensioner</w:t>
            </w:r>
          </w:p>
        </w:tc>
      </w:tr>
      <w:tr w:rsidR="00B44672" w14:paraId="28AC74A4"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6FA33E22" w14:textId="77777777" w:rsidR="00B44672" w:rsidRDefault="00B44672" w:rsidP="000511CA">
            <w:pPr>
              <w:pStyle w:val="Compact"/>
            </w:pPr>
            <w:r>
              <w:t>Age of IU reference person:</w:t>
            </w:r>
          </w:p>
        </w:tc>
        <w:tc>
          <w:tcPr>
            <w:tcW w:w="350" w:type="pct"/>
          </w:tcPr>
          <w:p w14:paraId="649384B4"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572" w:type="pct"/>
          </w:tcPr>
          <w:p w14:paraId="0A56CC07"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707" w:type="pct"/>
          </w:tcPr>
          <w:p w14:paraId="3EDDEBD4"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709" w:type="pct"/>
          </w:tcPr>
          <w:p w14:paraId="62AD0233"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350" w:type="pct"/>
          </w:tcPr>
          <w:p w14:paraId="223A44BB"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74" w:type="pct"/>
          </w:tcPr>
          <w:p w14:paraId="306B8A7C" w14:textId="77777777" w:rsidR="00B44672" w:rsidRDefault="00B44672" w:rsidP="000511CA"/>
        </w:tc>
      </w:tr>
      <w:tr w:rsidR="00B44672" w14:paraId="17EE0168"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7B0376E4" w14:textId="77777777" w:rsidR="00B44672" w:rsidRDefault="00B44672" w:rsidP="000511CA">
            <w:pPr>
              <w:pStyle w:val="Compact"/>
            </w:pPr>
            <w:r>
              <w:t>- Under 30 years old</w:t>
            </w:r>
          </w:p>
        </w:tc>
        <w:tc>
          <w:tcPr>
            <w:tcW w:w="350" w:type="pct"/>
          </w:tcPr>
          <w:p w14:paraId="4EF4F55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53.8</w:t>
            </w:r>
          </w:p>
        </w:tc>
        <w:tc>
          <w:tcPr>
            <w:tcW w:w="572" w:type="pct"/>
          </w:tcPr>
          <w:p w14:paraId="26744B9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46.6</w:t>
            </w:r>
          </w:p>
        </w:tc>
        <w:tc>
          <w:tcPr>
            <w:tcW w:w="707" w:type="pct"/>
          </w:tcPr>
          <w:p w14:paraId="5684C2E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4.7</w:t>
            </w:r>
          </w:p>
        </w:tc>
        <w:tc>
          <w:tcPr>
            <w:tcW w:w="709" w:type="pct"/>
          </w:tcPr>
          <w:p w14:paraId="3E36436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7.6</w:t>
            </w:r>
          </w:p>
        </w:tc>
        <w:tc>
          <w:tcPr>
            <w:tcW w:w="350" w:type="pct"/>
          </w:tcPr>
          <w:p w14:paraId="42C5A42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30.5</w:t>
            </w:r>
          </w:p>
        </w:tc>
        <w:tc>
          <w:tcPr>
            <w:cnfStyle w:val="000100000000" w:firstRow="0" w:lastRow="0" w:firstColumn="0" w:lastColumn="1" w:oddVBand="0" w:evenVBand="0" w:oddHBand="0" w:evenHBand="0" w:firstRowFirstColumn="0" w:firstRowLastColumn="0" w:lastRowFirstColumn="0" w:lastRowLastColumn="0"/>
            <w:tcW w:w="474" w:type="pct"/>
          </w:tcPr>
          <w:p w14:paraId="33387505" w14:textId="77777777" w:rsidR="00B44672" w:rsidRDefault="00B44672" w:rsidP="000511CA">
            <w:pPr>
              <w:pStyle w:val="Compact"/>
              <w:jc w:val="center"/>
            </w:pPr>
            <w:r>
              <w:t>0.0</w:t>
            </w:r>
          </w:p>
        </w:tc>
      </w:tr>
      <w:tr w:rsidR="00B44672" w14:paraId="6B64C636"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20B8BC4A" w14:textId="77777777" w:rsidR="00B44672" w:rsidRDefault="00B44672" w:rsidP="000511CA">
            <w:pPr>
              <w:pStyle w:val="Compact"/>
            </w:pPr>
            <w:r>
              <w:t>- 30-34 years old</w:t>
            </w:r>
          </w:p>
        </w:tc>
        <w:tc>
          <w:tcPr>
            <w:tcW w:w="350" w:type="pct"/>
          </w:tcPr>
          <w:p w14:paraId="6A1C1DA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10.9</w:t>
            </w:r>
          </w:p>
        </w:tc>
        <w:tc>
          <w:tcPr>
            <w:tcW w:w="572" w:type="pct"/>
          </w:tcPr>
          <w:p w14:paraId="53A96C8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32.8</w:t>
            </w:r>
          </w:p>
        </w:tc>
        <w:tc>
          <w:tcPr>
            <w:tcW w:w="707" w:type="pct"/>
          </w:tcPr>
          <w:p w14:paraId="25B6268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6.0</w:t>
            </w:r>
          </w:p>
        </w:tc>
        <w:tc>
          <w:tcPr>
            <w:tcW w:w="709" w:type="pct"/>
          </w:tcPr>
          <w:p w14:paraId="57EFEF1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10.5</w:t>
            </w:r>
          </w:p>
        </w:tc>
        <w:tc>
          <w:tcPr>
            <w:tcW w:w="350" w:type="pct"/>
          </w:tcPr>
          <w:p w14:paraId="2AB32E9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8.9</w:t>
            </w:r>
          </w:p>
        </w:tc>
        <w:tc>
          <w:tcPr>
            <w:cnfStyle w:val="000100000000" w:firstRow="0" w:lastRow="0" w:firstColumn="0" w:lastColumn="1" w:oddVBand="0" w:evenVBand="0" w:oddHBand="0" w:evenHBand="0" w:firstRowFirstColumn="0" w:firstRowLastColumn="0" w:lastRowFirstColumn="0" w:lastRowLastColumn="0"/>
            <w:tcW w:w="474" w:type="pct"/>
          </w:tcPr>
          <w:p w14:paraId="370F921A" w14:textId="77777777" w:rsidR="00B44672" w:rsidRDefault="00B44672" w:rsidP="000511CA">
            <w:pPr>
              <w:pStyle w:val="Compact"/>
              <w:jc w:val="center"/>
            </w:pPr>
            <w:r>
              <w:t>0.0</w:t>
            </w:r>
          </w:p>
        </w:tc>
      </w:tr>
      <w:tr w:rsidR="00B44672" w14:paraId="5C5C1407"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1414EC7F" w14:textId="77777777" w:rsidR="00B44672" w:rsidRDefault="00B44672" w:rsidP="000511CA">
            <w:pPr>
              <w:pStyle w:val="Compact"/>
            </w:pPr>
            <w:r>
              <w:t>- 35-39 years old</w:t>
            </w:r>
          </w:p>
        </w:tc>
        <w:tc>
          <w:tcPr>
            <w:tcW w:w="350" w:type="pct"/>
          </w:tcPr>
          <w:p w14:paraId="01C186C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8.0</w:t>
            </w:r>
          </w:p>
        </w:tc>
        <w:tc>
          <w:tcPr>
            <w:tcW w:w="572" w:type="pct"/>
          </w:tcPr>
          <w:p w14:paraId="785B399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10.7</w:t>
            </w:r>
          </w:p>
        </w:tc>
        <w:tc>
          <w:tcPr>
            <w:tcW w:w="707" w:type="pct"/>
          </w:tcPr>
          <w:p w14:paraId="5EBCEE0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7.5</w:t>
            </w:r>
          </w:p>
        </w:tc>
        <w:tc>
          <w:tcPr>
            <w:tcW w:w="709" w:type="pct"/>
          </w:tcPr>
          <w:p w14:paraId="110599A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10.3</w:t>
            </w:r>
          </w:p>
        </w:tc>
        <w:tc>
          <w:tcPr>
            <w:tcW w:w="350" w:type="pct"/>
          </w:tcPr>
          <w:p w14:paraId="1EE389B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7.2</w:t>
            </w:r>
          </w:p>
        </w:tc>
        <w:tc>
          <w:tcPr>
            <w:cnfStyle w:val="000100000000" w:firstRow="0" w:lastRow="0" w:firstColumn="0" w:lastColumn="1" w:oddVBand="0" w:evenVBand="0" w:oddHBand="0" w:evenHBand="0" w:firstRowFirstColumn="0" w:firstRowLastColumn="0" w:lastRowFirstColumn="0" w:lastRowLastColumn="0"/>
            <w:tcW w:w="474" w:type="pct"/>
          </w:tcPr>
          <w:p w14:paraId="1A26C4E4" w14:textId="77777777" w:rsidR="00B44672" w:rsidRDefault="00B44672" w:rsidP="000511CA">
            <w:pPr>
              <w:pStyle w:val="Compact"/>
              <w:jc w:val="center"/>
            </w:pPr>
            <w:r>
              <w:t>0.0</w:t>
            </w:r>
          </w:p>
        </w:tc>
      </w:tr>
      <w:tr w:rsidR="00B44672" w14:paraId="212126B9"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53792908" w14:textId="77777777" w:rsidR="00B44672" w:rsidRDefault="00B44672" w:rsidP="000511CA">
            <w:pPr>
              <w:pStyle w:val="Compact"/>
            </w:pPr>
            <w:r>
              <w:t>- 40-44 years old</w:t>
            </w:r>
          </w:p>
        </w:tc>
        <w:tc>
          <w:tcPr>
            <w:tcW w:w="350" w:type="pct"/>
          </w:tcPr>
          <w:p w14:paraId="6A28059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5.3</w:t>
            </w:r>
          </w:p>
        </w:tc>
        <w:tc>
          <w:tcPr>
            <w:tcW w:w="572" w:type="pct"/>
          </w:tcPr>
          <w:p w14:paraId="1C6BBBC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3.0</w:t>
            </w:r>
          </w:p>
        </w:tc>
        <w:tc>
          <w:tcPr>
            <w:tcW w:w="707" w:type="pct"/>
          </w:tcPr>
          <w:p w14:paraId="6C0FFBD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9.5</w:t>
            </w:r>
          </w:p>
        </w:tc>
        <w:tc>
          <w:tcPr>
            <w:tcW w:w="709" w:type="pct"/>
          </w:tcPr>
          <w:p w14:paraId="3C3E321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10.3</w:t>
            </w:r>
          </w:p>
        </w:tc>
        <w:tc>
          <w:tcPr>
            <w:tcW w:w="350" w:type="pct"/>
          </w:tcPr>
          <w:p w14:paraId="3913757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6.3</w:t>
            </w:r>
          </w:p>
        </w:tc>
        <w:tc>
          <w:tcPr>
            <w:cnfStyle w:val="000100000000" w:firstRow="0" w:lastRow="0" w:firstColumn="0" w:lastColumn="1" w:oddVBand="0" w:evenVBand="0" w:oddHBand="0" w:evenHBand="0" w:firstRowFirstColumn="0" w:firstRowLastColumn="0" w:lastRowFirstColumn="0" w:lastRowLastColumn="0"/>
            <w:tcW w:w="474" w:type="pct"/>
          </w:tcPr>
          <w:p w14:paraId="3A8F28E8" w14:textId="77777777" w:rsidR="00B44672" w:rsidRDefault="00B44672" w:rsidP="000511CA">
            <w:pPr>
              <w:pStyle w:val="Compact"/>
              <w:jc w:val="center"/>
            </w:pPr>
            <w:r>
              <w:t>0.0</w:t>
            </w:r>
          </w:p>
        </w:tc>
      </w:tr>
      <w:tr w:rsidR="00B44672" w14:paraId="5D4BC7F4"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0FD743E7" w14:textId="77777777" w:rsidR="00B44672" w:rsidRDefault="00B44672" w:rsidP="000511CA">
            <w:pPr>
              <w:pStyle w:val="Compact"/>
            </w:pPr>
            <w:r>
              <w:t>- 45-49 years old</w:t>
            </w:r>
          </w:p>
        </w:tc>
        <w:tc>
          <w:tcPr>
            <w:tcW w:w="350" w:type="pct"/>
          </w:tcPr>
          <w:p w14:paraId="5054AD5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5.4</w:t>
            </w:r>
          </w:p>
        </w:tc>
        <w:tc>
          <w:tcPr>
            <w:tcW w:w="572" w:type="pct"/>
          </w:tcPr>
          <w:p w14:paraId="5B8AB3D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4.9</w:t>
            </w:r>
          </w:p>
        </w:tc>
        <w:tc>
          <w:tcPr>
            <w:tcW w:w="707" w:type="pct"/>
          </w:tcPr>
          <w:p w14:paraId="7321A1F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8.5</w:t>
            </w:r>
          </w:p>
        </w:tc>
        <w:tc>
          <w:tcPr>
            <w:tcW w:w="709" w:type="pct"/>
          </w:tcPr>
          <w:p w14:paraId="6C4F1AF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12.1</w:t>
            </w:r>
          </w:p>
        </w:tc>
        <w:tc>
          <w:tcPr>
            <w:tcW w:w="350" w:type="pct"/>
          </w:tcPr>
          <w:p w14:paraId="31C9F2A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8.5</w:t>
            </w:r>
          </w:p>
        </w:tc>
        <w:tc>
          <w:tcPr>
            <w:cnfStyle w:val="000100000000" w:firstRow="0" w:lastRow="0" w:firstColumn="0" w:lastColumn="1" w:oddVBand="0" w:evenVBand="0" w:oddHBand="0" w:evenHBand="0" w:firstRowFirstColumn="0" w:firstRowLastColumn="0" w:lastRowFirstColumn="0" w:lastRowLastColumn="0"/>
            <w:tcW w:w="474" w:type="pct"/>
          </w:tcPr>
          <w:p w14:paraId="2B6F0627" w14:textId="77777777" w:rsidR="00B44672" w:rsidRDefault="00B44672" w:rsidP="000511CA">
            <w:pPr>
              <w:pStyle w:val="Compact"/>
              <w:jc w:val="center"/>
            </w:pPr>
            <w:r>
              <w:t>0.0</w:t>
            </w:r>
          </w:p>
        </w:tc>
      </w:tr>
      <w:tr w:rsidR="00B44672" w14:paraId="389DE7D2"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3F42C7EA" w14:textId="77777777" w:rsidR="00B44672" w:rsidRDefault="00B44672" w:rsidP="000511CA">
            <w:pPr>
              <w:pStyle w:val="Compact"/>
            </w:pPr>
            <w:r>
              <w:t>- 50-54 years old</w:t>
            </w:r>
          </w:p>
        </w:tc>
        <w:tc>
          <w:tcPr>
            <w:tcW w:w="350" w:type="pct"/>
          </w:tcPr>
          <w:p w14:paraId="7FFC218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4.5</w:t>
            </w:r>
          </w:p>
        </w:tc>
        <w:tc>
          <w:tcPr>
            <w:tcW w:w="572" w:type="pct"/>
          </w:tcPr>
          <w:p w14:paraId="069F9A8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0.7</w:t>
            </w:r>
          </w:p>
        </w:tc>
        <w:tc>
          <w:tcPr>
            <w:tcW w:w="707" w:type="pct"/>
          </w:tcPr>
          <w:p w14:paraId="33F8F0F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5.8</w:t>
            </w:r>
          </w:p>
        </w:tc>
        <w:tc>
          <w:tcPr>
            <w:tcW w:w="709" w:type="pct"/>
          </w:tcPr>
          <w:p w14:paraId="7040C9C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11.1</w:t>
            </w:r>
          </w:p>
        </w:tc>
        <w:tc>
          <w:tcPr>
            <w:tcW w:w="350" w:type="pct"/>
          </w:tcPr>
          <w:p w14:paraId="008900C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7.1</w:t>
            </w:r>
          </w:p>
        </w:tc>
        <w:tc>
          <w:tcPr>
            <w:cnfStyle w:val="000100000000" w:firstRow="0" w:lastRow="0" w:firstColumn="0" w:lastColumn="1" w:oddVBand="0" w:evenVBand="0" w:oddHBand="0" w:evenHBand="0" w:firstRowFirstColumn="0" w:firstRowLastColumn="0" w:lastRowFirstColumn="0" w:lastRowLastColumn="0"/>
            <w:tcW w:w="474" w:type="pct"/>
          </w:tcPr>
          <w:p w14:paraId="22EEA789" w14:textId="77777777" w:rsidR="00B44672" w:rsidRDefault="00B44672" w:rsidP="000511CA">
            <w:pPr>
              <w:pStyle w:val="Compact"/>
              <w:jc w:val="center"/>
            </w:pPr>
            <w:r>
              <w:t>1.1</w:t>
            </w:r>
          </w:p>
        </w:tc>
      </w:tr>
      <w:tr w:rsidR="00B44672" w14:paraId="79814B24"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1CD33959" w14:textId="77777777" w:rsidR="00B44672" w:rsidRDefault="00B44672" w:rsidP="000511CA">
            <w:pPr>
              <w:pStyle w:val="Compact"/>
            </w:pPr>
            <w:r>
              <w:t>- 55-59 years old</w:t>
            </w:r>
          </w:p>
        </w:tc>
        <w:tc>
          <w:tcPr>
            <w:tcW w:w="350" w:type="pct"/>
          </w:tcPr>
          <w:p w14:paraId="6E4BC33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2.8</w:t>
            </w:r>
          </w:p>
        </w:tc>
        <w:tc>
          <w:tcPr>
            <w:tcW w:w="572" w:type="pct"/>
          </w:tcPr>
          <w:p w14:paraId="6B8D753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w:t>
            </w:r>
          </w:p>
        </w:tc>
        <w:tc>
          <w:tcPr>
            <w:tcW w:w="707" w:type="pct"/>
          </w:tcPr>
          <w:p w14:paraId="2CD7980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6.9</w:t>
            </w:r>
          </w:p>
        </w:tc>
        <w:tc>
          <w:tcPr>
            <w:tcW w:w="709" w:type="pct"/>
          </w:tcPr>
          <w:p w14:paraId="65F0098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12.7</w:t>
            </w:r>
          </w:p>
        </w:tc>
        <w:tc>
          <w:tcPr>
            <w:tcW w:w="350" w:type="pct"/>
          </w:tcPr>
          <w:p w14:paraId="44AB4B3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8.1</w:t>
            </w:r>
          </w:p>
        </w:tc>
        <w:tc>
          <w:tcPr>
            <w:cnfStyle w:val="000100000000" w:firstRow="0" w:lastRow="0" w:firstColumn="0" w:lastColumn="1" w:oddVBand="0" w:evenVBand="0" w:oddHBand="0" w:evenHBand="0" w:firstRowFirstColumn="0" w:firstRowLastColumn="0" w:lastRowFirstColumn="0" w:lastRowLastColumn="0"/>
            <w:tcW w:w="474" w:type="pct"/>
          </w:tcPr>
          <w:p w14:paraId="7A71C436" w14:textId="77777777" w:rsidR="00B44672" w:rsidRDefault="00B44672" w:rsidP="000511CA">
            <w:pPr>
              <w:pStyle w:val="Compact"/>
              <w:jc w:val="center"/>
            </w:pPr>
            <w:r>
              <w:t>1.4</w:t>
            </w:r>
          </w:p>
        </w:tc>
      </w:tr>
      <w:tr w:rsidR="00B44672" w14:paraId="3F4DC397"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702CAA46" w14:textId="77777777" w:rsidR="00B44672" w:rsidRDefault="00B44672" w:rsidP="000511CA">
            <w:pPr>
              <w:pStyle w:val="Compact"/>
            </w:pPr>
            <w:r>
              <w:t>- 60-64 years old</w:t>
            </w:r>
          </w:p>
        </w:tc>
        <w:tc>
          <w:tcPr>
            <w:tcW w:w="350" w:type="pct"/>
          </w:tcPr>
          <w:p w14:paraId="7C8D258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1.6</w:t>
            </w:r>
          </w:p>
        </w:tc>
        <w:tc>
          <w:tcPr>
            <w:tcW w:w="572" w:type="pct"/>
          </w:tcPr>
          <w:p w14:paraId="4DE6A89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w:t>
            </w:r>
          </w:p>
        </w:tc>
        <w:tc>
          <w:tcPr>
            <w:tcW w:w="707" w:type="pct"/>
          </w:tcPr>
          <w:p w14:paraId="24DF0B1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10.4</w:t>
            </w:r>
          </w:p>
        </w:tc>
        <w:tc>
          <w:tcPr>
            <w:tcW w:w="709" w:type="pct"/>
          </w:tcPr>
          <w:p w14:paraId="1BB84CF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8.2</w:t>
            </w:r>
          </w:p>
        </w:tc>
        <w:tc>
          <w:tcPr>
            <w:tcW w:w="350" w:type="pct"/>
          </w:tcPr>
          <w:p w14:paraId="086D65A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5.8</w:t>
            </w:r>
          </w:p>
        </w:tc>
        <w:tc>
          <w:tcPr>
            <w:cnfStyle w:val="000100000000" w:firstRow="0" w:lastRow="0" w:firstColumn="0" w:lastColumn="1" w:oddVBand="0" w:evenVBand="0" w:oddHBand="0" w:evenHBand="0" w:firstRowFirstColumn="0" w:firstRowLastColumn="0" w:lastRowFirstColumn="0" w:lastRowLastColumn="0"/>
            <w:tcW w:w="474" w:type="pct"/>
          </w:tcPr>
          <w:p w14:paraId="67E10A1C" w14:textId="77777777" w:rsidR="00B44672" w:rsidRDefault="00B44672" w:rsidP="000511CA">
            <w:pPr>
              <w:pStyle w:val="Compact"/>
              <w:jc w:val="center"/>
            </w:pPr>
            <w:r>
              <w:t>6.1</w:t>
            </w:r>
          </w:p>
        </w:tc>
      </w:tr>
      <w:tr w:rsidR="00B44672" w14:paraId="0D45507A"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25555585" w14:textId="77777777" w:rsidR="00B44672" w:rsidRDefault="00B44672" w:rsidP="000511CA">
            <w:pPr>
              <w:pStyle w:val="Compact"/>
            </w:pPr>
            <w:r>
              <w:t>- 65+ years old</w:t>
            </w:r>
          </w:p>
        </w:tc>
        <w:tc>
          <w:tcPr>
            <w:tcW w:w="350" w:type="pct"/>
          </w:tcPr>
          <w:p w14:paraId="55BE84B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7.7</w:t>
            </w:r>
          </w:p>
        </w:tc>
        <w:tc>
          <w:tcPr>
            <w:tcW w:w="572" w:type="pct"/>
          </w:tcPr>
          <w:p w14:paraId="08F7340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0.4</w:t>
            </w:r>
          </w:p>
        </w:tc>
        <w:tc>
          <w:tcPr>
            <w:tcW w:w="707" w:type="pct"/>
          </w:tcPr>
          <w:p w14:paraId="0E94DE6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40.7</w:t>
            </w:r>
          </w:p>
        </w:tc>
        <w:tc>
          <w:tcPr>
            <w:tcW w:w="709" w:type="pct"/>
          </w:tcPr>
          <w:p w14:paraId="002586D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17.2</w:t>
            </w:r>
          </w:p>
        </w:tc>
        <w:tc>
          <w:tcPr>
            <w:tcW w:w="350" w:type="pct"/>
          </w:tcPr>
          <w:p w14:paraId="3AB2A30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17.6</w:t>
            </w:r>
          </w:p>
        </w:tc>
        <w:tc>
          <w:tcPr>
            <w:cnfStyle w:val="000100000000" w:firstRow="0" w:lastRow="0" w:firstColumn="0" w:lastColumn="1" w:oddVBand="0" w:evenVBand="0" w:oddHBand="0" w:evenHBand="0" w:firstRowFirstColumn="0" w:firstRowLastColumn="0" w:lastRowFirstColumn="0" w:lastRowLastColumn="0"/>
            <w:tcW w:w="474" w:type="pct"/>
          </w:tcPr>
          <w:p w14:paraId="7224EA81" w14:textId="77777777" w:rsidR="00B44672" w:rsidRDefault="00B44672" w:rsidP="000511CA">
            <w:pPr>
              <w:pStyle w:val="Compact"/>
              <w:jc w:val="center"/>
            </w:pPr>
            <w:r>
              <w:t>91.5</w:t>
            </w:r>
          </w:p>
        </w:tc>
      </w:tr>
      <w:tr w:rsidR="00B44672" w14:paraId="07268CD5"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372D044E" w14:textId="77777777" w:rsidR="00B44672" w:rsidRDefault="00B44672" w:rsidP="000511CA">
            <w:pPr>
              <w:pStyle w:val="Compact"/>
            </w:pPr>
            <w:r>
              <w:t>Education of IU reference person:</w:t>
            </w:r>
          </w:p>
        </w:tc>
        <w:tc>
          <w:tcPr>
            <w:tcW w:w="350" w:type="pct"/>
          </w:tcPr>
          <w:p w14:paraId="550AEFB6"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572" w:type="pct"/>
          </w:tcPr>
          <w:p w14:paraId="1F9B0EFB"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707" w:type="pct"/>
          </w:tcPr>
          <w:p w14:paraId="1A9A824F"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709" w:type="pct"/>
          </w:tcPr>
          <w:p w14:paraId="3485E359"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350" w:type="pct"/>
          </w:tcPr>
          <w:p w14:paraId="0F6F8E39"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74" w:type="pct"/>
          </w:tcPr>
          <w:p w14:paraId="45AFDFB9" w14:textId="77777777" w:rsidR="00B44672" w:rsidRDefault="00B44672" w:rsidP="000511CA"/>
        </w:tc>
      </w:tr>
      <w:tr w:rsidR="00B44672" w14:paraId="763F5EA6"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6CF58BF0" w14:textId="77777777" w:rsidR="00B44672" w:rsidRDefault="00B44672" w:rsidP="000511CA">
            <w:pPr>
              <w:pStyle w:val="Compact"/>
            </w:pPr>
            <w:r>
              <w:t>- Year 11 or below</w:t>
            </w:r>
          </w:p>
        </w:tc>
        <w:tc>
          <w:tcPr>
            <w:tcW w:w="350" w:type="pct"/>
          </w:tcPr>
          <w:p w14:paraId="230657B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21.9</w:t>
            </w:r>
          </w:p>
        </w:tc>
        <w:tc>
          <w:tcPr>
            <w:tcW w:w="572" w:type="pct"/>
          </w:tcPr>
          <w:p w14:paraId="4561010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5.5</w:t>
            </w:r>
          </w:p>
        </w:tc>
        <w:tc>
          <w:tcPr>
            <w:tcW w:w="707" w:type="pct"/>
          </w:tcPr>
          <w:p w14:paraId="3571E7D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38.1</w:t>
            </w:r>
          </w:p>
        </w:tc>
        <w:tc>
          <w:tcPr>
            <w:tcW w:w="709" w:type="pct"/>
          </w:tcPr>
          <w:p w14:paraId="6DD85C6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18.5</w:t>
            </w:r>
          </w:p>
        </w:tc>
        <w:tc>
          <w:tcPr>
            <w:tcW w:w="350" w:type="pct"/>
          </w:tcPr>
          <w:p w14:paraId="205DBCD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25.2</w:t>
            </w:r>
          </w:p>
        </w:tc>
        <w:tc>
          <w:tcPr>
            <w:cnfStyle w:val="000100000000" w:firstRow="0" w:lastRow="0" w:firstColumn="0" w:lastColumn="1" w:oddVBand="0" w:evenVBand="0" w:oddHBand="0" w:evenHBand="0" w:firstRowFirstColumn="0" w:firstRowLastColumn="0" w:lastRowFirstColumn="0" w:lastRowLastColumn="0"/>
            <w:tcW w:w="474" w:type="pct"/>
          </w:tcPr>
          <w:p w14:paraId="4721C996" w14:textId="77777777" w:rsidR="00B44672" w:rsidRDefault="00B44672" w:rsidP="000511CA">
            <w:pPr>
              <w:pStyle w:val="Compact"/>
              <w:jc w:val="center"/>
            </w:pPr>
            <w:r>
              <w:t>41.6</w:t>
            </w:r>
          </w:p>
        </w:tc>
      </w:tr>
      <w:tr w:rsidR="00B44672" w14:paraId="1E0D6998"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781EFA5E" w14:textId="77777777" w:rsidR="00B44672" w:rsidRDefault="00B44672" w:rsidP="000511CA">
            <w:pPr>
              <w:pStyle w:val="Compact"/>
            </w:pPr>
            <w:r>
              <w:t>- Year 12 or Certificate I/II</w:t>
            </w:r>
          </w:p>
        </w:tc>
        <w:tc>
          <w:tcPr>
            <w:tcW w:w="350" w:type="pct"/>
          </w:tcPr>
          <w:p w14:paraId="5777CFE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29.4</w:t>
            </w:r>
          </w:p>
        </w:tc>
        <w:tc>
          <w:tcPr>
            <w:tcW w:w="572" w:type="pct"/>
          </w:tcPr>
          <w:p w14:paraId="2A70809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13.6</w:t>
            </w:r>
          </w:p>
        </w:tc>
        <w:tc>
          <w:tcPr>
            <w:tcW w:w="707" w:type="pct"/>
          </w:tcPr>
          <w:p w14:paraId="3902750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17.2</w:t>
            </w:r>
          </w:p>
        </w:tc>
        <w:tc>
          <w:tcPr>
            <w:tcW w:w="709" w:type="pct"/>
          </w:tcPr>
          <w:p w14:paraId="2E515D2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12.5</w:t>
            </w:r>
          </w:p>
        </w:tc>
        <w:tc>
          <w:tcPr>
            <w:tcW w:w="350" w:type="pct"/>
          </w:tcPr>
          <w:p w14:paraId="026F441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21.8</w:t>
            </w:r>
          </w:p>
        </w:tc>
        <w:tc>
          <w:tcPr>
            <w:cnfStyle w:val="000100000000" w:firstRow="0" w:lastRow="0" w:firstColumn="0" w:lastColumn="1" w:oddVBand="0" w:evenVBand="0" w:oddHBand="0" w:evenHBand="0" w:firstRowFirstColumn="0" w:firstRowLastColumn="0" w:lastRowFirstColumn="0" w:lastRowLastColumn="0"/>
            <w:tcW w:w="474" w:type="pct"/>
          </w:tcPr>
          <w:p w14:paraId="0193CC33" w14:textId="77777777" w:rsidR="00B44672" w:rsidRDefault="00B44672" w:rsidP="000511CA">
            <w:pPr>
              <w:pStyle w:val="Compact"/>
              <w:jc w:val="center"/>
            </w:pPr>
            <w:r>
              <w:t>15.5</w:t>
            </w:r>
          </w:p>
        </w:tc>
      </w:tr>
      <w:tr w:rsidR="00B44672" w14:paraId="71ADDB7D"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0398A503" w14:textId="77777777" w:rsidR="00B44672" w:rsidRDefault="00B44672" w:rsidP="000511CA">
            <w:pPr>
              <w:pStyle w:val="Compact"/>
            </w:pPr>
            <w:r>
              <w:t>- Diploma or Certificate III/IV</w:t>
            </w:r>
          </w:p>
        </w:tc>
        <w:tc>
          <w:tcPr>
            <w:tcW w:w="350" w:type="pct"/>
          </w:tcPr>
          <w:p w14:paraId="11FF1EA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20.7</w:t>
            </w:r>
          </w:p>
        </w:tc>
        <w:tc>
          <w:tcPr>
            <w:tcW w:w="572" w:type="pct"/>
          </w:tcPr>
          <w:p w14:paraId="03478B2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29.3</w:t>
            </w:r>
          </w:p>
        </w:tc>
        <w:tc>
          <w:tcPr>
            <w:tcW w:w="707" w:type="pct"/>
          </w:tcPr>
          <w:p w14:paraId="6AB1316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22.2</w:t>
            </w:r>
          </w:p>
        </w:tc>
        <w:tc>
          <w:tcPr>
            <w:tcW w:w="709" w:type="pct"/>
          </w:tcPr>
          <w:p w14:paraId="2AC0949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34.2</w:t>
            </w:r>
          </w:p>
        </w:tc>
        <w:tc>
          <w:tcPr>
            <w:tcW w:w="350" w:type="pct"/>
          </w:tcPr>
          <w:p w14:paraId="39117A6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18.7</w:t>
            </w:r>
          </w:p>
        </w:tc>
        <w:tc>
          <w:tcPr>
            <w:cnfStyle w:val="000100000000" w:firstRow="0" w:lastRow="0" w:firstColumn="0" w:lastColumn="1" w:oddVBand="0" w:evenVBand="0" w:oddHBand="0" w:evenHBand="0" w:firstRowFirstColumn="0" w:firstRowLastColumn="0" w:lastRowFirstColumn="0" w:lastRowLastColumn="0"/>
            <w:tcW w:w="474" w:type="pct"/>
          </w:tcPr>
          <w:p w14:paraId="6E91FD43" w14:textId="77777777" w:rsidR="00B44672" w:rsidRDefault="00B44672" w:rsidP="000511CA">
            <w:pPr>
              <w:pStyle w:val="Compact"/>
              <w:jc w:val="center"/>
            </w:pPr>
            <w:r>
              <w:t>18.3</w:t>
            </w:r>
          </w:p>
        </w:tc>
      </w:tr>
      <w:tr w:rsidR="00B44672" w14:paraId="3A457BF2"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35CA36D5" w14:textId="77777777" w:rsidR="00B44672" w:rsidRDefault="00B44672" w:rsidP="000511CA">
            <w:pPr>
              <w:pStyle w:val="Compact"/>
            </w:pPr>
            <w:r>
              <w:t>- Bachelor</w:t>
            </w:r>
          </w:p>
        </w:tc>
        <w:tc>
          <w:tcPr>
            <w:tcW w:w="350" w:type="pct"/>
          </w:tcPr>
          <w:p w14:paraId="29A65CE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21.1</w:t>
            </w:r>
          </w:p>
        </w:tc>
        <w:tc>
          <w:tcPr>
            <w:tcW w:w="572" w:type="pct"/>
          </w:tcPr>
          <w:p w14:paraId="6E47B7E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36.2</w:t>
            </w:r>
          </w:p>
        </w:tc>
        <w:tc>
          <w:tcPr>
            <w:tcW w:w="707" w:type="pct"/>
          </w:tcPr>
          <w:p w14:paraId="50660D0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15.1</w:t>
            </w:r>
          </w:p>
        </w:tc>
        <w:tc>
          <w:tcPr>
            <w:tcW w:w="709" w:type="pct"/>
          </w:tcPr>
          <w:p w14:paraId="760E9AB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20.8</w:t>
            </w:r>
          </w:p>
        </w:tc>
        <w:tc>
          <w:tcPr>
            <w:tcW w:w="350" w:type="pct"/>
          </w:tcPr>
          <w:p w14:paraId="29530C4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23.2</w:t>
            </w:r>
          </w:p>
        </w:tc>
        <w:tc>
          <w:tcPr>
            <w:cnfStyle w:val="000100000000" w:firstRow="0" w:lastRow="0" w:firstColumn="0" w:lastColumn="1" w:oddVBand="0" w:evenVBand="0" w:oddHBand="0" w:evenHBand="0" w:firstRowFirstColumn="0" w:firstRowLastColumn="0" w:lastRowFirstColumn="0" w:lastRowLastColumn="0"/>
            <w:tcW w:w="474" w:type="pct"/>
          </w:tcPr>
          <w:p w14:paraId="720B6598" w14:textId="77777777" w:rsidR="00B44672" w:rsidRDefault="00B44672" w:rsidP="000511CA">
            <w:pPr>
              <w:pStyle w:val="Compact"/>
              <w:jc w:val="center"/>
            </w:pPr>
            <w:r>
              <w:t>13.5</w:t>
            </w:r>
          </w:p>
        </w:tc>
      </w:tr>
      <w:tr w:rsidR="00B44672" w14:paraId="3215EA6F"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16B0B2FB" w14:textId="77777777" w:rsidR="00B44672" w:rsidRDefault="00B44672" w:rsidP="000511CA">
            <w:pPr>
              <w:pStyle w:val="Compact"/>
            </w:pPr>
            <w:r>
              <w:t>- Postgraduate</w:t>
            </w:r>
          </w:p>
        </w:tc>
        <w:tc>
          <w:tcPr>
            <w:tcW w:w="350" w:type="pct"/>
          </w:tcPr>
          <w:p w14:paraId="13CF064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6.9</w:t>
            </w:r>
          </w:p>
        </w:tc>
        <w:tc>
          <w:tcPr>
            <w:tcW w:w="572" w:type="pct"/>
          </w:tcPr>
          <w:p w14:paraId="0830830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15.4</w:t>
            </w:r>
          </w:p>
        </w:tc>
        <w:tc>
          <w:tcPr>
            <w:tcW w:w="707" w:type="pct"/>
          </w:tcPr>
          <w:p w14:paraId="481F3D9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7.3</w:t>
            </w:r>
          </w:p>
        </w:tc>
        <w:tc>
          <w:tcPr>
            <w:tcW w:w="709" w:type="pct"/>
          </w:tcPr>
          <w:p w14:paraId="718BB85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14.0</w:t>
            </w:r>
          </w:p>
        </w:tc>
        <w:tc>
          <w:tcPr>
            <w:tcW w:w="350" w:type="pct"/>
          </w:tcPr>
          <w:p w14:paraId="182B57D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11.0</w:t>
            </w:r>
          </w:p>
        </w:tc>
        <w:tc>
          <w:tcPr>
            <w:cnfStyle w:val="000100000000" w:firstRow="0" w:lastRow="0" w:firstColumn="0" w:lastColumn="1" w:oddVBand="0" w:evenVBand="0" w:oddHBand="0" w:evenHBand="0" w:firstRowFirstColumn="0" w:firstRowLastColumn="0" w:lastRowFirstColumn="0" w:lastRowLastColumn="0"/>
            <w:tcW w:w="474" w:type="pct"/>
          </w:tcPr>
          <w:p w14:paraId="51D6A21C" w14:textId="77777777" w:rsidR="00B44672" w:rsidRDefault="00B44672" w:rsidP="000511CA">
            <w:pPr>
              <w:pStyle w:val="Compact"/>
              <w:jc w:val="center"/>
            </w:pPr>
            <w:r>
              <w:t>11.2</w:t>
            </w:r>
          </w:p>
        </w:tc>
      </w:tr>
      <w:tr w:rsidR="00B44672" w14:paraId="5956EA62"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0DCF6B23" w14:textId="77777777" w:rsidR="00B44672" w:rsidRDefault="00B44672" w:rsidP="000511CA">
            <w:pPr>
              <w:pStyle w:val="Compact"/>
            </w:pPr>
            <w:r>
              <w:t>Employment of IU reference person:</w:t>
            </w:r>
          </w:p>
        </w:tc>
        <w:tc>
          <w:tcPr>
            <w:tcW w:w="350" w:type="pct"/>
          </w:tcPr>
          <w:p w14:paraId="694DC3C7"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572" w:type="pct"/>
          </w:tcPr>
          <w:p w14:paraId="675C8D9F"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707" w:type="pct"/>
          </w:tcPr>
          <w:p w14:paraId="64B1EEEA"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709" w:type="pct"/>
          </w:tcPr>
          <w:p w14:paraId="19278544"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350" w:type="pct"/>
          </w:tcPr>
          <w:p w14:paraId="1C3037A7"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74" w:type="pct"/>
          </w:tcPr>
          <w:p w14:paraId="00D3D31F" w14:textId="77777777" w:rsidR="00B44672" w:rsidRDefault="00B44672" w:rsidP="000511CA"/>
        </w:tc>
      </w:tr>
      <w:tr w:rsidR="00B44672" w14:paraId="10402FF8"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766A8C30" w14:textId="77777777" w:rsidR="00B44672" w:rsidRDefault="00B44672" w:rsidP="000511CA">
            <w:pPr>
              <w:pStyle w:val="Compact"/>
            </w:pPr>
            <w:r>
              <w:t>- Unemployed or NILF</w:t>
            </w:r>
          </w:p>
        </w:tc>
        <w:tc>
          <w:tcPr>
            <w:tcW w:w="350" w:type="pct"/>
          </w:tcPr>
          <w:p w14:paraId="709109E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20.4</w:t>
            </w:r>
          </w:p>
        </w:tc>
        <w:tc>
          <w:tcPr>
            <w:tcW w:w="572" w:type="pct"/>
          </w:tcPr>
          <w:p w14:paraId="073564C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6.0</w:t>
            </w:r>
          </w:p>
        </w:tc>
        <w:tc>
          <w:tcPr>
            <w:tcW w:w="707" w:type="pct"/>
          </w:tcPr>
          <w:p w14:paraId="2668880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48.9</w:t>
            </w:r>
          </w:p>
        </w:tc>
        <w:tc>
          <w:tcPr>
            <w:tcW w:w="709" w:type="pct"/>
          </w:tcPr>
          <w:p w14:paraId="13383F6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22.1</w:t>
            </w:r>
          </w:p>
        </w:tc>
        <w:tc>
          <w:tcPr>
            <w:tcW w:w="350" w:type="pct"/>
          </w:tcPr>
          <w:p w14:paraId="6FE6173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27.5</w:t>
            </w:r>
          </w:p>
        </w:tc>
        <w:tc>
          <w:tcPr>
            <w:cnfStyle w:val="000100000000" w:firstRow="0" w:lastRow="0" w:firstColumn="0" w:lastColumn="1" w:oddVBand="0" w:evenVBand="0" w:oddHBand="0" w:evenHBand="0" w:firstRowFirstColumn="0" w:firstRowLastColumn="0" w:lastRowFirstColumn="0" w:lastRowLastColumn="0"/>
            <w:tcW w:w="474" w:type="pct"/>
          </w:tcPr>
          <w:p w14:paraId="69161C15" w14:textId="77777777" w:rsidR="00B44672" w:rsidRDefault="00B44672" w:rsidP="000511CA">
            <w:pPr>
              <w:pStyle w:val="Compact"/>
              <w:jc w:val="center"/>
            </w:pPr>
            <w:r>
              <w:t>78.8</w:t>
            </w:r>
          </w:p>
        </w:tc>
      </w:tr>
      <w:tr w:rsidR="00B44672" w14:paraId="64023345"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097CE482" w14:textId="77777777" w:rsidR="00B44672" w:rsidRDefault="00B44672" w:rsidP="000511CA">
            <w:pPr>
              <w:pStyle w:val="Compact"/>
            </w:pPr>
            <w:r>
              <w:t>- Full time</w:t>
            </w:r>
          </w:p>
        </w:tc>
        <w:tc>
          <w:tcPr>
            <w:tcW w:w="350" w:type="pct"/>
          </w:tcPr>
          <w:p w14:paraId="1757178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61.3</w:t>
            </w:r>
          </w:p>
        </w:tc>
        <w:tc>
          <w:tcPr>
            <w:tcW w:w="572" w:type="pct"/>
          </w:tcPr>
          <w:p w14:paraId="032EA11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85.7</w:t>
            </w:r>
          </w:p>
        </w:tc>
        <w:tc>
          <w:tcPr>
            <w:tcW w:w="707" w:type="pct"/>
          </w:tcPr>
          <w:p w14:paraId="2EE78DC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35.0</w:t>
            </w:r>
          </w:p>
        </w:tc>
        <w:tc>
          <w:tcPr>
            <w:tcW w:w="709" w:type="pct"/>
          </w:tcPr>
          <w:p w14:paraId="0438017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69.0</w:t>
            </w:r>
          </w:p>
        </w:tc>
        <w:tc>
          <w:tcPr>
            <w:tcW w:w="350" w:type="pct"/>
          </w:tcPr>
          <w:p w14:paraId="739DE73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53.8</w:t>
            </w:r>
          </w:p>
        </w:tc>
        <w:tc>
          <w:tcPr>
            <w:cnfStyle w:val="000100000000" w:firstRow="0" w:lastRow="0" w:firstColumn="0" w:lastColumn="1" w:oddVBand="0" w:evenVBand="0" w:oddHBand="0" w:evenHBand="0" w:firstRowFirstColumn="0" w:firstRowLastColumn="0" w:lastRowFirstColumn="0" w:lastRowLastColumn="0"/>
            <w:tcW w:w="474" w:type="pct"/>
          </w:tcPr>
          <w:p w14:paraId="0BBCC5F0" w14:textId="77777777" w:rsidR="00B44672" w:rsidRDefault="00B44672" w:rsidP="000511CA">
            <w:pPr>
              <w:pStyle w:val="Compact"/>
              <w:jc w:val="center"/>
            </w:pPr>
            <w:r>
              <w:t>9.2</w:t>
            </w:r>
          </w:p>
        </w:tc>
      </w:tr>
      <w:tr w:rsidR="00B44672" w14:paraId="634A5971"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4375C8EA" w14:textId="77777777" w:rsidR="00B44672" w:rsidRDefault="00B44672" w:rsidP="000511CA">
            <w:pPr>
              <w:pStyle w:val="Compact"/>
            </w:pPr>
            <w:r>
              <w:t>- Part time</w:t>
            </w:r>
          </w:p>
        </w:tc>
        <w:tc>
          <w:tcPr>
            <w:tcW w:w="350" w:type="pct"/>
          </w:tcPr>
          <w:p w14:paraId="18A9939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18.4</w:t>
            </w:r>
          </w:p>
        </w:tc>
        <w:tc>
          <w:tcPr>
            <w:tcW w:w="572" w:type="pct"/>
          </w:tcPr>
          <w:p w14:paraId="3C901F3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8.4</w:t>
            </w:r>
          </w:p>
        </w:tc>
        <w:tc>
          <w:tcPr>
            <w:tcW w:w="707" w:type="pct"/>
          </w:tcPr>
          <w:p w14:paraId="000A312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16.1</w:t>
            </w:r>
          </w:p>
        </w:tc>
        <w:tc>
          <w:tcPr>
            <w:tcW w:w="709" w:type="pct"/>
          </w:tcPr>
          <w:p w14:paraId="220CC3D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8.9</w:t>
            </w:r>
          </w:p>
        </w:tc>
        <w:tc>
          <w:tcPr>
            <w:tcW w:w="350" w:type="pct"/>
          </w:tcPr>
          <w:p w14:paraId="5EC2EA8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18.7</w:t>
            </w:r>
          </w:p>
        </w:tc>
        <w:tc>
          <w:tcPr>
            <w:cnfStyle w:val="000100000000" w:firstRow="0" w:lastRow="0" w:firstColumn="0" w:lastColumn="1" w:oddVBand="0" w:evenVBand="0" w:oddHBand="0" w:evenHBand="0" w:firstRowFirstColumn="0" w:firstRowLastColumn="0" w:lastRowFirstColumn="0" w:lastRowLastColumn="0"/>
            <w:tcW w:w="474" w:type="pct"/>
          </w:tcPr>
          <w:p w14:paraId="76ACEE99" w14:textId="77777777" w:rsidR="00B44672" w:rsidRDefault="00B44672" w:rsidP="000511CA">
            <w:pPr>
              <w:pStyle w:val="Compact"/>
              <w:jc w:val="center"/>
            </w:pPr>
            <w:r>
              <w:t>12.0</w:t>
            </w:r>
          </w:p>
        </w:tc>
      </w:tr>
      <w:tr w:rsidR="00B44672" w14:paraId="54E1EAA8"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3656399D" w14:textId="77777777" w:rsidR="00B44672" w:rsidRDefault="00B44672" w:rsidP="000511CA">
            <w:pPr>
              <w:pStyle w:val="Compact"/>
            </w:pPr>
            <w:r>
              <w:t>IU reference person is male</w:t>
            </w:r>
          </w:p>
        </w:tc>
        <w:tc>
          <w:tcPr>
            <w:tcW w:w="350" w:type="pct"/>
          </w:tcPr>
          <w:p w14:paraId="24ED15A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57.1</w:t>
            </w:r>
          </w:p>
        </w:tc>
        <w:tc>
          <w:tcPr>
            <w:tcW w:w="572" w:type="pct"/>
          </w:tcPr>
          <w:p w14:paraId="3664647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58.5</w:t>
            </w:r>
          </w:p>
        </w:tc>
        <w:tc>
          <w:tcPr>
            <w:tcW w:w="707" w:type="pct"/>
          </w:tcPr>
          <w:p w14:paraId="446DDC1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49.4</w:t>
            </w:r>
          </w:p>
        </w:tc>
        <w:tc>
          <w:tcPr>
            <w:tcW w:w="709" w:type="pct"/>
          </w:tcPr>
          <w:p w14:paraId="45A0B85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65.1</w:t>
            </w:r>
          </w:p>
        </w:tc>
        <w:tc>
          <w:tcPr>
            <w:tcW w:w="350" w:type="pct"/>
          </w:tcPr>
          <w:p w14:paraId="41CDC47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w:t>
            </w:r>
          </w:p>
        </w:tc>
        <w:tc>
          <w:tcPr>
            <w:cnfStyle w:val="000100000000" w:firstRow="0" w:lastRow="0" w:firstColumn="0" w:lastColumn="1" w:oddVBand="0" w:evenVBand="0" w:oddHBand="0" w:evenHBand="0" w:firstRowFirstColumn="0" w:firstRowLastColumn="0" w:lastRowFirstColumn="0" w:lastRowLastColumn="0"/>
            <w:tcW w:w="474" w:type="pct"/>
          </w:tcPr>
          <w:p w14:paraId="0DF6ECAA" w14:textId="77777777" w:rsidR="00B44672" w:rsidRDefault="00B44672" w:rsidP="000511CA">
            <w:pPr>
              <w:pStyle w:val="Compact"/>
              <w:jc w:val="center"/>
            </w:pPr>
            <w:r>
              <w:t>47.6</w:t>
            </w:r>
          </w:p>
        </w:tc>
      </w:tr>
      <w:tr w:rsidR="00B44672" w14:paraId="15AA2152"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79F41202" w14:textId="77777777" w:rsidR="00B44672" w:rsidRDefault="00B44672" w:rsidP="000511CA">
            <w:pPr>
              <w:pStyle w:val="Compact"/>
            </w:pPr>
            <w:r>
              <w:t>Number of dependent children in IU</w:t>
            </w:r>
          </w:p>
        </w:tc>
        <w:tc>
          <w:tcPr>
            <w:tcW w:w="350" w:type="pct"/>
          </w:tcPr>
          <w:p w14:paraId="2363D4E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0.3</w:t>
            </w:r>
          </w:p>
        </w:tc>
        <w:tc>
          <w:tcPr>
            <w:tcW w:w="572" w:type="pct"/>
          </w:tcPr>
          <w:p w14:paraId="47EB9DA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0.5</w:t>
            </w:r>
          </w:p>
        </w:tc>
        <w:tc>
          <w:tcPr>
            <w:tcW w:w="707" w:type="pct"/>
          </w:tcPr>
          <w:p w14:paraId="350AD8B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0.6</w:t>
            </w:r>
          </w:p>
        </w:tc>
        <w:tc>
          <w:tcPr>
            <w:tcW w:w="709" w:type="pct"/>
          </w:tcPr>
          <w:p w14:paraId="7C27E8C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0.7</w:t>
            </w:r>
          </w:p>
        </w:tc>
        <w:tc>
          <w:tcPr>
            <w:tcW w:w="350" w:type="pct"/>
          </w:tcPr>
          <w:p w14:paraId="2219D20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0.4</w:t>
            </w:r>
          </w:p>
        </w:tc>
        <w:tc>
          <w:tcPr>
            <w:cnfStyle w:val="000100000000" w:firstRow="0" w:lastRow="0" w:firstColumn="0" w:lastColumn="1" w:oddVBand="0" w:evenVBand="0" w:oddHBand="0" w:evenHBand="0" w:firstRowFirstColumn="0" w:firstRowLastColumn="0" w:lastRowFirstColumn="0" w:lastRowLastColumn="0"/>
            <w:tcW w:w="474" w:type="pct"/>
          </w:tcPr>
          <w:p w14:paraId="539BA8DE" w14:textId="77777777" w:rsidR="00B44672" w:rsidRDefault="00B44672" w:rsidP="000511CA">
            <w:pPr>
              <w:pStyle w:val="Compact"/>
              <w:jc w:val="center"/>
            </w:pPr>
            <w:r>
              <w:t>0.0</w:t>
            </w:r>
          </w:p>
        </w:tc>
      </w:tr>
      <w:tr w:rsidR="00B44672" w14:paraId="11F18111"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3ACD0402" w14:textId="77777777" w:rsidR="00B44672" w:rsidRDefault="00B44672" w:rsidP="000511CA">
            <w:pPr>
              <w:pStyle w:val="Compact"/>
            </w:pPr>
            <w:r>
              <w:t>Number of independent earners in IU</w:t>
            </w:r>
          </w:p>
        </w:tc>
        <w:tc>
          <w:tcPr>
            <w:tcW w:w="350" w:type="pct"/>
          </w:tcPr>
          <w:p w14:paraId="661F839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0.9</w:t>
            </w:r>
          </w:p>
        </w:tc>
        <w:tc>
          <w:tcPr>
            <w:tcW w:w="572" w:type="pct"/>
          </w:tcPr>
          <w:p w14:paraId="6207060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1.5</w:t>
            </w:r>
          </w:p>
        </w:tc>
        <w:tc>
          <w:tcPr>
            <w:tcW w:w="707" w:type="pct"/>
          </w:tcPr>
          <w:p w14:paraId="427FF94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0.7</w:t>
            </w:r>
          </w:p>
        </w:tc>
        <w:tc>
          <w:tcPr>
            <w:tcW w:w="709" w:type="pct"/>
          </w:tcPr>
          <w:p w14:paraId="428B5A2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1.2</w:t>
            </w:r>
          </w:p>
        </w:tc>
        <w:tc>
          <w:tcPr>
            <w:tcW w:w="350" w:type="pct"/>
          </w:tcPr>
          <w:p w14:paraId="770F8FC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0.9</w:t>
            </w:r>
          </w:p>
        </w:tc>
        <w:tc>
          <w:tcPr>
            <w:cnfStyle w:val="000100000000" w:firstRow="0" w:lastRow="0" w:firstColumn="0" w:lastColumn="1" w:oddVBand="0" w:evenVBand="0" w:oddHBand="0" w:evenHBand="0" w:firstRowFirstColumn="0" w:firstRowLastColumn="0" w:lastRowFirstColumn="0" w:lastRowLastColumn="0"/>
            <w:tcW w:w="474" w:type="pct"/>
          </w:tcPr>
          <w:p w14:paraId="2B0C4CF8" w14:textId="77777777" w:rsidR="00B44672" w:rsidRDefault="00B44672" w:rsidP="000511CA">
            <w:pPr>
              <w:pStyle w:val="Compact"/>
              <w:jc w:val="center"/>
            </w:pPr>
            <w:r>
              <w:t>0.3</w:t>
            </w:r>
          </w:p>
        </w:tc>
      </w:tr>
      <w:tr w:rsidR="00B44672" w14:paraId="33ED6FEF" w14:textId="77777777" w:rsidTr="00CC44E7">
        <w:trPr>
          <w:jc w:val="center"/>
        </w:trPr>
        <w:tc>
          <w:tcPr>
            <w:cnfStyle w:val="001000000000" w:firstRow="0" w:lastRow="0" w:firstColumn="1" w:lastColumn="0" w:oddVBand="0" w:evenVBand="0" w:oddHBand="0" w:evenHBand="0" w:firstRowFirstColumn="0" w:firstRowLastColumn="0" w:lastRowFirstColumn="0" w:lastRowLastColumn="0"/>
            <w:tcW w:w="1839" w:type="pct"/>
          </w:tcPr>
          <w:p w14:paraId="78F11AC6" w14:textId="77777777" w:rsidR="00B44672" w:rsidRDefault="00B44672" w:rsidP="000511CA">
            <w:pPr>
              <w:pStyle w:val="Compact"/>
            </w:pPr>
            <w:r>
              <w:t>Weekly income ($)</w:t>
            </w:r>
          </w:p>
        </w:tc>
        <w:tc>
          <w:tcPr>
            <w:tcW w:w="350" w:type="pct"/>
          </w:tcPr>
          <w:p w14:paraId="549D279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1,141.9</w:t>
            </w:r>
          </w:p>
        </w:tc>
        <w:tc>
          <w:tcPr>
            <w:tcW w:w="572" w:type="pct"/>
          </w:tcPr>
          <w:p w14:paraId="2C03FFC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2,155.4</w:t>
            </w:r>
          </w:p>
        </w:tc>
        <w:tc>
          <w:tcPr>
            <w:tcW w:w="707" w:type="pct"/>
          </w:tcPr>
          <w:p w14:paraId="30794DA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864.2</w:t>
            </w:r>
          </w:p>
        </w:tc>
        <w:tc>
          <w:tcPr>
            <w:tcW w:w="709" w:type="pct"/>
          </w:tcPr>
          <w:p w14:paraId="38A545B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1,790.1</w:t>
            </w:r>
          </w:p>
        </w:tc>
        <w:tc>
          <w:tcPr>
            <w:tcW w:w="350" w:type="pct"/>
          </w:tcPr>
          <w:p w14:paraId="376FE72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1,413.4</w:t>
            </w:r>
          </w:p>
        </w:tc>
        <w:tc>
          <w:tcPr>
            <w:cnfStyle w:val="000100000000" w:firstRow="0" w:lastRow="0" w:firstColumn="0" w:lastColumn="1" w:oddVBand="0" w:evenVBand="0" w:oddHBand="0" w:evenHBand="0" w:firstRowFirstColumn="0" w:firstRowLastColumn="0" w:lastRowFirstColumn="0" w:lastRowLastColumn="0"/>
            <w:tcW w:w="474" w:type="pct"/>
          </w:tcPr>
          <w:p w14:paraId="5B03980F" w14:textId="77777777" w:rsidR="00B44672" w:rsidRDefault="00B44672" w:rsidP="000511CA">
            <w:pPr>
              <w:pStyle w:val="Compact"/>
              <w:jc w:val="center"/>
            </w:pPr>
            <w:r>
              <w:t>1,084.4</w:t>
            </w:r>
          </w:p>
        </w:tc>
      </w:tr>
      <w:tr w:rsidR="00B44672" w14:paraId="780C3703" w14:textId="77777777" w:rsidTr="00CC44E7">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pct"/>
          </w:tcPr>
          <w:p w14:paraId="36EC00A9" w14:textId="77777777" w:rsidR="00B44672" w:rsidRDefault="00B44672" w:rsidP="000511CA">
            <w:pPr>
              <w:pStyle w:val="Compact"/>
            </w:pPr>
            <w:r>
              <w:t>Number of IUs</w:t>
            </w:r>
          </w:p>
        </w:tc>
        <w:tc>
          <w:tcPr>
            <w:tcW w:w="350" w:type="pct"/>
          </w:tcPr>
          <w:p w14:paraId="16E22F42"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93,691</w:t>
            </w:r>
          </w:p>
        </w:tc>
        <w:tc>
          <w:tcPr>
            <w:tcW w:w="572" w:type="pct"/>
          </w:tcPr>
          <w:p w14:paraId="7E3BC4F9"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9,098</w:t>
            </w:r>
          </w:p>
        </w:tc>
        <w:tc>
          <w:tcPr>
            <w:tcW w:w="707" w:type="pct"/>
          </w:tcPr>
          <w:p w14:paraId="56008808"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31,637</w:t>
            </w:r>
          </w:p>
        </w:tc>
        <w:tc>
          <w:tcPr>
            <w:tcW w:w="709" w:type="pct"/>
          </w:tcPr>
          <w:p w14:paraId="6D6F733F"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20,245</w:t>
            </w:r>
          </w:p>
        </w:tc>
        <w:tc>
          <w:tcPr>
            <w:tcW w:w="350" w:type="pct"/>
          </w:tcPr>
          <w:p w14:paraId="67A517A5"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79,830</w:t>
            </w:r>
          </w:p>
        </w:tc>
        <w:tc>
          <w:tcPr>
            <w:cnfStyle w:val="000100000000" w:firstRow="0" w:lastRow="0" w:firstColumn="0" w:lastColumn="1" w:oddVBand="0" w:evenVBand="0" w:oddHBand="0" w:evenHBand="0" w:firstRowFirstColumn="0" w:firstRowLastColumn="0" w:lastRowFirstColumn="0" w:lastRowLastColumn="0"/>
            <w:tcW w:w="474" w:type="pct"/>
          </w:tcPr>
          <w:p w14:paraId="4388F42D" w14:textId="77777777" w:rsidR="00B44672" w:rsidRDefault="00B44672" w:rsidP="000511CA">
            <w:pPr>
              <w:pStyle w:val="Compact"/>
              <w:jc w:val="center"/>
            </w:pPr>
            <w:r>
              <w:t>30,604</w:t>
            </w:r>
          </w:p>
        </w:tc>
      </w:tr>
    </w:tbl>
    <w:p w14:paraId="07A77809" w14:textId="77777777" w:rsidR="00B44672" w:rsidRDefault="00B44672" w:rsidP="00C83581">
      <w:pPr>
        <w:pStyle w:val="BlockText"/>
      </w:pPr>
      <w:r>
        <w:rPr>
          <w:i/>
        </w:rPr>
        <w:t>Source</w:t>
      </w:r>
      <w:r>
        <w:t>: Our calculations from SIHs 2009-10 and 2011-12 and the ABS No. 3101 ‘Australian Demographic Statistics - June 2019’ (Table 58 - Estimated resident population by single year of age in the ACT).</w:t>
      </w:r>
      <w:r>
        <w:br/>
      </w:r>
      <w:r>
        <w:rPr>
          <w:i/>
        </w:rPr>
        <w:t>Notes</w:t>
      </w:r>
      <w:r>
        <w:t>: (</w:t>
      </w:r>
      <w:proofErr w:type="spellStart"/>
      <w:r>
        <w:t>i</w:t>
      </w:r>
      <w:proofErr w:type="spellEnd"/>
      <w:r>
        <w:t xml:space="preserve">) The population weights are applied; (ii) Except for the number of dependent children in IU, weekly IU income, the number of independent earners in IU, the unit of the table is percentage; (iii) For the first homeowner group, only recent home buyers who purchased properties within the last three years are available. </w:t>
      </w:r>
    </w:p>
    <w:p w14:paraId="3EB4B42E" w14:textId="77777777" w:rsidR="00B44672" w:rsidRDefault="00B44672">
      <w:pPr>
        <w:jc w:val="left"/>
        <w:rPr>
          <w:b/>
          <w:i/>
          <w:color w:val="365F91" w:themeColor="accent1" w:themeShade="BF"/>
        </w:rPr>
      </w:pPr>
      <w:r>
        <w:br w:type="page"/>
      </w:r>
    </w:p>
    <w:p w14:paraId="35712A6B" w14:textId="77777777" w:rsidR="00B44672" w:rsidRDefault="00B44672" w:rsidP="00C83581">
      <w:pPr>
        <w:pStyle w:val="TableCaption"/>
      </w:pPr>
      <w:r>
        <w:lastRenderedPageBreak/>
        <w:t>Table A5 - Property value regression for the ACT, 2011-12</w:t>
      </w:r>
    </w:p>
    <w:tbl>
      <w:tblPr>
        <w:tblStyle w:val="Table"/>
        <w:tblW w:w="5000" w:type="pct"/>
        <w:jc w:val="center"/>
        <w:tblCellMar>
          <w:left w:w="0" w:type="dxa"/>
          <w:right w:w="0" w:type="dxa"/>
        </w:tblCellMar>
        <w:tblLook w:val="07E0" w:firstRow="1" w:lastRow="1" w:firstColumn="1" w:lastColumn="1" w:noHBand="1" w:noVBand="1"/>
        <w:tblCaption w:val="Table A5 - Property value regression for the ACT, 2011-12"/>
      </w:tblPr>
      <w:tblGrid>
        <w:gridCol w:w="6823"/>
        <w:gridCol w:w="1177"/>
        <w:gridCol w:w="1020"/>
        <w:gridCol w:w="6"/>
      </w:tblGrid>
      <w:tr w:rsidR="00B44672" w14:paraId="673FEEB7" w14:textId="77777777" w:rsidTr="000511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0" w:type="pct"/>
            <w:tcBorders>
              <w:bottom w:val="single" w:sz="0" w:space="0" w:color="auto"/>
            </w:tcBorders>
            <w:vAlign w:val="bottom"/>
          </w:tcPr>
          <w:p w14:paraId="51751F51" w14:textId="77777777" w:rsidR="00B44672" w:rsidRDefault="00B44672" w:rsidP="000511CA"/>
        </w:tc>
        <w:tc>
          <w:tcPr>
            <w:tcW w:w="652" w:type="pct"/>
            <w:tcBorders>
              <w:bottom w:val="single" w:sz="0" w:space="0" w:color="auto"/>
            </w:tcBorders>
            <w:vAlign w:val="bottom"/>
          </w:tcPr>
          <w:p w14:paraId="153F351A"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Coef.</w:t>
            </w:r>
          </w:p>
        </w:tc>
        <w:tc>
          <w:tcPr>
            <w:tcW w:w="565" w:type="pct"/>
            <w:tcBorders>
              <w:bottom w:val="single" w:sz="0" w:space="0" w:color="auto"/>
            </w:tcBorders>
            <w:vAlign w:val="bottom"/>
          </w:tcPr>
          <w:p w14:paraId="34E4F5A5"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Std. Error</w:t>
            </w:r>
          </w:p>
        </w:tc>
        <w:tc>
          <w:tcPr>
            <w:cnfStyle w:val="000100000000" w:firstRow="0" w:lastRow="0" w:firstColumn="0" w:lastColumn="1" w:oddVBand="0" w:evenVBand="0" w:oddHBand="0" w:evenHBand="0" w:firstRowFirstColumn="0" w:firstRowLastColumn="0" w:lastRowFirstColumn="0" w:lastRowLastColumn="0"/>
            <w:tcW w:w="4" w:type="pct"/>
            <w:tcBorders>
              <w:bottom w:val="single" w:sz="0" w:space="0" w:color="auto"/>
            </w:tcBorders>
            <w:vAlign w:val="bottom"/>
          </w:tcPr>
          <w:p w14:paraId="4EB0948E" w14:textId="77777777" w:rsidR="00B44672" w:rsidRDefault="00B44672" w:rsidP="000511CA"/>
        </w:tc>
      </w:tr>
      <w:tr w:rsidR="00B44672" w14:paraId="0E9DCF51"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1AB5C83C" w14:textId="77777777" w:rsidR="00B44672" w:rsidRDefault="00B44672" w:rsidP="000511CA">
            <w:pPr>
              <w:pStyle w:val="Compact"/>
            </w:pPr>
            <w:r>
              <w:t>Age of IU reference person (Base: Under 30 years old):</w:t>
            </w:r>
          </w:p>
        </w:tc>
        <w:tc>
          <w:tcPr>
            <w:tcW w:w="652" w:type="pct"/>
          </w:tcPr>
          <w:p w14:paraId="4ACF72E6"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565" w:type="pct"/>
          </w:tcPr>
          <w:p w14:paraId="1377B7E0"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 w:type="pct"/>
          </w:tcPr>
          <w:p w14:paraId="72D5C970" w14:textId="77777777" w:rsidR="00B44672" w:rsidRDefault="00B44672" w:rsidP="000511CA"/>
        </w:tc>
      </w:tr>
      <w:tr w:rsidR="00B44672" w14:paraId="0A77A70C"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57271331" w14:textId="77777777" w:rsidR="00B44672" w:rsidRDefault="00B44672" w:rsidP="000511CA">
            <w:pPr>
              <w:pStyle w:val="Compact"/>
            </w:pPr>
            <w:r>
              <w:t>- 30-34 years old</w:t>
            </w:r>
          </w:p>
        </w:tc>
        <w:tc>
          <w:tcPr>
            <w:tcW w:w="652" w:type="pct"/>
          </w:tcPr>
          <w:p w14:paraId="1118248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0.057***</w:t>
            </w:r>
          </w:p>
        </w:tc>
        <w:tc>
          <w:tcPr>
            <w:tcW w:w="565" w:type="pct"/>
          </w:tcPr>
          <w:p w14:paraId="663F28A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(0.006)</w:t>
            </w:r>
          </w:p>
        </w:tc>
        <w:tc>
          <w:tcPr>
            <w:cnfStyle w:val="000100000000" w:firstRow="0" w:lastRow="0" w:firstColumn="0" w:lastColumn="1" w:oddVBand="0" w:evenVBand="0" w:oddHBand="0" w:evenHBand="0" w:firstRowFirstColumn="0" w:firstRowLastColumn="0" w:lastRowFirstColumn="0" w:lastRowLastColumn="0"/>
            <w:tcW w:w="4" w:type="pct"/>
          </w:tcPr>
          <w:p w14:paraId="2008BE42" w14:textId="77777777" w:rsidR="00B44672" w:rsidRDefault="00B44672" w:rsidP="000511CA"/>
        </w:tc>
      </w:tr>
      <w:tr w:rsidR="00B44672" w14:paraId="11B35D6C"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2B502C43" w14:textId="77777777" w:rsidR="00B44672" w:rsidRDefault="00B44672" w:rsidP="000511CA">
            <w:pPr>
              <w:pStyle w:val="Compact"/>
            </w:pPr>
            <w:r>
              <w:t>- 35-39 years old</w:t>
            </w:r>
          </w:p>
        </w:tc>
        <w:tc>
          <w:tcPr>
            <w:tcW w:w="652" w:type="pct"/>
          </w:tcPr>
          <w:p w14:paraId="3DBEC2F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0.124***</w:t>
            </w:r>
          </w:p>
        </w:tc>
        <w:tc>
          <w:tcPr>
            <w:tcW w:w="565" w:type="pct"/>
          </w:tcPr>
          <w:p w14:paraId="5A4A08D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(0.006)</w:t>
            </w:r>
          </w:p>
        </w:tc>
        <w:tc>
          <w:tcPr>
            <w:cnfStyle w:val="000100000000" w:firstRow="0" w:lastRow="0" w:firstColumn="0" w:lastColumn="1" w:oddVBand="0" w:evenVBand="0" w:oddHBand="0" w:evenHBand="0" w:firstRowFirstColumn="0" w:firstRowLastColumn="0" w:lastRowFirstColumn="0" w:lastRowLastColumn="0"/>
            <w:tcW w:w="4" w:type="pct"/>
          </w:tcPr>
          <w:p w14:paraId="654135A1" w14:textId="77777777" w:rsidR="00B44672" w:rsidRDefault="00B44672" w:rsidP="000511CA"/>
        </w:tc>
      </w:tr>
      <w:tr w:rsidR="00B44672" w14:paraId="34B75C13"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2913BC59" w14:textId="77777777" w:rsidR="00B44672" w:rsidRDefault="00B44672" w:rsidP="000511CA">
            <w:pPr>
              <w:pStyle w:val="Compact"/>
            </w:pPr>
            <w:r>
              <w:t>- 40-44 years old</w:t>
            </w:r>
          </w:p>
        </w:tc>
        <w:tc>
          <w:tcPr>
            <w:tcW w:w="652" w:type="pct"/>
          </w:tcPr>
          <w:p w14:paraId="752D5A1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0.166***</w:t>
            </w:r>
          </w:p>
        </w:tc>
        <w:tc>
          <w:tcPr>
            <w:tcW w:w="565" w:type="pct"/>
          </w:tcPr>
          <w:p w14:paraId="67E5907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(0.006)</w:t>
            </w:r>
          </w:p>
        </w:tc>
        <w:tc>
          <w:tcPr>
            <w:cnfStyle w:val="000100000000" w:firstRow="0" w:lastRow="0" w:firstColumn="0" w:lastColumn="1" w:oddVBand="0" w:evenVBand="0" w:oddHBand="0" w:evenHBand="0" w:firstRowFirstColumn="0" w:firstRowLastColumn="0" w:lastRowFirstColumn="0" w:lastRowLastColumn="0"/>
            <w:tcW w:w="4" w:type="pct"/>
          </w:tcPr>
          <w:p w14:paraId="6CE5533E" w14:textId="77777777" w:rsidR="00B44672" w:rsidRDefault="00B44672" w:rsidP="000511CA"/>
        </w:tc>
      </w:tr>
      <w:tr w:rsidR="00B44672" w14:paraId="177DD0C3"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795403C4" w14:textId="77777777" w:rsidR="00B44672" w:rsidRDefault="00B44672" w:rsidP="000511CA">
            <w:pPr>
              <w:pStyle w:val="Compact"/>
            </w:pPr>
            <w:r>
              <w:t>- 45-49 years old</w:t>
            </w:r>
          </w:p>
        </w:tc>
        <w:tc>
          <w:tcPr>
            <w:tcW w:w="652" w:type="pct"/>
          </w:tcPr>
          <w:p w14:paraId="27215F4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0.150***</w:t>
            </w:r>
          </w:p>
        </w:tc>
        <w:tc>
          <w:tcPr>
            <w:tcW w:w="565" w:type="pct"/>
          </w:tcPr>
          <w:p w14:paraId="46500D9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(0.006)</w:t>
            </w:r>
          </w:p>
        </w:tc>
        <w:tc>
          <w:tcPr>
            <w:cnfStyle w:val="000100000000" w:firstRow="0" w:lastRow="0" w:firstColumn="0" w:lastColumn="1" w:oddVBand="0" w:evenVBand="0" w:oddHBand="0" w:evenHBand="0" w:firstRowFirstColumn="0" w:firstRowLastColumn="0" w:lastRowFirstColumn="0" w:lastRowLastColumn="0"/>
            <w:tcW w:w="4" w:type="pct"/>
          </w:tcPr>
          <w:p w14:paraId="08253C0F" w14:textId="77777777" w:rsidR="00B44672" w:rsidRDefault="00B44672" w:rsidP="000511CA"/>
        </w:tc>
      </w:tr>
      <w:tr w:rsidR="00B44672" w14:paraId="3623F626"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50BE7CFD" w14:textId="77777777" w:rsidR="00B44672" w:rsidRDefault="00B44672" w:rsidP="000511CA">
            <w:pPr>
              <w:pStyle w:val="Compact"/>
            </w:pPr>
            <w:r>
              <w:t>- 50-54 years old</w:t>
            </w:r>
          </w:p>
        </w:tc>
        <w:tc>
          <w:tcPr>
            <w:tcW w:w="652" w:type="pct"/>
          </w:tcPr>
          <w:p w14:paraId="36CDDFE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0.266***</w:t>
            </w:r>
          </w:p>
        </w:tc>
        <w:tc>
          <w:tcPr>
            <w:tcW w:w="565" w:type="pct"/>
          </w:tcPr>
          <w:p w14:paraId="1314AE7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(0.007)</w:t>
            </w:r>
          </w:p>
        </w:tc>
        <w:tc>
          <w:tcPr>
            <w:cnfStyle w:val="000100000000" w:firstRow="0" w:lastRow="0" w:firstColumn="0" w:lastColumn="1" w:oddVBand="0" w:evenVBand="0" w:oddHBand="0" w:evenHBand="0" w:firstRowFirstColumn="0" w:firstRowLastColumn="0" w:lastRowFirstColumn="0" w:lastRowLastColumn="0"/>
            <w:tcW w:w="4" w:type="pct"/>
          </w:tcPr>
          <w:p w14:paraId="1B76C302" w14:textId="77777777" w:rsidR="00B44672" w:rsidRDefault="00B44672" w:rsidP="000511CA"/>
        </w:tc>
      </w:tr>
      <w:tr w:rsidR="00B44672" w14:paraId="14E65082"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1CA6E227" w14:textId="77777777" w:rsidR="00B44672" w:rsidRDefault="00B44672" w:rsidP="000511CA">
            <w:pPr>
              <w:pStyle w:val="Compact"/>
            </w:pPr>
            <w:r>
              <w:t>- 55-59 years old</w:t>
            </w:r>
          </w:p>
        </w:tc>
        <w:tc>
          <w:tcPr>
            <w:tcW w:w="652" w:type="pct"/>
          </w:tcPr>
          <w:p w14:paraId="493EBD8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0.216***</w:t>
            </w:r>
          </w:p>
        </w:tc>
        <w:tc>
          <w:tcPr>
            <w:tcW w:w="565" w:type="pct"/>
          </w:tcPr>
          <w:p w14:paraId="06FA735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(0.007)</w:t>
            </w:r>
          </w:p>
        </w:tc>
        <w:tc>
          <w:tcPr>
            <w:cnfStyle w:val="000100000000" w:firstRow="0" w:lastRow="0" w:firstColumn="0" w:lastColumn="1" w:oddVBand="0" w:evenVBand="0" w:oddHBand="0" w:evenHBand="0" w:firstRowFirstColumn="0" w:firstRowLastColumn="0" w:lastRowFirstColumn="0" w:lastRowLastColumn="0"/>
            <w:tcW w:w="4" w:type="pct"/>
          </w:tcPr>
          <w:p w14:paraId="51285F8C" w14:textId="77777777" w:rsidR="00B44672" w:rsidRDefault="00B44672" w:rsidP="000511CA"/>
        </w:tc>
      </w:tr>
      <w:tr w:rsidR="00B44672" w14:paraId="475382B3"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62AB4C1D" w14:textId="77777777" w:rsidR="00B44672" w:rsidRDefault="00B44672" w:rsidP="000511CA">
            <w:pPr>
              <w:pStyle w:val="Compact"/>
            </w:pPr>
            <w:r>
              <w:t>- 60-64 years old</w:t>
            </w:r>
          </w:p>
        </w:tc>
        <w:tc>
          <w:tcPr>
            <w:tcW w:w="652" w:type="pct"/>
          </w:tcPr>
          <w:p w14:paraId="6093D9E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0.312***</w:t>
            </w:r>
          </w:p>
        </w:tc>
        <w:tc>
          <w:tcPr>
            <w:tcW w:w="565" w:type="pct"/>
          </w:tcPr>
          <w:p w14:paraId="231BB6A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(0.007)</w:t>
            </w:r>
          </w:p>
        </w:tc>
        <w:tc>
          <w:tcPr>
            <w:cnfStyle w:val="000100000000" w:firstRow="0" w:lastRow="0" w:firstColumn="0" w:lastColumn="1" w:oddVBand="0" w:evenVBand="0" w:oddHBand="0" w:evenHBand="0" w:firstRowFirstColumn="0" w:firstRowLastColumn="0" w:lastRowFirstColumn="0" w:lastRowLastColumn="0"/>
            <w:tcW w:w="4" w:type="pct"/>
          </w:tcPr>
          <w:p w14:paraId="793A2968" w14:textId="77777777" w:rsidR="00B44672" w:rsidRDefault="00B44672" w:rsidP="000511CA"/>
        </w:tc>
      </w:tr>
      <w:tr w:rsidR="00B44672" w14:paraId="75A47A66"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69C9FA0C" w14:textId="77777777" w:rsidR="00B44672" w:rsidRDefault="00B44672" w:rsidP="000511CA">
            <w:pPr>
              <w:pStyle w:val="Compact"/>
            </w:pPr>
            <w:r>
              <w:t>- 65+ years old</w:t>
            </w:r>
          </w:p>
        </w:tc>
        <w:tc>
          <w:tcPr>
            <w:tcW w:w="652" w:type="pct"/>
          </w:tcPr>
          <w:p w14:paraId="048A833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0.354***</w:t>
            </w:r>
          </w:p>
        </w:tc>
        <w:tc>
          <w:tcPr>
            <w:tcW w:w="565" w:type="pct"/>
          </w:tcPr>
          <w:p w14:paraId="50D89B3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(0.007)</w:t>
            </w:r>
          </w:p>
        </w:tc>
        <w:tc>
          <w:tcPr>
            <w:cnfStyle w:val="000100000000" w:firstRow="0" w:lastRow="0" w:firstColumn="0" w:lastColumn="1" w:oddVBand="0" w:evenVBand="0" w:oddHBand="0" w:evenHBand="0" w:firstRowFirstColumn="0" w:firstRowLastColumn="0" w:lastRowFirstColumn="0" w:lastRowLastColumn="0"/>
            <w:tcW w:w="4" w:type="pct"/>
          </w:tcPr>
          <w:p w14:paraId="20C661D9" w14:textId="77777777" w:rsidR="00B44672" w:rsidRDefault="00B44672" w:rsidP="000511CA"/>
        </w:tc>
      </w:tr>
      <w:tr w:rsidR="00B44672" w14:paraId="193CB8EE"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41F8A094" w14:textId="77777777" w:rsidR="00B44672" w:rsidRDefault="00B44672" w:rsidP="000511CA">
            <w:pPr>
              <w:pStyle w:val="Compact"/>
            </w:pPr>
            <w:r>
              <w:t>IU reference person is male</w:t>
            </w:r>
          </w:p>
        </w:tc>
        <w:tc>
          <w:tcPr>
            <w:tcW w:w="652" w:type="pct"/>
          </w:tcPr>
          <w:p w14:paraId="7A351B9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0.047***</w:t>
            </w:r>
          </w:p>
        </w:tc>
        <w:tc>
          <w:tcPr>
            <w:tcW w:w="565" w:type="pct"/>
          </w:tcPr>
          <w:p w14:paraId="62714BA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(0.003)</w:t>
            </w:r>
          </w:p>
        </w:tc>
        <w:tc>
          <w:tcPr>
            <w:cnfStyle w:val="000100000000" w:firstRow="0" w:lastRow="0" w:firstColumn="0" w:lastColumn="1" w:oddVBand="0" w:evenVBand="0" w:oddHBand="0" w:evenHBand="0" w:firstRowFirstColumn="0" w:firstRowLastColumn="0" w:lastRowFirstColumn="0" w:lastRowLastColumn="0"/>
            <w:tcW w:w="4" w:type="pct"/>
          </w:tcPr>
          <w:p w14:paraId="2F70E638" w14:textId="77777777" w:rsidR="00B44672" w:rsidRDefault="00B44672" w:rsidP="000511CA"/>
        </w:tc>
      </w:tr>
      <w:tr w:rsidR="00B44672" w14:paraId="68E05590"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498F39FC" w14:textId="77777777" w:rsidR="00B44672" w:rsidRDefault="00B44672" w:rsidP="000511CA">
            <w:pPr>
              <w:pStyle w:val="Compact"/>
            </w:pPr>
            <w:r>
              <w:t>Education of IU reference person (Base: Year 11 or lower):</w:t>
            </w:r>
          </w:p>
        </w:tc>
        <w:tc>
          <w:tcPr>
            <w:tcW w:w="652" w:type="pct"/>
          </w:tcPr>
          <w:p w14:paraId="16B042E1"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565" w:type="pct"/>
          </w:tcPr>
          <w:p w14:paraId="03026C69"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 w:type="pct"/>
          </w:tcPr>
          <w:p w14:paraId="0F05B43E" w14:textId="77777777" w:rsidR="00B44672" w:rsidRDefault="00B44672" w:rsidP="000511CA"/>
        </w:tc>
      </w:tr>
      <w:tr w:rsidR="00B44672" w14:paraId="5B5F1EC5"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013F5826" w14:textId="77777777" w:rsidR="00B44672" w:rsidRDefault="00B44672" w:rsidP="000511CA">
            <w:pPr>
              <w:pStyle w:val="Compact"/>
            </w:pPr>
            <w:r>
              <w:t>- Year 12 or Certificate I/II</w:t>
            </w:r>
          </w:p>
        </w:tc>
        <w:tc>
          <w:tcPr>
            <w:tcW w:w="652" w:type="pct"/>
          </w:tcPr>
          <w:p w14:paraId="76254D5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0.051***</w:t>
            </w:r>
          </w:p>
        </w:tc>
        <w:tc>
          <w:tcPr>
            <w:tcW w:w="565" w:type="pct"/>
          </w:tcPr>
          <w:p w14:paraId="1014206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(0.004)</w:t>
            </w:r>
          </w:p>
        </w:tc>
        <w:tc>
          <w:tcPr>
            <w:cnfStyle w:val="000100000000" w:firstRow="0" w:lastRow="0" w:firstColumn="0" w:lastColumn="1" w:oddVBand="0" w:evenVBand="0" w:oddHBand="0" w:evenHBand="0" w:firstRowFirstColumn="0" w:firstRowLastColumn="0" w:lastRowFirstColumn="0" w:lastRowLastColumn="0"/>
            <w:tcW w:w="4" w:type="pct"/>
          </w:tcPr>
          <w:p w14:paraId="6F2AE34E" w14:textId="77777777" w:rsidR="00B44672" w:rsidRDefault="00B44672" w:rsidP="000511CA"/>
        </w:tc>
      </w:tr>
      <w:tr w:rsidR="00B44672" w14:paraId="125AD63B"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6B2C5A15" w14:textId="77777777" w:rsidR="00B44672" w:rsidRDefault="00B44672" w:rsidP="000511CA">
            <w:pPr>
              <w:pStyle w:val="Compact"/>
            </w:pPr>
            <w:r>
              <w:t>- Diploma or Certificate III/IV</w:t>
            </w:r>
          </w:p>
        </w:tc>
        <w:tc>
          <w:tcPr>
            <w:tcW w:w="652" w:type="pct"/>
          </w:tcPr>
          <w:p w14:paraId="1F88D4C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0.107***</w:t>
            </w:r>
          </w:p>
        </w:tc>
        <w:tc>
          <w:tcPr>
            <w:tcW w:w="565" w:type="pct"/>
          </w:tcPr>
          <w:p w14:paraId="5F56FD8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(0.004)</w:t>
            </w:r>
          </w:p>
        </w:tc>
        <w:tc>
          <w:tcPr>
            <w:cnfStyle w:val="000100000000" w:firstRow="0" w:lastRow="0" w:firstColumn="0" w:lastColumn="1" w:oddVBand="0" w:evenVBand="0" w:oddHBand="0" w:evenHBand="0" w:firstRowFirstColumn="0" w:firstRowLastColumn="0" w:lastRowFirstColumn="0" w:lastRowLastColumn="0"/>
            <w:tcW w:w="4" w:type="pct"/>
          </w:tcPr>
          <w:p w14:paraId="27480E57" w14:textId="77777777" w:rsidR="00B44672" w:rsidRDefault="00B44672" w:rsidP="000511CA"/>
        </w:tc>
      </w:tr>
      <w:tr w:rsidR="00B44672" w14:paraId="3C81C584"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41D958DF" w14:textId="77777777" w:rsidR="00B44672" w:rsidRDefault="00B44672" w:rsidP="000511CA">
            <w:pPr>
              <w:pStyle w:val="Compact"/>
            </w:pPr>
            <w:r>
              <w:t>- Bachelor</w:t>
            </w:r>
          </w:p>
        </w:tc>
        <w:tc>
          <w:tcPr>
            <w:tcW w:w="652" w:type="pct"/>
          </w:tcPr>
          <w:p w14:paraId="4A3328C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0.106***</w:t>
            </w:r>
          </w:p>
        </w:tc>
        <w:tc>
          <w:tcPr>
            <w:tcW w:w="565" w:type="pct"/>
          </w:tcPr>
          <w:p w14:paraId="27AFEB8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(0.004)</w:t>
            </w:r>
          </w:p>
        </w:tc>
        <w:tc>
          <w:tcPr>
            <w:cnfStyle w:val="000100000000" w:firstRow="0" w:lastRow="0" w:firstColumn="0" w:lastColumn="1" w:oddVBand="0" w:evenVBand="0" w:oddHBand="0" w:evenHBand="0" w:firstRowFirstColumn="0" w:firstRowLastColumn="0" w:lastRowFirstColumn="0" w:lastRowLastColumn="0"/>
            <w:tcW w:w="4" w:type="pct"/>
          </w:tcPr>
          <w:p w14:paraId="22EB6B58" w14:textId="77777777" w:rsidR="00B44672" w:rsidRDefault="00B44672" w:rsidP="000511CA"/>
        </w:tc>
      </w:tr>
      <w:tr w:rsidR="00B44672" w14:paraId="602567B5"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59833BC8" w14:textId="77777777" w:rsidR="00B44672" w:rsidRDefault="00B44672" w:rsidP="000511CA">
            <w:pPr>
              <w:pStyle w:val="Compact"/>
            </w:pPr>
            <w:r>
              <w:t>- Postgraduate</w:t>
            </w:r>
          </w:p>
        </w:tc>
        <w:tc>
          <w:tcPr>
            <w:tcW w:w="652" w:type="pct"/>
          </w:tcPr>
          <w:p w14:paraId="1A9957E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0.183***</w:t>
            </w:r>
          </w:p>
        </w:tc>
        <w:tc>
          <w:tcPr>
            <w:tcW w:w="565" w:type="pct"/>
          </w:tcPr>
          <w:p w14:paraId="07CDF02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(0.004)</w:t>
            </w:r>
          </w:p>
        </w:tc>
        <w:tc>
          <w:tcPr>
            <w:cnfStyle w:val="000100000000" w:firstRow="0" w:lastRow="0" w:firstColumn="0" w:lastColumn="1" w:oddVBand="0" w:evenVBand="0" w:oddHBand="0" w:evenHBand="0" w:firstRowFirstColumn="0" w:firstRowLastColumn="0" w:lastRowFirstColumn="0" w:lastRowLastColumn="0"/>
            <w:tcW w:w="4" w:type="pct"/>
          </w:tcPr>
          <w:p w14:paraId="028269E7" w14:textId="77777777" w:rsidR="00B44672" w:rsidRDefault="00B44672" w:rsidP="000511CA"/>
        </w:tc>
      </w:tr>
      <w:tr w:rsidR="00B44672" w14:paraId="06DBB119"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16086BB7" w14:textId="77777777" w:rsidR="00B44672" w:rsidRDefault="00B44672" w:rsidP="000511CA">
            <w:pPr>
              <w:pStyle w:val="Compact"/>
            </w:pPr>
            <w:r>
              <w:t>Employment of IU reference person (Base: Unemployed or NILF):</w:t>
            </w:r>
          </w:p>
        </w:tc>
        <w:tc>
          <w:tcPr>
            <w:tcW w:w="652" w:type="pct"/>
          </w:tcPr>
          <w:p w14:paraId="5C19179B"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565" w:type="pct"/>
          </w:tcPr>
          <w:p w14:paraId="49AB8421"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 w:type="pct"/>
          </w:tcPr>
          <w:p w14:paraId="53F8B244" w14:textId="77777777" w:rsidR="00B44672" w:rsidRDefault="00B44672" w:rsidP="000511CA"/>
        </w:tc>
      </w:tr>
      <w:tr w:rsidR="00B44672" w14:paraId="0E7227FF"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3525D01E" w14:textId="77777777" w:rsidR="00B44672" w:rsidRDefault="00B44672" w:rsidP="000511CA">
            <w:pPr>
              <w:pStyle w:val="Compact"/>
            </w:pPr>
            <w:r>
              <w:t>- Full time</w:t>
            </w:r>
          </w:p>
        </w:tc>
        <w:tc>
          <w:tcPr>
            <w:tcW w:w="652" w:type="pct"/>
          </w:tcPr>
          <w:p w14:paraId="06ADE60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-0.159***</w:t>
            </w:r>
          </w:p>
        </w:tc>
        <w:tc>
          <w:tcPr>
            <w:tcW w:w="565" w:type="pct"/>
          </w:tcPr>
          <w:p w14:paraId="585EF0F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(0.006)</w:t>
            </w:r>
          </w:p>
        </w:tc>
        <w:tc>
          <w:tcPr>
            <w:cnfStyle w:val="000100000000" w:firstRow="0" w:lastRow="0" w:firstColumn="0" w:lastColumn="1" w:oddVBand="0" w:evenVBand="0" w:oddHBand="0" w:evenHBand="0" w:firstRowFirstColumn="0" w:firstRowLastColumn="0" w:lastRowFirstColumn="0" w:lastRowLastColumn="0"/>
            <w:tcW w:w="4" w:type="pct"/>
          </w:tcPr>
          <w:p w14:paraId="4D4FEE34" w14:textId="77777777" w:rsidR="00B44672" w:rsidRDefault="00B44672" w:rsidP="000511CA"/>
        </w:tc>
      </w:tr>
      <w:tr w:rsidR="00B44672" w14:paraId="3D6E4A91"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4C7512B7" w14:textId="77777777" w:rsidR="00B44672" w:rsidRDefault="00B44672" w:rsidP="000511CA">
            <w:pPr>
              <w:pStyle w:val="Compact"/>
            </w:pPr>
            <w:r>
              <w:t>- Part time</w:t>
            </w:r>
          </w:p>
        </w:tc>
        <w:tc>
          <w:tcPr>
            <w:tcW w:w="652" w:type="pct"/>
          </w:tcPr>
          <w:p w14:paraId="425BCF5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-0.101***</w:t>
            </w:r>
          </w:p>
        </w:tc>
        <w:tc>
          <w:tcPr>
            <w:tcW w:w="565" w:type="pct"/>
          </w:tcPr>
          <w:p w14:paraId="572E4D2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(0.006)</w:t>
            </w:r>
          </w:p>
        </w:tc>
        <w:tc>
          <w:tcPr>
            <w:cnfStyle w:val="000100000000" w:firstRow="0" w:lastRow="0" w:firstColumn="0" w:lastColumn="1" w:oddVBand="0" w:evenVBand="0" w:oddHBand="0" w:evenHBand="0" w:firstRowFirstColumn="0" w:firstRowLastColumn="0" w:lastRowFirstColumn="0" w:lastRowLastColumn="0"/>
            <w:tcW w:w="4" w:type="pct"/>
          </w:tcPr>
          <w:p w14:paraId="265246AE" w14:textId="77777777" w:rsidR="00B44672" w:rsidRDefault="00B44672" w:rsidP="000511CA"/>
        </w:tc>
      </w:tr>
      <w:tr w:rsidR="00B44672" w14:paraId="3F584CA0"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4B2F6FD9" w14:textId="77777777" w:rsidR="00B44672" w:rsidRDefault="00B44672" w:rsidP="000511CA">
            <w:pPr>
              <w:pStyle w:val="Compact"/>
            </w:pPr>
            <w:r>
              <w:t>Number of dependent children in IU</w:t>
            </w:r>
          </w:p>
        </w:tc>
        <w:tc>
          <w:tcPr>
            <w:tcW w:w="652" w:type="pct"/>
          </w:tcPr>
          <w:p w14:paraId="75E2A32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0.053***</w:t>
            </w:r>
          </w:p>
        </w:tc>
        <w:tc>
          <w:tcPr>
            <w:tcW w:w="565" w:type="pct"/>
          </w:tcPr>
          <w:p w14:paraId="12993E4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(0.002)</w:t>
            </w:r>
          </w:p>
        </w:tc>
        <w:tc>
          <w:tcPr>
            <w:cnfStyle w:val="000100000000" w:firstRow="0" w:lastRow="0" w:firstColumn="0" w:lastColumn="1" w:oddVBand="0" w:evenVBand="0" w:oddHBand="0" w:evenHBand="0" w:firstRowFirstColumn="0" w:firstRowLastColumn="0" w:lastRowFirstColumn="0" w:lastRowLastColumn="0"/>
            <w:tcW w:w="4" w:type="pct"/>
          </w:tcPr>
          <w:p w14:paraId="1BF5CA22" w14:textId="77777777" w:rsidR="00B44672" w:rsidRDefault="00B44672" w:rsidP="000511CA"/>
        </w:tc>
      </w:tr>
      <w:tr w:rsidR="00B44672" w14:paraId="79EB7CF7"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39805A89" w14:textId="77777777" w:rsidR="00B44672" w:rsidRDefault="00B44672" w:rsidP="000511CA">
            <w:pPr>
              <w:pStyle w:val="Compact"/>
            </w:pPr>
            <w:proofErr w:type="gramStart"/>
            <w:r>
              <w:t>Ln(</w:t>
            </w:r>
            <w:proofErr w:type="gramEnd"/>
            <w:r>
              <w:t>Total weekly IU income ($))</w:t>
            </w:r>
          </w:p>
        </w:tc>
        <w:tc>
          <w:tcPr>
            <w:tcW w:w="652" w:type="pct"/>
          </w:tcPr>
          <w:p w14:paraId="0C1E0D6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0.203***</w:t>
            </w:r>
          </w:p>
        </w:tc>
        <w:tc>
          <w:tcPr>
            <w:tcW w:w="565" w:type="pct"/>
          </w:tcPr>
          <w:p w14:paraId="77F4841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(0.002)</w:t>
            </w:r>
          </w:p>
        </w:tc>
        <w:tc>
          <w:tcPr>
            <w:cnfStyle w:val="000100000000" w:firstRow="0" w:lastRow="0" w:firstColumn="0" w:lastColumn="1" w:oddVBand="0" w:evenVBand="0" w:oddHBand="0" w:evenHBand="0" w:firstRowFirstColumn="0" w:firstRowLastColumn="0" w:lastRowFirstColumn="0" w:lastRowLastColumn="0"/>
            <w:tcW w:w="4" w:type="pct"/>
          </w:tcPr>
          <w:p w14:paraId="7A7BC96E" w14:textId="77777777" w:rsidR="00B44672" w:rsidRDefault="00B44672" w:rsidP="000511CA"/>
        </w:tc>
      </w:tr>
      <w:tr w:rsidR="00B44672" w14:paraId="575DA570"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5A26013F" w14:textId="77777777" w:rsidR="00B44672" w:rsidRDefault="00B44672" w:rsidP="000511CA">
            <w:pPr>
              <w:pStyle w:val="Compact"/>
            </w:pPr>
            <w:r>
              <w:t>Number of independent earners in IU</w:t>
            </w:r>
          </w:p>
        </w:tc>
        <w:tc>
          <w:tcPr>
            <w:tcW w:w="652" w:type="pct"/>
          </w:tcPr>
          <w:p w14:paraId="7F0AAEE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0.035***</w:t>
            </w:r>
          </w:p>
        </w:tc>
        <w:tc>
          <w:tcPr>
            <w:tcW w:w="565" w:type="pct"/>
          </w:tcPr>
          <w:p w14:paraId="57E54FD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(0.003)</w:t>
            </w:r>
          </w:p>
        </w:tc>
        <w:tc>
          <w:tcPr>
            <w:cnfStyle w:val="000100000000" w:firstRow="0" w:lastRow="0" w:firstColumn="0" w:lastColumn="1" w:oddVBand="0" w:evenVBand="0" w:oddHBand="0" w:evenHBand="0" w:firstRowFirstColumn="0" w:firstRowLastColumn="0" w:lastRowFirstColumn="0" w:lastRowLastColumn="0"/>
            <w:tcW w:w="4" w:type="pct"/>
          </w:tcPr>
          <w:p w14:paraId="13344592" w14:textId="77777777" w:rsidR="00B44672" w:rsidRDefault="00B44672" w:rsidP="000511CA"/>
        </w:tc>
      </w:tr>
      <w:tr w:rsidR="00B44672" w14:paraId="3FECDD4D"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3EA0AAC1" w14:textId="77777777" w:rsidR="00B44672" w:rsidRDefault="00B44672" w:rsidP="000511CA">
            <w:pPr>
              <w:pStyle w:val="Compact"/>
            </w:pPr>
            <w:r>
              <w:t>First homeowner</w:t>
            </w:r>
          </w:p>
        </w:tc>
        <w:tc>
          <w:tcPr>
            <w:tcW w:w="652" w:type="pct"/>
          </w:tcPr>
          <w:p w14:paraId="34C38BA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-0.067***</w:t>
            </w:r>
          </w:p>
        </w:tc>
        <w:tc>
          <w:tcPr>
            <w:tcW w:w="565" w:type="pct"/>
          </w:tcPr>
          <w:p w14:paraId="4CD046F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(0.005)</w:t>
            </w:r>
          </w:p>
        </w:tc>
        <w:tc>
          <w:tcPr>
            <w:cnfStyle w:val="000100000000" w:firstRow="0" w:lastRow="0" w:firstColumn="0" w:lastColumn="1" w:oddVBand="0" w:evenVBand="0" w:oddHBand="0" w:evenHBand="0" w:firstRowFirstColumn="0" w:firstRowLastColumn="0" w:lastRowFirstColumn="0" w:lastRowLastColumn="0"/>
            <w:tcW w:w="4" w:type="pct"/>
          </w:tcPr>
          <w:p w14:paraId="6D3FB418" w14:textId="77777777" w:rsidR="00B44672" w:rsidRDefault="00B44672" w:rsidP="000511CA"/>
        </w:tc>
      </w:tr>
      <w:tr w:rsidR="00B44672" w14:paraId="17F5F858"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7CF2B20E" w14:textId="77777777" w:rsidR="00B44672" w:rsidRDefault="00B44672" w:rsidP="000511CA">
            <w:pPr>
              <w:pStyle w:val="Compact"/>
            </w:pPr>
            <w:r>
              <w:t>New home</w:t>
            </w:r>
          </w:p>
        </w:tc>
        <w:tc>
          <w:tcPr>
            <w:tcW w:w="652" w:type="pct"/>
          </w:tcPr>
          <w:p w14:paraId="05A5B02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0.036***</w:t>
            </w:r>
          </w:p>
        </w:tc>
        <w:tc>
          <w:tcPr>
            <w:tcW w:w="565" w:type="pct"/>
          </w:tcPr>
          <w:p w14:paraId="4064C08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(0.006)</w:t>
            </w:r>
          </w:p>
        </w:tc>
        <w:tc>
          <w:tcPr>
            <w:cnfStyle w:val="000100000000" w:firstRow="0" w:lastRow="0" w:firstColumn="0" w:lastColumn="1" w:oddVBand="0" w:evenVBand="0" w:oddHBand="0" w:evenHBand="0" w:firstRowFirstColumn="0" w:firstRowLastColumn="0" w:lastRowFirstColumn="0" w:lastRowLastColumn="0"/>
            <w:tcW w:w="4" w:type="pct"/>
          </w:tcPr>
          <w:p w14:paraId="743B09DA" w14:textId="77777777" w:rsidR="00B44672" w:rsidRDefault="00B44672" w:rsidP="000511CA"/>
        </w:tc>
      </w:tr>
      <w:tr w:rsidR="00B44672" w14:paraId="74E2F6E2"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5244FD18" w14:textId="77777777" w:rsidR="00B44672" w:rsidRDefault="00B44672" w:rsidP="000511CA">
            <w:pPr>
              <w:pStyle w:val="Compact"/>
            </w:pPr>
            <w:r>
              <w:t>Constant</w:t>
            </w:r>
          </w:p>
        </w:tc>
        <w:tc>
          <w:tcPr>
            <w:tcW w:w="652" w:type="pct"/>
          </w:tcPr>
          <w:p w14:paraId="3BAE533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11.368***</w:t>
            </w:r>
          </w:p>
        </w:tc>
        <w:tc>
          <w:tcPr>
            <w:tcW w:w="565" w:type="pct"/>
          </w:tcPr>
          <w:p w14:paraId="29BC3CF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(0.016)</w:t>
            </w:r>
          </w:p>
        </w:tc>
        <w:tc>
          <w:tcPr>
            <w:cnfStyle w:val="000100000000" w:firstRow="0" w:lastRow="0" w:firstColumn="0" w:lastColumn="1" w:oddVBand="0" w:evenVBand="0" w:oddHBand="0" w:evenHBand="0" w:firstRowFirstColumn="0" w:firstRowLastColumn="0" w:lastRowFirstColumn="0" w:lastRowLastColumn="0"/>
            <w:tcW w:w="4" w:type="pct"/>
          </w:tcPr>
          <w:p w14:paraId="357C194A" w14:textId="77777777" w:rsidR="00B44672" w:rsidRDefault="00B44672" w:rsidP="000511CA"/>
        </w:tc>
      </w:tr>
      <w:tr w:rsidR="00B44672" w14:paraId="29625DCD"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4226357C" w14:textId="77777777" w:rsidR="00B44672" w:rsidRDefault="00B44672" w:rsidP="000511CA">
            <w:pPr>
              <w:pStyle w:val="Compact"/>
            </w:pPr>
            <w:r>
              <w:t>Sample</w:t>
            </w:r>
          </w:p>
        </w:tc>
        <w:tc>
          <w:tcPr>
            <w:tcW w:w="652" w:type="pct"/>
          </w:tcPr>
          <w:p w14:paraId="4EDEB9C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73,196</w:t>
            </w:r>
          </w:p>
        </w:tc>
        <w:tc>
          <w:tcPr>
            <w:tcW w:w="565" w:type="pct"/>
          </w:tcPr>
          <w:p w14:paraId="5189D811"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 w:type="pct"/>
          </w:tcPr>
          <w:p w14:paraId="3032D6AC" w14:textId="77777777" w:rsidR="00B44672" w:rsidRDefault="00B44672" w:rsidP="000511CA"/>
        </w:tc>
      </w:tr>
      <w:tr w:rsidR="00B44672" w14:paraId="1F53475F"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3780" w:type="pct"/>
          </w:tcPr>
          <w:p w14:paraId="3DB548BB" w14:textId="77777777" w:rsidR="00B44672" w:rsidRDefault="00B44672" w:rsidP="000511CA">
            <w:pPr>
              <w:pStyle w:val="Compact"/>
            </w:pPr>
            <w:r>
              <w:t>F-statistics</w:t>
            </w:r>
          </w:p>
        </w:tc>
        <w:tc>
          <w:tcPr>
            <w:tcW w:w="652" w:type="pct"/>
          </w:tcPr>
          <w:p w14:paraId="6EB3FDC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1468.78***</w:t>
            </w:r>
          </w:p>
        </w:tc>
        <w:tc>
          <w:tcPr>
            <w:tcW w:w="565" w:type="pct"/>
          </w:tcPr>
          <w:p w14:paraId="0A1CB9CE"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 w:type="pct"/>
          </w:tcPr>
          <w:p w14:paraId="0B10D1F4" w14:textId="77777777" w:rsidR="00B44672" w:rsidRDefault="00B44672" w:rsidP="000511CA"/>
        </w:tc>
      </w:tr>
      <w:tr w:rsidR="00B44672" w14:paraId="747A14FD" w14:textId="77777777" w:rsidTr="000511C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0" w:type="pct"/>
          </w:tcPr>
          <w:p w14:paraId="58E5D729" w14:textId="77777777" w:rsidR="00B44672" w:rsidRDefault="00B44672" w:rsidP="000511CA">
            <w:pPr>
              <w:pStyle w:val="Compact"/>
            </w:pPr>
            <w:r>
              <w:t xml:space="preserve">Adjusted </w:t>
            </w:r>
            <m:oMath>
              <m:sSup>
                <m:sSupPr>
                  <m:ctrlPr>
                    <w:rPr>
                      <w:rFonts w:ascii="Cambria Math" w:hAnsi="Cambria Math"/>
                    </w:rPr>
                  </m:ctrlPr>
                </m:sSupPr>
                <m:e>
                  <m:r>
                    <w:rPr>
                      <w:rFonts w:ascii="Cambria Math" w:hAnsi="Cambria Math"/>
                    </w:rPr>
                    <m:t>R</m:t>
                  </m:r>
                </m:e>
                <m:sup>
                  <m:r>
                    <w:rPr>
                      <w:rFonts w:ascii="Cambria Math" w:hAnsi="Cambria Math"/>
                    </w:rPr>
                    <m:t>2</m:t>
                  </m:r>
                </m:sup>
              </m:sSup>
            </m:oMath>
          </w:p>
        </w:tc>
        <w:tc>
          <w:tcPr>
            <w:tcW w:w="652" w:type="pct"/>
          </w:tcPr>
          <w:p w14:paraId="047C1CF6"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0.286</w:t>
            </w:r>
          </w:p>
        </w:tc>
        <w:tc>
          <w:tcPr>
            <w:tcW w:w="565" w:type="pct"/>
          </w:tcPr>
          <w:p w14:paraId="286FAD69" w14:textId="77777777" w:rsidR="00B44672" w:rsidRDefault="00B44672" w:rsidP="000511CA">
            <w:pP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 w:type="pct"/>
          </w:tcPr>
          <w:p w14:paraId="5F5C56C8" w14:textId="77777777" w:rsidR="00B44672" w:rsidRDefault="00B44672" w:rsidP="000511CA"/>
        </w:tc>
      </w:tr>
    </w:tbl>
    <w:p w14:paraId="0A84220D" w14:textId="77777777" w:rsidR="00B44672" w:rsidRDefault="00B44672" w:rsidP="00C83581">
      <w:pPr>
        <w:pStyle w:val="BlockText"/>
      </w:pPr>
      <w:r>
        <w:rPr>
          <w:i/>
        </w:rPr>
        <w:t>Source:</w:t>
      </w:r>
      <w:r>
        <w:t xml:space="preserve"> Our calculations from SIHs 2009-10 and 2011-12.</w:t>
      </w:r>
      <w:r>
        <w:br/>
      </w:r>
      <w:r>
        <w:rPr>
          <w:i/>
        </w:rPr>
        <w:t>Notes:</w:t>
      </w:r>
      <w:r>
        <w:t xml:space="preserve"> (</w:t>
      </w:r>
      <w:proofErr w:type="spellStart"/>
      <w:r>
        <w:t>i</w:t>
      </w:r>
      <w:proofErr w:type="spellEnd"/>
      <w:r>
        <w:t xml:space="preserve">) Only one-income unit households are kept in this sample; (ii) Total income in the SIH 2009-10 is inflated into the 2011-12 value (a growth rate of 8%) using the ABS No. 6302.0 - Average Weekly Earnings (Persons, Total earnings, November 2009 and November 2011); (iii) Dwelling values in the SIH 2009-10 are inflated into the 2011-12 values by a growth rate in the median dutiable value of properties collected from the ACT government’s stamp duty data and the SIHs. Both give consistent growth rates of 8% in house values between 2009-10 and 2011-12; (iv) The ACT population weights are applied; (v) </w:t>
      </w:r>
      <m:oMath>
        <m:sSup>
          <m:sSupPr>
            <m:ctrlPr>
              <w:rPr>
                <w:rFonts w:ascii="Cambria Math" w:hAnsi="Cambria Math"/>
              </w:rPr>
            </m:ctrlPr>
          </m:sSupPr>
          <m:e>
            <m:r>
              <w:rPr>
                <w:rFonts w:ascii="Cambria Math" w:hAnsi="Cambria Math"/>
              </w:rPr>
              <m:t>​</m:t>
            </m:r>
          </m:e>
          <m:sup>
            <m:r>
              <w:rPr>
                <w:rFonts w:ascii="Cambria Math" w:hAnsi="Cambria Math"/>
              </w:rPr>
              <m:t>***</m:t>
            </m:r>
          </m:sup>
        </m:sSup>
        <m:r>
          <w:rPr>
            <w:rFonts w:ascii="Cambria Math" w:hAnsi="Cambria Math"/>
          </w:rPr>
          <m:t>p≤0.01</m:t>
        </m:r>
        <m:sSup>
          <m:sSupPr>
            <m:ctrlPr>
              <w:rPr>
                <w:rFonts w:ascii="Cambria Math" w:hAnsi="Cambria Math"/>
              </w:rPr>
            </m:ctrlPr>
          </m:sSupPr>
          <m:e>
            <m:r>
              <w:rPr>
                <w:rFonts w:ascii="Cambria Math" w:hAnsi="Cambria Math"/>
              </w:rPr>
              <m:t>,</m:t>
            </m:r>
          </m:e>
          <m:sup>
            <m:r>
              <w:rPr>
                <w:rFonts w:ascii="Cambria Math" w:hAnsi="Cambria Math"/>
              </w:rPr>
              <m:t>**</m:t>
            </m:r>
          </m:sup>
        </m:sSup>
        <m:r>
          <w:rPr>
            <w:rFonts w:ascii="Cambria Math" w:hAnsi="Cambria Math"/>
          </w:rPr>
          <m:t>p≤0.05</m:t>
        </m:r>
        <m:sSup>
          <m:sSupPr>
            <m:ctrlPr>
              <w:rPr>
                <w:rFonts w:ascii="Cambria Math" w:hAnsi="Cambria Math"/>
              </w:rPr>
            </m:ctrlPr>
          </m:sSupPr>
          <m:e>
            <m:r>
              <w:rPr>
                <w:rFonts w:ascii="Cambria Math" w:hAnsi="Cambria Math"/>
              </w:rPr>
              <m:t>,</m:t>
            </m:r>
          </m:e>
          <m:sup>
            <m:r>
              <w:rPr>
                <w:rFonts w:ascii="Cambria Math" w:hAnsi="Cambria Math"/>
              </w:rPr>
              <m:t>*</m:t>
            </m:r>
          </m:sup>
        </m:sSup>
        <m:r>
          <w:rPr>
            <w:rFonts w:ascii="Cambria Math" w:hAnsi="Cambria Math"/>
          </w:rPr>
          <m:t>p≤0.10.</m:t>
        </m:r>
      </m:oMath>
    </w:p>
    <w:p w14:paraId="0A1B152F" w14:textId="77777777" w:rsidR="00B44672" w:rsidRDefault="00B44672">
      <w:pPr>
        <w:jc w:val="left"/>
        <w:rPr>
          <w:b/>
          <w:i/>
          <w:color w:val="365F91" w:themeColor="accent1" w:themeShade="BF"/>
        </w:rPr>
      </w:pPr>
      <w:r>
        <w:br w:type="page"/>
      </w:r>
    </w:p>
    <w:p w14:paraId="4C0851FD" w14:textId="77777777" w:rsidR="00B44672" w:rsidRDefault="00B44672" w:rsidP="00C83581">
      <w:pPr>
        <w:pStyle w:val="TableCaption"/>
      </w:pPr>
      <w:r>
        <w:lastRenderedPageBreak/>
        <w:t>Table A6 - Average amount of savings ($) among potential buyers in the ACT, 2011-12</w:t>
      </w:r>
    </w:p>
    <w:tbl>
      <w:tblPr>
        <w:tblStyle w:val="Table"/>
        <w:tblW w:w="5000" w:type="pct"/>
        <w:jc w:val="center"/>
        <w:tblCellMar>
          <w:left w:w="0" w:type="dxa"/>
          <w:right w:w="0" w:type="dxa"/>
        </w:tblCellMar>
        <w:tblLook w:val="07E0" w:firstRow="1" w:lastRow="1" w:firstColumn="1" w:lastColumn="1" w:noHBand="1" w:noVBand="1"/>
        <w:tblCaption w:val="Table A6 - Average amount of savings ($) among potential buyers in the ACT, 2011-12"/>
      </w:tblPr>
      <w:tblGrid>
        <w:gridCol w:w="2779"/>
        <w:gridCol w:w="693"/>
        <w:gridCol w:w="1978"/>
        <w:gridCol w:w="856"/>
        <w:gridCol w:w="2720"/>
      </w:tblGrid>
      <w:tr w:rsidR="00B44672" w14:paraId="60DC110F" w14:textId="77777777" w:rsidTr="000511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pct"/>
            <w:tcBorders>
              <w:bottom w:val="single" w:sz="0" w:space="0" w:color="auto"/>
            </w:tcBorders>
            <w:vAlign w:val="bottom"/>
          </w:tcPr>
          <w:p w14:paraId="763E2D4D" w14:textId="77777777" w:rsidR="00B44672" w:rsidRDefault="00B44672" w:rsidP="000511CA"/>
        </w:tc>
        <w:tc>
          <w:tcPr>
            <w:tcW w:w="384" w:type="pct"/>
            <w:tcBorders>
              <w:bottom w:val="single" w:sz="0" w:space="0" w:color="auto"/>
            </w:tcBorders>
            <w:vAlign w:val="bottom"/>
          </w:tcPr>
          <w:p w14:paraId="4A5CCD5F"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proofErr w:type="spellStart"/>
            <w:r>
              <w:t>Obs</w:t>
            </w:r>
            <w:proofErr w:type="spellEnd"/>
          </w:p>
        </w:tc>
        <w:tc>
          <w:tcPr>
            <w:tcW w:w="1096" w:type="pct"/>
            <w:tcBorders>
              <w:bottom w:val="single" w:sz="0" w:space="0" w:color="auto"/>
            </w:tcBorders>
            <w:vAlign w:val="bottom"/>
          </w:tcPr>
          <w:p w14:paraId="653F8CA7"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Average amount ($)</w:t>
            </w:r>
          </w:p>
        </w:tc>
        <w:tc>
          <w:tcPr>
            <w:tcW w:w="474" w:type="pct"/>
            <w:tcBorders>
              <w:bottom w:val="single" w:sz="0" w:space="0" w:color="auto"/>
            </w:tcBorders>
            <w:vAlign w:val="bottom"/>
          </w:tcPr>
          <w:p w14:paraId="5203C606"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Std. Dev.</w:t>
            </w:r>
          </w:p>
        </w:tc>
        <w:tc>
          <w:tcPr>
            <w:cnfStyle w:val="000100000000" w:firstRow="0" w:lastRow="0" w:firstColumn="0" w:lastColumn="1" w:oddVBand="0" w:evenVBand="0" w:oddHBand="0" w:evenHBand="0" w:firstRowFirstColumn="0" w:firstRowLastColumn="0" w:lastRowFirstColumn="0" w:lastRowLastColumn="0"/>
            <w:tcW w:w="1507" w:type="pct"/>
            <w:tcBorders>
              <w:bottom w:val="single" w:sz="0" w:space="0" w:color="auto"/>
            </w:tcBorders>
            <w:vAlign w:val="bottom"/>
          </w:tcPr>
          <w:p w14:paraId="75D0A879" w14:textId="77777777" w:rsidR="00B44672" w:rsidRDefault="00B44672" w:rsidP="000511CA">
            <w:pPr>
              <w:pStyle w:val="Compact"/>
              <w:jc w:val="center"/>
            </w:pPr>
            <w:r>
              <w:t>% IUs with positive savings</w:t>
            </w:r>
          </w:p>
        </w:tc>
      </w:tr>
      <w:tr w:rsidR="00B44672" w14:paraId="0D52A2EA"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539" w:type="pct"/>
          </w:tcPr>
          <w:p w14:paraId="758743E3" w14:textId="77777777" w:rsidR="00B44672" w:rsidRDefault="00B44672" w:rsidP="000511CA">
            <w:pPr>
              <w:pStyle w:val="Compact"/>
            </w:pPr>
            <w:r>
              <w:t>Low-income homeowner</w:t>
            </w:r>
          </w:p>
        </w:tc>
        <w:tc>
          <w:tcPr>
            <w:tcW w:w="384" w:type="pct"/>
          </w:tcPr>
          <w:p w14:paraId="61445AB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5,082</w:t>
            </w:r>
          </w:p>
        </w:tc>
        <w:tc>
          <w:tcPr>
            <w:tcW w:w="1096" w:type="pct"/>
          </w:tcPr>
          <w:p w14:paraId="165822A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24,826</w:t>
            </w:r>
          </w:p>
        </w:tc>
        <w:tc>
          <w:tcPr>
            <w:tcW w:w="474" w:type="pct"/>
          </w:tcPr>
          <w:p w14:paraId="4E35244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50,802</w:t>
            </w:r>
          </w:p>
        </w:tc>
        <w:tc>
          <w:tcPr>
            <w:cnfStyle w:val="000100000000" w:firstRow="0" w:lastRow="0" w:firstColumn="0" w:lastColumn="1" w:oddVBand="0" w:evenVBand="0" w:oddHBand="0" w:evenHBand="0" w:firstRowFirstColumn="0" w:firstRowLastColumn="0" w:lastRowFirstColumn="0" w:lastRowLastColumn="0"/>
            <w:tcW w:w="1507" w:type="pct"/>
          </w:tcPr>
          <w:p w14:paraId="67BE5F15" w14:textId="77777777" w:rsidR="00B44672" w:rsidRDefault="00B44672" w:rsidP="000511CA">
            <w:pPr>
              <w:pStyle w:val="Compact"/>
              <w:jc w:val="center"/>
            </w:pPr>
            <w:r>
              <w:t>90.63</w:t>
            </w:r>
          </w:p>
        </w:tc>
      </w:tr>
      <w:tr w:rsidR="00B44672" w14:paraId="195448D9"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539" w:type="pct"/>
          </w:tcPr>
          <w:p w14:paraId="3640AF45" w14:textId="77777777" w:rsidR="00B44672" w:rsidRDefault="00B44672" w:rsidP="000511CA">
            <w:pPr>
              <w:pStyle w:val="Compact"/>
            </w:pPr>
            <w:r>
              <w:t>Low-income renter</w:t>
            </w:r>
          </w:p>
        </w:tc>
        <w:tc>
          <w:tcPr>
            <w:tcW w:w="384" w:type="pct"/>
          </w:tcPr>
          <w:p w14:paraId="6A90AFB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55,641</w:t>
            </w:r>
          </w:p>
        </w:tc>
        <w:tc>
          <w:tcPr>
            <w:tcW w:w="1096" w:type="pct"/>
          </w:tcPr>
          <w:p w14:paraId="4BB32FB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8,398</w:t>
            </w:r>
          </w:p>
        </w:tc>
        <w:tc>
          <w:tcPr>
            <w:tcW w:w="474" w:type="pct"/>
          </w:tcPr>
          <w:p w14:paraId="343B617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42,181</w:t>
            </w:r>
          </w:p>
        </w:tc>
        <w:tc>
          <w:tcPr>
            <w:cnfStyle w:val="000100000000" w:firstRow="0" w:lastRow="0" w:firstColumn="0" w:lastColumn="1" w:oddVBand="0" w:evenVBand="0" w:oddHBand="0" w:evenHBand="0" w:firstRowFirstColumn="0" w:firstRowLastColumn="0" w:lastRowFirstColumn="0" w:lastRowLastColumn="0"/>
            <w:tcW w:w="1507" w:type="pct"/>
          </w:tcPr>
          <w:p w14:paraId="65160896" w14:textId="77777777" w:rsidR="00B44672" w:rsidRDefault="00B44672" w:rsidP="000511CA">
            <w:pPr>
              <w:pStyle w:val="Compact"/>
              <w:jc w:val="center"/>
            </w:pPr>
            <w:r>
              <w:t>91.45</w:t>
            </w:r>
          </w:p>
        </w:tc>
      </w:tr>
      <w:tr w:rsidR="00B44672" w14:paraId="74C461D7"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539" w:type="pct"/>
          </w:tcPr>
          <w:p w14:paraId="517B64F4" w14:textId="77777777" w:rsidR="00B44672" w:rsidRDefault="00B44672" w:rsidP="000511CA">
            <w:pPr>
              <w:pStyle w:val="Compact"/>
            </w:pPr>
            <w:r>
              <w:t>Middle-income homeowner</w:t>
            </w:r>
          </w:p>
        </w:tc>
        <w:tc>
          <w:tcPr>
            <w:tcW w:w="384" w:type="pct"/>
          </w:tcPr>
          <w:p w14:paraId="05DCC05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3,185</w:t>
            </w:r>
          </w:p>
        </w:tc>
        <w:tc>
          <w:tcPr>
            <w:tcW w:w="1096" w:type="pct"/>
          </w:tcPr>
          <w:p w14:paraId="00CC232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32,260</w:t>
            </w:r>
          </w:p>
        </w:tc>
        <w:tc>
          <w:tcPr>
            <w:tcW w:w="474" w:type="pct"/>
          </w:tcPr>
          <w:p w14:paraId="326C41B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90,893</w:t>
            </w:r>
          </w:p>
        </w:tc>
        <w:tc>
          <w:tcPr>
            <w:cnfStyle w:val="000100000000" w:firstRow="0" w:lastRow="0" w:firstColumn="0" w:lastColumn="1" w:oddVBand="0" w:evenVBand="0" w:oddHBand="0" w:evenHBand="0" w:firstRowFirstColumn="0" w:firstRowLastColumn="0" w:lastRowFirstColumn="0" w:lastRowLastColumn="0"/>
            <w:tcW w:w="1507" w:type="pct"/>
          </w:tcPr>
          <w:p w14:paraId="7E21E112" w14:textId="77777777" w:rsidR="00B44672" w:rsidRDefault="00B44672" w:rsidP="000511CA">
            <w:pPr>
              <w:pStyle w:val="Compact"/>
              <w:jc w:val="center"/>
            </w:pPr>
            <w:r>
              <w:t>90.64</w:t>
            </w:r>
          </w:p>
        </w:tc>
      </w:tr>
      <w:tr w:rsidR="00B44672" w14:paraId="1ECD0DF9"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539" w:type="pct"/>
          </w:tcPr>
          <w:p w14:paraId="2CEA65B9" w14:textId="77777777" w:rsidR="00B44672" w:rsidRDefault="00B44672" w:rsidP="000511CA">
            <w:pPr>
              <w:pStyle w:val="Compact"/>
            </w:pPr>
            <w:r>
              <w:t>Middle-income renter</w:t>
            </w:r>
          </w:p>
        </w:tc>
        <w:tc>
          <w:tcPr>
            <w:tcW w:w="384" w:type="pct"/>
          </w:tcPr>
          <w:p w14:paraId="374D445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18,470</w:t>
            </w:r>
          </w:p>
        </w:tc>
        <w:tc>
          <w:tcPr>
            <w:tcW w:w="1096" w:type="pct"/>
          </w:tcPr>
          <w:p w14:paraId="2A43D18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20,571</w:t>
            </w:r>
          </w:p>
        </w:tc>
        <w:tc>
          <w:tcPr>
            <w:tcW w:w="474" w:type="pct"/>
          </w:tcPr>
          <w:p w14:paraId="06C97DD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69,998</w:t>
            </w:r>
          </w:p>
        </w:tc>
        <w:tc>
          <w:tcPr>
            <w:cnfStyle w:val="000100000000" w:firstRow="0" w:lastRow="0" w:firstColumn="0" w:lastColumn="1" w:oddVBand="0" w:evenVBand="0" w:oddHBand="0" w:evenHBand="0" w:firstRowFirstColumn="0" w:firstRowLastColumn="0" w:lastRowFirstColumn="0" w:lastRowLastColumn="0"/>
            <w:tcW w:w="1507" w:type="pct"/>
          </w:tcPr>
          <w:p w14:paraId="7AEE30A4" w14:textId="77777777" w:rsidR="00B44672" w:rsidRDefault="00B44672" w:rsidP="000511CA">
            <w:pPr>
              <w:pStyle w:val="Compact"/>
              <w:jc w:val="center"/>
            </w:pPr>
            <w:r>
              <w:t>97.23</w:t>
            </w:r>
          </w:p>
        </w:tc>
      </w:tr>
      <w:tr w:rsidR="00B44672" w14:paraId="433F3EB1"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539" w:type="pct"/>
          </w:tcPr>
          <w:p w14:paraId="3B9DCFD1" w14:textId="77777777" w:rsidR="00B44672" w:rsidRDefault="00B44672" w:rsidP="000511CA">
            <w:pPr>
              <w:pStyle w:val="Compact"/>
            </w:pPr>
            <w:r>
              <w:t>Renter</w:t>
            </w:r>
          </w:p>
        </w:tc>
        <w:tc>
          <w:tcPr>
            <w:tcW w:w="384" w:type="pct"/>
          </w:tcPr>
          <w:p w14:paraId="303A4DE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93,691</w:t>
            </w:r>
          </w:p>
        </w:tc>
        <w:tc>
          <w:tcPr>
            <w:tcW w:w="1096" w:type="pct"/>
          </w:tcPr>
          <w:p w14:paraId="47CB93F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14,740</w:t>
            </w:r>
          </w:p>
        </w:tc>
        <w:tc>
          <w:tcPr>
            <w:tcW w:w="474" w:type="pct"/>
          </w:tcPr>
          <w:p w14:paraId="67F8975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51,805</w:t>
            </w:r>
          </w:p>
        </w:tc>
        <w:tc>
          <w:tcPr>
            <w:cnfStyle w:val="000100000000" w:firstRow="0" w:lastRow="0" w:firstColumn="0" w:lastColumn="1" w:oddVBand="0" w:evenVBand="0" w:oddHBand="0" w:evenHBand="0" w:firstRowFirstColumn="0" w:firstRowLastColumn="0" w:lastRowFirstColumn="0" w:lastRowLastColumn="0"/>
            <w:tcW w:w="1507" w:type="pct"/>
          </w:tcPr>
          <w:p w14:paraId="46D3B7CE" w14:textId="77777777" w:rsidR="00B44672" w:rsidRDefault="00B44672" w:rsidP="000511CA">
            <w:pPr>
              <w:pStyle w:val="Compact"/>
              <w:jc w:val="center"/>
            </w:pPr>
            <w:r>
              <w:t>94.14</w:t>
            </w:r>
          </w:p>
        </w:tc>
      </w:tr>
      <w:tr w:rsidR="00B44672" w14:paraId="78C6FAD8"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539" w:type="pct"/>
          </w:tcPr>
          <w:p w14:paraId="6C54D282" w14:textId="77777777" w:rsidR="00B44672" w:rsidRDefault="00B44672" w:rsidP="000511CA">
            <w:pPr>
              <w:pStyle w:val="Compact"/>
            </w:pPr>
            <w:r>
              <w:t>Pensioner homeowner</w:t>
            </w:r>
          </w:p>
        </w:tc>
        <w:tc>
          <w:tcPr>
            <w:tcW w:w="384" w:type="pct"/>
          </w:tcPr>
          <w:p w14:paraId="0D1CA6A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3,640</w:t>
            </w:r>
          </w:p>
        </w:tc>
        <w:tc>
          <w:tcPr>
            <w:tcW w:w="1096" w:type="pct"/>
          </w:tcPr>
          <w:p w14:paraId="1F3173C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63,591</w:t>
            </w:r>
          </w:p>
        </w:tc>
        <w:tc>
          <w:tcPr>
            <w:tcW w:w="474" w:type="pct"/>
          </w:tcPr>
          <w:p w14:paraId="4733C52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135,625</w:t>
            </w:r>
          </w:p>
        </w:tc>
        <w:tc>
          <w:tcPr>
            <w:cnfStyle w:val="000100000000" w:firstRow="0" w:lastRow="0" w:firstColumn="0" w:lastColumn="1" w:oddVBand="0" w:evenVBand="0" w:oddHBand="0" w:evenHBand="0" w:firstRowFirstColumn="0" w:firstRowLastColumn="0" w:lastRowFirstColumn="0" w:lastRowLastColumn="0"/>
            <w:tcW w:w="1507" w:type="pct"/>
          </w:tcPr>
          <w:p w14:paraId="2820436A" w14:textId="77777777" w:rsidR="00B44672" w:rsidRDefault="00B44672" w:rsidP="000511CA">
            <w:pPr>
              <w:pStyle w:val="Compact"/>
              <w:jc w:val="center"/>
            </w:pPr>
            <w:r>
              <w:t>93.74</w:t>
            </w:r>
          </w:p>
        </w:tc>
      </w:tr>
      <w:tr w:rsidR="00B44672" w14:paraId="5BE57494"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539" w:type="pct"/>
          </w:tcPr>
          <w:p w14:paraId="0492194C" w14:textId="77777777" w:rsidR="00B44672" w:rsidRDefault="00B44672" w:rsidP="000511CA">
            <w:pPr>
              <w:pStyle w:val="Compact"/>
            </w:pPr>
            <w:r>
              <w:t>Pensioner renter</w:t>
            </w:r>
          </w:p>
        </w:tc>
        <w:tc>
          <w:tcPr>
            <w:tcW w:w="384" w:type="pct"/>
          </w:tcPr>
          <w:p w14:paraId="73E1309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7,393</w:t>
            </w:r>
          </w:p>
        </w:tc>
        <w:tc>
          <w:tcPr>
            <w:tcW w:w="1096" w:type="pct"/>
          </w:tcPr>
          <w:p w14:paraId="211191E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50,419</w:t>
            </w:r>
          </w:p>
        </w:tc>
        <w:tc>
          <w:tcPr>
            <w:tcW w:w="474" w:type="pct"/>
          </w:tcPr>
          <w:p w14:paraId="3A1739B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142,941</w:t>
            </w:r>
          </w:p>
        </w:tc>
        <w:tc>
          <w:tcPr>
            <w:cnfStyle w:val="000100000000" w:firstRow="0" w:lastRow="0" w:firstColumn="0" w:lastColumn="1" w:oddVBand="0" w:evenVBand="0" w:oddHBand="0" w:evenHBand="0" w:firstRowFirstColumn="0" w:firstRowLastColumn="0" w:lastRowFirstColumn="0" w:lastRowLastColumn="0"/>
            <w:tcW w:w="1507" w:type="pct"/>
          </w:tcPr>
          <w:p w14:paraId="280ED3F0" w14:textId="77777777" w:rsidR="00B44672" w:rsidRDefault="00B44672" w:rsidP="000511CA">
            <w:pPr>
              <w:pStyle w:val="Compact"/>
              <w:jc w:val="center"/>
            </w:pPr>
            <w:r>
              <w:t>95.10</w:t>
            </w:r>
          </w:p>
        </w:tc>
      </w:tr>
      <w:tr w:rsidR="00B44672" w14:paraId="68A9E9D2"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539" w:type="pct"/>
          </w:tcPr>
          <w:p w14:paraId="0CB63C2B" w14:textId="77777777" w:rsidR="00B44672" w:rsidRDefault="00B44672" w:rsidP="000511CA">
            <w:pPr>
              <w:pStyle w:val="Compact"/>
            </w:pPr>
            <w:r>
              <w:t>Female-headed homeowner</w:t>
            </w:r>
          </w:p>
        </w:tc>
        <w:tc>
          <w:tcPr>
            <w:tcW w:w="384" w:type="pct"/>
          </w:tcPr>
          <w:p w14:paraId="462EEE6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6,083</w:t>
            </w:r>
          </w:p>
        </w:tc>
        <w:tc>
          <w:tcPr>
            <w:tcW w:w="1096" w:type="pct"/>
          </w:tcPr>
          <w:p w14:paraId="117CA26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39,674</w:t>
            </w:r>
          </w:p>
        </w:tc>
        <w:tc>
          <w:tcPr>
            <w:tcW w:w="474" w:type="pct"/>
          </w:tcPr>
          <w:p w14:paraId="756F6A7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98,308</w:t>
            </w:r>
          </w:p>
        </w:tc>
        <w:tc>
          <w:tcPr>
            <w:cnfStyle w:val="000100000000" w:firstRow="0" w:lastRow="0" w:firstColumn="0" w:lastColumn="1" w:oddVBand="0" w:evenVBand="0" w:oddHBand="0" w:evenHBand="0" w:firstRowFirstColumn="0" w:firstRowLastColumn="0" w:lastRowFirstColumn="0" w:lastRowLastColumn="0"/>
            <w:tcW w:w="1507" w:type="pct"/>
          </w:tcPr>
          <w:p w14:paraId="4E5331CA" w14:textId="77777777" w:rsidR="00B44672" w:rsidRDefault="00B44672" w:rsidP="000511CA">
            <w:pPr>
              <w:pStyle w:val="Compact"/>
              <w:jc w:val="center"/>
            </w:pPr>
            <w:r>
              <w:t>92.52</w:t>
            </w:r>
          </w:p>
        </w:tc>
      </w:tr>
      <w:tr w:rsidR="00B44672" w14:paraId="375E64DF" w14:textId="77777777" w:rsidTr="000511C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pct"/>
          </w:tcPr>
          <w:p w14:paraId="597C1C84" w14:textId="77777777" w:rsidR="00B44672" w:rsidRDefault="00B44672" w:rsidP="000511CA">
            <w:pPr>
              <w:pStyle w:val="Compact"/>
            </w:pPr>
            <w:r>
              <w:t>Female-headed renter</w:t>
            </w:r>
          </w:p>
        </w:tc>
        <w:tc>
          <w:tcPr>
            <w:tcW w:w="384" w:type="pct"/>
          </w:tcPr>
          <w:p w14:paraId="095EDE21"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40,188</w:t>
            </w:r>
          </w:p>
        </w:tc>
        <w:tc>
          <w:tcPr>
            <w:tcW w:w="1096" w:type="pct"/>
          </w:tcPr>
          <w:p w14:paraId="177C5A3A"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12,966</w:t>
            </w:r>
          </w:p>
        </w:tc>
        <w:tc>
          <w:tcPr>
            <w:tcW w:w="474" w:type="pct"/>
          </w:tcPr>
          <w:p w14:paraId="189E2C6E"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48,909</w:t>
            </w:r>
          </w:p>
        </w:tc>
        <w:tc>
          <w:tcPr>
            <w:cnfStyle w:val="000100000000" w:firstRow="0" w:lastRow="0" w:firstColumn="0" w:lastColumn="1" w:oddVBand="0" w:evenVBand="0" w:oddHBand="0" w:evenHBand="0" w:firstRowFirstColumn="0" w:firstRowLastColumn="0" w:lastRowFirstColumn="0" w:lastRowLastColumn="0"/>
            <w:tcW w:w="1507" w:type="pct"/>
          </w:tcPr>
          <w:p w14:paraId="071B24C6" w14:textId="77777777" w:rsidR="00B44672" w:rsidRDefault="00B44672" w:rsidP="000511CA">
            <w:pPr>
              <w:pStyle w:val="Compact"/>
              <w:jc w:val="center"/>
            </w:pPr>
            <w:r>
              <w:t>95.06</w:t>
            </w:r>
          </w:p>
        </w:tc>
      </w:tr>
    </w:tbl>
    <w:p w14:paraId="3B50878B" w14:textId="77777777" w:rsidR="00B44672" w:rsidRDefault="00B44672" w:rsidP="00C83581">
      <w:pPr>
        <w:pStyle w:val="BlockText"/>
      </w:pPr>
      <w:r>
        <w:rPr>
          <w:i/>
        </w:rPr>
        <w:t>Source:</w:t>
      </w:r>
      <w:r>
        <w:t xml:space="preserve"> Our calculations from SIHs 2009/10 and 2011/12.</w:t>
      </w:r>
      <w:r>
        <w:br/>
      </w:r>
      <w:r>
        <w:rPr>
          <w:i/>
        </w:rPr>
        <w:t>Notes:</w:t>
      </w:r>
      <w:r>
        <w:t xml:space="preserve"> (</w:t>
      </w:r>
      <w:proofErr w:type="spellStart"/>
      <w:r>
        <w:t>i</w:t>
      </w:r>
      <w:proofErr w:type="spellEnd"/>
      <w:r>
        <w:t xml:space="preserve">) Only renters and homeowners who are assigned as potential buyers are included; (ii) The ACT population weights are applied. </w:t>
      </w:r>
    </w:p>
    <w:p w14:paraId="1B6CB2BE" w14:textId="77777777" w:rsidR="00B44672" w:rsidRDefault="00B44672" w:rsidP="00C83581">
      <w:pPr>
        <w:pStyle w:val="TableCaption"/>
      </w:pPr>
    </w:p>
    <w:p w14:paraId="3411F54C" w14:textId="77777777" w:rsidR="00B44672" w:rsidRDefault="00B44672" w:rsidP="00C83581">
      <w:pPr>
        <w:pStyle w:val="TableCaption"/>
      </w:pPr>
      <w:r>
        <w:t>Table A7 - Lender mortgage insurance premium for the LTV of 0.9</w:t>
      </w:r>
    </w:p>
    <w:tbl>
      <w:tblPr>
        <w:tblStyle w:val="Table"/>
        <w:tblW w:w="5000" w:type="pct"/>
        <w:jc w:val="center"/>
        <w:tblCellMar>
          <w:left w:w="0" w:type="dxa"/>
          <w:right w:w="0" w:type="dxa"/>
        </w:tblCellMar>
        <w:tblLook w:val="07E0" w:firstRow="1" w:lastRow="1" w:firstColumn="1" w:lastColumn="1" w:noHBand="1" w:noVBand="1"/>
        <w:tblCaption w:val="Table A7 - Lender mortgage insurance premium for the LTV of 0.9"/>
      </w:tblPr>
      <w:tblGrid>
        <w:gridCol w:w="4842"/>
        <w:gridCol w:w="4184"/>
      </w:tblGrid>
      <w:tr w:rsidR="00B44672" w14:paraId="611F2F6F" w14:textId="77777777" w:rsidTr="000511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2" w:type="pct"/>
            <w:tcBorders>
              <w:bottom w:val="single" w:sz="0" w:space="0" w:color="auto"/>
            </w:tcBorders>
            <w:vAlign w:val="bottom"/>
          </w:tcPr>
          <w:p w14:paraId="2FFC2905" w14:textId="77777777" w:rsidR="00B44672" w:rsidRDefault="00B44672" w:rsidP="000511CA">
            <w:pPr>
              <w:pStyle w:val="Compact"/>
            </w:pPr>
            <w:r>
              <w:t>Property value ($)</w:t>
            </w:r>
          </w:p>
        </w:tc>
        <w:tc>
          <w:tcPr>
            <w:cnfStyle w:val="000100000000" w:firstRow="0" w:lastRow="0" w:firstColumn="0" w:lastColumn="1" w:oddVBand="0" w:evenVBand="0" w:oddHBand="0" w:evenHBand="0" w:firstRowFirstColumn="0" w:firstRowLastColumn="0" w:lastRowFirstColumn="0" w:lastRowLastColumn="0"/>
            <w:tcW w:w="2318" w:type="pct"/>
            <w:tcBorders>
              <w:bottom w:val="single" w:sz="0" w:space="0" w:color="auto"/>
            </w:tcBorders>
            <w:vAlign w:val="bottom"/>
          </w:tcPr>
          <w:p w14:paraId="77BE786F" w14:textId="77777777" w:rsidR="00B44672" w:rsidRDefault="00B44672" w:rsidP="000511CA">
            <w:pPr>
              <w:pStyle w:val="Compact"/>
              <w:jc w:val="center"/>
            </w:pPr>
            <w:r>
              <w:t>Insurance rate (%)</w:t>
            </w:r>
          </w:p>
        </w:tc>
      </w:tr>
      <w:tr w:rsidR="00B44672" w14:paraId="38EFE41E"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2682" w:type="pct"/>
          </w:tcPr>
          <w:p w14:paraId="046BB1EF" w14:textId="77777777" w:rsidR="00B44672" w:rsidRDefault="00B44672" w:rsidP="000511CA">
            <w:pPr>
              <w:pStyle w:val="Compact"/>
            </w:pPr>
            <w:r>
              <w:t>&lt; 334,000</w:t>
            </w:r>
          </w:p>
        </w:tc>
        <w:tc>
          <w:tcPr>
            <w:cnfStyle w:val="000100000000" w:firstRow="0" w:lastRow="0" w:firstColumn="0" w:lastColumn="1" w:oddVBand="0" w:evenVBand="0" w:oddHBand="0" w:evenHBand="0" w:firstRowFirstColumn="0" w:firstRowLastColumn="0" w:lastRowFirstColumn="0" w:lastRowLastColumn="0"/>
            <w:tcW w:w="2318" w:type="pct"/>
          </w:tcPr>
          <w:p w14:paraId="3295D3EC" w14:textId="77777777" w:rsidR="00B44672" w:rsidRDefault="00B44672" w:rsidP="000511CA">
            <w:pPr>
              <w:pStyle w:val="Compact"/>
              <w:jc w:val="center"/>
            </w:pPr>
            <w:r>
              <w:t>1.224</w:t>
            </w:r>
          </w:p>
        </w:tc>
      </w:tr>
      <w:tr w:rsidR="00B44672" w14:paraId="23F79B7A"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2682" w:type="pct"/>
          </w:tcPr>
          <w:p w14:paraId="660F3581" w14:textId="77777777" w:rsidR="00B44672" w:rsidRDefault="00B44672" w:rsidP="000511CA">
            <w:pPr>
              <w:pStyle w:val="Compact"/>
            </w:pPr>
            <w:r>
              <w:t>334,000 -555,000</w:t>
            </w:r>
          </w:p>
        </w:tc>
        <w:tc>
          <w:tcPr>
            <w:cnfStyle w:val="000100000000" w:firstRow="0" w:lastRow="0" w:firstColumn="0" w:lastColumn="1" w:oddVBand="0" w:evenVBand="0" w:oddHBand="0" w:evenHBand="0" w:firstRowFirstColumn="0" w:firstRowLastColumn="0" w:lastRowFirstColumn="0" w:lastRowLastColumn="0"/>
            <w:tcW w:w="2318" w:type="pct"/>
          </w:tcPr>
          <w:p w14:paraId="70847133" w14:textId="77777777" w:rsidR="00B44672" w:rsidRDefault="00B44672" w:rsidP="000511CA">
            <w:pPr>
              <w:pStyle w:val="Compact"/>
              <w:jc w:val="center"/>
            </w:pPr>
            <w:r>
              <w:t>1.584</w:t>
            </w:r>
          </w:p>
        </w:tc>
      </w:tr>
      <w:tr w:rsidR="00B44672" w14:paraId="570293F6"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2682" w:type="pct"/>
          </w:tcPr>
          <w:p w14:paraId="6D146B2A" w14:textId="77777777" w:rsidR="00B44672" w:rsidRDefault="00B44672" w:rsidP="000511CA">
            <w:pPr>
              <w:pStyle w:val="Compact"/>
            </w:pPr>
            <w:r>
              <w:t>556,000 - 1,114,000</w:t>
            </w:r>
          </w:p>
        </w:tc>
        <w:tc>
          <w:tcPr>
            <w:cnfStyle w:val="000100000000" w:firstRow="0" w:lastRow="0" w:firstColumn="0" w:lastColumn="1" w:oddVBand="0" w:evenVBand="0" w:oddHBand="0" w:evenHBand="0" w:firstRowFirstColumn="0" w:firstRowLastColumn="0" w:lastRowFirstColumn="0" w:lastRowLastColumn="0"/>
            <w:tcW w:w="2318" w:type="pct"/>
          </w:tcPr>
          <w:p w14:paraId="43600DEA" w14:textId="77777777" w:rsidR="00B44672" w:rsidRDefault="00B44672" w:rsidP="000511CA">
            <w:pPr>
              <w:pStyle w:val="Compact"/>
              <w:jc w:val="center"/>
            </w:pPr>
            <w:r>
              <w:t>2.007</w:t>
            </w:r>
          </w:p>
        </w:tc>
      </w:tr>
      <w:tr w:rsidR="00B44672" w14:paraId="15E48BDB"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2682" w:type="pct"/>
          </w:tcPr>
          <w:p w14:paraId="18F328EC" w14:textId="77777777" w:rsidR="00B44672" w:rsidRDefault="00B44672" w:rsidP="000511CA">
            <w:pPr>
              <w:pStyle w:val="Compact"/>
            </w:pPr>
            <w:r>
              <w:t>1,115,000 - 1,666,000</w:t>
            </w:r>
          </w:p>
        </w:tc>
        <w:tc>
          <w:tcPr>
            <w:cnfStyle w:val="000100000000" w:firstRow="0" w:lastRow="0" w:firstColumn="0" w:lastColumn="1" w:oddVBand="0" w:evenVBand="0" w:oddHBand="0" w:evenHBand="0" w:firstRowFirstColumn="0" w:firstRowLastColumn="0" w:lastRowFirstColumn="0" w:lastRowLastColumn="0"/>
            <w:tcW w:w="2318" w:type="pct"/>
          </w:tcPr>
          <w:p w14:paraId="4375B66F" w14:textId="77777777" w:rsidR="00B44672" w:rsidRDefault="00B44672" w:rsidP="000511CA">
            <w:pPr>
              <w:pStyle w:val="Compact"/>
              <w:jc w:val="center"/>
            </w:pPr>
            <w:r>
              <w:t>2.232</w:t>
            </w:r>
          </w:p>
        </w:tc>
      </w:tr>
      <w:tr w:rsidR="00B44672" w14:paraId="6EC337D7"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2682" w:type="pct"/>
          </w:tcPr>
          <w:p w14:paraId="7BD607A1" w14:textId="77777777" w:rsidR="00B44672" w:rsidRDefault="00B44672" w:rsidP="000511CA">
            <w:pPr>
              <w:pStyle w:val="Compact"/>
            </w:pPr>
            <w:r>
              <w:t>1,667,000 - 2,222,000</w:t>
            </w:r>
          </w:p>
        </w:tc>
        <w:tc>
          <w:tcPr>
            <w:cnfStyle w:val="000100000000" w:firstRow="0" w:lastRow="0" w:firstColumn="0" w:lastColumn="1" w:oddVBand="0" w:evenVBand="0" w:oddHBand="0" w:evenHBand="0" w:firstRowFirstColumn="0" w:firstRowLastColumn="0" w:lastRowFirstColumn="0" w:lastRowLastColumn="0"/>
            <w:tcW w:w="2318" w:type="pct"/>
          </w:tcPr>
          <w:p w14:paraId="5CEF98BB" w14:textId="77777777" w:rsidR="00B44672" w:rsidRDefault="00B44672" w:rsidP="000511CA">
            <w:pPr>
              <w:pStyle w:val="Compact"/>
              <w:jc w:val="center"/>
            </w:pPr>
            <w:r>
              <w:t>2.331</w:t>
            </w:r>
          </w:p>
        </w:tc>
      </w:tr>
      <w:tr w:rsidR="00B44672" w14:paraId="4E5D38FE" w14:textId="77777777" w:rsidTr="000511C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2" w:type="pct"/>
          </w:tcPr>
          <w:p w14:paraId="52422140" w14:textId="77777777" w:rsidR="00B44672" w:rsidRDefault="00B44672" w:rsidP="000511CA">
            <w:pPr>
              <w:pStyle w:val="Compact"/>
            </w:pPr>
            <m:oMath>
              <m:r>
                <w:rPr>
                  <w:rFonts w:ascii="Cambria Math" w:hAnsi="Cambria Math"/>
                </w:rPr>
                <m:t>≥</m:t>
              </m:r>
            </m:oMath>
            <w:r>
              <w:t xml:space="preserve"> 2,223,000</w:t>
            </w:r>
          </w:p>
        </w:tc>
        <w:tc>
          <w:tcPr>
            <w:cnfStyle w:val="000100000000" w:firstRow="0" w:lastRow="0" w:firstColumn="0" w:lastColumn="1" w:oddVBand="0" w:evenVBand="0" w:oddHBand="0" w:evenHBand="0" w:firstRowFirstColumn="0" w:firstRowLastColumn="0" w:lastRowFirstColumn="0" w:lastRowLastColumn="0"/>
            <w:tcW w:w="2318" w:type="pct"/>
          </w:tcPr>
          <w:p w14:paraId="4E026EB0" w14:textId="77777777" w:rsidR="00B44672" w:rsidRDefault="00B44672" w:rsidP="000511CA">
            <w:pPr>
              <w:pStyle w:val="Compact"/>
              <w:jc w:val="center"/>
            </w:pPr>
            <w:r>
              <w:t>2.457</w:t>
            </w:r>
          </w:p>
        </w:tc>
      </w:tr>
    </w:tbl>
    <w:p w14:paraId="6960470E" w14:textId="77777777" w:rsidR="00B44672" w:rsidRDefault="00B44672" w:rsidP="00C83581">
      <w:pPr>
        <w:pStyle w:val="BlockText"/>
      </w:pPr>
      <w:r>
        <w:rPr>
          <w:i/>
        </w:rPr>
        <w:t>Source:</w:t>
      </w:r>
      <w:r>
        <w:t xml:space="preserve"> Our calculation from </w:t>
      </w:r>
      <w:hyperlink r:id="rId15">
        <w:r>
          <w:rPr>
            <w:rStyle w:val="Hyperlink"/>
          </w:rPr>
          <w:t>yourmortgage.com.au/calculators/</w:t>
        </w:r>
        <w:proofErr w:type="spellStart"/>
        <w:r>
          <w:rPr>
            <w:rStyle w:val="Hyperlink"/>
          </w:rPr>
          <w:t>mortgage_insurance</w:t>
        </w:r>
        <w:proofErr w:type="spellEnd"/>
      </w:hyperlink>
      <w:r>
        <w:t>.</w:t>
      </w:r>
      <w:r>
        <w:br/>
      </w:r>
      <w:r>
        <w:rPr>
          <w:i/>
        </w:rPr>
        <w:t>Notes:</w:t>
      </w:r>
      <w:r>
        <w:t xml:space="preserve"> The current loan thresholds and ratios are collected for the financial year of 2019-20. We assume that there is no change in these criteria between 2012 and 2018. </w:t>
      </w:r>
    </w:p>
    <w:p w14:paraId="2D92DBAC" w14:textId="77777777" w:rsidR="00B44672" w:rsidRDefault="00B44672">
      <w:pPr>
        <w:jc w:val="left"/>
        <w:rPr>
          <w:b/>
          <w:i/>
          <w:color w:val="365F91" w:themeColor="accent1" w:themeShade="BF"/>
        </w:rPr>
      </w:pPr>
      <w:r>
        <w:br w:type="page"/>
      </w:r>
    </w:p>
    <w:p w14:paraId="76022B6D" w14:textId="77777777" w:rsidR="00B44672" w:rsidRDefault="00B44672" w:rsidP="00C83581">
      <w:pPr>
        <w:pStyle w:val="TableCaption"/>
      </w:pPr>
      <w:r>
        <w:lastRenderedPageBreak/>
        <w:t>Table A8 - Price indexes in the ACT, 2011-2018</w:t>
      </w:r>
    </w:p>
    <w:tbl>
      <w:tblPr>
        <w:tblStyle w:val="Table"/>
        <w:tblW w:w="5000" w:type="pct"/>
        <w:jc w:val="center"/>
        <w:tblCellMar>
          <w:left w:w="0" w:type="dxa"/>
          <w:right w:w="0" w:type="dxa"/>
        </w:tblCellMar>
        <w:tblLook w:val="07E0" w:firstRow="1" w:lastRow="1" w:firstColumn="1" w:lastColumn="1" w:noHBand="1" w:noVBand="1"/>
        <w:tblCaption w:val="Table A8 - Weekly rental income and price indexes in the ACT, 2011-2018"/>
      </w:tblPr>
      <w:tblGrid>
        <w:gridCol w:w="891"/>
        <w:gridCol w:w="2170"/>
        <w:gridCol w:w="1809"/>
        <w:gridCol w:w="2168"/>
        <w:gridCol w:w="1988"/>
      </w:tblGrid>
      <w:tr w:rsidR="00B44672" w14:paraId="3FA6BE0F" w14:textId="77777777" w:rsidTr="00711B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4" w:type="pct"/>
            <w:tcBorders>
              <w:bottom w:val="single" w:sz="0" w:space="0" w:color="auto"/>
            </w:tcBorders>
            <w:vAlign w:val="bottom"/>
          </w:tcPr>
          <w:p w14:paraId="4C48DB8C" w14:textId="77777777" w:rsidR="00B44672" w:rsidRDefault="00B44672" w:rsidP="000511CA"/>
        </w:tc>
        <w:tc>
          <w:tcPr>
            <w:tcW w:w="1202" w:type="pct"/>
            <w:tcBorders>
              <w:bottom w:val="single" w:sz="0" w:space="0" w:color="auto"/>
            </w:tcBorders>
            <w:vAlign w:val="bottom"/>
          </w:tcPr>
          <w:p w14:paraId="221B79E1"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Residential Property price index (RPPI)</w:t>
            </w:r>
          </w:p>
        </w:tc>
        <w:tc>
          <w:tcPr>
            <w:tcW w:w="1002" w:type="pct"/>
            <w:tcBorders>
              <w:bottom w:val="single" w:sz="0" w:space="0" w:color="auto"/>
            </w:tcBorders>
            <w:vAlign w:val="bottom"/>
          </w:tcPr>
          <w:p w14:paraId="131F756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Wage price index (WPI)</w:t>
            </w:r>
          </w:p>
        </w:tc>
        <w:tc>
          <w:tcPr>
            <w:tcW w:w="1201" w:type="pct"/>
            <w:tcBorders>
              <w:bottom w:val="single" w:sz="0" w:space="0" w:color="auto"/>
            </w:tcBorders>
            <w:vAlign w:val="bottom"/>
          </w:tcPr>
          <w:p w14:paraId="38E86B0E"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Average weekly earnings (AWE)</w:t>
            </w:r>
          </w:p>
        </w:tc>
        <w:tc>
          <w:tcPr>
            <w:cnfStyle w:val="000100000000" w:firstRow="0" w:lastRow="0" w:firstColumn="0" w:lastColumn="1" w:oddVBand="0" w:evenVBand="0" w:oddHBand="0" w:evenHBand="0" w:firstRowFirstColumn="0" w:firstRowLastColumn="0" w:lastRowFirstColumn="0" w:lastRowLastColumn="0"/>
            <w:tcW w:w="1102" w:type="pct"/>
            <w:tcBorders>
              <w:bottom w:val="single" w:sz="0" w:space="0" w:color="auto"/>
            </w:tcBorders>
            <w:vAlign w:val="bottom"/>
          </w:tcPr>
          <w:p w14:paraId="475FC21D" w14:textId="77777777" w:rsidR="00B44672" w:rsidRDefault="00B44672" w:rsidP="000511CA">
            <w:pPr>
              <w:pStyle w:val="Compact"/>
              <w:jc w:val="center"/>
            </w:pPr>
            <w:r>
              <w:t>Consumer price index (CPI)</w:t>
            </w:r>
          </w:p>
        </w:tc>
      </w:tr>
      <w:tr w:rsidR="00B44672" w14:paraId="592D1E7D" w14:textId="77777777" w:rsidTr="00711B29">
        <w:trPr>
          <w:jc w:val="center"/>
        </w:trPr>
        <w:tc>
          <w:tcPr>
            <w:cnfStyle w:val="001000000000" w:firstRow="0" w:lastRow="0" w:firstColumn="1" w:lastColumn="0" w:oddVBand="0" w:evenVBand="0" w:oddHBand="0" w:evenHBand="0" w:firstRowFirstColumn="0" w:firstRowLastColumn="0" w:lastRowFirstColumn="0" w:lastRowLastColumn="0"/>
            <w:tcW w:w="494" w:type="pct"/>
          </w:tcPr>
          <w:p w14:paraId="7AD61206" w14:textId="77777777" w:rsidR="00B44672" w:rsidRDefault="00B44672" w:rsidP="000511CA">
            <w:pPr>
              <w:pStyle w:val="Compact"/>
            </w:pPr>
            <w:r>
              <w:t>2011-12</w:t>
            </w:r>
          </w:p>
        </w:tc>
        <w:tc>
          <w:tcPr>
            <w:tcW w:w="1202" w:type="pct"/>
          </w:tcPr>
          <w:p w14:paraId="017E627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1.000</w:t>
            </w:r>
          </w:p>
        </w:tc>
        <w:tc>
          <w:tcPr>
            <w:tcW w:w="1002" w:type="pct"/>
          </w:tcPr>
          <w:p w14:paraId="6893896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0.556</w:t>
            </w:r>
          </w:p>
        </w:tc>
        <w:tc>
          <w:tcPr>
            <w:tcW w:w="1201" w:type="pct"/>
          </w:tcPr>
          <w:p w14:paraId="7F0B140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1.000</w:t>
            </w:r>
          </w:p>
        </w:tc>
        <w:tc>
          <w:tcPr>
            <w:cnfStyle w:val="000100000000" w:firstRow="0" w:lastRow="0" w:firstColumn="0" w:lastColumn="1" w:oddVBand="0" w:evenVBand="0" w:oddHBand="0" w:evenHBand="0" w:firstRowFirstColumn="0" w:firstRowLastColumn="0" w:lastRowFirstColumn="0" w:lastRowLastColumn="0"/>
            <w:tcW w:w="1102" w:type="pct"/>
          </w:tcPr>
          <w:p w14:paraId="670C2D27" w14:textId="77777777" w:rsidR="00B44672" w:rsidRDefault="00B44672" w:rsidP="000511CA">
            <w:pPr>
              <w:pStyle w:val="Compact"/>
              <w:jc w:val="center"/>
            </w:pPr>
            <w:r>
              <w:t>1.000</w:t>
            </w:r>
          </w:p>
        </w:tc>
      </w:tr>
      <w:tr w:rsidR="00B44672" w14:paraId="4B47E399" w14:textId="77777777" w:rsidTr="00711B29">
        <w:trPr>
          <w:jc w:val="center"/>
        </w:trPr>
        <w:tc>
          <w:tcPr>
            <w:cnfStyle w:val="001000000000" w:firstRow="0" w:lastRow="0" w:firstColumn="1" w:lastColumn="0" w:oddVBand="0" w:evenVBand="0" w:oddHBand="0" w:evenHBand="0" w:firstRowFirstColumn="0" w:firstRowLastColumn="0" w:lastRowFirstColumn="0" w:lastRowLastColumn="0"/>
            <w:tcW w:w="494" w:type="pct"/>
          </w:tcPr>
          <w:p w14:paraId="32F77BC6" w14:textId="77777777" w:rsidR="00B44672" w:rsidRDefault="00B44672" w:rsidP="000511CA">
            <w:pPr>
              <w:pStyle w:val="Compact"/>
            </w:pPr>
            <w:r>
              <w:t>2012-13</w:t>
            </w:r>
          </w:p>
        </w:tc>
        <w:tc>
          <w:tcPr>
            <w:tcW w:w="1202" w:type="pct"/>
          </w:tcPr>
          <w:p w14:paraId="5B54370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1.009</w:t>
            </w:r>
          </w:p>
        </w:tc>
        <w:tc>
          <w:tcPr>
            <w:tcW w:w="1002" w:type="pct"/>
          </w:tcPr>
          <w:p w14:paraId="48CF775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0.565</w:t>
            </w:r>
          </w:p>
        </w:tc>
        <w:tc>
          <w:tcPr>
            <w:tcW w:w="1201" w:type="pct"/>
          </w:tcPr>
          <w:p w14:paraId="5A22D54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1.043</w:t>
            </w:r>
          </w:p>
        </w:tc>
        <w:tc>
          <w:tcPr>
            <w:cnfStyle w:val="000100000000" w:firstRow="0" w:lastRow="0" w:firstColumn="0" w:lastColumn="1" w:oddVBand="0" w:evenVBand="0" w:oddHBand="0" w:evenHBand="0" w:firstRowFirstColumn="0" w:firstRowLastColumn="0" w:lastRowFirstColumn="0" w:lastRowLastColumn="0"/>
            <w:tcW w:w="1102" w:type="pct"/>
          </w:tcPr>
          <w:p w14:paraId="055C9189" w14:textId="77777777" w:rsidR="00B44672" w:rsidRDefault="00B44672" w:rsidP="000511CA">
            <w:pPr>
              <w:pStyle w:val="Compact"/>
              <w:jc w:val="center"/>
            </w:pPr>
            <w:r>
              <w:t>1.046</w:t>
            </w:r>
          </w:p>
        </w:tc>
      </w:tr>
      <w:tr w:rsidR="00B44672" w14:paraId="00405CD3" w14:textId="77777777" w:rsidTr="00711B29">
        <w:trPr>
          <w:jc w:val="center"/>
        </w:trPr>
        <w:tc>
          <w:tcPr>
            <w:cnfStyle w:val="001000000000" w:firstRow="0" w:lastRow="0" w:firstColumn="1" w:lastColumn="0" w:oddVBand="0" w:evenVBand="0" w:oddHBand="0" w:evenHBand="0" w:firstRowFirstColumn="0" w:firstRowLastColumn="0" w:lastRowFirstColumn="0" w:lastRowLastColumn="0"/>
            <w:tcW w:w="494" w:type="pct"/>
          </w:tcPr>
          <w:p w14:paraId="1FF35294" w14:textId="77777777" w:rsidR="00B44672" w:rsidRDefault="00B44672" w:rsidP="000511CA">
            <w:pPr>
              <w:pStyle w:val="Compact"/>
            </w:pPr>
            <w:r>
              <w:t>2013-14</w:t>
            </w:r>
          </w:p>
        </w:tc>
        <w:tc>
          <w:tcPr>
            <w:tcW w:w="1202" w:type="pct"/>
          </w:tcPr>
          <w:p w14:paraId="54B3C41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1.009</w:t>
            </w:r>
          </w:p>
        </w:tc>
        <w:tc>
          <w:tcPr>
            <w:tcW w:w="1002" w:type="pct"/>
          </w:tcPr>
          <w:p w14:paraId="0F77904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0.561</w:t>
            </w:r>
          </w:p>
        </w:tc>
        <w:tc>
          <w:tcPr>
            <w:tcW w:w="1201" w:type="pct"/>
          </w:tcPr>
          <w:p w14:paraId="78E61A4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1.067</w:t>
            </w:r>
          </w:p>
        </w:tc>
        <w:tc>
          <w:tcPr>
            <w:cnfStyle w:val="000100000000" w:firstRow="0" w:lastRow="0" w:firstColumn="0" w:lastColumn="1" w:oddVBand="0" w:evenVBand="0" w:oddHBand="0" w:evenHBand="0" w:firstRowFirstColumn="0" w:firstRowLastColumn="0" w:lastRowFirstColumn="0" w:lastRowLastColumn="0"/>
            <w:tcW w:w="1102" w:type="pct"/>
          </w:tcPr>
          <w:p w14:paraId="2E8A0722" w14:textId="77777777" w:rsidR="00B44672" w:rsidRDefault="00B44672" w:rsidP="000511CA">
            <w:pPr>
              <w:pStyle w:val="Compact"/>
              <w:jc w:val="center"/>
            </w:pPr>
            <w:r>
              <w:t>1.078</w:t>
            </w:r>
          </w:p>
        </w:tc>
      </w:tr>
      <w:tr w:rsidR="00B44672" w14:paraId="7483F662" w14:textId="77777777" w:rsidTr="00711B29">
        <w:trPr>
          <w:jc w:val="center"/>
        </w:trPr>
        <w:tc>
          <w:tcPr>
            <w:cnfStyle w:val="001000000000" w:firstRow="0" w:lastRow="0" w:firstColumn="1" w:lastColumn="0" w:oddVBand="0" w:evenVBand="0" w:oddHBand="0" w:evenHBand="0" w:firstRowFirstColumn="0" w:firstRowLastColumn="0" w:lastRowFirstColumn="0" w:lastRowLastColumn="0"/>
            <w:tcW w:w="494" w:type="pct"/>
          </w:tcPr>
          <w:p w14:paraId="4035CA57" w14:textId="77777777" w:rsidR="00B44672" w:rsidRDefault="00B44672" w:rsidP="000511CA">
            <w:pPr>
              <w:pStyle w:val="Compact"/>
            </w:pPr>
            <w:r>
              <w:t>2014-15</w:t>
            </w:r>
          </w:p>
        </w:tc>
        <w:tc>
          <w:tcPr>
            <w:tcW w:w="1202" w:type="pct"/>
          </w:tcPr>
          <w:p w14:paraId="6AA0549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1.034</w:t>
            </w:r>
          </w:p>
        </w:tc>
        <w:tc>
          <w:tcPr>
            <w:tcW w:w="1002" w:type="pct"/>
          </w:tcPr>
          <w:p w14:paraId="23D9AC5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0.541</w:t>
            </w:r>
          </w:p>
        </w:tc>
        <w:tc>
          <w:tcPr>
            <w:tcW w:w="1201" w:type="pct"/>
          </w:tcPr>
          <w:p w14:paraId="70B5B27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1.085</w:t>
            </w:r>
          </w:p>
        </w:tc>
        <w:tc>
          <w:tcPr>
            <w:cnfStyle w:val="000100000000" w:firstRow="0" w:lastRow="0" w:firstColumn="0" w:lastColumn="1" w:oddVBand="0" w:evenVBand="0" w:oddHBand="0" w:evenHBand="0" w:firstRowFirstColumn="0" w:firstRowLastColumn="0" w:lastRowFirstColumn="0" w:lastRowLastColumn="0"/>
            <w:tcW w:w="1102" w:type="pct"/>
          </w:tcPr>
          <w:p w14:paraId="058C5ACC" w14:textId="77777777" w:rsidR="00B44672" w:rsidRDefault="00B44672" w:rsidP="000511CA">
            <w:pPr>
              <w:pStyle w:val="Compact"/>
              <w:jc w:val="center"/>
            </w:pPr>
            <w:r>
              <w:t>1.092</w:t>
            </w:r>
          </w:p>
        </w:tc>
      </w:tr>
      <w:tr w:rsidR="00B44672" w14:paraId="4E363A75" w14:textId="77777777" w:rsidTr="00711B29">
        <w:trPr>
          <w:jc w:val="center"/>
        </w:trPr>
        <w:tc>
          <w:tcPr>
            <w:cnfStyle w:val="001000000000" w:firstRow="0" w:lastRow="0" w:firstColumn="1" w:lastColumn="0" w:oddVBand="0" w:evenVBand="0" w:oddHBand="0" w:evenHBand="0" w:firstRowFirstColumn="0" w:firstRowLastColumn="0" w:lastRowFirstColumn="0" w:lastRowLastColumn="0"/>
            <w:tcW w:w="494" w:type="pct"/>
          </w:tcPr>
          <w:p w14:paraId="0590093D" w14:textId="77777777" w:rsidR="00B44672" w:rsidRDefault="00B44672" w:rsidP="000511CA">
            <w:pPr>
              <w:pStyle w:val="Compact"/>
            </w:pPr>
            <w:r>
              <w:t>2015-16</w:t>
            </w:r>
          </w:p>
        </w:tc>
        <w:tc>
          <w:tcPr>
            <w:tcW w:w="1202" w:type="pct"/>
          </w:tcPr>
          <w:p w14:paraId="01BF118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1.096</w:t>
            </w:r>
          </w:p>
        </w:tc>
        <w:tc>
          <w:tcPr>
            <w:tcW w:w="1002" w:type="pct"/>
          </w:tcPr>
          <w:p w14:paraId="1A10FE0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0.510</w:t>
            </w:r>
          </w:p>
        </w:tc>
        <w:tc>
          <w:tcPr>
            <w:tcW w:w="1201" w:type="pct"/>
          </w:tcPr>
          <w:p w14:paraId="18EE280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1.103</w:t>
            </w:r>
          </w:p>
        </w:tc>
        <w:tc>
          <w:tcPr>
            <w:cnfStyle w:val="000100000000" w:firstRow="0" w:lastRow="0" w:firstColumn="0" w:lastColumn="1" w:oddVBand="0" w:evenVBand="0" w:oddHBand="0" w:evenHBand="0" w:firstRowFirstColumn="0" w:firstRowLastColumn="0" w:lastRowFirstColumn="0" w:lastRowLastColumn="0"/>
            <w:tcW w:w="1102" w:type="pct"/>
          </w:tcPr>
          <w:p w14:paraId="0382DBC8" w14:textId="77777777" w:rsidR="00B44672" w:rsidRDefault="00B44672" w:rsidP="000511CA">
            <w:pPr>
              <w:pStyle w:val="Compact"/>
              <w:jc w:val="center"/>
            </w:pPr>
            <w:r>
              <w:t>1.108</w:t>
            </w:r>
          </w:p>
        </w:tc>
      </w:tr>
      <w:tr w:rsidR="00B44672" w14:paraId="5C1F6CEA" w14:textId="77777777" w:rsidTr="00711B29">
        <w:trPr>
          <w:jc w:val="center"/>
        </w:trPr>
        <w:tc>
          <w:tcPr>
            <w:cnfStyle w:val="001000000000" w:firstRow="0" w:lastRow="0" w:firstColumn="1" w:lastColumn="0" w:oddVBand="0" w:evenVBand="0" w:oddHBand="0" w:evenHBand="0" w:firstRowFirstColumn="0" w:firstRowLastColumn="0" w:lastRowFirstColumn="0" w:lastRowLastColumn="0"/>
            <w:tcW w:w="494" w:type="pct"/>
          </w:tcPr>
          <w:p w14:paraId="116D7A31" w14:textId="77777777" w:rsidR="00B44672" w:rsidRDefault="00B44672" w:rsidP="000511CA">
            <w:pPr>
              <w:pStyle w:val="Compact"/>
            </w:pPr>
            <w:r>
              <w:t>2016-17</w:t>
            </w:r>
          </w:p>
        </w:tc>
        <w:tc>
          <w:tcPr>
            <w:tcW w:w="1202" w:type="pct"/>
          </w:tcPr>
          <w:p w14:paraId="2FF55B8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1.157</w:t>
            </w:r>
          </w:p>
        </w:tc>
        <w:tc>
          <w:tcPr>
            <w:tcW w:w="1002" w:type="pct"/>
          </w:tcPr>
          <w:p w14:paraId="72C6217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0.493</w:t>
            </w:r>
          </w:p>
        </w:tc>
        <w:tc>
          <w:tcPr>
            <w:tcW w:w="1201" w:type="pct"/>
          </w:tcPr>
          <w:p w14:paraId="35FDB12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1.124</w:t>
            </w:r>
          </w:p>
        </w:tc>
        <w:tc>
          <w:tcPr>
            <w:cnfStyle w:val="000100000000" w:firstRow="0" w:lastRow="0" w:firstColumn="0" w:lastColumn="1" w:oddVBand="0" w:evenVBand="0" w:oddHBand="0" w:evenHBand="0" w:firstRowFirstColumn="0" w:firstRowLastColumn="0" w:lastRowFirstColumn="0" w:lastRowLastColumn="0"/>
            <w:tcW w:w="1102" w:type="pct"/>
          </w:tcPr>
          <w:p w14:paraId="60815179" w14:textId="77777777" w:rsidR="00B44672" w:rsidRDefault="00B44672" w:rsidP="000511CA">
            <w:pPr>
              <w:pStyle w:val="Compact"/>
              <w:jc w:val="center"/>
            </w:pPr>
            <w:r>
              <w:t>1.126</w:t>
            </w:r>
          </w:p>
        </w:tc>
      </w:tr>
      <w:tr w:rsidR="00B44672" w14:paraId="237B4CAA" w14:textId="77777777" w:rsidTr="00711B29">
        <w:trPr>
          <w:jc w:val="center"/>
        </w:trPr>
        <w:tc>
          <w:tcPr>
            <w:cnfStyle w:val="001000000000" w:firstRow="0" w:lastRow="0" w:firstColumn="1" w:lastColumn="0" w:oddVBand="0" w:evenVBand="0" w:oddHBand="0" w:evenHBand="0" w:firstRowFirstColumn="0" w:firstRowLastColumn="0" w:lastRowFirstColumn="0" w:lastRowLastColumn="0"/>
            <w:tcW w:w="494" w:type="pct"/>
          </w:tcPr>
          <w:p w14:paraId="3CA244AB" w14:textId="77777777" w:rsidR="00B44672" w:rsidRDefault="00B44672" w:rsidP="000511CA">
            <w:pPr>
              <w:pStyle w:val="Compact"/>
            </w:pPr>
            <w:r>
              <w:t>2017-18</w:t>
            </w:r>
          </w:p>
        </w:tc>
        <w:tc>
          <w:tcPr>
            <w:tcW w:w="1202" w:type="pct"/>
          </w:tcPr>
          <w:p w14:paraId="3831310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1.223</w:t>
            </w:r>
          </w:p>
        </w:tc>
        <w:tc>
          <w:tcPr>
            <w:tcW w:w="1002" w:type="pct"/>
          </w:tcPr>
          <w:p w14:paraId="5232E2B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0.462</w:t>
            </w:r>
          </w:p>
        </w:tc>
        <w:tc>
          <w:tcPr>
            <w:tcW w:w="1201" w:type="pct"/>
          </w:tcPr>
          <w:p w14:paraId="0531368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1.145</w:t>
            </w:r>
          </w:p>
        </w:tc>
        <w:tc>
          <w:tcPr>
            <w:cnfStyle w:val="000100000000" w:firstRow="0" w:lastRow="0" w:firstColumn="0" w:lastColumn="1" w:oddVBand="0" w:evenVBand="0" w:oddHBand="0" w:evenHBand="0" w:firstRowFirstColumn="0" w:firstRowLastColumn="0" w:lastRowFirstColumn="0" w:lastRowLastColumn="0"/>
            <w:tcW w:w="1102" w:type="pct"/>
          </w:tcPr>
          <w:p w14:paraId="4C0629B8" w14:textId="77777777" w:rsidR="00B44672" w:rsidRDefault="00B44672" w:rsidP="000511CA">
            <w:pPr>
              <w:pStyle w:val="Compact"/>
              <w:jc w:val="center"/>
            </w:pPr>
            <w:r>
              <w:t>1.153</w:t>
            </w:r>
          </w:p>
        </w:tc>
      </w:tr>
      <w:tr w:rsidR="00B44672" w14:paraId="02B8E811" w14:textId="77777777" w:rsidTr="00711B29">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4" w:type="pct"/>
          </w:tcPr>
          <w:p w14:paraId="4C38E0E9" w14:textId="77777777" w:rsidR="00B44672" w:rsidRDefault="00B44672" w:rsidP="000511CA">
            <w:pPr>
              <w:pStyle w:val="Compact"/>
            </w:pPr>
            <w:r>
              <w:t>2018-19</w:t>
            </w:r>
          </w:p>
        </w:tc>
        <w:tc>
          <w:tcPr>
            <w:tcW w:w="1202" w:type="pct"/>
          </w:tcPr>
          <w:p w14:paraId="3D192B9A"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1.245</w:t>
            </w:r>
          </w:p>
        </w:tc>
        <w:tc>
          <w:tcPr>
            <w:tcW w:w="1002" w:type="pct"/>
          </w:tcPr>
          <w:p w14:paraId="09AA8E70"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0.475</w:t>
            </w:r>
          </w:p>
        </w:tc>
        <w:tc>
          <w:tcPr>
            <w:tcW w:w="1201" w:type="pct"/>
          </w:tcPr>
          <w:p w14:paraId="6F2709D8"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1.168</w:t>
            </w:r>
          </w:p>
        </w:tc>
        <w:tc>
          <w:tcPr>
            <w:cnfStyle w:val="000100000000" w:firstRow="0" w:lastRow="0" w:firstColumn="0" w:lastColumn="1" w:oddVBand="0" w:evenVBand="0" w:oddHBand="0" w:evenHBand="0" w:firstRowFirstColumn="0" w:firstRowLastColumn="0" w:lastRowFirstColumn="0" w:lastRowLastColumn="0"/>
            <w:tcW w:w="1102" w:type="pct"/>
          </w:tcPr>
          <w:p w14:paraId="47B19549" w14:textId="77777777" w:rsidR="00B44672" w:rsidRDefault="00B44672" w:rsidP="000511CA">
            <w:pPr>
              <w:pStyle w:val="Compact"/>
              <w:jc w:val="center"/>
            </w:pPr>
            <w:r>
              <w:t>1.185</w:t>
            </w:r>
          </w:p>
        </w:tc>
      </w:tr>
    </w:tbl>
    <w:p w14:paraId="0AAB7FCA" w14:textId="77777777" w:rsidR="00B44672" w:rsidRDefault="00B44672" w:rsidP="00C83581">
      <w:pPr>
        <w:pStyle w:val="BlockText"/>
      </w:pPr>
      <w:r>
        <w:rPr>
          <w:i/>
        </w:rPr>
        <w:t>Source:</w:t>
      </w:r>
      <w:r>
        <w:t xml:space="preserve"> The ACT government’s rate and stamp duty data and the ABS No. 6345 WPI (in Dec), No. 6302 AWE (in Nov), No. 6401 CPI (in Dec) for the ACT.</w:t>
      </w:r>
      <w:r>
        <w:br/>
      </w:r>
      <w:r>
        <w:rPr>
          <w:i/>
        </w:rPr>
        <w:t>Notes</w:t>
      </w:r>
      <w:r>
        <w:t>: (</w:t>
      </w:r>
      <w:proofErr w:type="spellStart"/>
      <w:r>
        <w:t>i</w:t>
      </w:r>
      <w:proofErr w:type="spellEnd"/>
      <w:r>
        <w:t xml:space="preserve">) The starting index (value = 1) is set at the financial year 2011-12; (ii) To calculate the median HPI, we use the dutiable values for residential properties collected from the ACT government’s stamp duty data. The properties with dutiable values under $1,000 are excluded. Only the latest transactions for each property in a financial year are used; (iii) To calculate the median LPI, we use the unimproved values collected from the ACT government’s rate data. The properties with zero unimproved values are excluded; (iv) Weekly rental payment is calculated from SIHs, at median values. </w:t>
      </w:r>
    </w:p>
    <w:p w14:paraId="705210EB" w14:textId="77777777" w:rsidR="00B44672" w:rsidRDefault="00B44672" w:rsidP="00C83581">
      <w:pPr>
        <w:pStyle w:val="TableCaption"/>
      </w:pPr>
    </w:p>
    <w:p w14:paraId="17600279" w14:textId="77777777" w:rsidR="00B44672" w:rsidRDefault="00B44672" w:rsidP="00C83581">
      <w:pPr>
        <w:pStyle w:val="TableCaption"/>
      </w:pPr>
      <w:r>
        <w:t>Table A9a - Tax rules in Australia, 2012-2018 (Unit: %)</w:t>
      </w:r>
    </w:p>
    <w:tbl>
      <w:tblPr>
        <w:tblStyle w:val="Table"/>
        <w:tblW w:w="5000" w:type="pct"/>
        <w:jc w:val="center"/>
        <w:tblCellMar>
          <w:left w:w="0" w:type="dxa"/>
          <w:right w:w="0" w:type="dxa"/>
        </w:tblCellMar>
        <w:tblLook w:val="07E0" w:firstRow="1" w:lastRow="1" w:firstColumn="1" w:lastColumn="1" w:noHBand="1" w:noVBand="1"/>
        <w:tblCaption w:val="Table A9a - Tax rules in Australia, 2012-2018 (Unit: %)"/>
      </w:tblPr>
      <w:tblGrid>
        <w:gridCol w:w="2884"/>
        <w:gridCol w:w="878"/>
        <w:gridCol w:w="878"/>
        <w:gridCol w:w="878"/>
        <w:gridCol w:w="877"/>
        <w:gridCol w:w="877"/>
        <w:gridCol w:w="877"/>
        <w:gridCol w:w="877"/>
      </w:tblGrid>
      <w:tr w:rsidR="00B44672" w14:paraId="69FB68F8" w14:textId="77777777" w:rsidTr="000511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pct"/>
            <w:tcBorders>
              <w:bottom w:val="single" w:sz="0" w:space="0" w:color="auto"/>
            </w:tcBorders>
            <w:vAlign w:val="bottom"/>
          </w:tcPr>
          <w:p w14:paraId="594B90EE" w14:textId="77777777" w:rsidR="00B44672" w:rsidRDefault="00B44672" w:rsidP="000511CA">
            <w:pPr>
              <w:pStyle w:val="Compact"/>
            </w:pPr>
            <w:r>
              <w:t>Income range</w:t>
            </w:r>
          </w:p>
        </w:tc>
        <w:tc>
          <w:tcPr>
            <w:tcW w:w="486" w:type="pct"/>
            <w:tcBorders>
              <w:bottom w:val="single" w:sz="0" w:space="0" w:color="auto"/>
            </w:tcBorders>
            <w:vAlign w:val="bottom"/>
          </w:tcPr>
          <w:p w14:paraId="4303E469"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2012</w:t>
            </w:r>
          </w:p>
        </w:tc>
        <w:tc>
          <w:tcPr>
            <w:tcW w:w="486" w:type="pct"/>
            <w:tcBorders>
              <w:bottom w:val="single" w:sz="0" w:space="0" w:color="auto"/>
            </w:tcBorders>
            <w:vAlign w:val="bottom"/>
          </w:tcPr>
          <w:p w14:paraId="075E63D8"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2013</w:t>
            </w:r>
          </w:p>
        </w:tc>
        <w:tc>
          <w:tcPr>
            <w:tcW w:w="486" w:type="pct"/>
            <w:tcBorders>
              <w:bottom w:val="single" w:sz="0" w:space="0" w:color="auto"/>
            </w:tcBorders>
            <w:vAlign w:val="bottom"/>
          </w:tcPr>
          <w:p w14:paraId="4B2904D3"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2014</w:t>
            </w:r>
          </w:p>
        </w:tc>
        <w:tc>
          <w:tcPr>
            <w:tcW w:w="486" w:type="pct"/>
            <w:tcBorders>
              <w:bottom w:val="single" w:sz="0" w:space="0" w:color="auto"/>
            </w:tcBorders>
            <w:vAlign w:val="bottom"/>
          </w:tcPr>
          <w:p w14:paraId="7FAAE4B2"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2015</w:t>
            </w:r>
          </w:p>
        </w:tc>
        <w:tc>
          <w:tcPr>
            <w:tcW w:w="486" w:type="pct"/>
            <w:tcBorders>
              <w:bottom w:val="single" w:sz="0" w:space="0" w:color="auto"/>
            </w:tcBorders>
            <w:vAlign w:val="bottom"/>
          </w:tcPr>
          <w:p w14:paraId="5A147CE5"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2016</w:t>
            </w:r>
          </w:p>
        </w:tc>
        <w:tc>
          <w:tcPr>
            <w:tcW w:w="486" w:type="pct"/>
            <w:tcBorders>
              <w:bottom w:val="single" w:sz="0" w:space="0" w:color="auto"/>
            </w:tcBorders>
            <w:vAlign w:val="bottom"/>
          </w:tcPr>
          <w:p w14:paraId="5F083D53"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2017</w:t>
            </w:r>
          </w:p>
        </w:tc>
        <w:tc>
          <w:tcPr>
            <w:cnfStyle w:val="000100000000" w:firstRow="0" w:lastRow="0" w:firstColumn="0" w:lastColumn="1" w:oddVBand="0" w:evenVBand="0" w:oddHBand="0" w:evenHBand="0" w:firstRowFirstColumn="0" w:firstRowLastColumn="0" w:lastRowFirstColumn="0" w:lastRowLastColumn="0"/>
            <w:tcW w:w="486" w:type="pct"/>
            <w:tcBorders>
              <w:bottom w:val="single" w:sz="0" w:space="0" w:color="auto"/>
            </w:tcBorders>
            <w:vAlign w:val="bottom"/>
          </w:tcPr>
          <w:p w14:paraId="5A2574B7" w14:textId="77777777" w:rsidR="00B44672" w:rsidRDefault="00B44672" w:rsidP="000511CA">
            <w:pPr>
              <w:pStyle w:val="Compact"/>
              <w:jc w:val="center"/>
            </w:pPr>
            <w:r>
              <w:t>2018</w:t>
            </w:r>
          </w:p>
        </w:tc>
      </w:tr>
      <w:tr w:rsidR="00B44672" w14:paraId="3EF49E84"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596" w:type="pct"/>
          </w:tcPr>
          <w:p w14:paraId="6CF6DFC9" w14:textId="77777777" w:rsidR="00B44672" w:rsidRDefault="00B44672" w:rsidP="000511CA">
            <w:pPr>
              <w:pStyle w:val="Compact"/>
            </w:pPr>
            <m:oMath>
              <m:r>
                <w:rPr>
                  <w:rFonts w:ascii="Cambria Math" w:hAnsi="Cambria Math"/>
                </w:rPr>
                <m:t>≤</m:t>
              </m:r>
            </m:oMath>
            <w:r>
              <w:t xml:space="preserve"> 18,200</w:t>
            </w:r>
          </w:p>
        </w:tc>
        <w:tc>
          <w:tcPr>
            <w:tcW w:w="486" w:type="pct"/>
          </w:tcPr>
          <w:p w14:paraId="55F41F3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86" w:type="pct"/>
          </w:tcPr>
          <w:p w14:paraId="115EBBA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86" w:type="pct"/>
          </w:tcPr>
          <w:p w14:paraId="7A50D4D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86" w:type="pct"/>
          </w:tcPr>
          <w:p w14:paraId="0A03507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86" w:type="pct"/>
          </w:tcPr>
          <w:p w14:paraId="3C33D7C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486" w:type="pct"/>
          </w:tcPr>
          <w:p w14:paraId="2BE8C2C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486" w:type="pct"/>
          </w:tcPr>
          <w:p w14:paraId="1B84566F" w14:textId="77777777" w:rsidR="00B44672" w:rsidRDefault="00B44672" w:rsidP="000511CA">
            <w:pPr>
              <w:pStyle w:val="Compact"/>
              <w:jc w:val="center"/>
            </w:pPr>
            <w:r>
              <w:t>0</w:t>
            </w:r>
          </w:p>
        </w:tc>
      </w:tr>
      <w:tr w:rsidR="00B44672" w14:paraId="03A54FA2"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596" w:type="pct"/>
          </w:tcPr>
          <w:p w14:paraId="4971FEA7" w14:textId="77777777" w:rsidR="00B44672" w:rsidRDefault="00B44672" w:rsidP="000511CA">
            <w:pPr>
              <w:pStyle w:val="Compact"/>
            </w:pPr>
            <w:r>
              <w:t>18,201 - 37,000</w:t>
            </w:r>
          </w:p>
        </w:tc>
        <w:tc>
          <w:tcPr>
            <w:tcW w:w="486" w:type="pct"/>
          </w:tcPr>
          <w:p w14:paraId="3543183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tcW w:w="486" w:type="pct"/>
          </w:tcPr>
          <w:p w14:paraId="6A04139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tcW w:w="486" w:type="pct"/>
          </w:tcPr>
          <w:p w14:paraId="3970C1D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tcW w:w="486" w:type="pct"/>
          </w:tcPr>
          <w:p w14:paraId="35C8B56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tcW w:w="486" w:type="pct"/>
          </w:tcPr>
          <w:p w14:paraId="6FE45D5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tcW w:w="486" w:type="pct"/>
          </w:tcPr>
          <w:p w14:paraId="26DE283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cnfStyle w:val="000100000000" w:firstRow="0" w:lastRow="0" w:firstColumn="0" w:lastColumn="1" w:oddVBand="0" w:evenVBand="0" w:oddHBand="0" w:evenHBand="0" w:firstRowFirstColumn="0" w:firstRowLastColumn="0" w:lastRowFirstColumn="0" w:lastRowLastColumn="0"/>
            <w:tcW w:w="486" w:type="pct"/>
          </w:tcPr>
          <w:p w14:paraId="33BA0D84" w14:textId="77777777" w:rsidR="00B44672" w:rsidRDefault="00B44672" w:rsidP="000511CA">
            <w:pPr>
              <w:pStyle w:val="Compact"/>
              <w:jc w:val="center"/>
            </w:pPr>
            <w:r>
              <w:t>19</w:t>
            </w:r>
          </w:p>
        </w:tc>
      </w:tr>
      <w:tr w:rsidR="00B44672" w14:paraId="76CF2EF5"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596" w:type="pct"/>
          </w:tcPr>
          <w:p w14:paraId="77ECA2AF" w14:textId="77777777" w:rsidR="00B44672" w:rsidRDefault="00B44672" w:rsidP="000511CA">
            <w:pPr>
              <w:pStyle w:val="Compact"/>
            </w:pPr>
            <w:r>
              <w:t>37,001 - 80,000</w:t>
            </w:r>
          </w:p>
        </w:tc>
        <w:tc>
          <w:tcPr>
            <w:tcW w:w="486" w:type="pct"/>
          </w:tcPr>
          <w:p w14:paraId="4C2A138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32.5</w:t>
            </w:r>
          </w:p>
        </w:tc>
        <w:tc>
          <w:tcPr>
            <w:tcW w:w="486" w:type="pct"/>
          </w:tcPr>
          <w:p w14:paraId="053CEB5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32.5</w:t>
            </w:r>
          </w:p>
        </w:tc>
        <w:tc>
          <w:tcPr>
            <w:tcW w:w="486" w:type="pct"/>
          </w:tcPr>
          <w:p w14:paraId="0D1DC17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32.5</w:t>
            </w:r>
          </w:p>
        </w:tc>
        <w:tc>
          <w:tcPr>
            <w:tcW w:w="486" w:type="pct"/>
          </w:tcPr>
          <w:p w14:paraId="499325E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32.5</w:t>
            </w:r>
          </w:p>
        </w:tc>
        <w:tc>
          <w:tcPr>
            <w:tcW w:w="486" w:type="pct"/>
          </w:tcPr>
          <w:p w14:paraId="2D20FF0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32.5</w:t>
            </w:r>
          </w:p>
        </w:tc>
        <w:tc>
          <w:tcPr>
            <w:tcW w:w="486" w:type="pct"/>
          </w:tcPr>
          <w:p w14:paraId="65E59F8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32.5</w:t>
            </w:r>
          </w:p>
        </w:tc>
        <w:tc>
          <w:tcPr>
            <w:cnfStyle w:val="000100000000" w:firstRow="0" w:lastRow="0" w:firstColumn="0" w:lastColumn="1" w:oddVBand="0" w:evenVBand="0" w:oddHBand="0" w:evenHBand="0" w:firstRowFirstColumn="0" w:firstRowLastColumn="0" w:lastRowFirstColumn="0" w:lastRowLastColumn="0"/>
            <w:tcW w:w="486" w:type="pct"/>
          </w:tcPr>
          <w:p w14:paraId="35256637" w14:textId="77777777" w:rsidR="00B44672" w:rsidRDefault="00B44672" w:rsidP="000511CA">
            <w:pPr>
              <w:pStyle w:val="Compact"/>
              <w:jc w:val="center"/>
            </w:pPr>
            <w:r>
              <w:t>32.5</w:t>
            </w:r>
          </w:p>
        </w:tc>
      </w:tr>
      <w:tr w:rsidR="00B44672" w14:paraId="20D58CBC"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596" w:type="pct"/>
          </w:tcPr>
          <w:p w14:paraId="05496B30" w14:textId="77777777" w:rsidR="00B44672" w:rsidRDefault="00B44672" w:rsidP="000511CA">
            <w:pPr>
              <w:pStyle w:val="Compact"/>
            </w:pPr>
            <w:r>
              <w:t>80,001 - 87,000</w:t>
            </w:r>
          </w:p>
        </w:tc>
        <w:tc>
          <w:tcPr>
            <w:tcW w:w="486" w:type="pct"/>
          </w:tcPr>
          <w:p w14:paraId="6CA1BF6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86" w:type="pct"/>
          </w:tcPr>
          <w:p w14:paraId="1439417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86" w:type="pct"/>
          </w:tcPr>
          <w:p w14:paraId="7390504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86" w:type="pct"/>
          </w:tcPr>
          <w:p w14:paraId="0265D2C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86" w:type="pct"/>
          </w:tcPr>
          <w:p w14:paraId="1752C08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32.5</w:t>
            </w:r>
          </w:p>
        </w:tc>
        <w:tc>
          <w:tcPr>
            <w:tcW w:w="486" w:type="pct"/>
          </w:tcPr>
          <w:p w14:paraId="5CB0DE6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32.5</w:t>
            </w:r>
          </w:p>
        </w:tc>
        <w:tc>
          <w:tcPr>
            <w:cnfStyle w:val="000100000000" w:firstRow="0" w:lastRow="0" w:firstColumn="0" w:lastColumn="1" w:oddVBand="0" w:evenVBand="0" w:oddHBand="0" w:evenHBand="0" w:firstRowFirstColumn="0" w:firstRowLastColumn="0" w:lastRowFirstColumn="0" w:lastRowLastColumn="0"/>
            <w:tcW w:w="486" w:type="pct"/>
          </w:tcPr>
          <w:p w14:paraId="0850DA5B" w14:textId="77777777" w:rsidR="00B44672" w:rsidRDefault="00B44672" w:rsidP="000511CA">
            <w:pPr>
              <w:pStyle w:val="Compact"/>
              <w:jc w:val="center"/>
            </w:pPr>
            <w:r>
              <w:t>32.5</w:t>
            </w:r>
          </w:p>
        </w:tc>
      </w:tr>
      <w:tr w:rsidR="00B44672" w14:paraId="155EA3CF"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596" w:type="pct"/>
          </w:tcPr>
          <w:p w14:paraId="3B84BA33" w14:textId="77777777" w:rsidR="00B44672" w:rsidRDefault="00B44672" w:rsidP="000511CA">
            <w:pPr>
              <w:pStyle w:val="Compact"/>
            </w:pPr>
            <w:r>
              <w:t>87,001 - 90,000</w:t>
            </w:r>
          </w:p>
        </w:tc>
        <w:tc>
          <w:tcPr>
            <w:tcW w:w="486" w:type="pct"/>
          </w:tcPr>
          <w:p w14:paraId="6DE80F5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86" w:type="pct"/>
          </w:tcPr>
          <w:p w14:paraId="7AA079A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86" w:type="pct"/>
          </w:tcPr>
          <w:p w14:paraId="7967023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86" w:type="pct"/>
          </w:tcPr>
          <w:p w14:paraId="7FCC9AA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86" w:type="pct"/>
          </w:tcPr>
          <w:p w14:paraId="6756963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86" w:type="pct"/>
          </w:tcPr>
          <w:p w14:paraId="7FCDC52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cnfStyle w:val="000100000000" w:firstRow="0" w:lastRow="0" w:firstColumn="0" w:lastColumn="1" w:oddVBand="0" w:evenVBand="0" w:oddHBand="0" w:evenHBand="0" w:firstRowFirstColumn="0" w:firstRowLastColumn="0" w:lastRowFirstColumn="0" w:lastRowLastColumn="0"/>
            <w:tcW w:w="486" w:type="pct"/>
          </w:tcPr>
          <w:p w14:paraId="1412193B" w14:textId="77777777" w:rsidR="00B44672" w:rsidRDefault="00B44672" w:rsidP="000511CA">
            <w:pPr>
              <w:pStyle w:val="Compact"/>
              <w:jc w:val="center"/>
            </w:pPr>
            <w:r>
              <w:t>32.5</w:t>
            </w:r>
          </w:p>
        </w:tc>
      </w:tr>
      <w:tr w:rsidR="00B44672" w14:paraId="43AD4A2B"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596" w:type="pct"/>
          </w:tcPr>
          <w:p w14:paraId="6ABEF897" w14:textId="77777777" w:rsidR="00B44672" w:rsidRDefault="00B44672" w:rsidP="000511CA">
            <w:pPr>
              <w:pStyle w:val="Compact"/>
            </w:pPr>
            <w:r>
              <w:t>90,001 - 180,000</w:t>
            </w:r>
          </w:p>
        </w:tc>
        <w:tc>
          <w:tcPr>
            <w:tcW w:w="486" w:type="pct"/>
          </w:tcPr>
          <w:p w14:paraId="3B53A22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86" w:type="pct"/>
          </w:tcPr>
          <w:p w14:paraId="127FADB3"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86" w:type="pct"/>
          </w:tcPr>
          <w:p w14:paraId="47375A1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86" w:type="pct"/>
          </w:tcPr>
          <w:p w14:paraId="3188B2D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86" w:type="pct"/>
          </w:tcPr>
          <w:p w14:paraId="6441FE0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tcW w:w="486" w:type="pct"/>
          </w:tcPr>
          <w:p w14:paraId="52BB528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37</w:t>
            </w:r>
          </w:p>
        </w:tc>
        <w:tc>
          <w:tcPr>
            <w:cnfStyle w:val="000100000000" w:firstRow="0" w:lastRow="0" w:firstColumn="0" w:lastColumn="1" w:oddVBand="0" w:evenVBand="0" w:oddHBand="0" w:evenHBand="0" w:firstRowFirstColumn="0" w:firstRowLastColumn="0" w:lastRowFirstColumn="0" w:lastRowLastColumn="0"/>
            <w:tcW w:w="486" w:type="pct"/>
          </w:tcPr>
          <w:p w14:paraId="77599B72" w14:textId="77777777" w:rsidR="00B44672" w:rsidRDefault="00B44672" w:rsidP="000511CA">
            <w:pPr>
              <w:pStyle w:val="Compact"/>
              <w:jc w:val="center"/>
            </w:pPr>
            <w:r>
              <w:t>37</w:t>
            </w:r>
          </w:p>
        </w:tc>
      </w:tr>
      <w:tr w:rsidR="00B44672" w14:paraId="63751D99" w14:textId="77777777" w:rsidTr="000511C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pct"/>
          </w:tcPr>
          <w:p w14:paraId="6A0320DF" w14:textId="77777777" w:rsidR="00B44672" w:rsidRDefault="00B44672" w:rsidP="000511CA">
            <w:pPr>
              <w:pStyle w:val="Compact"/>
            </w:pPr>
            <w:r>
              <w:t>&gt; 180,000</w:t>
            </w:r>
          </w:p>
        </w:tc>
        <w:tc>
          <w:tcPr>
            <w:tcW w:w="486" w:type="pct"/>
          </w:tcPr>
          <w:p w14:paraId="1510EF45"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45</w:t>
            </w:r>
          </w:p>
        </w:tc>
        <w:tc>
          <w:tcPr>
            <w:tcW w:w="486" w:type="pct"/>
          </w:tcPr>
          <w:p w14:paraId="45B7DEE4"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45</w:t>
            </w:r>
          </w:p>
        </w:tc>
        <w:tc>
          <w:tcPr>
            <w:tcW w:w="486" w:type="pct"/>
          </w:tcPr>
          <w:p w14:paraId="39EEACD7"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45*</w:t>
            </w:r>
          </w:p>
        </w:tc>
        <w:tc>
          <w:tcPr>
            <w:tcW w:w="486" w:type="pct"/>
          </w:tcPr>
          <w:p w14:paraId="1469900C"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45*</w:t>
            </w:r>
          </w:p>
        </w:tc>
        <w:tc>
          <w:tcPr>
            <w:tcW w:w="486" w:type="pct"/>
          </w:tcPr>
          <w:p w14:paraId="30C7CAF7"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45*</w:t>
            </w:r>
          </w:p>
        </w:tc>
        <w:tc>
          <w:tcPr>
            <w:tcW w:w="486" w:type="pct"/>
          </w:tcPr>
          <w:p w14:paraId="7BC23ED1"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45</w:t>
            </w:r>
          </w:p>
        </w:tc>
        <w:tc>
          <w:tcPr>
            <w:cnfStyle w:val="000100000000" w:firstRow="0" w:lastRow="0" w:firstColumn="0" w:lastColumn="1" w:oddVBand="0" w:evenVBand="0" w:oddHBand="0" w:evenHBand="0" w:firstRowFirstColumn="0" w:firstRowLastColumn="0" w:lastRowFirstColumn="0" w:lastRowLastColumn="0"/>
            <w:tcW w:w="486" w:type="pct"/>
          </w:tcPr>
          <w:p w14:paraId="65F0D701" w14:textId="77777777" w:rsidR="00B44672" w:rsidRDefault="00B44672" w:rsidP="000511CA">
            <w:pPr>
              <w:pStyle w:val="Compact"/>
              <w:jc w:val="center"/>
            </w:pPr>
            <w:r>
              <w:t>45</w:t>
            </w:r>
          </w:p>
        </w:tc>
      </w:tr>
    </w:tbl>
    <w:p w14:paraId="1EFD676D" w14:textId="77777777" w:rsidR="00B44672" w:rsidRDefault="00B44672" w:rsidP="00C83581">
      <w:pPr>
        <w:pStyle w:val="BlockText"/>
      </w:pPr>
      <w:r>
        <w:rPr>
          <w:i/>
        </w:rPr>
        <w:t>Source:</w:t>
      </w:r>
      <w:r>
        <w:t xml:space="preserve"> The ATO </w:t>
      </w:r>
    </w:p>
    <w:p w14:paraId="7A758933" w14:textId="77777777" w:rsidR="00B44672" w:rsidRDefault="00B44672" w:rsidP="00C83581">
      <w:pPr>
        <w:pStyle w:val="BlockText"/>
      </w:pPr>
      <w:r>
        <w:rPr>
          <w:i/>
        </w:rPr>
        <w:t>Notes:</w:t>
      </w:r>
      <w:r>
        <w:t xml:space="preserve"> </w:t>
      </w:r>
      <m:oMath>
        <m:sSup>
          <m:sSupPr>
            <m:ctrlPr>
              <w:rPr>
                <w:rFonts w:ascii="Cambria Math" w:hAnsi="Cambria Math"/>
              </w:rPr>
            </m:ctrlPr>
          </m:sSupPr>
          <m:e>
            <m:r>
              <w:rPr>
                <w:rFonts w:ascii="Cambria Math" w:hAnsi="Cambria Math"/>
              </w:rPr>
              <m:t>​</m:t>
            </m:r>
          </m:e>
          <m:sup>
            <m:r>
              <w:rPr>
                <w:rFonts w:ascii="Cambria Math" w:hAnsi="Cambria Math"/>
              </w:rPr>
              <m:t>*</m:t>
            </m:r>
          </m:sup>
        </m:sSup>
      </m:oMath>
      <w:r>
        <w:t xml:space="preserve"> Addition tax or budget repair levy of 2%.</w:t>
      </w:r>
    </w:p>
    <w:p w14:paraId="0A1D6A1C" w14:textId="77777777" w:rsidR="00B44672" w:rsidRDefault="00B44672" w:rsidP="00C83581">
      <w:pPr>
        <w:pStyle w:val="TableCaption"/>
      </w:pPr>
    </w:p>
    <w:p w14:paraId="257C5BF6" w14:textId="77777777" w:rsidR="00B44672" w:rsidRDefault="00B44672" w:rsidP="00C83581">
      <w:pPr>
        <w:pStyle w:val="TableCaption"/>
      </w:pPr>
      <w:r>
        <w:t>Table A9b - Low-Income Tax Offset (LITO) rules in Australia, 2012-2018</w:t>
      </w:r>
    </w:p>
    <w:tbl>
      <w:tblPr>
        <w:tblStyle w:val="Table"/>
        <w:tblW w:w="5000" w:type="pct"/>
        <w:jc w:val="center"/>
        <w:tblCellMar>
          <w:left w:w="0" w:type="dxa"/>
          <w:right w:w="0" w:type="dxa"/>
        </w:tblCellMar>
        <w:tblLook w:val="07E0" w:firstRow="1" w:lastRow="1" w:firstColumn="1" w:lastColumn="1" w:noHBand="1" w:noVBand="1"/>
        <w:tblCaption w:val="Table A9b - Low-Income Tax Offset (LITO) rules in Australia, 2012-2018"/>
      </w:tblPr>
      <w:tblGrid>
        <w:gridCol w:w="2473"/>
        <w:gridCol w:w="6553"/>
      </w:tblGrid>
      <w:tr w:rsidR="00B44672" w14:paraId="75E61235" w14:textId="77777777" w:rsidTr="000511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0" w:type="pct"/>
            <w:tcBorders>
              <w:bottom w:val="single" w:sz="0" w:space="0" w:color="auto"/>
            </w:tcBorders>
            <w:vAlign w:val="bottom"/>
          </w:tcPr>
          <w:p w14:paraId="2EE0B127" w14:textId="77777777" w:rsidR="00B44672" w:rsidRDefault="00B44672" w:rsidP="000511CA">
            <w:pPr>
              <w:pStyle w:val="Compact"/>
            </w:pPr>
            <w:r>
              <w:t>Income ($)</w:t>
            </w:r>
          </w:p>
        </w:tc>
        <w:tc>
          <w:tcPr>
            <w:cnfStyle w:val="000100000000" w:firstRow="0" w:lastRow="0" w:firstColumn="0" w:lastColumn="1" w:oddVBand="0" w:evenVBand="0" w:oddHBand="0" w:evenHBand="0" w:firstRowFirstColumn="0" w:firstRowLastColumn="0" w:lastRowFirstColumn="0" w:lastRowLastColumn="0"/>
            <w:tcW w:w="3630" w:type="pct"/>
            <w:tcBorders>
              <w:bottom w:val="single" w:sz="0" w:space="0" w:color="auto"/>
            </w:tcBorders>
            <w:vAlign w:val="bottom"/>
          </w:tcPr>
          <w:p w14:paraId="7CF8F543" w14:textId="77777777" w:rsidR="00B44672" w:rsidRDefault="00B44672" w:rsidP="000511CA">
            <w:pPr>
              <w:pStyle w:val="Compact"/>
              <w:jc w:val="center"/>
            </w:pPr>
            <w:r>
              <w:t>LITO amount ($)</w:t>
            </w:r>
          </w:p>
        </w:tc>
      </w:tr>
      <w:tr w:rsidR="00B44672" w14:paraId="09CBCF3C"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370" w:type="pct"/>
          </w:tcPr>
          <w:p w14:paraId="165579A9" w14:textId="77777777" w:rsidR="00B44672" w:rsidRDefault="00B44672" w:rsidP="000511CA">
            <w:pPr>
              <w:pStyle w:val="Compact"/>
            </w:pPr>
            <m:oMath>
              <m:r>
                <w:rPr>
                  <w:rFonts w:ascii="Cambria Math" w:hAnsi="Cambria Math"/>
                </w:rPr>
                <m:t>≤</m:t>
              </m:r>
            </m:oMath>
            <w:r>
              <w:t xml:space="preserve"> 37,000</w:t>
            </w:r>
          </w:p>
        </w:tc>
        <w:tc>
          <w:tcPr>
            <w:cnfStyle w:val="000100000000" w:firstRow="0" w:lastRow="0" w:firstColumn="0" w:lastColumn="1" w:oddVBand="0" w:evenVBand="0" w:oddHBand="0" w:evenHBand="0" w:firstRowFirstColumn="0" w:firstRowLastColumn="0" w:lastRowFirstColumn="0" w:lastRowLastColumn="0"/>
            <w:tcW w:w="3630" w:type="pct"/>
          </w:tcPr>
          <w:p w14:paraId="68290C5A" w14:textId="77777777" w:rsidR="00B44672" w:rsidRDefault="00B44672" w:rsidP="000511CA">
            <w:pPr>
              <w:pStyle w:val="Compact"/>
              <w:jc w:val="center"/>
            </w:pPr>
            <w:r>
              <w:t>445</w:t>
            </w:r>
          </w:p>
        </w:tc>
      </w:tr>
      <w:tr w:rsidR="00B44672" w14:paraId="2CB9BDF0"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370" w:type="pct"/>
          </w:tcPr>
          <w:p w14:paraId="6AD9F1E8" w14:textId="77777777" w:rsidR="00B44672" w:rsidRDefault="00B44672" w:rsidP="000511CA">
            <w:pPr>
              <w:pStyle w:val="Compact"/>
            </w:pPr>
            <w:r>
              <w:t>37,001 - 66,667</w:t>
            </w:r>
          </w:p>
        </w:tc>
        <w:tc>
          <w:tcPr>
            <w:cnfStyle w:val="000100000000" w:firstRow="0" w:lastRow="0" w:firstColumn="0" w:lastColumn="1" w:oddVBand="0" w:evenVBand="0" w:oddHBand="0" w:evenHBand="0" w:firstRowFirstColumn="0" w:firstRowLastColumn="0" w:lastRowFirstColumn="0" w:lastRowLastColumn="0"/>
            <w:tcW w:w="3630" w:type="pct"/>
          </w:tcPr>
          <w:p w14:paraId="46224B90" w14:textId="77777777" w:rsidR="00B44672" w:rsidRDefault="00B44672" w:rsidP="000511CA">
            <w:pPr>
              <w:pStyle w:val="Compact"/>
              <w:jc w:val="center"/>
            </w:pPr>
            <w:r>
              <w:t xml:space="preserve">445 - ((Taxable Income - 37,000) </w:t>
            </w:r>
            <m:oMath>
              <m:r>
                <w:rPr>
                  <w:rFonts w:ascii="Cambria Math" w:hAnsi="Cambria Math"/>
                </w:rPr>
                <m:t>×</m:t>
              </m:r>
            </m:oMath>
            <w:r>
              <w:t xml:space="preserve"> 1.5%)</w:t>
            </w:r>
          </w:p>
        </w:tc>
      </w:tr>
      <w:tr w:rsidR="00B44672" w14:paraId="32FF42DC" w14:textId="77777777" w:rsidTr="000511C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0" w:type="pct"/>
          </w:tcPr>
          <w:p w14:paraId="6CB865DE" w14:textId="77777777" w:rsidR="00B44672" w:rsidRDefault="00B44672" w:rsidP="000511CA">
            <w:pPr>
              <w:pStyle w:val="Compact"/>
            </w:pPr>
            <w:r>
              <w:t>&gt; 66,667</w:t>
            </w:r>
          </w:p>
        </w:tc>
        <w:tc>
          <w:tcPr>
            <w:cnfStyle w:val="000100000000" w:firstRow="0" w:lastRow="0" w:firstColumn="0" w:lastColumn="1" w:oddVBand="0" w:evenVBand="0" w:oddHBand="0" w:evenHBand="0" w:firstRowFirstColumn="0" w:firstRowLastColumn="0" w:lastRowFirstColumn="0" w:lastRowLastColumn="0"/>
            <w:tcW w:w="3630" w:type="pct"/>
          </w:tcPr>
          <w:p w14:paraId="7928F300" w14:textId="77777777" w:rsidR="00B44672" w:rsidRDefault="00B44672" w:rsidP="000511CA">
            <w:pPr>
              <w:pStyle w:val="Compact"/>
              <w:jc w:val="center"/>
            </w:pPr>
            <w:r>
              <w:t>0</w:t>
            </w:r>
          </w:p>
        </w:tc>
      </w:tr>
    </w:tbl>
    <w:p w14:paraId="05B4AF24" w14:textId="77777777" w:rsidR="00B44672" w:rsidRDefault="00B44672" w:rsidP="00C83581">
      <w:pPr>
        <w:pStyle w:val="BlockText"/>
      </w:pPr>
      <w:r>
        <w:rPr>
          <w:i/>
        </w:rPr>
        <w:t>Source:</w:t>
      </w:r>
      <w:r>
        <w:t xml:space="preserve"> The ATO.</w:t>
      </w:r>
    </w:p>
    <w:p w14:paraId="7FAFBAE9" w14:textId="77777777" w:rsidR="00B44672" w:rsidRDefault="00B44672">
      <w:pPr>
        <w:jc w:val="left"/>
        <w:rPr>
          <w:b/>
          <w:i/>
          <w:color w:val="365F91" w:themeColor="accent1" w:themeShade="BF"/>
        </w:rPr>
      </w:pPr>
      <w:r>
        <w:br w:type="page"/>
      </w:r>
    </w:p>
    <w:p w14:paraId="13A27DC0" w14:textId="77777777" w:rsidR="00B44672" w:rsidRDefault="00B44672" w:rsidP="00C83581">
      <w:pPr>
        <w:pStyle w:val="TableCaption"/>
      </w:pPr>
      <w:r>
        <w:lastRenderedPageBreak/>
        <w:t>Table A9c - Middle- and Low-Income Tax Offset (LAMITO) rules in Australia, starting from 2018</w:t>
      </w:r>
    </w:p>
    <w:tbl>
      <w:tblPr>
        <w:tblStyle w:val="Table"/>
        <w:tblW w:w="5000" w:type="pct"/>
        <w:jc w:val="center"/>
        <w:tblCellMar>
          <w:left w:w="0" w:type="dxa"/>
          <w:right w:w="0" w:type="dxa"/>
        </w:tblCellMar>
        <w:tblLook w:val="07E0" w:firstRow="1" w:lastRow="1" w:firstColumn="1" w:lastColumn="1" w:noHBand="1" w:noVBand="1"/>
        <w:tblCaption w:val="Table A9c - Middle- and Low-Income Tax Offset (LAMITO) rules in Australia, starting from 2018"/>
      </w:tblPr>
      <w:tblGrid>
        <w:gridCol w:w="2910"/>
        <w:gridCol w:w="6116"/>
      </w:tblGrid>
      <w:tr w:rsidR="00B44672" w14:paraId="52986029" w14:textId="77777777" w:rsidTr="000511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pct"/>
            <w:tcBorders>
              <w:bottom w:val="single" w:sz="0" w:space="0" w:color="auto"/>
            </w:tcBorders>
            <w:vAlign w:val="bottom"/>
          </w:tcPr>
          <w:p w14:paraId="5BBEE107" w14:textId="77777777" w:rsidR="00B44672" w:rsidRDefault="00B44672" w:rsidP="000511CA">
            <w:pPr>
              <w:pStyle w:val="Compact"/>
            </w:pPr>
            <w:r>
              <w:t>Taxable income ($)</w:t>
            </w:r>
          </w:p>
        </w:tc>
        <w:tc>
          <w:tcPr>
            <w:cnfStyle w:val="000100000000" w:firstRow="0" w:lastRow="0" w:firstColumn="0" w:lastColumn="1" w:oddVBand="0" w:evenVBand="0" w:oddHBand="0" w:evenHBand="0" w:firstRowFirstColumn="0" w:firstRowLastColumn="0" w:lastRowFirstColumn="0" w:lastRowLastColumn="0"/>
            <w:tcW w:w="3388" w:type="pct"/>
            <w:tcBorders>
              <w:bottom w:val="single" w:sz="0" w:space="0" w:color="auto"/>
            </w:tcBorders>
            <w:vAlign w:val="bottom"/>
          </w:tcPr>
          <w:p w14:paraId="44CB9ED0" w14:textId="77777777" w:rsidR="00B44672" w:rsidRDefault="00B44672" w:rsidP="000511CA">
            <w:pPr>
              <w:pStyle w:val="Compact"/>
              <w:jc w:val="center"/>
            </w:pPr>
            <w:r>
              <w:t>LAMITO amount ($)</w:t>
            </w:r>
          </w:p>
        </w:tc>
      </w:tr>
      <w:tr w:rsidR="00B44672" w14:paraId="723DCE32"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612" w:type="pct"/>
          </w:tcPr>
          <w:p w14:paraId="3AADF37D" w14:textId="77777777" w:rsidR="00B44672" w:rsidRDefault="00B44672" w:rsidP="000511CA">
            <w:pPr>
              <w:pStyle w:val="Compact"/>
            </w:pPr>
            <m:oMath>
              <m:r>
                <w:rPr>
                  <w:rFonts w:ascii="Cambria Math" w:hAnsi="Cambria Math"/>
                </w:rPr>
                <m:t>≤</m:t>
              </m:r>
            </m:oMath>
            <w:r>
              <w:t xml:space="preserve"> 37,000</w:t>
            </w:r>
          </w:p>
        </w:tc>
        <w:tc>
          <w:tcPr>
            <w:cnfStyle w:val="000100000000" w:firstRow="0" w:lastRow="0" w:firstColumn="0" w:lastColumn="1" w:oddVBand="0" w:evenVBand="0" w:oddHBand="0" w:evenHBand="0" w:firstRowFirstColumn="0" w:firstRowLastColumn="0" w:lastRowFirstColumn="0" w:lastRowLastColumn="0"/>
            <w:tcW w:w="3388" w:type="pct"/>
          </w:tcPr>
          <w:p w14:paraId="3E62E025" w14:textId="77777777" w:rsidR="00B44672" w:rsidRDefault="00B44672" w:rsidP="000511CA">
            <w:pPr>
              <w:pStyle w:val="Compact"/>
              <w:jc w:val="center"/>
            </w:pPr>
            <w:r>
              <w:t>255</w:t>
            </w:r>
          </w:p>
        </w:tc>
      </w:tr>
      <w:tr w:rsidR="00B44672" w14:paraId="56567E01"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612" w:type="pct"/>
          </w:tcPr>
          <w:p w14:paraId="481C3D70" w14:textId="77777777" w:rsidR="00B44672" w:rsidRDefault="00B44672" w:rsidP="000511CA">
            <w:pPr>
              <w:pStyle w:val="Compact"/>
            </w:pPr>
            <w:r>
              <w:t>37,001 - 48,000</w:t>
            </w:r>
          </w:p>
        </w:tc>
        <w:tc>
          <w:tcPr>
            <w:cnfStyle w:val="000100000000" w:firstRow="0" w:lastRow="0" w:firstColumn="0" w:lastColumn="1" w:oddVBand="0" w:evenVBand="0" w:oddHBand="0" w:evenHBand="0" w:firstRowFirstColumn="0" w:firstRowLastColumn="0" w:lastRowFirstColumn="0" w:lastRowLastColumn="0"/>
            <w:tcW w:w="3388" w:type="pct"/>
          </w:tcPr>
          <w:p w14:paraId="7E6DD377" w14:textId="77777777" w:rsidR="00B44672" w:rsidRDefault="00B44672" w:rsidP="000511CA">
            <w:pPr>
              <w:pStyle w:val="Compact"/>
              <w:jc w:val="center"/>
            </w:pPr>
            <w:r>
              <w:t xml:space="preserve">255 + 7.5% </w:t>
            </w:r>
            <m:oMath>
              <m:r>
                <w:rPr>
                  <w:rFonts w:ascii="Cambria Math" w:hAnsi="Cambria Math"/>
                </w:rPr>
                <m:t>×</m:t>
              </m:r>
            </m:oMath>
            <w:r>
              <w:t xml:space="preserve"> (Taxable income - 37,000)</w:t>
            </w:r>
          </w:p>
        </w:tc>
      </w:tr>
      <w:tr w:rsidR="00B44672" w14:paraId="1FD3F607"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612" w:type="pct"/>
          </w:tcPr>
          <w:p w14:paraId="4F2CDD48" w14:textId="77777777" w:rsidR="00B44672" w:rsidRDefault="00B44672" w:rsidP="000511CA">
            <w:pPr>
              <w:pStyle w:val="Compact"/>
            </w:pPr>
            <w:r>
              <w:t>48,001 - 90,000</w:t>
            </w:r>
          </w:p>
        </w:tc>
        <w:tc>
          <w:tcPr>
            <w:cnfStyle w:val="000100000000" w:firstRow="0" w:lastRow="0" w:firstColumn="0" w:lastColumn="1" w:oddVBand="0" w:evenVBand="0" w:oddHBand="0" w:evenHBand="0" w:firstRowFirstColumn="0" w:firstRowLastColumn="0" w:lastRowFirstColumn="0" w:lastRowLastColumn="0"/>
            <w:tcW w:w="3388" w:type="pct"/>
          </w:tcPr>
          <w:p w14:paraId="0731E2BC" w14:textId="77777777" w:rsidR="00B44672" w:rsidRDefault="00B44672" w:rsidP="000511CA">
            <w:pPr>
              <w:pStyle w:val="Compact"/>
              <w:jc w:val="center"/>
            </w:pPr>
            <w:r>
              <w:t>1,080</w:t>
            </w:r>
          </w:p>
        </w:tc>
      </w:tr>
      <w:tr w:rsidR="00B44672" w14:paraId="11BE2255" w14:textId="77777777" w:rsidTr="000511C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pct"/>
          </w:tcPr>
          <w:p w14:paraId="21923912" w14:textId="77777777" w:rsidR="00B44672" w:rsidRDefault="00B44672" w:rsidP="000511CA">
            <w:pPr>
              <w:pStyle w:val="Compact"/>
            </w:pPr>
            <w:r>
              <w:t>90,001 - 126,000</w:t>
            </w:r>
          </w:p>
        </w:tc>
        <w:tc>
          <w:tcPr>
            <w:cnfStyle w:val="000100000000" w:firstRow="0" w:lastRow="0" w:firstColumn="0" w:lastColumn="1" w:oddVBand="0" w:evenVBand="0" w:oddHBand="0" w:evenHBand="0" w:firstRowFirstColumn="0" w:firstRowLastColumn="0" w:lastRowFirstColumn="0" w:lastRowLastColumn="0"/>
            <w:tcW w:w="3388" w:type="pct"/>
          </w:tcPr>
          <w:p w14:paraId="01A428CE" w14:textId="77777777" w:rsidR="00B44672" w:rsidRDefault="00B44672" w:rsidP="000511CA">
            <w:pPr>
              <w:pStyle w:val="Compact"/>
              <w:jc w:val="center"/>
            </w:pPr>
            <w:r>
              <w:t xml:space="preserve">1,080 - 3% </w:t>
            </w:r>
            <m:oMath>
              <m:r>
                <w:rPr>
                  <w:rFonts w:ascii="Cambria Math" w:hAnsi="Cambria Math"/>
                </w:rPr>
                <m:t>×</m:t>
              </m:r>
            </m:oMath>
            <w:r>
              <w:t xml:space="preserve"> (Taxable income - 90,000)</w:t>
            </w:r>
          </w:p>
        </w:tc>
      </w:tr>
    </w:tbl>
    <w:p w14:paraId="4637D2E6" w14:textId="77777777" w:rsidR="00B44672" w:rsidRDefault="00B44672" w:rsidP="00C83581">
      <w:pPr>
        <w:pStyle w:val="BlockText"/>
      </w:pPr>
      <w:r>
        <w:rPr>
          <w:i/>
        </w:rPr>
        <w:t>Source:</w:t>
      </w:r>
      <w:r>
        <w:t xml:space="preserve"> The ATO. </w:t>
      </w:r>
    </w:p>
    <w:p w14:paraId="66A2937D" w14:textId="77777777" w:rsidR="00B44672" w:rsidRDefault="00B44672" w:rsidP="00C83581">
      <w:pPr>
        <w:pStyle w:val="TableCaption"/>
      </w:pPr>
    </w:p>
    <w:p w14:paraId="060100F9" w14:textId="77777777" w:rsidR="00B44672" w:rsidRDefault="00B44672" w:rsidP="00C83581">
      <w:pPr>
        <w:pStyle w:val="TableCaption"/>
      </w:pPr>
      <w:r>
        <w:t>Table A9d - Medicare levy rules in Australia, 2012-2018</w:t>
      </w:r>
    </w:p>
    <w:tbl>
      <w:tblPr>
        <w:tblStyle w:val="Table"/>
        <w:tblW w:w="5000" w:type="pct"/>
        <w:jc w:val="center"/>
        <w:tblCellMar>
          <w:left w:w="0" w:type="dxa"/>
          <w:right w:w="0" w:type="dxa"/>
        </w:tblCellMar>
        <w:tblLook w:val="07E0" w:firstRow="1" w:lastRow="1" w:firstColumn="1" w:lastColumn="1" w:noHBand="1" w:noVBand="1"/>
        <w:tblCaption w:val="Table A9d - Medicare levy rules in Australia, 2012-2018"/>
      </w:tblPr>
      <w:tblGrid>
        <w:gridCol w:w="3014"/>
        <w:gridCol w:w="860"/>
        <w:gridCol w:w="859"/>
        <w:gridCol w:w="859"/>
        <w:gridCol w:w="859"/>
        <w:gridCol w:w="859"/>
        <w:gridCol w:w="859"/>
        <w:gridCol w:w="857"/>
      </w:tblGrid>
      <w:tr w:rsidR="00B44672" w14:paraId="5978809D" w14:textId="77777777" w:rsidTr="000511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9" w:type="pct"/>
            <w:tcBorders>
              <w:bottom w:val="single" w:sz="0" w:space="0" w:color="auto"/>
            </w:tcBorders>
            <w:vAlign w:val="bottom"/>
          </w:tcPr>
          <w:p w14:paraId="6F8F0CC6" w14:textId="77777777" w:rsidR="00B44672" w:rsidRDefault="00B44672" w:rsidP="000511CA">
            <w:pPr>
              <w:pStyle w:val="Compact"/>
            </w:pPr>
            <w:r>
              <w:t>Income ($)</w:t>
            </w:r>
          </w:p>
        </w:tc>
        <w:tc>
          <w:tcPr>
            <w:tcW w:w="476" w:type="pct"/>
            <w:tcBorders>
              <w:bottom w:val="single" w:sz="0" w:space="0" w:color="auto"/>
            </w:tcBorders>
            <w:vAlign w:val="bottom"/>
          </w:tcPr>
          <w:p w14:paraId="5DE9EA3C"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2012</w:t>
            </w:r>
          </w:p>
        </w:tc>
        <w:tc>
          <w:tcPr>
            <w:tcW w:w="476" w:type="pct"/>
            <w:tcBorders>
              <w:bottom w:val="single" w:sz="0" w:space="0" w:color="auto"/>
            </w:tcBorders>
            <w:vAlign w:val="bottom"/>
          </w:tcPr>
          <w:p w14:paraId="71CBE59F"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2013</w:t>
            </w:r>
          </w:p>
        </w:tc>
        <w:tc>
          <w:tcPr>
            <w:tcW w:w="476" w:type="pct"/>
            <w:tcBorders>
              <w:bottom w:val="single" w:sz="0" w:space="0" w:color="auto"/>
            </w:tcBorders>
            <w:vAlign w:val="bottom"/>
          </w:tcPr>
          <w:p w14:paraId="3634FF32"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2014</w:t>
            </w:r>
          </w:p>
        </w:tc>
        <w:tc>
          <w:tcPr>
            <w:tcW w:w="476" w:type="pct"/>
            <w:tcBorders>
              <w:bottom w:val="single" w:sz="0" w:space="0" w:color="auto"/>
            </w:tcBorders>
            <w:vAlign w:val="bottom"/>
          </w:tcPr>
          <w:p w14:paraId="2A2EF383"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2015</w:t>
            </w:r>
          </w:p>
        </w:tc>
        <w:tc>
          <w:tcPr>
            <w:tcW w:w="476" w:type="pct"/>
            <w:tcBorders>
              <w:bottom w:val="single" w:sz="0" w:space="0" w:color="auto"/>
            </w:tcBorders>
            <w:vAlign w:val="bottom"/>
          </w:tcPr>
          <w:p w14:paraId="6640B3F7"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2016</w:t>
            </w:r>
          </w:p>
        </w:tc>
        <w:tc>
          <w:tcPr>
            <w:tcW w:w="476" w:type="pct"/>
            <w:tcBorders>
              <w:bottom w:val="single" w:sz="0" w:space="0" w:color="auto"/>
            </w:tcBorders>
            <w:vAlign w:val="bottom"/>
          </w:tcPr>
          <w:p w14:paraId="5B450097"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2017</w:t>
            </w:r>
          </w:p>
        </w:tc>
        <w:tc>
          <w:tcPr>
            <w:cnfStyle w:val="000100000000" w:firstRow="0" w:lastRow="0" w:firstColumn="0" w:lastColumn="1" w:oddVBand="0" w:evenVBand="0" w:oddHBand="0" w:evenHBand="0" w:firstRowFirstColumn="0" w:firstRowLastColumn="0" w:lastRowFirstColumn="0" w:lastRowLastColumn="0"/>
            <w:tcW w:w="476" w:type="pct"/>
            <w:tcBorders>
              <w:bottom w:val="single" w:sz="0" w:space="0" w:color="auto"/>
            </w:tcBorders>
            <w:vAlign w:val="bottom"/>
          </w:tcPr>
          <w:p w14:paraId="01349659" w14:textId="77777777" w:rsidR="00B44672" w:rsidRDefault="00B44672" w:rsidP="000511CA">
            <w:pPr>
              <w:pStyle w:val="Compact"/>
              <w:jc w:val="center"/>
            </w:pPr>
            <w:r>
              <w:t>2018</w:t>
            </w:r>
          </w:p>
        </w:tc>
      </w:tr>
      <w:tr w:rsidR="00B44672" w14:paraId="16DBB8A8"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669" w:type="pct"/>
          </w:tcPr>
          <w:p w14:paraId="7EEAEE49" w14:textId="77777777" w:rsidR="00B44672" w:rsidRDefault="00B44672" w:rsidP="000511CA">
            <w:pPr>
              <w:pStyle w:val="Compact"/>
            </w:pPr>
            <w:r>
              <w:t>Lower income threshold</w:t>
            </w:r>
          </w:p>
        </w:tc>
        <w:tc>
          <w:tcPr>
            <w:tcW w:w="476" w:type="pct"/>
          </w:tcPr>
          <w:p w14:paraId="15C4575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20,542</w:t>
            </w:r>
          </w:p>
        </w:tc>
        <w:tc>
          <w:tcPr>
            <w:tcW w:w="476" w:type="pct"/>
          </w:tcPr>
          <w:p w14:paraId="2858538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20,542</w:t>
            </w:r>
          </w:p>
        </w:tc>
        <w:tc>
          <w:tcPr>
            <w:tcW w:w="476" w:type="pct"/>
          </w:tcPr>
          <w:p w14:paraId="5F89BD4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20,896</w:t>
            </w:r>
          </w:p>
        </w:tc>
        <w:tc>
          <w:tcPr>
            <w:tcW w:w="476" w:type="pct"/>
          </w:tcPr>
          <w:p w14:paraId="422F5F6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21,335</w:t>
            </w:r>
          </w:p>
        </w:tc>
        <w:tc>
          <w:tcPr>
            <w:tcW w:w="476" w:type="pct"/>
          </w:tcPr>
          <w:p w14:paraId="2E6CC47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21,655</w:t>
            </w:r>
          </w:p>
        </w:tc>
        <w:tc>
          <w:tcPr>
            <w:tcW w:w="476" w:type="pct"/>
          </w:tcPr>
          <w:p w14:paraId="1DBB053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21,980</w:t>
            </w:r>
          </w:p>
        </w:tc>
        <w:tc>
          <w:tcPr>
            <w:cnfStyle w:val="000100000000" w:firstRow="0" w:lastRow="0" w:firstColumn="0" w:lastColumn="1" w:oddVBand="0" w:evenVBand="0" w:oddHBand="0" w:evenHBand="0" w:firstRowFirstColumn="0" w:firstRowLastColumn="0" w:lastRowFirstColumn="0" w:lastRowLastColumn="0"/>
            <w:tcW w:w="476" w:type="pct"/>
          </w:tcPr>
          <w:p w14:paraId="2AC30676" w14:textId="77777777" w:rsidR="00B44672" w:rsidRDefault="00B44672" w:rsidP="000511CA">
            <w:pPr>
              <w:pStyle w:val="Compact"/>
              <w:jc w:val="center"/>
            </w:pPr>
            <w:r>
              <w:t>22,398</w:t>
            </w:r>
          </w:p>
        </w:tc>
      </w:tr>
      <w:tr w:rsidR="00B44672" w14:paraId="1EBBC77E" w14:textId="77777777" w:rsidTr="000511C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9" w:type="pct"/>
          </w:tcPr>
          <w:p w14:paraId="0647CC11" w14:textId="77777777" w:rsidR="00B44672" w:rsidRDefault="00B44672" w:rsidP="000511CA">
            <w:pPr>
              <w:pStyle w:val="Compact"/>
            </w:pPr>
            <w:r>
              <w:t>Upper income threshold</w:t>
            </w:r>
          </w:p>
        </w:tc>
        <w:tc>
          <w:tcPr>
            <w:tcW w:w="476" w:type="pct"/>
          </w:tcPr>
          <w:p w14:paraId="0B6C6326"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24,167</w:t>
            </w:r>
          </w:p>
        </w:tc>
        <w:tc>
          <w:tcPr>
            <w:tcW w:w="476" w:type="pct"/>
          </w:tcPr>
          <w:p w14:paraId="58245A68"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24,167</w:t>
            </w:r>
          </w:p>
        </w:tc>
        <w:tc>
          <w:tcPr>
            <w:tcW w:w="476" w:type="pct"/>
          </w:tcPr>
          <w:p w14:paraId="05AD2B11"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26,120</w:t>
            </w:r>
          </w:p>
        </w:tc>
        <w:tc>
          <w:tcPr>
            <w:tcW w:w="476" w:type="pct"/>
          </w:tcPr>
          <w:p w14:paraId="5F59D223"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26,669</w:t>
            </w:r>
          </w:p>
        </w:tc>
        <w:tc>
          <w:tcPr>
            <w:tcW w:w="476" w:type="pct"/>
          </w:tcPr>
          <w:p w14:paraId="13DF73F1"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27,069</w:t>
            </w:r>
          </w:p>
        </w:tc>
        <w:tc>
          <w:tcPr>
            <w:tcW w:w="476" w:type="pct"/>
          </w:tcPr>
          <w:p w14:paraId="7E6F9540"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27,475</w:t>
            </w:r>
          </w:p>
        </w:tc>
        <w:tc>
          <w:tcPr>
            <w:cnfStyle w:val="000100000000" w:firstRow="0" w:lastRow="0" w:firstColumn="0" w:lastColumn="1" w:oddVBand="0" w:evenVBand="0" w:oddHBand="0" w:evenHBand="0" w:firstRowFirstColumn="0" w:firstRowLastColumn="0" w:lastRowFirstColumn="0" w:lastRowLastColumn="0"/>
            <w:tcW w:w="476" w:type="pct"/>
          </w:tcPr>
          <w:p w14:paraId="19BDBB01" w14:textId="77777777" w:rsidR="00B44672" w:rsidRDefault="00B44672" w:rsidP="000511CA">
            <w:pPr>
              <w:pStyle w:val="Compact"/>
              <w:jc w:val="center"/>
            </w:pPr>
            <w:r>
              <w:t>27,998</w:t>
            </w:r>
          </w:p>
        </w:tc>
      </w:tr>
    </w:tbl>
    <w:p w14:paraId="24E0F41B" w14:textId="77777777" w:rsidR="00B44672" w:rsidRDefault="00B44672" w:rsidP="00C83581">
      <w:pPr>
        <w:pStyle w:val="BlockText"/>
      </w:pPr>
      <w:r>
        <w:rPr>
          <w:i/>
        </w:rPr>
        <w:t>Source:</w:t>
      </w:r>
      <w:r>
        <w:t xml:space="preserve"> The ATO. </w:t>
      </w:r>
    </w:p>
    <w:p w14:paraId="650186A6" w14:textId="77777777" w:rsidR="00B44672" w:rsidRDefault="00B44672" w:rsidP="00C83581">
      <w:pPr>
        <w:pStyle w:val="BlockText"/>
      </w:pPr>
      <w:r>
        <w:rPr>
          <w:i/>
        </w:rPr>
        <w:t>Note:</w:t>
      </w:r>
      <w:r>
        <w:t xml:space="preserve"> (</w:t>
      </w:r>
      <w:proofErr w:type="spellStart"/>
      <w:r>
        <w:t>i</w:t>
      </w:r>
      <w:proofErr w:type="spellEnd"/>
      <w:r>
        <w:t xml:space="preserve">) Medicare levy = (Taxable income - Lower income threshold) </w:t>
      </w:r>
      <m:oMath>
        <m:r>
          <w:rPr>
            <w:rFonts w:ascii="Cambria Math" w:hAnsi="Cambria Math"/>
          </w:rPr>
          <m:t>×</m:t>
        </m:r>
      </m:oMath>
      <w:r>
        <w:t xml:space="preserve"> 10% if income &gt; Lower income threshold; (ii) Medicare Levy = Taxable income </w:t>
      </w:r>
      <m:oMath>
        <m:r>
          <w:rPr>
            <w:rFonts w:ascii="Cambria Math" w:hAnsi="Cambria Math"/>
          </w:rPr>
          <m:t>×</m:t>
        </m:r>
      </m:oMath>
      <w:r>
        <w:t xml:space="preserve"> 2%. </w:t>
      </w:r>
    </w:p>
    <w:p w14:paraId="06977C27" w14:textId="77777777" w:rsidR="00B44672" w:rsidRDefault="00B44672" w:rsidP="00C83581">
      <w:pPr>
        <w:pStyle w:val="TableCaption"/>
      </w:pPr>
    </w:p>
    <w:p w14:paraId="7C82A294" w14:textId="77777777" w:rsidR="00B44672" w:rsidRDefault="00B44672" w:rsidP="00C83581">
      <w:pPr>
        <w:pStyle w:val="TableCaption"/>
      </w:pPr>
      <w:r>
        <w:t>Table A10a - HEM table for couples in the ACT and NT, 2019 Q2</w:t>
      </w:r>
    </w:p>
    <w:tbl>
      <w:tblPr>
        <w:tblStyle w:val="Table"/>
        <w:tblW w:w="5000" w:type="pct"/>
        <w:jc w:val="center"/>
        <w:tblCellMar>
          <w:left w:w="0" w:type="dxa"/>
          <w:right w:w="0" w:type="dxa"/>
        </w:tblCellMar>
        <w:tblLook w:val="07E0" w:firstRow="1" w:lastRow="1" w:firstColumn="1" w:lastColumn="1" w:noHBand="1" w:noVBand="1"/>
        <w:tblCaption w:val="Table A10a - HEM table for couples in the ACT and NT, 2019 Q2"/>
      </w:tblPr>
      <w:tblGrid>
        <w:gridCol w:w="2297"/>
        <w:gridCol w:w="1036"/>
        <w:gridCol w:w="843"/>
        <w:gridCol w:w="843"/>
        <w:gridCol w:w="843"/>
        <w:gridCol w:w="843"/>
        <w:gridCol w:w="2321"/>
      </w:tblGrid>
      <w:tr w:rsidR="00B44672" w14:paraId="047769AE" w14:textId="77777777" w:rsidTr="000511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2" w:type="pct"/>
            <w:tcBorders>
              <w:bottom w:val="single" w:sz="0" w:space="0" w:color="auto"/>
            </w:tcBorders>
            <w:vAlign w:val="bottom"/>
          </w:tcPr>
          <w:p w14:paraId="3AA413BB" w14:textId="77777777" w:rsidR="00B44672" w:rsidRDefault="00B44672" w:rsidP="000511CA">
            <w:pPr>
              <w:pStyle w:val="Compact"/>
            </w:pPr>
            <w:r>
              <w:t>Income ($)</w:t>
            </w:r>
          </w:p>
        </w:tc>
        <w:tc>
          <w:tcPr>
            <w:tcW w:w="574" w:type="pct"/>
            <w:tcBorders>
              <w:bottom w:val="single" w:sz="0" w:space="0" w:color="auto"/>
            </w:tcBorders>
            <w:vAlign w:val="bottom"/>
          </w:tcPr>
          <w:p w14:paraId="4395D276"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No child</w:t>
            </w:r>
          </w:p>
        </w:tc>
        <w:tc>
          <w:tcPr>
            <w:tcW w:w="467" w:type="pct"/>
            <w:tcBorders>
              <w:bottom w:val="single" w:sz="0" w:space="0" w:color="auto"/>
            </w:tcBorders>
            <w:vAlign w:val="bottom"/>
          </w:tcPr>
          <w:p w14:paraId="65B7D76D"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1 child</w:t>
            </w:r>
          </w:p>
        </w:tc>
        <w:tc>
          <w:tcPr>
            <w:tcW w:w="467" w:type="pct"/>
            <w:tcBorders>
              <w:bottom w:val="single" w:sz="0" w:space="0" w:color="auto"/>
            </w:tcBorders>
            <w:vAlign w:val="bottom"/>
          </w:tcPr>
          <w:p w14:paraId="58D05347"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 xml:space="preserve">2 </w:t>
            </w:r>
            <w:proofErr w:type="gramStart"/>
            <w:r>
              <w:t>child</w:t>
            </w:r>
            <w:proofErr w:type="gramEnd"/>
          </w:p>
        </w:tc>
        <w:tc>
          <w:tcPr>
            <w:tcW w:w="467" w:type="pct"/>
            <w:tcBorders>
              <w:bottom w:val="single" w:sz="0" w:space="0" w:color="auto"/>
            </w:tcBorders>
            <w:vAlign w:val="bottom"/>
          </w:tcPr>
          <w:p w14:paraId="4B17AD19"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 xml:space="preserve">3 </w:t>
            </w:r>
            <w:proofErr w:type="gramStart"/>
            <w:r>
              <w:t>child</w:t>
            </w:r>
            <w:proofErr w:type="gramEnd"/>
          </w:p>
        </w:tc>
        <w:tc>
          <w:tcPr>
            <w:tcW w:w="467" w:type="pct"/>
            <w:tcBorders>
              <w:bottom w:val="single" w:sz="0" w:space="0" w:color="auto"/>
            </w:tcBorders>
            <w:vAlign w:val="bottom"/>
          </w:tcPr>
          <w:p w14:paraId="66587DE8" w14:textId="77777777" w:rsidR="00B44672" w:rsidRDefault="00B44672" w:rsidP="000511CA">
            <w:pPr>
              <w:pStyle w:val="Compact"/>
              <w:jc w:val="center"/>
              <w:cnfStyle w:val="100000000000" w:firstRow="1" w:lastRow="0" w:firstColumn="0" w:lastColumn="0" w:oddVBand="0" w:evenVBand="0" w:oddHBand="0" w:evenHBand="0" w:firstRowFirstColumn="0" w:firstRowLastColumn="0" w:lastRowFirstColumn="0" w:lastRowLastColumn="0"/>
            </w:pPr>
            <w:r>
              <w:t xml:space="preserve">4 </w:t>
            </w:r>
            <w:proofErr w:type="gramStart"/>
            <w:r>
              <w:t>child</w:t>
            </w:r>
            <w:proofErr w:type="gramEnd"/>
          </w:p>
        </w:tc>
        <w:tc>
          <w:tcPr>
            <w:cnfStyle w:val="000100000000" w:firstRow="0" w:lastRow="0" w:firstColumn="0" w:lastColumn="1" w:oddVBand="0" w:evenVBand="0" w:oddHBand="0" w:evenHBand="0" w:firstRowFirstColumn="0" w:firstRowLastColumn="0" w:lastRowFirstColumn="0" w:lastRowLastColumn="0"/>
            <w:tcW w:w="1288" w:type="pct"/>
            <w:tcBorders>
              <w:bottom w:val="single" w:sz="0" w:space="0" w:color="auto"/>
            </w:tcBorders>
            <w:vAlign w:val="bottom"/>
          </w:tcPr>
          <w:p w14:paraId="6BE327B6" w14:textId="77777777" w:rsidR="00B44672" w:rsidRDefault="00B44672" w:rsidP="000511CA">
            <w:pPr>
              <w:pStyle w:val="Compact"/>
              <w:jc w:val="center"/>
            </w:pPr>
            <w:r>
              <w:t>Each child above 4</w:t>
            </w:r>
          </w:p>
        </w:tc>
      </w:tr>
      <w:tr w:rsidR="00B44672" w14:paraId="6E545689"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272" w:type="pct"/>
          </w:tcPr>
          <w:p w14:paraId="741DF5B9" w14:textId="77777777" w:rsidR="00B44672" w:rsidRDefault="00B44672" w:rsidP="000511CA">
            <w:pPr>
              <w:pStyle w:val="Compact"/>
            </w:pPr>
            <w:r>
              <w:t>21,000 - 32,000</w:t>
            </w:r>
          </w:p>
        </w:tc>
        <w:tc>
          <w:tcPr>
            <w:tcW w:w="574" w:type="pct"/>
          </w:tcPr>
          <w:p w14:paraId="3C68BF4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2,197</w:t>
            </w:r>
          </w:p>
        </w:tc>
        <w:tc>
          <w:tcPr>
            <w:tcW w:w="467" w:type="pct"/>
          </w:tcPr>
          <w:p w14:paraId="197EF76A"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467" w:type="pct"/>
          </w:tcPr>
          <w:p w14:paraId="36E65136"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467" w:type="pct"/>
          </w:tcPr>
          <w:p w14:paraId="3CC644D5"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467" w:type="pct"/>
          </w:tcPr>
          <w:p w14:paraId="1D4B6C68"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88" w:type="pct"/>
          </w:tcPr>
          <w:p w14:paraId="718AA121" w14:textId="77777777" w:rsidR="00B44672" w:rsidRDefault="00B44672" w:rsidP="000511CA"/>
        </w:tc>
      </w:tr>
      <w:tr w:rsidR="00B44672" w14:paraId="75117F7E"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272" w:type="pct"/>
          </w:tcPr>
          <w:p w14:paraId="3488C72C" w14:textId="77777777" w:rsidR="00B44672" w:rsidRDefault="00B44672" w:rsidP="000511CA">
            <w:pPr>
              <w:pStyle w:val="Compact"/>
            </w:pPr>
            <w:r>
              <w:t>32,000 - 42,000</w:t>
            </w:r>
          </w:p>
        </w:tc>
        <w:tc>
          <w:tcPr>
            <w:tcW w:w="574" w:type="pct"/>
          </w:tcPr>
          <w:p w14:paraId="7E4DB12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2,258</w:t>
            </w:r>
          </w:p>
        </w:tc>
        <w:tc>
          <w:tcPr>
            <w:tcW w:w="467" w:type="pct"/>
          </w:tcPr>
          <w:p w14:paraId="0591508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2,573</w:t>
            </w:r>
          </w:p>
        </w:tc>
        <w:tc>
          <w:tcPr>
            <w:tcW w:w="467" w:type="pct"/>
          </w:tcPr>
          <w:p w14:paraId="32CA0EC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2,829</w:t>
            </w:r>
          </w:p>
        </w:tc>
        <w:tc>
          <w:tcPr>
            <w:tcW w:w="467" w:type="pct"/>
          </w:tcPr>
          <w:p w14:paraId="0CA4A3D6"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tcW w:w="467" w:type="pct"/>
          </w:tcPr>
          <w:p w14:paraId="232DF22E"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88" w:type="pct"/>
          </w:tcPr>
          <w:p w14:paraId="34B09359" w14:textId="77777777" w:rsidR="00B44672" w:rsidRDefault="00B44672" w:rsidP="000511CA"/>
        </w:tc>
      </w:tr>
      <w:tr w:rsidR="00B44672" w14:paraId="2EBE1F7F"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272" w:type="pct"/>
          </w:tcPr>
          <w:p w14:paraId="3B54ED86" w14:textId="77777777" w:rsidR="00B44672" w:rsidRDefault="00B44672" w:rsidP="000511CA">
            <w:pPr>
              <w:pStyle w:val="Compact"/>
            </w:pPr>
            <w:r>
              <w:t>42,000 - 53,000</w:t>
            </w:r>
          </w:p>
        </w:tc>
        <w:tc>
          <w:tcPr>
            <w:tcW w:w="574" w:type="pct"/>
          </w:tcPr>
          <w:p w14:paraId="4429051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2,343</w:t>
            </w:r>
          </w:p>
        </w:tc>
        <w:tc>
          <w:tcPr>
            <w:tcW w:w="467" w:type="pct"/>
          </w:tcPr>
          <w:p w14:paraId="74B64F2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2,658</w:t>
            </w:r>
          </w:p>
        </w:tc>
        <w:tc>
          <w:tcPr>
            <w:tcW w:w="467" w:type="pct"/>
          </w:tcPr>
          <w:p w14:paraId="110668C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2,913</w:t>
            </w:r>
          </w:p>
        </w:tc>
        <w:tc>
          <w:tcPr>
            <w:tcW w:w="467" w:type="pct"/>
          </w:tcPr>
          <w:p w14:paraId="3DEF42C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3,179</w:t>
            </w:r>
          </w:p>
        </w:tc>
        <w:tc>
          <w:tcPr>
            <w:tcW w:w="467" w:type="pct"/>
          </w:tcPr>
          <w:p w14:paraId="1EE1E95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3,444</w:t>
            </w:r>
          </w:p>
        </w:tc>
        <w:tc>
          <w:tcPr>
            <w:cnfStyle w:val="000100000000" w:firstRow="0" w:lastRow="0" w:firstColumn="0" w:lastColumn="1" w:oddVBand="0" w:evenVBand="0" w:oddHBand="0" w:evenHBand="0" w:firstRowFirstColumn="0" w:firstRowLastColumn="0" w:lastRowFirstColumn="0" w:lastRowLastColumn="0"/>
            <w:tcW w:w="1288" w:type="pct"/>
          </w:tcPr>
          <w:p w14:paraId="5BC1A404" w14:textId="77777777" w:rsidR="00B44672" w:rsidRDefault="00B44672" w:rsidP="000511CA">
            <w:pPr>
              <w:pStyle w:val="Compact"/>
              <w:jc w:val="center"/>
            </w:pPr>
            <w:r>
              <w:t>265</w:t>
            </w:r>
          </w:p>
        </w:tc>
      </w:tr>
      <w:tr w:rsidR="00B44672" w14:paraId="04FD935F"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272" w:type="pct"/>
          </w:tcPr>
          <w:p w14:paraId="4ECB1025" w14:textId="77777777" w:rsidR="00B44672" w:rsidRDefault="00B44672" w:rsidP="000511CA">
            <w:pPr>
              <w:pStyle w:val="Compact"/>
            </w:pPr>
            <w:r>
              <w:t>53,000 - 63000</w:t>
            </w:r>
          </w:p>
        </w:tc>
        <w:tc>
          <w:tcPr>
            <w:tcW w:w="574" w:type="pct"/>
          </w:tcPr>
          <w:p w14:paraId="5F37407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2,510</w:t>
            </w:r>
          </w:p>
        </w:tc>
        <w:tc>
          <w:tcPr>
            <w:tcW w:w="467" w:type="pct"/>
          </w:tcPr>
          <w:p w14:paraId="65B0298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2,825</w:t>
            </w:r>
          </w:p>
        </w:tc>
        <w:tc>
          <w:tcPr>
            <w:tcW w:w="467" w:type="pct"/>
          </w:tcPr>
          <w:p w14:paraId="32372C1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3,079</w:t>
            </w:r>
          </w:p>
        </w:tc>
        <w:tc>
          <w:tcPr>
            <w:tcW w:w="467" w:type="pct"/>
          </w:tcPr>
          <w:p w14:paraId="09A4343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3,346</w:t>
            </w:r>
          </w:p>
        </w:tc>
        <w:tc>
          <w:tcPr>
            <w:tcW w:w="467" w:type="pct"/>
          </w:tcPr>
          <w:p w14:paraId="7B74207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3,613</w:t>
            </w:r>
          </w:p>
        </w:tc>
        <w:tc>
          <w:tcPr>
            <w:cnfStyle w:val="000100000000" w:firstRow="0" w:lastRow="0" w:firstColumn="0" w:lastColumn="1" w:oddVBand="0" w:evenVBand="0" w:oddHBand="0" w:evenHBand="0" w:firstRowFirstColumn="0" w:firstRowLastColumn="0" w:lastRowFirstColumn="0" w:lastRowLastColumn="0"/>
            <w:tcW w:w="1288" w:type="pct"/>
          </w:tcPr>
          <w:p w14:paraId="310E19B9" w14:textId="77777777" w:rsidR="00B44672" w:rsidRDefault="00B44672" w:rsidP="000511CA">
            <w:pPr>
              <w:pStyle w:val="Compact"/>
              <w:jc w:val="center"/>
            </w:pPr>
            <w:r>
              <w:t>267</w:t>
            </w:r>
          </w:p>
        </w:tc>
      </w:tr>
      <w:tr w:rsidR="00B44672" w14:paraId="3362B3B8"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272" w:type="pct"/>
          </w:tcPr>
          <w:p w14:paraId="0F0B49BA" w14:textId="77777777" w:rsidR="00B44672" w:rsidRDefault="00B44672" w:rsidP="000511CA">
            <w:pPr>
              <w:pStyle w:val="Compact"/>
            </w:pPr>
            <w:r>
              <w:t>63,000 - 85,000</w:t>
            </w:r>
          </w:p>
        </w:tc>
        <w:tc>
          <w:tcPr>
            <w:tcW w:w="574" w:type="pct"/>
          </w:tcPr>
          <w:p w14:paraId="3F18307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2,730</w:t>
            </w:r>
          </w:p>
        </w:tc>
        <w:tc>
          <w:tcPr>
            <w:tcW w:w="467" w:type="pct"/>
          </w:tcPr>
          <w:p w14:paraId="1E086BE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3,045</w:t>
            </w:r>
          </w:p>
        </w:tc>
        <w:tc>
          <w:tcPr>
            <w:tcW w:w="467" w:type="pct"/>
          </w:tcPr>
          <w:p w14:paraId="441F22A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3,297</w:t>
            </w:r>
          </w:p>
        </w:tc>
        <w:tc>
          <w:tcPr>
            <w:tcW w:w="467" w:type="pct"/>
          </w:tcPr>
          <w:p w14:paraId="798135E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3,566</w:t>
            </w:r>
          </w:p>
        </w:tc>
        <w:tc>
          <w:tcPr>
            <w:tcW w:w="467" w:type="pct"/>
          </w:tcPr>
          <w:p w14:paraId="6CFF06C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3,835</w:t>
            </w:r>
          </w:p>
        </w:tc>
        <w:tc>
          <w:tcPr>
            <w:cnfStyle w:val="000100000000" w:firstRow="0" w:lastRow="0" w:firstColumn="0" w:lastColumn="1" w:oddVBand="0" w:evenVBand="0" w:oddHBand="0" w:evenHBand="0" w:firstRowFirstColumn="0" w:firstRowLastColumn="0" w:lastRowFirstColumn="0" w:lastRowLastColumn="0"/>
            <w:tcW w:w="1288" w:type="pct"/>
          </w:tcPr>
          <w:p w14:paraId="0EB43BB1" w14:textId="77777777" w:rsidR="00B44672" w:rsidRDefault="00B44672" w:rsidP="000511CA">
            <w:pPr>
              <w:pStyle w:val="Compact"/>
              <w:jc w:val="center"/>
            </w:pPr>
            <w:r>
              <w:t>269</w:t>
            </w:r>
          </w:p>
        </w:tc>
      </w:tr>
      <w:tr w:rsidR="00B44672" w14:paraId="710F22F7"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272" w:type="pct"/>
          </w:tcPr>
          <w:p w14:paraId="6C955915" w14:textId="77777777" w:rsidR="00B44672" w:rsidRDefault="00B44672" w:rsidP="000511CA">
            <w:pPr>
              <w:pStyle w:val="Compact"/>
            </w:pPr>
            <w:r>
              <w:t>85,000 - 106,000</w:t>
            </w:r>
          </w:p>
        </w:tc>
        <w:tc>
          <w:tcPr>
            <w:tcW w:w="574" w:type="pct"/>
          </w:tcPr>
          <w:p w14:paraId="3887602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3,028</w:t>
            </w:r>
          </w:p>
        </w:tc>
        <w:tc>
          <w:tcPr>
            <w:tcW w:w="467" w:type="pct"/>
          </w:tcPr>
          <w:p w14:paraId="3C80BD2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3,344</w:t>
            </w:r>
          </w:p>
        </w:tc>
        <w:tc>
          <w:tcPr>
            <w:tcW w:w="467" w:type="pct"/>
          </w:tcPr>
          <w:p w14:paraId="31E5DDE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3,594</w:t>
            </w:r>
          </w:p>
        </w:tc>
        <w:tc>
          <w:tcPr>
            <w:tcW w:w="467" w:type="pct"/>
          </w:tcPr>
          <w:p w14:paraId="5A7EEB7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3,866</w:t>
            </w:r>
          </w:p>
        </w:tc>
        <w:tc>
          <w:tcPr>
            <w:tcW w:w="467" w:type="pct"/>
          </w:tcPr>
          <w:p w14:paraId="521C1A6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4,137</w:t>
            </w:r>
          </w:p>
        </w:tc>
        <w:tc>
          <w:tcPr>
            <w:cnfStyle w:val="000100000000" w:firstRow="0" w:lastRow="0" w:firstColumn="0" w:lastColumn="1" w:oddVBand="0" w:evenVBand="0" w:oddHBand="0" w:evenHBand="0" w:firstRowFirstColumn="0" w:firstRowLastColumn="0" w:lastRowFirstColumn="0" w:lastRowLastColumn="0"/>
            <w:tcW w:w="1288" w:type="pct"/>
          </w:tcPr>
          <w:p w14:paraId="1B2EE4E0" w14:textId="77777777" w:rsidR="00B44672" w:rsidRDefault="00B44672" w:rsidP="000511CA">
            <w:pPr>
              <w:pStyle w:val="Compact"/>
              <w:jc w:val="center"/>
            </w:pPr>
            <w:r>
              <w:t>271</w:t>
            </w:r>
          </w:p>
        </w:tc>
      </w:tr>
      <w:tr w:rsidR="00B44672" w14:paraId="6BC94708"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272" w:type="pct"/>
          </w:tcPr>
          <w:p w14:paraId="6CBD4368" w14:textId="77777777" w:rsidR="00B44672" w:rsidRDefault="00B44672" w:rsidP="000511CA">
            <w:pPr>
              <w:pStyle w:val="Compact"/>
            </w:pPr>
            <w:r>
              <w:t>106,000 - 127,000</w:t>
            </w:r>
          </w:p>
        </w:tc>
        <w:tc>
          <w:tcPr>
            <w:tcW w:w="574" w:type="pct"/>
          </w:tcPr>
          <w:p w14:paraId="33CFD95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3,259</w:t>
            </w:r>
          </w:p>
        </w:tc>
        <w:tc>
          <w:tcPr>
            <w:tcW w:w="467" w:type="pct"/>
          </w:tcPr>
          <w:p w14:paraId="47D2332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3,574</w:t>
            </w:r>
          </w:p>
        </w:tc>
        <w:tc>
          <w:tcPr>
            <w:tcW w:w="467" w:type="pct"/>
          </w:tcPr>
          <w:p w14:paraId="66022B4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3,823</w:t>
            </w:r>
          </w:p>
        </w:tc>
        <w:tc>
          <w:tcPr>
            <w:tcW w:w="467" w:type="pct"/>
          </w:tcPr>
          <w:p w14:paraId="7C42114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4,097</w:t>
            </w:r>
          </w:p>
        </w:tc>
        <w:tc>
          <w:tcPr>
            <w:tcW w:w="467" w:type="pct"/>
          </w:tcPr>
          <w:p w14:paraId="0D9E11F6"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4,370</w:t>
            </w:r>
          </w:p>
        </w:tc>
        <w:tc>
          <w:tcPr>
            <w:cnfStyle w:val="000100000000" w:firstRow="0" w:lastRow="0" w:firstColumn="0" w:lastColumn="1" w:oddVBand="0" w:evenVBand="0" w:oddHBand="0" w:evenHBand="0" w:firstRowFirstColumn="0" w:firstRowLastColumn="0" w:lastRowFirstColumn="0" w:lastRowLastColumn="0"/>
            <w:tcW w:w="1288" w:type="pct"/>
          </w:tcPr>
          <w:p w14:paraId="0423C856" w14:textId="77777777" w:rsidR="00B44672" w:rsidRDefault="00B44672" w:rsidP="000511CA">
            <w:pPr>
              <w:pStyle w:val="Compact"/>
              <w:jc w:val="center"/>
            </w:pPr>
            <w:r>
              <w:t>273</w:t>
            </w:r>
          </w:p>
        </w:tc>
      </w:tr>
      <w:tr w:rsidR="00B44672" w14:paraId="25DAD9DC"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272" w:type="pct"/>
          </w:tcPr>
          <w:p w14:paraId="23B6FC2A" w14:textId="77777777" w:rsidR="00B44672" w:rsidRDefault="00B44672" w:rsidP="000511CA">
            <w:pPr>
              <w:pStyle w:val="Compact"/>
            </w:pPr>
            <w:r>
              <w:t>127,000 - 148,000</w:t>
            </w:r>
          </w:p>
        </w:tc>
        <w:tc>
          <w:tcPr>
            <w:tcW w:w="574" w:type="pct"/>
          </w:tcPr>
          <w:p w14:paraId="3DF48D4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3,665</w:t>
            </w:r>
          </w:p>
        </w:tc>
        <w:tc>
          <w:tcPr>
            <w:tcW w:w="467" w:type="pct"/>
          </w:tcPr>
          <w:p w14:paraId="69DCDB9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3,980</w:t>
            </w:r>
          </w:p>
        </w:tc>
        <w:tc>
          <w:tcPr>
            <w:tcW w:w="467" w:type="pct"/>
          </w:tcPr>
          <w:p w14:paraId="58E056C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4,227</w:t>
            </w:r>
          </w:p>
        </w:tc>
        <w:tc>
          <w:tcPr>
            <w:tcW w:w="467" w:type="pct"/>
          </w:tcPr>
          <w:p w14:paraId="316D782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4,503</w:t>
            </w:r>
          </w:p>
        </w:tc>
        <w:tc>
          <w:tcPr>
            <w:tcW w:w="467" w:type="pct"/>
          </w:tcPr>
          <w:p w14:paraId="4FA7D0BA"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4,780</w:t>
            </w:r>
          </w:p>
        </w:tc>
        <w:tc>
          <w:tcPr>
            <w:cnfStyle w:val="000100000000" w:firstRow="0" w:lastRow="0" w:firstColumn="0" w:lastColumn="1" w:oddVBand="0" w:evenVBand="0" w:oddHBand="0" w:evenHBand="0" w:firstRowFirstColumn="0" w:firstRowLastColumn="0" w:lastRowFirstColumn="0" w:lastRowLastColumn="0"/>
            <w:tcW w:w="1288" w:type="pct"/>
          </w:tcPr>
          <w:p w14:paraId="73FF57DE" w14:textId="77777777" w:rsidR="00B44672" w:rsidRDefault="00B44672" w:rsidP="000511CA">
            <w:pPr>
              <w:pStyle w:val="Compact"/>
              <w:jc w:val="center"/>
            </w:pPr>
            <w:r>
              <w:t>277</w:t>
            </w:r>
          </w:p>
        </w:tc>
      </w:tr>
      <w:tr w:rsidR="00B44672" w14:paraId="57043124"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272" w:type="pct"/>
          </w:tcPr>
          <w:p w14:paraId="57E48A49" w14:textId="77777777" w:rsidR="00B44672" w:rsidRDefault="00B44672" w:rsidP="000511CA">
            <w:pPr>
              <w:pStyle w:val="Compact"/>
            </w:pPr>
            <w:r>
              <w:t>148,000 - 169,000</w:t>
            </w:r>
          </w:p>
        </w:tc>
        <w:tc>
          <w:tcPr>
            <w:tcW w:w="574" w:type="pct"/>
          </w:tcPr>
          <w:p w14:paraId="759A09A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3,821</w:t>
            </w:r>
          </w:p>
        </w:tc>
        <w:tc>
          <w:tcPr>
            <w:tcW w:w="467" w:type="pct"/>
          </w:tcPr>
          <w:p w14:paraId="3171448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4,136</w:t>
            </w:r>
          </w:p>
        </w:tc>
        <w:tc>
          <w:tcPr>
            <w:tcW w:w="467" w:type="pct"/>
          </w:tcPr>
          <w:p w14:paraId="615EC86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4,382</w:t>
            </w:r>
          </w:p>
        </w:tc>
        <w:tc>
          <w:tcPr>
            <w:tcW w:w="467" w:type="pct"/>
          </w:tcPr>
          <w:p w14:paraId="0C3C188E"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4,660</w:t>
            </w:r>
          </w:p>
        </w:tc>
        <w:tc>
          <w:tcPr>
            <w:tcW w:w="467" w:type="pct"/>
          </w:tcPr>
          <w:p w14:paraId="7886A4F9"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4,938</w:t>
            </w:r>
          </w:p>
        </w:tc>
        <w:tc>
          <w:tcPr>
            <w:cnfStyle w:val="000100000000" w:firstRow="0" w:lastRow="0" w:firstColumn="0" w:lastColumn="1" w:oddVBand="0" w:evenVBand="0" w:oddHBand="0" w:evenHBand="0" w:firstRowFirstColumn="0" w:firstRowLastColumn="0" w:lastRowFirstColumn="0" w:lastRowLastColumn="0"/>
            <w:tcW w:w="1288" w:type="pct"/>
          </w:tcPr>
          <w:p w14:paraId="6073D6CC" w14:textId="77777777" w:rsidR="00B44672" w:rsidRDefault="00B44672" w:rsidP="000511CA">
            <w:pPr>
              <w:pStyle w:val="Compact"/>
              <w:jc w:val="center"/>
            </w:pPr>
            <w:r>
              <w:t>278</w:t>
            </w:r>
          </w:p>
        </w:tc>
      </w:tr>
      <w:tr w:rsidR="00B44672" w14:paraId="53ABAB0B"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272" w:type="pct"/>
          </w:tcPr>
          <w:p w14:paraId="56DE1488" w14:textId="77777777" w:rsidR="00B44672" w:rsidRDefault="00B44672" w:rsidP="000511CA">
            <w:pPr>
              <w:pStyle w:val="Compact"/>
            </w:pPr>
            <w:r>
              <w:t>169,000 - 211,000</w:t>
            </w:r>
          </w:p>
        </w:tc>
        <w:tc>
          <w:tcPr>
            <w:tcW w:w="574" w:type="pct"/>
          </w:tcPr>
          <w:p w14:paraId="20C6992C"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3,981</w:t>
            </w:r>
          </w:p>
        </w:tc>
        <w:tc>
          <w:tcPr>
            <w:tcW w:w="467" w:type="pct"/>
          </w:tcPr>
          <w:p w14:paraId="7DEEF8CF"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4,296</w:t>
            </w:r>
          </w:p>
        </w:tc>
        <w:tc>
          <w:tcPr>
            <w:tcW w:w="467" w:type="pct"/>
          </w:tcPr>
          <w:p w14:paraId="53CC168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4,540</w:t>
            </w:r>
          </w:p>
        </w:tc>
        <w:tc>
          <w:tcPr>
            <w:tcW w:w="467" w:type="pct"/>
          </w:tcPr>
          <w:p w14:paraId="5788561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4,820</w:t>
            </w:r>
          </w:p>
        </w:tc>
        <w:tc>
          <w:tcPr>
            <w:tcW w:w="467" w:type="pct"/>
          </w:tcPr>
          <w:p w14:paraId="245A7FAD"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5,099</w:t>
            </w:r>
          </w:p>
        </w:tc>
        <w:tc>
          <w:tcPr>
            <w:cnfStyle w:val="000100000000" w:firstRow="0" w:lastRow="0" w:firstColumn="0" w:lastColumn="1" w:oddVBand="0" w:evenVBand="0" w:oddHBand="0" w:evenHBand="0" w:firstRowFirstColumn="0" w:firstRowLastColumn="0" w:lastRowFirstColumn="0" w:lastRowLastColumn="0"/>
            <w:tcW w:w="1288" w:type="pct"/>
          </w:tcPr>
          <w:p w14:paraId="3EE0DDD9" w14:textId="77777777" w:rsidR="00B44672" w:rsidRDefault="00B44672" w:rsidP="000511CA">
            <w:pPr>
              <w:pStyle w:val="Compact"/>
              <w:jc w:val="center"/>
            </w:pPr>
            <w:r>
              <w:t>279</w:t>
            </w:r>
          </w:p>
        </w:tc>
      </w:tr>
      <w:tr w:rsidR="00B44672" w14:paraId="5A65424F"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272" w:type="pct"/>
          </w:tcPr>
          <w:p w14:paraId="7BCD9D55" w14:textId="77777777" w:rsidR="00B44672" w:rsidRDefault="00B44672" w:rsidP="000511CA">
            <w:pPr>
              <w:pStyle w:val="Compact"/>
            </w:pPr>
            <w:r>
              <w:t>211,000 - 264,000</w:t>
            </w:r>
          </w:p>
        </w:tc>
        <w:tc>
          <w:tcPr>
            <w:tcW w:w="574" w:type="pct"/>
          </w:tcPr>
          <w:p w14:paraId="1A19CC01"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4,409</w:t>
            </w:r>
          </w:p>
        </w:tc>
        <w:tc>
          <w:tcPr>
            <w:tcW w:w="467" w:type="pct"/>
          </w:tcPr>
          <w:p w14:paraId="6AB3FB3B"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4,724</w:t>
            </w:r>
          </w:p>
        </w:tc>
        <w:tc>
          <w:tcPr>
            <w:tcW w:w="467" w:type="pct"/>
          </w:tcPr>
          <w:p w14:paraId="15BA0178"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4,966</w:t>
            </w:r>
          </w:p>
        </w:tc>
        <w:tc>
          <w:tcPr>
            <w:tcW w:w="467" w:type="pct"/>
          </w:tcPr>
          <w:p w14:paraId="1BD715D0"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5,249</w:t>
            </w:r>
          </w:p>
        </w:tc>
        <w:tc>
          <w:tcPr>
            <w:tcW w:w="467" w:type="pct"/>
          </w:tcPr>
          <w:p w14:paraId="256C8F6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5,532</w:t>
            </w:r>
          </w:p>
        </w:tc>
        <w:tc>
          <w:tcPr>
            <w:cnfStyle w:val="000100000000" w:firstRow="0" w:lastRow="0" w:firstColumn="0" w:lastColumn="1" w:oddVBand="0" w:evenVBand="0" w:oddHBand="0" w:evenHBand="0" w:firstRowFirstColumn="0" w:firstRowLastColumn="0" w:lastRowFirstColumn="0" w:lastRowLastColumn="0"/>
            <w:tcW w:w="1288" w:type="pct"/>
          </w:tcPr>
          <w:p w14:paraId="50C616CB" w14:textId="77777777" w:rsidR="00B44672" w:rsidRDefault="00B44672" w:rsidP="000511CA">
            <w:pPr>
              <w:pStyle w:val="Compact"/>
              <w:jc w:val="center"/>
            </w:pPr>
            <w:r>
              <w:t>283</w:t>
            </w:r>
          </w:p>
        </w:tc>
      </w:tr>
      <w:tr w:rsidR="00B44672" w14:paraId="43BB9332"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272" w:type="pct"/>
          </w:tcPr>
          <w:p w14:paraId="79ADC55C" w14:textId="77777777" w:rsidR="00B44672" w:rsidRDefault="00B44672" w:rsidP="000511CA">
            <w:pPr>
              <w:pStyle w:val="Compact"/>
            </w:pPr>
            <w:r>
              <w:t>264,000 - 317,000</w:t>
            </w:r>
          </w:p>
        </w:tc>
        <w:tc>
          <w:tcPr>
            <w:tcW w:w="574" w:type="pct"/>
          </w:tcPr>
          <w:p w14:paraId="1A795382"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4,975</w:t>
            </w:r>
          </w:p>
        </w:tc>
        <w:tc>
          <w:tcPr>
            <w:tcW w:w="467" w:type="pct"/>
          </w:tcPr>
          <w:p w14:paraId="3B856A1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5,290</w:t>
            </w:r>
          </w:p>
        </w:tc>
        <w:tc>
          <w:tcPr>
            <w:tcW w:w="467" w:type="pct"/>
          </w:tcPr>
          <w:p w14:paraId="084388E4"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5,528</w:t>
            </w:r>
          </w:p>
        </w:tc>
        <w:tc>
          <w:tcPr>
            <w:tcW w:w="467" w:type="pct"/>
          </w:tcPr>
          <w:p w14:paraId="21E73D77"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5,816</w:t>
            </w:r>
          </w:p>
        </w:tc>
        <w:tc>
          <w:tcPr>
            <w:tcW w:w="467" w:type="pct"/>
          </w:tcPr>
          <w:p w14:paraId="3F2DBF45" w14:textId="77777777" w:rsidR="00B44672" w:rsidRDefault="00B44672" w:rsidP="000511CA">
            <w:pPr>
              <w:pStyle w:val="Compact"/>
              <w:jc w:val="center"/>
              <w:cnfStyle w:val="000000000000" w:firstRow="0" w:lastRow="0" w:firstColumn="0" w:lastColumn="0" w:oddVBand="0" w:evenVBand="0" w:oddHBand="0" w:evenHBand="0" w:firstRowFirstColumn="0" w:firstRowLastColumn="0" w:lastRowFirstColumn="0" w:lastRowLastColumn="0"/>
            </w:pPr>
            <w:r>
              <w:t>6,103</w:t>
            </w:r>
          </w:p>
        </w:tc>
        <w:tc>
          <w:tcPr>
            <w:cnfStyle w:val="000100000000" w:firstRow="0" w:lastRow="0" w:firstColumn="0" w:lastColumn="1" w:oddVBand="0" w:evenVBand="0" w:oddHBand="0" w:evenHBand="0" w:firstRowFirstColumn="0" w:firstRowLastColumn="0" w:lastRowFirstColumn="0" w:lastRowLastColumn="0"/>
            <w:tcW w:w="1288" w:type="pct"/>
          </w:tcPr>
          <w:p w14:paraId="590F8704" w14:textId="77777777" w:rsidR="00B44672" w:rsidRDefault="00B44672" w:rsidP="000511CA">
            <w:pPr>
              <w:pStyle w:val="Compact"/>
              <w:jc w:val="center"/>
            </w:pPr>
            <w:r>
              <w:t>288</w:t>
            </w:r>
          </w:p>
        </w:tc>
      </w:tr>
      <w:tr w:rsidR="00B44672" w14:paraId="43D5EB30" w14:textId="77777777" w:rsidTr="000511C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2" w:type="pct"/>
          </w:tcPr>
          <w:p w14:paraId="0E0AD0D7" w14:textId="77777777" w:rsidR="00B44672" w:rsidRDefault="00B44672" w:rsidP="000511CA">
            <w:pPr>
              <w:pStyle w:val="Compact"/>
            </w:pPr>
            <m:oMath>
              <m:r>
                <w:rPr>
                  <w:rFonts w:ascii="Cambria Math" w:hAnsi="Cambria Math"/>
                </w:rPr>
                <m:t>≥</m:t>
              </m:r>
            </m:oMath>
            <w:r>
              <w:t xml:space="preserve"> 317,000</w:t>
            </w:r>
          </w:p>
        </w:tc>
        <w:tc>
          <w:tcPr>
            <w:tcW w:w="574" w:type="pct"/>
          </w:tcPr>
          <w:p w14:paraId="4FFA7C41"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5,145</w:t>
            </w:r>
          </w:p>
        </w:tc>
        <w:tc>
          <w:tcPr>
            <w:tcW w:w="467" w:type="pct"/>
          </w:tcPr>
          <w:p w14:paraId="577DB3A3"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5,460</w:t>
            </w:r>
          </w:p>
        </w:tc>
        <w:tc>
          <w:tcPr>
            <w:tcW w:w="467" w:type="pct"/>
          </w:tcPr>
          <w:p w14:paraId="0C614EE2"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5,697</w:t>
            </w:r>
          </w:p>
        </w:tc>
        <w:tc>
          <w:tcPr>
            <w:tcW w:w="467" w:type="pct"/>
          </w:tcPr>
          <w:p w14:paraId="0C1BDF57"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5,987</w:t>
            </w:r>
          </w:p>
        </w:tc>
        <w:tc>
          <w:tcPr>
            <w:tcW w:w="467" w:type="pct"/>
          </w:tcPr>
          <w:p w14:paraId="2453B8AA" w14:textId="77777777" w:rsidR="00B44672" w:rsidRDefault="00B44672" w:rsidP="000511CA">
            <w:pPr>
              <w:pStyle w:val="Compact"/>
              <w:jc w:val="center"/>
              <w:cnfStyle w:val="010000000000" w:firstRow="0" w:lastRow="1" w:firstColumn="0" w:lastColumn="0" w:oddVBand="0" w:evenVBand="0" w:oddHBand="0" w:evenHBand="0" w:firstRowFirstColumn="0" w:firstRowLastColumn="0" w:lastRowFirstColumn="0" w:lastRowLastColumn="0"/>
            </w:pPr>
            <w:r>
              <w:t>6,276</w:t>
            </w:r>
          </w:p>
        </w:tc>
        <w:tc>
          <w:tcPr>
            <w:cnfStyle w:val="000100000000" w:firstRow="0" w:lastRow="0" w:firstColumn="0" w:lastColumn="1" w:oddVBand="0" w:evenVBand="0" w:oddHBand="0" w:evenHBand="0" w:firstRowFirstColumn="0" w:firstRowLastColumn="0" w:lastRowFirstColumn="0" w:lastRowLastColumn="0"/>
            <w:tcW w:w="1288" w:type="pct"/>
          </w:tcPr>
          <w:p w14:paraId="3AE0241B" w14:textId="77777777" w:rsidR="00B44672" w:rsidRDefault="00B44672" w:rsidP="000511CA">
            <w:pPr>
              <w:pStyle w:val="Compact"/>
              <w:jc w:val="center"/>
            </w:pPr>
            <w:r>
              <w:t>289</w:t>
            </w:r>
          </w:p>
        </w:tc>
      </w:tr>
    </w:tbl>
    <w:p w14:paraId="00AC5FF1" w14:textId="77777777" w:rsidR="00B44672" w:rsidRDefault="00B44672" w:rsidP="00C83581">
      <w:pPr>
        <w:pStyle w:val="BlockText"/>
      </w:pPr>
      <w:r>
        <w:rPr>
          <w:i/>
        </w:rPr>
        <w:t>Sources:</w:t>
      </w:r>
      <w:r>
        <w:t xml:space="preserve"> </w:t>
      </w:r>
      <w:hyperlink r:id="rId16">
        <w:r>
          <w:rPr>
            <w:rStyle w:val="Hyperlink"/>
          </w:rPr>
          <w:t>The home loan expert website</w:t>
        </w:r>
      </w:hyperlink>
      <w:r>
        <w:t>.</w:t>
      </w:r>
    </w:p>
    <w:p w14:paraId="6FE9494F" w14:textId="77777777" w:rsidR="00B44672" w:rsidRDefault="00B44672">
      <w:pPr>
        <w:jc w:val="left"/>
        <w:rPr>
          <w:b/>
          <w:i/>
          <w:color w:val="365F91" w:themeColor="accent1" w:themeShade="BF"/>
        </w:rPr>
      </w:pPr>
      <w:r>
        <w:br w:type="page"/>
      </w:r>
    </w:p>
    <w:p w14:paraId="63AE54B5" w14:textId="77777777" w:rsidR="00B44672" w:rsidRDefault="00B44672" w:rsidP="00C83581">
      <w:pPr>
        <w:pStyle w:val="TableCaption"/>
      </w:pPr>
      <w:r>
        <w:lastRenderedPageBreak/>
        <w:t>Table A10b - HEM table for singles in the ACT and NT, 2019 Q2</w:t>
      </w:r>
    </w:p>
    <w:tbl>
      <w:tblPr>
        <w:tblStyle w:val="Table"/>
        <w:tblW w:w="5000" w:type="pct"/>
        <w:jc w:val="center"/>
        <w:tblCellMar>
          <w:left w:w="0" w:type="dxa"/>
          <w:right w:w="0" w:type="dxa"/>
        </w:tblCellMar>
        <w:tblLook w:val="07E0" w:firstRow="1" w:lastRow="1" w:firstColumn="1" w:lastColumn="1" w:noHBand="1" w:noVBand="1"/>
        <w:tblCaption w:val="Table A10b - HEM table for singles in the ACT and NT, 2019 Q2"/>
      </w:tblPr>
      <w:tblGrid>
        <w:gridCol w:w="3093"/>
        <w:gridCol w:w="1396"/>
        <w:gridCol w:w="1135"/>
        <w:gridCol w:w="1135"/>
        <w:gridCol w:w="1135"/>
        <w:gridCol w:w="1132"/>
      </w:tblGrid>
      <w:tr w:rsidR="00B44672" w14:paraId="27C97FAE" w14:textId="77777777" w:rsidTr="000511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tcBorders>
              <w:bottom w:val="single" w:sz="0" w:space="0" w:color="auto"/>
            </w:tcBorders>
            <w:vAlign w:val="bottom"/>
          </w:tcPr>
          <w:p w14:paraId="31F4969F" w14:textId="77777777" w:rsidR="00B44672" w:rsidRDefault="00B44672" w:rsidP="000511CA">
            <w:pPr>
              <w:pStyle w:val="Compact"/>
            </w:pPr>
            <w:r>
              <w:t>Income ($)</w:t>
            </w:r>
          </w:p>
        </w:tc>
        <w:tc>
          <w:tcPr>
            <w:tcW w:w="773" w:type="pct"/>
            <w:tcBorders>
              <w:bottom w:val="single" w:sz="0" w:space="0" w:color="auto"/>
            </w:tcBorders>
            <w:vAlign w:val="bottom"/>
          </w:tcPr>
          <w:p w14:paraId="0F4316B3" w14:textId="77777777" w:rsidR="00B44672" w:rsidRDefault="00B44672" w:rsidP="000511CA">
            <w:pPr>
              <w:pStyle w:val="Compact"/>
              <w:cnfStyle w:val="100000000000" w:firstRow="1" w:lastRow="0" w:firstColumn="0" w:lastColumn="0" w:oddVBand="0" w:evenVBand="0" w:oddHBand="0" w:evenHBand="0" w:firstRowFirstColumn="0" w:firstRowLastColumn="0" w:lastRowFirstColumn="0" w:lastRowLastColumn="0"/>
            </w:pPr>
            <w:r>
              <w:t>No child</w:t>
            </w:r>
          </w:p>
        </w:tc>
        <w:tc>
          <w:tcPr>
            <w:tcW w:w="629" w:type="pct"/>
            <w:tcBorders>
              <w:bottom w:val="single" w:sz="0" w:space="0" w:color="auto"/>
            </w:tcBorders>
            <w:vAlign w:val="bottom"/>
          </w:tcPr>
          <w:p w14:paraId="1BCA88B4" w14:textId="77777777" w:rsidR="00B44672" w:rsidRDefault="00B44672" w:rsidP="000511CA">
            <w:pPr>
              <w:pStyle w:val="Compact"/>
              <w:cnfStyle w:val="100000000000" w:firstRow="1" w:lastRow="0" w:firstColumn="0" w:lastColumn="0" w:oddVBand="0" w:evenVBand="0" w:oddHBand="0" w:evenHBand="0" w:firstRowFirstColumn="0" w:firstRowLastColumn="0" w:lastRowFirstColumn="0" w:lastRowLastColumn="0"/>
            </w:pPr>
            <w:r>
              <w:t>1 child</w:t>
            </w:r>
          </w:p>
        </w:tc>
        <w:tc>
          <w:tcPr>
            <w:tcW w:w="629" w:type="pct"/>
            <w:tcBorders>
              <w:bottom w:val="single" w:sz="0" w:space="0" w:color="auto"/>
            </w:tcBorders>
            <w:vAlign w:val="bottom"/>
          </w:tcPr>
          <w:p w14:paraId="43EB134B" w14:textId="77777777" w:rsidR="00B44672" w:rsidRDefault="00B44672" w:rsidP="000511CA">
            <w:pPr>
              <w:pStyle w:val="Compact"/>
              <w:cnfStyle w:val="100000000000" w:firstRow="1" w:lastRow="0" w:firstColumn="0" w:lastColumn="0" w:oddVBand="0" w:evenVBand="0" w:oddHBand="0" w:evenHBand="0" w:firstRowFirstColumn="0" w:firstRowLastColumn="0" w:lastRowFirstColumn="0" w:lastRowLastColumn="0"/>
            </w:pPr>
            <w:r>
              <w:t xml:space="preserve">2 </w:t>
            </w:r>
            <w:proofErr w:type="gramStart"/>
            <w:r>
              <w:t>child</w:t>
            </w:r>
            <w:proofErr w:type="gramEnd"/>
          </w:p>
        </w:tc>
        <w:tc>
          <w:tcPr>
            <w:tcW w:w="629" w:type="pct"/>
            <w:tcBorders>
              <w:bottom w:val="single" w:sz="0" w:space="0" w:color="auto"/>
            </w:tcBorders>
            <w:vAlign w:val="bottom"/>
          </w:tcPr>
          <w:p w14:paraId="2C4FFD0A" w14:textId="77777777" w:rsidR="00B44672" w:rsidRDefault="00B44672" w:rsidP="000511CA">
            <w:pPr>
              <w:pStyle w:val="Compact"/>
              <w:cnfStyle w:val="100000000000" w:firstRow="1" w:lastRow="0" w:firstColumn="0" w:lastColumn="0" w:oddVBand="0" w:evenVBand="0" w:oddHBand="0" w:evenHBand="0" w:firstRowFirstColumn="0" w:firstRowLastColumn="0" w:lastRowFirstColumn="0" w:lastRowLastColumn="0"/>
            </w:pPr>
            <w:r>
              <w:t xml:space="preserve">3 </w:t>
            </w:r>
            <w:proofErr w:type="gramStart"/>
            <w:r>
              <w:t>child</w:t>
            </w:r>
            <w:proofErr w:type="gramEnd"/>
          </w:p>
        </w:tc>
        <w:tc>
          <w:tcPr>
            <w:cnfStyle w:val="000100000000" w:firstRow="0" w:lastRow="0" w:firstColumn="0" w:lastColumn="1" w:oddVBand="0" w:evenVBand="0" w:oddHBand="0" w:evenHBand="0" w:firstRowFirstColumn="0" w:firstRowLastColumn="0" w:lastRowFirstColumn="0" w:lastRowLastColumn="0"/>
            <w:tcW w:w="629" w:type="pct"/>
            <w:tcBorders>
              <w:bottom w:val="single" w:sz="0" w:space="0" w:color="auto"/>
            </w:tcBorders>
            <w:vAlign w:val="bottom"/>
          </w:tcPr>
          <w:p w14:paraId="13AB257A" w14:textId="77777777" w:rsidR="00B44672" w:rsidRDefault="00B44672" w:rsidP="000511CA">
            <w:pPr>
              <w:pStyle w:val="Compact"/>
            </w:pPr>
            <w:r>
              <w:t xml:space="preserve">4 </w:t>
            </w:r>
            <w:proofErr w:type="gramStart"/>
            <w:r>
              <w:t>child</w:t>
            </w:r>
            <w:proofErr w:type="gramEnd"/>
          </w:p>
        </w:tc>
      </w:tr>
      <w:tr w:rsidR="00B44672" w14:paraId="33AAD83A"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13" w:type="pct"/>
          </w:tcPr>
          <w:p w14:paraId="7833FF30" w14:textId="77777777" w:rsidR="00B44672" w:rsidRDefault="00B44672" w:rsidP="000511CA">
            <w:pPr>
              <w:pStyle w:val="Compact"/>
            </w:pPr>
            <w:r>
              <w:t>21,000 - 32,000</w:t>
            </w:r>
          </w:p>
        </w:tc>
        <w:tc>
          <w:tcPr>
            <w:tcW w:w="773" w:type="pct"/>
          </w:tcPr>
          <w:p w14:paraId="7DD1D17D"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1,244</w:t>
            </w:r>
          </w:p>
        </w:tc>
        <w:tc>
          <w:tcPr>
            <w:tcW w:w="629" w:type="pct"/>
          </w:tcPr>
          <w:p w14:paraId="755EAEC1"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1,648</w:t>
            </w:r>
          </w:p>
        </w:tc>
        <w:tc>
          <w:tcPr>
            <w:tcW w:w="629" w:type="pct"/>
          </w:tcPr>
          <w:p w14:paraId="4C63162D"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2,025</w:t>
            </w:r>
          </w:p>
        </w:tc>
        <w:tc>
          <w:tcPr>
            <w:tcW w:w="629" w:type="pct"/>
          </w:tcPr>
          <w:p w14:paraId="1056A420" w14:textId="77777777" w:rsidR="00B44672" w:rsidRDefault="00B44672" w:rsidP="000511C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9" w:type="pct"/>
          </w:tcPr>
          <w:p w14:paraId="66E3290D" w14:textId="77777777" w:rsidR="00B44672" w:rsidRDefault="00B44672" w:rsidP="000511CA"/>
        </w:tc>
      </w:tr>
      <w:tr w:rsidR="00B44672" w14:paraId="559B246E"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13" w:type="pct"/>
          </w:tcPr>
          <w:p w14:paraId="3C35F041" w14:textId="77777777" w:rsidR="00B44672" w:rsidRDefault="00B44672" w:rsidP="000511CA">
            <w:pPr>
              <w:pStyle w:val="Compact"/>
            </w:pPr>
            <w:r>
              <w:t>32,000 - 42,000</w:t>
            </w:r>
          </w:p>
        </w:tc>
        <w:tc>
          <w:tcPr>
            <w:tcW w:w="773" w:type="pct"/>
          </w:tcPr>
          <w:p w14:paraId="7C4EB684"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1,305</w:t>
            </w:r>
          </w:p>
        </w:tc>
        <w:tc>
          <w:tcPr>
            <w:tcW w:w="629" w:type="pct"/>
          </w:tcPr>
          <w:p w14:paraId="72BCDC0A"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1,708</w:t>
            </w:r>
          </w:p>
        </w:tc>
        <w:tc>
          <w:tcPr>
            <w:tcW w:w="629" w:type="pct"/>
          </w:tcPr>
          <w:p w14:paraId="52524FA9"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2,086</w:t>
            </w:r>
          </w:p>
        </w:tc>
        <w:tc>
          <w:tcPr>
            <w:tcW w:w="629" w:type="pct"/>
          </w:tcPr>
          <w:p w14:paraId="3AC6F31E"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2,051</w:t>
            </w:r>
          </w:p>
        </w:tc>
        <w:tc>
          <w:tcPr>
            <w:cnfStyle w:val="000100000000" w:firstRow="0" w:lastRow="0" w:firstColumn="0" w:lastColumn="1" w:oddVBand="0" w:evenVBand="0" w:oddHBand="0" w:evenHBand="0" w:firstRowFirstColumn="0" w:firstRowLastColumn="0" w:lastRowFirstColumn="0" w:lastRowLastColumn="0"/>
            <w:tcW w:w="629" w:type="pct"/>
          </w:tcPr>
          <w:p w14:paraId="7D698EE0" w14:textId="77777777" w:rsidR="00B44672" w:rsidRDefault="00B44672" w:rsidP="000511CA">
            <w:pPr>
              <w:pStyle w:val="Compact"/>
            </w:pPr>
            <w:r>
              <w:t>2,051</w:t>
            </w:r>
          </w:p>
        </w:tc>
      </w:tr>
      <w:tr w:rsidR="00B44672" w14:paraId="6CB589DF"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13" w:type="pct"/>
          </w:tcPr>
          <w:p w14:paraId="3BD16FF2" w14:textId="77777777" w:rsidR="00B44672" w:rsidRDefault="00B44672" w:rsidP="000511CA">
            <w:pPr>
              <w:pStyle w:val="Compact"/>
            </w:pPr>
            <w:r>
              <w:t>42,000 - 53,000</w:t>
            </w:r>
          </w:p>
        </w:tc>
        <w:tc>
          <w:tcPr>
            <w:tcW w:w="773" w:type="pct"/>
          </w:tcPr>
          <w:p w14:paraId="6CC0648A"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1,390</w:t>
            </w:r>
          </w:p>
        </w:tc>
        <w:tc>
          <w:tcPr>
            <w:tcW w:w="629" w:type="pct"/>
          </w:tcPr>
          <w:p w14:paraId="2BDDE2DE"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1,794</w:t>
            </w:r>
          </w:p>
        </w:tc>
        <w:tc>
          <w:tcPr>
            <w:tcW w:w="629" w:type="pct"/>
          </w:tcPr>
          <w:p w14:paraId="7A55254D"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2,172</w:t>
            </w:r>
          </w:p>
        </w:tc>
        <w:tc>
          <w:tcPr>
            <w:tcW w:w="629" w:type="pct"/>
          </w:tcPr>
          <w:p w14:paraId="2F850631"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2,136</w:t>
            </w:r>
          </w:p>
        </w:tc>
        <w:tc>
          <w:tcPr>
            <w:cnfStyle w:val="000100000000" w:firstRow="0" w:lastRow="0" w:firstColumn="0" w:lastColumn="1" w:oddVBand="0" w:evenVBand="0" w:oddHBand="0" w:evenHBand="0" w:firstRowFirstColumn="0" w:firstRowLastColumn="0" w:lastRowFirstColumn="0" w:lastRowLastColumn="0"/>
            <w:tcW w:w="629" w:type="pct"/>
          </w:tcPr>
          <w:p w14:paraId="1D4B4C29" w14:textId="77777777" w:rsidR="00B44672" w:rsidRDefault="00B44672" w:rsidP="000511CA">
            <w:pPr>
              <w:pStyle w:val="Compact"/>
            </w:pPr>
            <w:r>
              <w:t>2,136</w:t>
            </w:r>
          </w:p>
        </w:tc>
      </w:tr>
      <w:tr w:rsidR="00B44672" w14:paraId="19352A0A"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13" w:type="pct"/>
          </w:tcPr>
          <w:p w14:paraId="0B772D12" w14:textId="77777777" w:rsidR="00B44672" w:rsidRDefault="00B44672" w:rsidP="000511CA">
            <w:pPr>
              <w:pStyle w:val="Compact"/>
            </w:pPr>
            <w:r>
              <w:t>53,000 - 63000</w:t>
            </w:r>
          </w:p>
        </w:tc>
        <w:tc>
          <w:tcPr>
            <w:tcW w:w="773" w:type="pct"/>
          </w:tcPr>
          <w:p w14:paraId="7608C528"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1,557</w:t>
            </w:r>
          </w:p>
        </w:tc>
        <w:tc>
          <w:tcPr>
            <w:tcW w:w="629" w:type="pct"/>
          </w:tcPr>
          <w:p w14:paraId="49808385"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1,962</w:t>
            </w:r>
          </w:p>
        </w:tc>
        <w:tc>
          <w:tcPr>
            <w:tcW w:w="629" w:type="pct"/>
          </w:tcPr>
          <w:p w14:paraId="6242660C"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2,339</w:t>
            </w:r>
          </w:p>
        </w:tc>
        <w:tc>
          <w:tcPr>
            <w:tcW w:w="629" w:type="pct"/>
          </w:tcPr>
          <w:p w14:paraId="2851C74F"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2,303</w:t>
            </w:r>
          </w:p>
        </w:tc>
        <w:tc>
          <w:tcPr>
            <w:cnfStyle w:val="000100000000" w:firstRow="0" w:lastRow="0" w:firstColumn="0" w:lastColumn="1" w:oddVBand="0" w:evenVBand="0" w:oddHBand="0" w:evenHBand="0" w:firstRowFirstColumn="0" w:firstRowLastColumn="0" w:lastRowFirstColumn="0" w:lastRowLastColumn="0"/>
            <w:tcW w:w="629" w:type="pct"/>
          </w:tcPr>
          <w:p w14:paraId="6457D938" w14:textId="77777777" w:rsidR="00B44672" w:rsidRDefault="00B44672" w:rsidP="000511CA">
            <w:pPr>
              <w:pStyle w:val="Compact"/>
            </w:pPr>
            <w:r>
              <w:t>2,303</w:t>
            </w:r>
          </w:p>
        </w:tc>
      </w:tr>
      <w:tr w:rsidR="00B44672" w14:paraId="5BAF9702"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13" w:type="pct"/>
          </w:tcPr>
          <w:p w14:paraId="279A7C4E" w14:textId="77777777" w:rsidR="00B44672" w:rsidRDefault="00B44672" w:rsidP="000511CA">
            <w:pPr>
              <w:pStyle w:val="Compact"/>
            </w:pPr>
            <w:r>
              <w:t>63,000 - 85,000</w:t>
            </w:r>
          </w:p>
        </w:tc>
        <w:tc>
          <w:tcPr>
            <w:tcW w:w="773" w:type="pct"/>
          </w:tcPr>
          <w:p w14:paraId="6C9F786D"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1,777</w:t>
            </w:r>
          </w:p>
        </w:tc>
        <w:tc>
          <w:tcPr>
            <w:tcW w:w="629" w:type="pct"/>
          </w:tcPr>
          <w:p w14:paraId="3CDBE15D"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2,183</w:t>
            </w:r>
          </w:p>
        </w:tc>
        <w:tc>
          <w:tcPr>
            <w:tcW w:w="629" w:type="pct"/>
          </w:tcPr>
          <w:p w14:paraId="5A6178B0"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2,559</w:t>
            </w:r>
          </w:p>
        </w:tc>
        <w:tc>
          <w:tcPr>
            <w:tcW w:w="629" w:type="pct"/>
          </w:tcPr>
          <w:p w14:paraId="685FD1D9"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2,522</w:t>
            </w:r>
          </w:p>
        </w:tc>
        <w:tc>
          <w:tcPr>
            <w:cnfStyle w:val="000100000000" w:firstRow="0" w:lastRow="0" w:firstColumn="0" w:lastColumn="1" w:oddVBand="0" w:evenVBand="0" w:oddHBand="0" w:evenHBand="0" w:firstRowFirstColumn="0" w:firstRowLastColumn="0" w:lastRowFirstColumn="0" w:lastRowLastColumn="0"/>
            <w:tcW w:w="629" w:type="pct"/>
          </w:tcPr>
          <w:p w14:paraId="3F0270D6" w14:textId="77777777" w:rsidR="00B44672" w:rsidRDefault="00B44672" w:rsidP="000511CA">
            <w:pPr>
              <w:pStyle w:val="Compact"/>
            </w:pPr>
            <w:r>
              <w:t>2,522</w:t>
            </w:r>
          </w:p>
        </w:tc>
      </w:tr>
      <w:tr w:rsidR="00B44672" w14:paraId="551EB751"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13" w:type="pct"/>
          </w:tcPr>
          <w:p w14:paraId="7A411CB0" w14:textId="77777777" w:rsidR="00B44672" w:rsidRDefault="00B44672" w:rsidP="000511CA">
            <w:pPr>
              <w:pStyle w:val="Compact"/>
            </w:pPr>
            <w:r>
              <w:t>85,000 - 106,000</w:t>
            </w:r>
          </w:p>
        </w:tc>
        <w:tc>
          <w:tcPr>
            <w:tcW w:w="773" w:type="pct"/>
          </w:tcPr>
          <w:p w14:paraId="2EF67A88"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2,075</w:t>
            </w:r>
          </w:p>
        </w:tc>
        <w:tc>
          <w:tcPr>
            <w:tcW w:w="629" w:type="pct"/>
          </w:tcPr>
          <w:p w14:paraId="40C79124"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2,484</w:t>
            </w:r>
          </w:p>
        </w:tc>
        <w:tc>
          <w:tcPr>
            <w:tcW w:w="629" w:type="pct"/>
          </w:tcPr>
          <w:p w14:paraId="4317F4D5"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2,858</w:t>
            </w:r>
          </w:p>
        </w:tc>
        <w:tc>
          <w:tcPr>
            <w:tcW w:w="629" w:type="pct"/>
          </w:tcPr>
          <w:p w14:paraId="091878A8"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2,820</w:t>
            </w:r>
          </w:p>
        </w:tc>
        <w:tc>
          <w:tcPr>
            <w:cnfStyle w:val="000100000000" w:firstRow="0" w:lastRow="0" w:firstColumn="0" w:lastColumn="1" w:oddVBand="0" w:evenVBand="0" w:oddHBand="0" w:evenHBand="0" w:firstRowFirstColumn="0" w:firstRowLastColumn="0" w:lastRowFirstColumn="0" w:lastRowLastColumn="0"/>
            <w:tcW w:w="629" w:type="pct"/>
          </w:tcPr>
          <w:p w14:paraId="0AD98061" w14:textId="77777777" w:rsidR="00B44672" w:rsidRDefault="00B44672" w:rsidP="000511CA">
            <w:pPr>
              <w:pStyle w:val="Compact"/>
            </w:pPr>
            <w:r>
              <w:t>2,820</w:t>
            </w:r>
          </w:p>
        </w:tc>
      </w:tr>
      <w:tr w:rsidR="00B44672" w14:paraId="5FC97EF4"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13" w:type="pct"/>
          </w:tcPr>
          <w:p w14:paraId="166B9377" w14:textId="77777777" w:rsidR="00B44672" w:rsidRDefault="00B44672" w:rsidP="000511CA">
            <w:pPr>
              <w:pStyle w:val="Compact"/>
            </w:pPr>
            <w:r>
              <w:t>106,000 - 127,000</w:t>
            </w:r>
          </w:p>
        </w:tc>
        <w:tc>
          <w:tcPr>
            <w:tcW w:w="773" w:type="pct"/>
          </w:tcPr>
          <w:p w14:paraId="38050B6E"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2,306</w:t>
            </w:r>
          </w:p>
        </w:tc>
        <w:tc>
          <w:tcPr>
            <w:tcW w:w="629" w:type="pct"/>
          </w:tcPr>
          <w:p w14:paraId="34945494"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2,716</w:t>
            </w:r>
          </w:p>
        </w:tc>
        <w:tc>
          <w:tcPr>
            <w:tcW w:w="629" w:type="pct"/>
          </w:tcPr>
          <w:p w14:paraId="397D6E88"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3,090</w:t>
            </w:r>
          </w:p>
        </w:tc>
        <w:tc>
          <w:tcPr>
            <w:tcW w:w="629" w:type="pct"/>
          </w:tcPr>
          <w:p w14:paraId="1C063D29"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3,050</w:t>
            </w:r>
          </w:p>
        </w:tc>
        <w:tc>
          <w:tcPr>
            <w:cnfStyle w:val="000100000000" w:firstRow="0" w:lastRow="0" w:firstColumn="0" w:lastColumn="1" w:oddVBand="0" w:evenVBand="0" w:oddHBand="0" w:evenHBand="0" w:firstRowFirstColumn="0" w:firstRowLastColumn="0" w:lastRowFirstColumn="0" w:lastRowLastColumn="0"/>
            <w:tcW w:w="629" w:type="pct"/>
          </w:tcPr>
          <w:p w14:paraId="36651AFF" w14:textId="77777777" w:rsidR="00B44672" w:rsidRDefault="00B44672" w:rsidP="000511CA">
            <w:pPr>
              <w:pStyle w:val="Compact"/>
            </w:pPr>
            <w:r>
              <w:t>3,050</w:t>
            </w:r>
          </w:p>
        </w:tc>
      </w:tr>
      <w:tr w:rsidR="00B44672" w14:paraId="63DAC807"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13" w:type="pct"/>
          </w:tcPr>
          <w:p w14:paraId="50183A12" w14:textId="77777777" w:rsidR="00B44672" w:rsidRDefault="00B44672" w:rsidP="000511CA">
            <w:pPr>
              <w:pStyle w:val="Compact"/>
            </w:pPr>
            <w:r>
              <w:t>127,000 - 148,000</w:t>
            </w:r>
          </w:p>
        </w:tc>
        <w:tc>
          <w:tcPr>
            <w:tcW w:w="773" w:type="pct"/>
          </w:tcPr>
          <w:p w14:paraId="4C789FCD"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2,712</w:t>
            </w:r>
          </w:p>
        </w:tc>
        <w:tc>
          <w:tcPr>
            <w:tcW w:w="629" w:type="pct"/>
          </w:tcPr>
          <w:p w14:paraId="4A975E74"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3,125</w:t>
            </w:r>
          </w:p>
        </w:tc>
        <w:tc>
          <w:tcPr>
            <w:tcW w:w="629" w:type="pct"/>
          </w:tcPr>
          <w:p w14:paraId="2C0F5FF5"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3,497</w:t>
            </w:r>
          </w:p>
        </w:tc>
        <w:tc>
          <w:tcPr>
            <w:tcW w:w="629" w:type="pct"/>
          </w:tcPr>
          <w:p w14:paraId="64E10F58"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3,455</w:t>
            </w:r>
          </w:p>
        </w:tc>
        <w:tc>
          <w:tcPr>
            <w:cnfStyle w:val="000100000000" w:firstRow="0" w:lastRow="0" w:firstColumn="0" w:lastColumn="1" w:oddVBand="0" w:evenVBand="0" w:oddHBand="0" w:evenHBand="0" w:firstRowFirstColumn="0" w:firstRowLastColumn="0" w:lastRowFirstColumn="0" w:lastRowLastColumn="0"/>
            <w:tcW w:w="629" w:type="pct"/>
          </w:tcPr>
          <w:p w14:paraId="29169EE7" w14:textId="77777777" w:rsidR="00B44672" w:rsidRDefault="00B44672" w:rsidP="000511CA">
            <w:pPr>
              <w:pStyle w:val="Compact"/>
            </w:pPr>
            <w:r>
              <w:t>3,455</w:t>
            </w:r>
          </w:p>
        </w:tc>
      </w:tr>
      <w:tr w:rsidR="00B44672" w14:paraId="009158A0"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13" w:type="pct"/>
          </w:tcPr>
          <w:p w14:paraId="5B3892A7" w14:textId="77777777" w:rsidR="00B44672" w:rsidRDefault="00B44672" w:rsidP="000511CA">
            <w:pPr>
              <w:pStyle w:val="Compact"/>
            </w:pPr>
            <w:r>
              <w:t>148,000 - 169,000</w:t>
            </w:r>
          </w:p>
        </w:tc>
        <w:tc>
          <w:tcPr>
            <w:tcW w:w="773" w:type="pct"/>
          </w:tcPr>
          <w:p w14:paraId="245EEFE7"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2,868</w:t>
            </w:r>
          </w:p>
        </w:tc>
        <w:tc>
          <w:tcPr>
            <w:tcW w:w="629" w:type="pct"/>
          </w:tcPr>
          <w:p w14:paraId="69264596"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3,281</w:t>
            </w:r>
          </w:p>
        </w:tc>
        <w:tc>
          <w:tcPr>
            <w:tcW w:w="629" w:type="pct"/>
          </w:tcPr>
          <w:p w14:paraId="7C486F12"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3,653</w:t>
            </w:r>
          </w:p>
        </w:tc>
        <w:tc>
          <w:tcPr>
            <w:tcW w:w="629" w:type="pct"/>
          </w:tcPr>
          <w:p w14:paraId="01D9EEBE"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3,610</w:t>
            </w:r>
          </w:p>
        </w:tc>
        <w:tc>
          <w:tcPr>
            <w:cnfStyle w:val="000100000000" w:firstRow="0" w:lastRow="0" w:firstColumn="0" w:lastColumn="1" w:oddVBand="0" w:evenVBand="0" w:oddHBand="0" w:evenHBand="0" w:firstRowFirstColumn="0" w:firstRowLastColumn="0" w:lastRowFirstColumn="0" w:lastRowLastColumn="0"/>
            <w:tcW w:w="629" w:type="pct"/>
          </w:tcPr>
          <w:p w14:paraId="20A8A367" w14:textId="77777777" w:rsidR="00B44672" w:rsidRDefault="00B44672" w:rsidP="000511CA">
            <w:pPr>
              <w:pStyle w:val="Compact"/>
            </w:pPr>
            <w:r>
              <w:t>3,610</w:t>
            </w:r>
          </w:p>
        </w:tc>
      </w:tr>
      <w:tr w:rsidR="00B44672" w14:paraId="7412E35F"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13" w:type="pct"/>
          </w:tcPr>
          <w:p w14:paraId="6301B110" w14:textId="77777777" w:rsidR="00B44672" w:rsidRDefault="00B44672" w:rsidP="000511CA">
            <w:pPr>
              <w:pStyle w:val="Compact"/>
            </w:pPr>
            <w:r>
              <w:t>169,000 - 211,000</w:t>
            </w:r>
          </w:p>
        </w:tc>
        <w:tc>
          <w:tcPr>
            <w:tcW w:w="773" w:type="pct"/>
          </w:tcPr>
          <w:p w14:paraId="52F2A2D5"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3,028</w:t>
            </w:r>
          </w:p>
        </w:tc>
        <w:tc>
          <w:tcPr>
            <w:tcW w:w="629" w:type="pct"/>
          </w:tcPr>
          <w:p w14:paraId="415D9986"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3,442</w:t>
            </w:r>
          </w:p>
        </w:tc>
        <w:tc>
          <w:tcPr>
            <w:tcW w:w="629" w:type="pct"/>
          </w:tcPr>
          <w:p w14:paraId="3ED782D8"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3,813</w:t>
            </w:r>
          </w:p>
        </w:tc>
        <w:tc>
          <w:tcPr>
            <w:tcW w:w="629" w:type="pct"/>
          </w:tcPr>
          <w:p w14:paraId="6CC37826"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3,770</w:t>
            </w:r>
          </w:p>
        </w:tc>
        <w:tc>
          <w:tcPr>
            <w:cnfStyle w:val="000100000000" w:firstRow="0" w:lastRow="0" w:firstColumn="0" w:lastColumn="1" w:oddVBand="0" w:evenVBand="0" w:oddHBand="0" w:evenHBand="0" w:firstRowFirstColumn="0" w:firstRowLastColumn="0" w:lastRowFirstColumn="0" w:lastRowLastColumn="0"/>
            <w:tcW w:w="629" w:type="pct"/>
          </w:tcPr>
          <w:p w14:paraId="21E54849" w14:textId="77777777" w:rsidR="00B44672" w:rsidRDefault="00B44672" w:rsidP="000511CA">
            <w:pPr>
              <w:pStyle w:val="Compact"/>
            </w:pPr>
            <w:r>
              <w:t>3,770</w:t>
            </w:r>
          </w:p>
        </w:tc>
      </w:tr>
      <w:tr w:rsidR="00B44672" w14:paraId="156E808E"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13" w:type="pct"/>
          </w:tcPr>
          <w:p w14:paraId="13A99EF6" w14:textId="77777777" w:rsidR="00B44672" w:rsidRDefault="00B44672" w:rsidP="000511CA">
            <w:pPr>
              <w:pStyle w:val="Compact"/>
            </w:pPr>
            <w:r>
              <w:t>211,000 - 264,000</w:t>
            </w:r>
          </w:p>
        </w:tc>
        <w:tc>
          <w:tcPr>
            <w:tcW w:w="773" w:type="pct"/>
          </w:tcPr>
          <w:p w14:paraId="6D44091F"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3,457</w:t>
            </w:r>
          </w:p>
        </w:tc>
        <w:tc>
          <w:tcPr>
            <w:tcW w:w="629" w:type="pct"/>
          </w:tcPr>
          <w:p w14:paraId="661EEE95"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3,873</w:t>
            </w:r>
          </w:p>
        </w:tc>
        <w:tc>
          <w:tcPr>
            <w:tcW w:w="629" w:type="pct"/>
          </w:tcPr>
          <w:p w14:paraId="4BB3C1F0"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4,242</w:t>
            </w:r>
          </w:p>
        </w:tc>
        <w:tc>
          <w:tcPr>
            <w:tcW w:w="629" w:type="pct"/>
          </w:tcPr>
          <w:p w14:paraId="4A23FF09"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4,197</w:t>
            </w:r>
          </w:p>
        </w:tc>
        <w:tc>
          <w:tcPr>
            <w:cnfStyle w:val="000100000000" w:firstRow="0" w:lastRow="0" w:firstColumn="0" w:lastColumn="1" w:oddVBand="0" w:evenVBand="0" w:oddHBand="0" w:evenHBand="0" w:firstRowFirstColumn="0" w:firstRowLastColumn="0" w:lastRowFirstColumn="0" w:lastRowLastColumn="0"/>
            <w:tcW w:w="629" w:type="pct"/>
          </w:tcPr>
          <w:p w14:paraId="61FBD6DB" w14:textId="77777777" w:rsidR="00B44672" w:rsidRDefault="00B44672" w:rsidP="000511CA">
            <w:pPr>
              <w:pStyle w:val="Compact"/>
            </w:pPr>
            <w:r>
              <w:t>4,197</w:t>
            </w:r>
          </w:p>
        </w:tc>
      </w:tr>
      <w:tr w:rsidR="00B44672" w14:paraId="5173E5E2"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713" w:type="pct"/>
          </w:tcPr>
          <w:p w14:paraId="4B4677C4" w14:textId="77777777" w:rsidR="00B44672" w:rsidRDefault="00B44672" w:rsidP="000511CA">
            <w:pPr>
              <w:pStyle w:val="Compact"/>
            </w:pPr>
            <w:r>
              <w:t>264,000 - 317,000</w:t>
            </w:r>
          </w:p>
        </w:tc>
        <w:tc>
          <w:tcPr>
            <w:tcW w:w="773" w:type="pct"/>
          </w:tcPr>
          <w:p w14:paraId="696D6C2C"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4,022</w:t>
            </w:r>
          </w:p>
        </w:tc>
        <w:tc>
          <w:tcPr>
            <w:tcW w:w="629" w:type="pct"/>
          </w:tcPr>
          <w:p w14:paraId="25DBC940"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4,442</w:t>
            </w:r>
          </w:p>
        </w:tc>
        <w:tc>
          <w:tcPr>
            <w:tcW w:w="629" w:type="pct"/>
          </w:tcPr>
          <w:p w14:paraId="7BC459FD"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4,809</w:t>
            </w:r>
          </w:p>
        </w:tc>
        <w:tc>
          <w:tcPr>
            <w:tcW w:w="629" w:type="pct"/>
          </w:tcPr>
          <w:p w14:paraId="36BD3287" w14:textId="77777777" w:rsidR="00B44672" w:rsidRDefault="00B44672" w:rsidP="000511CA">
            <w:pPr>
              <w:pStyle w:val="Compact"/>
              <w:cnfStyle w:val="000000000000" w:firstRow="0" w:lastRow="0" w:firstColumn="0" w:lastColumn="0" w:oddVBand="0" w:evenVBand="0" w:oddHBand="0" w:evenHBand="0" w:firstRowFirstColumn="0" w:firstRowLastColumn="0" w:lastRowFirstColumn="0" w:lastRowLastColumn="0"/>
            </w:pPr>
            <w:r>
              <w:t>4,761</w:t>
            </w:r>
          </w:p>
        </w:tc>
        <w:tc>
          <w:tcPr>
            <w:cnfStyle w:val="000100000000" w:firstRow="0" w:lastRow="0" w:firstColumn="0" w:lastColumn="1" w:oddVBand="0" w:evenVBand="0" w:oddHBand="0" w:evenHBand="0" w:firstRowFirstColumn="0" w:firstRowLastColumn="0" w:lastRowFirstColumn="0" w:lastRowLastColumn="0"/>
            <w:tcW w:w="629" w:type="pct"/>
          </w:tcPr>
          <w:p w14:paraId="13482303" w14:textId="77777777" w:rsidR="00B44672" w:rsidRDefault="00B44672" w:rsidP="000511CA">
            <w:pPr>
              <w:pStyle w:val="Compact"/>
            </w:pPr>
            <w:r>
              <w:t>4,761</w:t>
            </w:r>
          </w:p>
        </w:tc>
      </w:tr>
      <w:tr w:rsidR="00B44672" w14:paraId="571D13C4" w14:textId="77777777" w:rsidTr="000511C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tcPr>
          <w:p w14:paraId="6646E6FE" w14:textId="77777777" w:rsidR="00B44672" w:rsidRDefault="00B44672" w:rsidP="000511CA">
            <w:pPr>
              <w:pStyle w:val="Compact"/>
            </w:pPr>
            <m:oMath>
              <m:r>
                <w:rPr>
                  <w:rFonts w:ascii="Cambria Math" w:hAnsi="Cambria Math"/>
                </w:rPr>
                <m:t>≥</m:t>
              </m:r>
            </m:oMath>
            <w:r>
              <w:t xml:space="preserve"> 317,000</w:t>
            </w:r>
          </w:p>
        </w:tc>
        <w:tc>
          <w:tcPr>
            <w:tcW w:w="773" w:type="pct"/>
          </w:tcPr>
          <w:p w14:paraId="49187A96" w14:textId="77777777" w:rsidR="00B44672" w:rsidRDefault="00B44672" w:rsidP="000511CA">
            <w:pPr>
              <w:pStyle w:val="Compact"/>
              <w:cnfStyle w:val="010000000000" w:firstRow="0" w:lastRow="1" w:firstColumn="0" w:lastColumn="0" w:oddVBand="0" w:evenVBand="0" w:oddHBand="0" w:evenHBand="0" w:firstRowFirstColumn="0" w:firstRowLastColumn="0" w:lastRowFirstColumn="0" w:lastRowLastColumn="0"/>
            </w:pPr>
            <w:r>
              <w:t>4,193</w:t>
            </w:r>
          </w:p>
        </w:tc>
        <w:tc>
          <w:tcPr>
            <w:tcW w:w="629" w:type="pct"/>
          </w:tcPr>
          <w:p w14:paraId="4B239DF0" w14:textId="77777777" w:rsidR="00B44672" w:rsidRDefault="00B44672" w:rsidP="000511CA">
            <w:pPr>
              <w:pStyle w:val="Compact"/>
              <w:cnfStyle w:val="010000000000" w:firstRow="0" w:lastRow="1" w:firstColumn="0" w:lastColumn="0" w:oddVBand="0" w:evenVBand="0" w:oddHBand="0" w:evenHBand="0" w:firstRowFirstColumn="0" w:firstRowLastColumn="0" w:lastRowFirstColumn="0" w:lastRowLastColumn="0"/>
            </w:pPr>
            <w:r>
              <w:t>4,614</w:t>
            </w:r>
          </w:p>
        </w:tc>
        <w:tc>
          <w:tcPr>
            <w:tcW w:w="629" w:type="pct"/>
          </w:tcPr>
          <w:p w14:paraId="306EEB09" w14:textId="77777777" w:rsidR="00B44672" w:rsidRDefault="00B44672" w:rsidP="000511CA">
            <w:pPr>
              <w:pStyle w:val="Compact"/>
              <w:cnfStyle w:val="010000000000" w:firstRow="0" w:lastRow="1" w:firstColumn="0" w:lastColumn="0" w:oddVBand="0" w:evenVBand="0" w:oddHBand="0" w:evenHBand="0" w:firstRowFirstColumn="0" w:firstRowLastColumn="0" w:lastRowFirstColumn="0" w:lastRowLastColumn="0"/>
            </w:pPr>
            <w:r>
              <w:t>4,980</w:t>
            </w:r>
          </w:p>
        </w:tc>
        <w:tc>
          <w:tcPr>
            <w:tcW w:w="629" w:type="pct"/>
          </w:tcPr>
          <w:p w14:paraId="2A3B92DC" w14:textId="77777777" w:rsidR="00B44672" w:rsidRDefault="00B44672" w:rsidP="000511CA">
            <w:pPr>
              <w:pStyle w:val="Compact"/>
              <w:cnfStyle w:val="010000000000" w:firstRow="0" w:lastRow="1" w:firstColumn="0" w:lastColumn="0" w:oddVBand="0" w:evenVBand="0" w:oddHBand="0" w:evenHBand="0" w:firstRowFirstColumn="0" w:firstRowLastColumn="0" w:lastRowFirstColumn="0" w:lastRowLastColumn="0"/>
            </w:pPr>
            <w:r>
              <w:t>4,931</w:t>
            </w:r>
          </w:p>
        </w:tc>
        <w:tc>
          <w:tcPr>
            <w:cnfStyle w:val="000100000000" w:firstRow="0" w:lastRow="0" w:firstColumn="0" w:lastColumn="1" w:oddVBand="0" w:evenVBand="0" w:oddHBand="0" w:evenHBand="0" w:firstRowFirstColumn="0" w:firstRowLastColumn="0" w:lastRowFirstColumn="0" w:lastRowLastColumn="0"/>
            <w:tcW w:w="629" w:type="pct"/>
          </w:tcPr>
          <w:p w14:paraId="4A7DCC8D" w14:textId="77777777" w:rsidR="00B44672" w:rsidRDefault="00B44672" w:rsidP="000511CA">
            <w:pPr>
              <w:pStyle w:val="Compact"/>
            </w:pPr>
            <w:r>
              <w:t>4,931</w:t>
            </w:r>
          </w:p>
        </w:tc>
      </w:tr>
    </w:tbl>
    <w:p w14:paraId="118C182E" w14:textId="77777777" w:rsidR="00B44672" w:rsidRDefault="00B44672" w:rsidP="00C83581">
      <w:pPr>
        <w:pStyle w:val="BlockText"/>
      </w:pPr>
      <w:r>
        <w:rPr>
          <w:i/>
        </w:rPr>
        <w:t>Sources:</w:t>
      </w:r>
      <w:r>
        <w:t xml:space="preserve"> </w:t>
      </w:r>
      <w:hyperlink r:id="rId17">
        <w:r>
          <w:rPr>
            <w:rStyle w:val="Hyperlink"/>
          </w:rPr>
          <w:t>The home loan expert website</w:t>
        </w:r>
      </w:hyperlink>
      <w:r>
        <w:t xml:space="preserve">. </w:t>
      </w:r>
    </w:p>
    <w:p w14:paraId="4688453F" w14:textId="77777777" w:rsidR="00B44672" w:rsidRDefault="00B44672" w:rsidP="00C83581">
      <w:pPr>
        <w:pStyle w:val="TableCaption"/>
      </w:pPr>
    </w:p>
    <w:p w14:paraId="74D565FD" w14:textId="77777777" w:rsidR="00B44672" w:rsidRDefault="00B44672" w:rsidP="00C83581">
      <w:pPr>
        <w:pStyle w:val="TableCaption"/>
      </w:pPr>
      <w:r>
        <w:t>Table 11 - Interest rates in the ACT, 2012-2018</w:t>
      </w:r>
    </w:p>
    <w:tbl>
      <w:tblPr>
        <w:tblStyle w:val="Table"/>
        <w:tblW w:w="5000" w:type="pct"/>
        <w:jc w:val="center"/>
        <w:tblCellMar>
          <w:left w:w="0" w:type="dxa"/>
          <w:right w:w="0" w:type="dxa"/>
        </w:tblCellMar>
        <w:tblLook w:val="07E0" w:firstRow="1" w:lastRow="1" w:firstColumn="1" w:lastColumn="1" w:noHBand="1" w:noVBand="1"/>
        <w:tblCaption w:val="Table 11 - Interest rates in the ACT, 2012-2018"/>
      </w:tblPr>
      <w:tblGrid>
        <w:gridCol w:w="2127"/>
        <w:gridCol w:w="6899"/>
      </w:tblGrid>
      <w:tr w:rsidR="00B44672" w14:paraId="642921E1" w14:textId="77777777" w:rsidTr="000511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tcBorders>
              <w:bottom w:val="single" w:sz="0" w:space="0" w:color="auto"/>
            </w:tcBorders>
            <w:vAlign w:val="bottom"/>
          </w:tcPr>
          <w:p w14:paraId="39B68E86" w14:textId="77777777" w:rsidR="00B44672" w:rsidRDefault="00B44672" w:rsidP="00DE5E01">
            <w:pPr>
              <w:jc w:val="center"/>
            </w:pPr>
            <w:r>
              <w:t>Year</w:t>
            </w:r>
          </w:p>
        </w:tc>
        <w:tc>
          <w:tcPr>
            <w:cnfStyle w:val="000100000000" w:firstRow="0" w:lastRow="0" w:firstColumn="0" w:lastColumn="1" w:oddVBand="0" w:evenVBand="0" w:oddHBand="0" w:evenHBand="0" w:firstRowFirstColumn="0" w:firstRowLastColumn="0" w:lastRowFirstColumn="0" w:lastRowLastColumn="0"/>
            <w:tcW w:w="3822" w:type="pct"/>
            <w:tcBorders>
              <w:bottom w:val="single" w:sz="0" w:space="0" w:color="auto"/>
            </w:tcBorders>
            <w:vAlign w:val="bottom"/>
          </w:tcPr>
          <w:p w14:paraId="2B868F03" w14:textId="77777777" w:rsidR="00B44672" w:rsidRDefault="00B44672" w:rsidP="00DE5E01">
            <w:pPr>
              <w:pStyle w:val="Compact"/>
              <w:jc w:val="center"/>
            </w:pPr>
            <w:r>
              <w:t>Interest rate (%)</w:t>
            </w:r>
          </w:p>
        </w:tc>
      </w:tr>
      <w:tr w:rsidR="00B44672" w14:paraId="338DC9F1"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178" w:type="pct"/>
          </w:tcPr>
          <w:p w14:paraId="1905B2FF" w14:textId="77777777" w:rsidR="00B44672" w:rsidRDefault="00B44672" w:rsidP="00DE5E01">
            <w:pPr>
              <w:pStyle w:val="Compact"/>
              <w:jc w:val="center"/>
            </w:pPr>
            <w:r>
              <w:t>2011</w:t>
            </w:r>
          </w:p>
        </w:tc>
        <w:tc>
          <w:tcPr>
            <w:cnfStyle w:val="000100000000" w:firstRow="0" w:lastRow="0" w:firstColumn="0" w:lastColumn="1" w:oddVBand="0" w:evenVBand="0" w:oddHBand="0" w:evenHBand="0" w:firstRowFirstColumn="0" w:firstRowLastColumn="0" w:lastRowFirstColumn="0" w:lastRowLastColumn="0"/>
            <w:tcW w:w="3822" w:type="pct"/>
          </w:tcPr>
          <w:p w14:paraId="0AB09697" w14:textId="77777777" w:rsidR="00B44672" w:rsidRDefault="00B44672" w:rsidP="00DE5E01">
            <w:pPr>
              <w:pStyle w:val="Compact"/>
              <w:jc w:val="center"/>
            </w:pPr>
            <w:r>
              <w:t>7.00</w:t>
            </w:r>
          </w:p>
        </w:tc>
      </w:tr>
      <w:tr w:rsidR="00B44672" w14:paraId="0AF0A88E"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178" w:type="pct"/>
          </w:tcPr>
          <w:p w14:paraId="6188E709" w14:textId="77777777" w:rsidR="00B44672" w:rsidRDefault="00B44672" w:rsidP="00DE5E01">
            <w:pPr>
              <w:pStyle w:val="Compact"/>
              <w:jc w:val="center"/>
            </w:pPr>
            <w:r>
              <w:t>2012</w:t>
            </w:r>
          </w:p>
        </w:tc>
        <w:tc>
          <w:tcPr>
            <w:cnfStyle w:val="000100000000" w:firstRow="0" w:lastRow="0" w:firstColumn="0" w:lastColumn="1" w:oddVBand="0" w:evenVBand="0" w:oddHBand="0" w:evenHBand="0" w:firstRowFirstColumn="0" w:firstRowLastColumn="0" w:lastRowFirstColumn="0" w:lastRowLastColumn="0"/>
            <w:tcW w:w="3822" w:type="pct"/>
          </w:tcPr>
          <w:p w14:paraId="5C141EDB" w14:textId="77777777" w:rsidR="00B44672" w:rsidRDefault="00B44672" w:rsidP="00DE5E01">
            <w:pPr>
              <w:pStyle w:val="Compact"/>
              <w:jc w:val="center"/>
            </w:pPr>
            <w:r>
              <w:t>6.19</w:t>
            </w:r>
          </w:p>
        </w:tc>
      </w:tr>
      <w:tr w:rsidR="00B44672" w14:paraId="18A69140"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178" w:type="pct"/>
          </w:tcPr>
          <w:p w14:paraId="4D7EFFC4" w14:textId="77777777" w:rsidR="00B44672" w:rsidRDefault="00B44672" w:rsidP="00DE5E01">
            <w:pPr>
              <w:pStyle w:val="Compact"/>
              <w:jc w:val="center"/>
            </w:pPr>
            <w:r>
              <w:t>2013</w:t>
            </w:r>
          </w:p>
        </w:tc>
        <w:tc>
          <w:tcPr>
            <w:cnfStyle w:val="000100000000" w:firstRow="0" w:lastRow="0" w:firstColumn="0" w:lastColumn="1" w:oddVBand="0" w:evenVBand="0" w:oddHBand="0" w:evenHBand="0" w:firstRowFirstColumn="0" w:firstRowLastColumn="0" w:lastRowFirstColumn="0" w:lastRowLastColumn="0"/>
            <w:tcW w:w="3822" w:type="pct"/>
          </w:tcPr>
          <w:p w14:paraId="1C26D42D" w14:textId="77777777" w:rsidR="00B44672" w:rsidRDefault="00B44672" w:rsidP="00DE5E01">
            <w:pPr>
              <w:pStyle w:val="Compact"/>
              <w:jc w:val="center"/>
            </w:pPr>
            <w:r>
              <w:t>5.39</w:t>
            </w:r>
          </w:p>
        </w:tc>
      </w:tr>
      <w:tr w:rsidR="00B44672" w14:paraId="157E0AF0"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178" w:type="pct"/>
          </w:tcPr>
          <w:p w14:paraId="491F01FE" w14:textId="77777777" w:rsidR="00B44672" w:rsidRDefault="00B44672" w:rsidP="00DE5E01">
            <w:pPr>
              <w:pStyle w:val="Compact"/>
              <w:jc w:val="center"/>
            </w:pPr>
            <w:r>
              <w:t>2014</w:t>
            </w:r>
          </w:p>
        </w:tc>
        <w:tc>
          <w:tcPr>
            <w:cnfStyle w:val="000100000000" w:firstRow="0" w:lastRow="0" w:firstColumn="0" w:lastColumn="1" w:oddVBand="0" w:evenVBand="0" w:oddHBand="0" w:evenHBand="0" w:firstRowFirstColumn="0" w:firstRowLastColumn="0" w:lastRowFirstColumn="0" w:lastRowLastColumn="0"/>
            <w:tcW w:w="3822" w:type="pct"/>
          </w:tcPr>
          <w:p w14:paraId="459C3A86" w14:textId="77777777" w:rsidR="00B44672" w:rsidRDefault="00B44672" w:rsidP="00DE5E01">
            <w:pPr>
              <w:pStyle w:val="Compact"/>
              <w:jc w:val="center"/>
            </w:pPr>
            <w:r>
              <w:t>5.07</w:t>
            </w:r>
          </w:p>
        </w:tc>
      </w:tr>
      <w:tr w:rsidR="00B44672" w14:paraId="2619B262"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178" w:type="pct"/>
          </w:tcPr>
          <w:p w14:paraId="1F764E04" w14:textId="77777777" w:rsidR="00B44672" w:rsidRDefault="00B44672" w:rsidP="00DE5E01">
            <w:pPr>
              <w:pStyle w:val="Compact"/>
              <w:jc w:val="center"/>
            </w:pPr>
            <w:r>
              <w:t>2015</w:t>
            </w:r>
          </w:p>
        </w:tc>
        <w:tc>
          <w:tcPr>
            <w:cnfStyle w:val="000100000000" w:firstRow="0" w:lastRow="0" w:firstColumn="0" w:lastColumn="1" w:oddVBand="0" w:evenVBand="0" w:oddHBand="0" w:evenHBand="0" w:firstRowFirstColumn="0" w:firstRowLastColumn="0" w:lastRowFirstColumn="0" w:lastRowLastColumn="0"/>
            <w:tcW w:w="3822" w:type="pct"/>
          </w:tcPr>
          <w:p w14:paraId="189BA51B" w14:textId="77777777" w:rsidR="00B44672" w:rsidRDefault="00B44672" w:rsidP="00DE5E01">
            <w:pPr>
              <w:pStyle w:val="Compact"/>
              <w:jc w:val="center"/>
            </w:pPr>
            <w:r>
              <w:t>4.75</w:t>
            </w:r>
          </w:p>
        </w:tc>
      </w:tr>
      <w:tr w:rsidR="00B44672" w14:paraId="3AEA7AB4"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178" w:type="pct"/>
          </w:tcPr>
          <w:p w14:paraId="42DD2E92" w14:textId="77777777" w:rsidR="00B44672" w:rsidRDefault="00B44672" w:rsidP="00DE5E01">
            <w:pPr>
              <w:pStyle w:val="Compact"/>
              <w:jc w:val="center"/>
            </w:pPr>
            <w:r>
              <w:t>2016</w:t>
            </w:r>
          </w:p>
        </w:tc>
        <w:tc>
          <w:tcPr>
            <w:cnfStyle w:val="000100000000" w:firstRow="0" w:lastRow="0" w:firstColumn="0" w:lastColumn="1" w:oddVBand="0" w:evenVBand="0" w:oddHBand="0" w:evenHBand="0" w:firstRowFirstColumn="0" w:firstRowLastColumn="0" w:lastRowFirstColumn="0" w:lastRowLastColumn="0"/>
            <w:tcW w:w="3822" w:type="pct"/>
          </w:tcPr>
          <w:p w14:paraId="3A507021" w14:textId="77777777" w:rsidR="00B44672" w:rsidRDefault="00B44672" w:rsidP="00DE5E01">
            <w:pPr>
              <w:pStyle w:val="Compact"/>
              <w:jc w:val="center"/>
            </w:pPr>
            <w:r>
              <w:t>4.53</w:t>
            </w:r>
          </w:p>
        </w:tc>
      </w:tr>
      <w:tr w:rsidR="00B44672" w14:paraId="7BC293B2" w14:textId="77777777" w:rsidTr="000511CA">
        <w:trPr>
          <w:jc w:val="center"/>
        </w:trPr>
        <w:tc>
          <w:tcPr>
            <w:cnfStyle w:val="001000000000" w:firstRow="0" w:lastRow="0" w:firstColumn="1" w:lastColumn="0" w:oddVBand="0" w:evenVBand="0" w:oddHBand="0" w:evenHBand="0" w:firstRowFirstColumn="0" w:firstRowLastColumn="0" w:lastRowFirstColumn="0" w:lastRowLastColumn="0"/>
            <w:tcW w:w="1178" w:type="pct"/>
          </w:tcPr>
          <w:p w14:paraId="507227A0" w14:textId="77777777" w:rsidR="00B44672" w:rsidRDefault="00B44672" w:rsidP="00DE5E01">
            <w:pPr>
              <w:pStyle w:val="Compact"/>
              <w:jc w:val="center"/>
            </w:pPr>
            <w:r>
              <w:t>2017</w:t>
            </w:r>
          </w:p>
        </w:tc>
        <w:tc>
          <w:tcPr>
            <w:cnfStyle w:val="000100000000" w:firstRow="0" w:lastRow="0" w:firstColumn="0" w:lastColumn="1" w:oddVBand="0" w:evenVBand="0" w:oddHBand="0" w:evenHBand="0" w:firstRowFirstColumn="0" w:firstRowLastColumn="0" w:lastRowFirstColumn="0" w:lastRowLastColumn="0"/>
            <w:tcW w:w="3822" w:type="pct"/>
          </w:tcPr>
          <w:p w14:paraId="466715F8" w14:textId="77777777" w:rsidR="00B44672" w:rsidRDefault="00B44672" w:rsidP="00DE5E01">
            <w:pPr>
              <w:pStyle w:val="Compact"/>
              <w:jc w:val="center"/>
            </w:pPr>
            <w:r>
              <w:t>4.30</w:t>
            </w:r>
          </w:p>
        </w:tc>
      </w:tr>
      <w:tr w:rsidR="00B44672" w14:paraId="00421DB6" w14:textId="77777777" w:rsidTr="000511C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tcPr>
          <w:p w14:paraId="72A9143D" w14:textId="77777777" w:rsidR="00B44672" w:rsidRDefault="00B44672" w:rsidP="00DE5E01">
            <w:pPr>
              <w:pStyle w:val="Compact"/>
              <w:jc w:val="center"/>
            </w:pPr>
            <w:r>
              <w:t>2018</w:t>
            </w:r>
          </w:p>
        </w:tc>
        <w:tc>
          <w:tcPr>
            <w:cnfStyle w:val="000100000000" w:firstRow="0" w:lastRow="0" w:firstColumn="0" w:lastColumn="1" w:oddVBand="0" w:evenVBand="0" w:oddHBand="0" w:evenHBand="0" w:firstRowFirstColumn="0" w:firstRowLastColumn="0" w:lastRowFirstColumn="0" w:lastRowLastColumn="0"/>
            <w:tcW w:w="3822" w:type="pct"/>
          </w:tcPr>
          <w:p w14:paraId="5B7A5CAC" w14:textId="77777777" w:rsidR="00B44672" w:rsidRDefault="00B44672" w:rsidP="00DE5E01">
            <w:pPr>
              <w:pStyle w:val="Compact"/>
              <w:jc w:val="center"/>
            </w:pPr>
            <w:r>
              <w:t>4.08</w:t>
            </w:r>
          </w:p>
        </w:tc>
      </w:tr>
    </w:tbl>
    <w:p w14:paraId="037A7FD3" w14:textId="77777777" w:rsidR="00B44672" w:rsidRDefault="00B44672" w:rsidP="00C83581">
      <w:pPr>
        <w:pStyle w:val="BlockText"/>
      </w:pPr>
      <w:r>
        <w:rPr>
          <w:i/>
        </w:rPr>
        <w:t>Source:</w:t>
      </w:r>
      <w:r>
        <w:t xml:space="preserve"> Median interest rates calculated from SIHs 2011, 2013, 2015 and 2017.</w:t>
      </w:r>
      <w:r>
        <w:br/>
      </w:r>
      <w:r>
        <w:rPr>
          <w:i/>
        </w:rPr>
        <w:t>Note:</w:t>
      </w:r>
      <w:r>
        <w:t xml:space="preserve"> We extrapolate interest rates for the other years. </w:t>
      </w:r>
    </w:p>
    <w:p w14:paraId="0D8677AE" w14:textId="77777777" w:rsidR="00B44672" w:rsidRDefault="00B44672" w:rsidP="00C83581">
      <w:pPr>
        <w:pStyle w:val="CaptionedFigure"/>
      </w:pPr>
      <w:r>
        <w:rPr>
          <w:noProof/>
        </w:rPr>
        <w:lastRenderedPageBreak/>
        <w:drawing>
          <wp:inline distT="0" distB="0" distL="0" distR="0" wp14:anchorId="1C3E7B2E" wp14:editId="24086097">
            <wp:extent cx="5800725" cy="7791450"/>
            <wp:effectExtent l="0" t="0" r="9525" b="0"/>
            <wp:docPr id="5" name="Picture" descr="Figure A1 - The ACT government’s rate rules under the new and old policies, 2013-2018"/>
            <wp:cNvGraphicFramePr/>
            <a:graphic xmlns:a="http://schemas.openxmlformats.org/drawingml/2006/main">
              <a:graphicData uri="http://schemas.openxmlformats.org/drawingml/2006/picture">
                <pic:pic xmlns:pic="http://schemas.openxmlformats.org/drawingml/2006/picture">
                  <pic:nvPicPr>
                    <pic:cNvPr id="0" name="Picture" descr="graph\graph_0_0\fig2_1.png"/>
                    <pic:cNvPicPr>
                      <a:picLocks noChangeAspect="1" noChangeArrowheads="1"/>
                    </pic:cNvPicPr>
                  </pic:nvPicPr>
                  <pic:blipFill>
                    <a:blip r:embed="rId18"/>
                    <a:stretch>
                      <a:fillRect/>
                    </a:stretch>
                  </pic:blipFill>
                  <pic:spPr bwMode="auto">
                    <a:xfrm>
                      <a:off x="0" y="0"/>
                      <a:ext cx="5800985" cy="7791799"/>
                    </a:xfrm>
                    <a:prstGeom prst="rect">
                      <a:avLst/>
                    </a:prstGeom>
                    <a:noFill/>
                    <a:ln w="9525">
                      <a:noFill/>
                      <a:headEnd/>
                      <a:tailEnd/>
                    </a:ln>
                  </pic:spPr>
                </pic:pic>
              </a:graphicData>
            </a:graphic>
          </wp:inline>
        </w:drawing>
      </w:r>
    </w:p>
    <w:p w14:paraId="7AAA0EA2" w14:textId="77777777" w:rsidR="00B44672" w:rsidRDefault="00B44672" w:rsidP="00C83581">
      <w:pPr>
        <w:pStyle w:val="ImageCaption"/>
      </w:pPr>
      <w:r>
        <w:t>Figure A1 - The ACT government’s rate rules under the new and old policies, 2013-2018</w:t>
      </w:r>
    </w:p>
    <w:p w14:paraId="69004E41" w14:textId="77777777" w:rsidR="00B44672" w:rsidRDefault="00B44672" w:rsidP="00C83581">
      <w:pPr>
        <w:pStyle w:val="CaptionedFigure"/>
      </w:pPr>
      <w:r>
        <w:rPr>
          <w:noProof/>
        </w:rPr>
        <w:lastRenderedPageBreak/>
        <w:drawing>
          <wp:inline distT="0" distB="0" distL="0" distR="0" wp14:anchorId="706E4244" wp14:editId="50F11A7F">
            <wp:extent cx="5810250" cy="7724775"/>
            <wp:effectExtent l="0" t="0" r="0" b="0"/>
            <wp:docPr id="6" name="Picture" descr="Figure A2 - The ACT government’s stamp duty rules under the new and old policies, 2013-2018"/>
            <wp:cNvGraphicFramePr/>
            <a:graphic xmlns:a="http://schemas.openxmlformats.org/drawingml/2006/main">
              <a:graphicData uri="http://schemas.openxmlformats.org/drawingml/2006/picture">
                <pic:pic xmlns:pic="http://schemas.openxmlformats.org/drawingml/2006/picture">
                  <pic:nvPicPr>
                    <pic:cNvPr id="0" name="Picture" descr="graph\graph_0_0\fig4_1.png"/>
                    <pic:cNvPicPr>
                      <a:picLocks noChangeAspect="1" noChangeArrowheads="1"/>
                    </pic:cNvPicPr>
                  </pic:nvPicPr>
                  <pic:blipFill>
                    <a:blip r:embed="rId19"/>
                    <a:stretch>
                      <a:fillRect/>
                    </a:stretch>
                  </pic:blipFill>
                  <pic:spPr bwMode="auto">
                    <a:xfrm>
                      <a:off x="0" y="0"/>
                      <a:ext cx="5810519" cy="7725132"/>
                    </a:xfrm>
                    <a:prstGeom prst="rect">
                      <a:avLst/>
                    </a:prstGeom>
                    <a:noFill/>
                    <a:ln w="9525">
                      <a:noFill/>
                      <a:headEnd/>
                      <a:tailEnd/>
                    </a:ln>
                  </pic:spPr>
                </pic:pic>
              </a:graphicData>
            </a:graphic>
          </wp:inline>
        </w:drawing>
      </w:r>
    </w:p>
    <w:p w14:paraId="4BC6FD56" w14:textId="77777777" w:rsidR="00B44672" w:rsidRDefault="00B44672" w:rsidP="00D43EEB">
      <w:pPr>
        <w:pStyle w:val="ImageCaption"/>
      </w:pPr>
      <w:r>
        <w:t>Figure A2 - The ACT government’s stamp duty rules under the new and old policies, 2013-2018</w:t>
      </w:r>
    </w:p>
    <w:p w14:paraId="2A4165D2" w14:textId="599E4E45" w:rsidR="00B44672" w:rsidRDefault="00B44672" w:rsidP="00EE0D25">
      <w:pPr>
        <w:pStyle w:val="BodyText"/>
        <w:rPr>
          <w:lang w:val="en-AU"/>
        </w:rPr>
      </w:pPr>
    </w:p>
    <w:p w14:paraId="292D93A5" w14:textId="5485EDF7" w:rsidR="00B44672" w:rsidRDefault="00B44672" w:rsidP="00EE0D25">
      <w:pPr>
        <w:pStyle w:val="BodyText"/>
        <w:rPr>
          <w:lang w:val="en-AU"/>
        </w:rPr>
      </w:pPr>
    </w:p>
    <w:p w14:paraId="6AB395A4" w14:textId="77777777" w:rsidR="00B44672" w:rsidRDefault="00B44672" w:rsidP="003675B3">
      <w:pPr>
        <w:pStyle w:val="Heading1"/>
        <w:jc w:val="center"/>
      </w:pPr>
      <w:r>
        <w:lastRenderedPageBreak/>
        <w:t>Technical Appendix (for Part 2)</w:t>
      </w:r>
    </w:p>
    <w:p w14:paraId="0680AB91" w14:textId="77777777" w:rsidR="00B44672" w:rsidRDefault="00B44672" w:rsidP="003675B3">
      <w:pPr>
        <w:jc w:val="center"/>
      </w:pPr>
    </w:p>
    <w:p w14:paraId="11429E3D" w14:textId="77777777" w:rsidR="00B44672" w:rsidRDefault="00B44672" w:rsidP="003675B3">
      <w:pPr>
        <w:jc w:val="center"/>
      </w:pPr>
      <w:r>
        <w:t xml:space="preserve">Ralf Steinhauser and Robert Breunig </w:t>
      </w:r>
    </w:p>
    <w:p w14:paraId="43BD455B" w14:textId="77777777" w:rsidR="00B44672" w:rsidRDefault="00B44672" w:rsidP="003675B3">
      <w:pPr>
        <w:jc w:val="center"/>
      </w:pPr>
      <w:r>
        <w:t>24 March 2020</w:t>
      </w:r>
    </w:p>
    <w:p w14:paraId="4F1A7A91" w14:textId="77777777" w:rsidR="00B44672" w:rsidRPr="003675B3" w:rsidRDefault="00B44672" w:rsidP="003675B3"/>
    <w:p w14:paraId="45DCE398" w14:textId="77777777" w:rsidR="00B44672" w:rsidRDefault="00B44672" w:rsidP="00B44672">
      <w:pPr>
        <w:pStyle w:val="Heading2"/>
        <w:numPr>
          <w:ilvl w:val="0"/>
          <w:numId w:val="23"/>
        </w:numPr>
        <w:spacing w:line="259" w:lineRule="auto"/>
      </w:pPr>
      <w:r>
        <w:t>Introduction</w:t>
      </w:r>
    </w:p>
    <w:p w14:paraId="46140CAB" w14:textId="77777777" w:rsidR="00B44672" w:rsidRDefault="00B44672" w:rsidP="000F2971">
      <w:pPr>
        <w:spacing w:line="276" w:lineRule="auto"/>
      </w:pPr>
      <w:r>
        <w:t xml:space="preserve">This appendix is constructed as follows. First, more details are provided on the </w:t>
      </w:r>
      <w:proofErr w:type="spellStart"/>
      <w:r>
        <w:t>Corelogic</w:t>
      </w:r>
      <w:proofErr w:type="spellEnd"/>
      <w:r>
        <w:t xml:space="preserve"> data. Then differences between the </w:t>
      </w:r>
      <w:proofErr w:type="spellStart"/>
      <w:r>
        <w:t>Corelogic</w:t>
      </w:r>
      <w:proofErr w:type="spellEnd"/>
      <w:r>
        <w:t xml:space="preserve"> data and the ACT administrative data on the number of property sales are then discussed. Additional detail on the rental bonds data used is also provided. Finally, the four different control groups (counterfactuals) used in the analyses are described alongside the test results of the analysis of the common trends assumption. Extended results tables for all tables in the main report, including all control groups, are provided in the second to last section and results using administrative data from NSW and ACT in an alternative data approach are provided at the end of this appendix.  </w:t>
      </w:r>
    </w:p>
    <w:p w14:paraId="0A36DCC8" w14:textId="77777777" w:rsidR="00B44672" w:rsidRPr="004D2B7C" w:rsidRDefault="00B44672" w:rsidP="004D2B7C"/>
    <w:p w14:paraId="75C0A444" w14:textId="77777777" w:rsidR="00B44672" w:rsidRPr="000B5D64" w:rsidRDefault="00B44672" w:rsidP="00B44672">
      <w:pPr>
        <w:pStyle w:val="Heading2"/>
        <w:numPr>
          <w:ilvl w:val="0"/>
          <w:numId w:val="23"/>
        </w:numPr>
        <w:spacing w:line="259" w:lineRule="auto"/>
      </w:pPr>
      <w:proofErr w:type="spellStart"/>
      <w:r w:rsidRPr="000B5D64">
        <w:t>Corelogic</w:t>
      </w:r>
      <w:proofErr w:type="spellEnd"/>
      <w:r w:rsidRPr="000B5D64">
        <w:t xml:space="preserve"> data</w:t>
      </w:r>
    </w:p>
    <w:p w14:paraId="7A6ACD12" w14:textId="77777777" w:rsidR="00B44672" w:rsidRPr="009746CE" w:rsidRDefault="00B44672" w:rsidP="000B5D64">
      <w:pPr>
        <w:spacing w:line="276" w:lineRule="auto"/>
        <w:rPr>
          <w:rFonts w:cstheme="minorHAnsi"/>
          <w:lang w:val="en-GB" w:bidi="bn-BD"/>
        </w:rPr>
      </w:pPr>
      <w:r w:rsidRPr="009746CE">
        <w:rPr>
          <w:rFonts w:cstheme="minorHAnsi"/>
          <w:lang w:val="en-GB" w:bidi="bn-BD"/>
        </w:rPr>
        <w:t>CoreLogic is the largest provider of property information in Australia.</w:t>
      </w:r>
      <w:r w:rsidRPr="009746CE">
        <w:rPr>
          <w:rFonts w:cstheme="minorHAnsi"/>
          <w:vertAlign w:val="superscript"/>
          <w:lang w:val="en-GB" w:bidi="bn-BD"/>
        </w:rPr>
        <w:footnoteReference w:id="26"/>
      </w:r>
      <w:r w:rsidRPr="009746CE">
        <w:rPr>
          <w:rFonts w:cstheme="minorHAnsi"/>
          <w:lang w:val="en-GB" w:bidi="bn-BD"/>
        </w:rPr>
        <w:t xml:space="preserve"> </w:t>
      </w:r>
      <w:r w:rsidRPr="009746CE">
        <w:rPr>
          <w:rFonts w:cstheme="minorHAnsi"/>
        </w:rPr>
        <w:t>CoreLogic accesses a range of government data relating to property transactions, primarily through the Valuer Generals of each State and Territory. W</w:t>
      </w:r>
      <w:proofErr w:type="spellStart"/>
      <w:r w:rsidRPr="009746CE">
        <w:rPr>
          <w:rFonts w:cstheme="minorHAnsi"/>
          <w:lang w:val="en-GB" w:bidi="bn-BD"/>
        </w:rPr>
        <w:t>e</w:t>
      </w:r>
      <w:proofErr w:type="spellEnd"/>
      <w:r w:rsidRPr="009746CE">
        <w:rPr>
          <w:rFonts w:cstheme="minorHAnsi"/>
          <w:lang w:val="en-GB" w:bidi="bn-BD"/>
        </w:rPr>
        <w:t xml:space="preserve"> have ten years of </w:t>
      </w:r>
      <w:proofErr w:type="spellStart"/>
      <w:r w:rsidRPr="009746CE">
        <w:rPr>
          <w:rFonts w:cstheme="minorHAnsi"/>
          <w:lang w:val="en-GB" w:bidi="bn-BD"/>
        </w:rPr>
        <w:t>Corelogic</w:t>
      </w:r>
      <w:proofErr w:type="spellEnd"/>
      <w:r w:rsidRPr="009746CE">
        <w:rPr>
          <w:rFonts w:cstheme="minorHAnsi"/>
          <w:lang w:val="en-GB" w:bidi="bn-BD"/>
        </w:rPr>
        <w:t xml:space="preserve"> property sales data available for our analysis. This includes three years before the ACT tax reform and seven years after the reform from late 2009 </w:t>
      </w:r>
      <w:r>
        <w:rPr>
          <w:rFonts w:cstheme="minorHAnsi"/>
          <w:lang w:val="en-GB" w:bidi="bn-BD"/>
        </w:rPr>
        <w:t>un</w:t>
      </w:r>
      <w:r w:rsidRPr="009746CE">
        <w:rPr>
          <w:rFonts w:cstheme="minorHAnsi"/>
          <w:lang w:val="en-GB" w:bidi="bn-BD"/>
        </w:rPr>
        <w:t>til late 2019. The data is a panel of suburb level, monthly statistics. We observe</w:t>
      </w:r>
      <w:r>
        <w:rPr>
          <w:rFonts w:cstheme="minorHAnsi"/>
          <w:lang w:val="en-GB" w:bidi="bn-BD"/>
        </w:rPr>
        <w:t>,</w:t>
      </w:r>
      <w:r w:rsidRPr="009746CE">
        <w:rPr>
          <w:rFonts w:cstheme="minorHAnsi"/>
          <w:lang w:val="en-GB" w:bidi="bn-BD"/>
        </w:rPr>
        <w:t xml:space="preserve"> for each property type (Houses or Units)</w:t>
      </w:r>
      <w:r>
        <w:rPr>
          <w:rFonts w:cstheme="minorHAnsi"/>
          <w:lang w:val="en-GB" w:bidi="bn-BD"/>
        </w:rPr>
        <w:t xml:space="preserve">, </w:t>
      </w:r>
      <w:r w:rsidRPr="009746CE">
        <w:rPr>
          <w:rFonts w:cstheme="minorHAnsi"/>
          <w:lang w:val="en-GB" w:bidi="bn-BD"/>
        </w:rPr>
        <w:t xml:space="preserve">the number of </w:t>
      </w:r>
      <w:r>
        <w:rPr>
          <w:rFonts w:cstheme="minorHAnsi"/>
          <w:lang w:val="en-GB" w:bidi="bn-BD"/>
        </w:rPr>
        <w:t xml:space="preserve">properties </w:t>
      </w:r>
      <w:r w:rsidRPr="009746CE">
        <w:rPr>
          <w:rFonts w:cstheme="minorHAnsi"/>
          <w:lang w:val="en-GB" w:bidi="bn-BD"/>
        </w:rPr>
        <w:t>sold in the suburb, the median sale price for the suburb and the median value of advertised weekly rents in the suburb.</w:t>
      </w:r>
    </w:p>
    <w:p w14:paraId="6E4A1BDB" w14:textId="77777777" w:rsidR="00B44672" w:rsidRPr="009746CE" w:rsidRDefault="00B44672" w:rsidP="000B5D64">
      <w:pPr>
        <w:spacing w:line="276" w:lineRule="auto"/>
        <w:rPr>
          <w:rFonts w:cstheme="minorHAnsi"/>
          <w:lang w:val="en-GB" w:bidi="bn-BD"/>
        </w:rPr>
      </w:pPr>
      <w:r w:rsidRPr="009746CE">
        <w:t>We observe over 10</w:t>
      </w:r>
      <w:r>
        <w:t>,</w:t>
      </w:r>
      <w:r w:rsidRPr="009746CE">
        <w:t>000 suburbs</w:t>
      </w:r>
      <w:r w:rsidRPr="009746CE">
        <w:rPr>
          <w:vertAlign w:val="superscript"/>
        </w:rPr>
        <w:footnoteReference w:id="27"/>
      </w:r>
      <w:r w:rsidRPr="009746CE">
        <w:t xml:space="preserve"> across all states and territories in the data. </w:t>
      </w:r>
      <w:r>
        <w:t xml:space="preserve">There </w:t>
      </w:r>
      <w:proofErr w:type="gramStart"/>
      <w:r>
        <w:t>are</w:t>
      </w:r>
      <w:proofErr w:type="gramEnd"/>
      <w:r>
        <w:t xml:space="preserve"> a</w:t>
      </w:r>
      <w:r w:rsidRPr="009746CE">
        <w:t xml:space="preserve"> total of 770</w:t>
      </w:r>
      <w:r>
        <w:t>,</w:t>
      </w:r>
      <w:r w:rsidRPr="009746CE">
        <w:t>000 suburb-month observations where at least one</w:t>
      </w:r>
      <w:r w:rsidRPr="00C617B5">
        <w:t xml:space="preserve"> </w:t>
      </w:r>
      <w:r w:rsidRPr="009746CE">
        <w:t>property sold. Two thirds of these are observation</w:t>
      </w:r>
      <w:r>
        <w:t>s</w:t>
      </w:r>
      <w:r w:rsidRPr="009746CE">
        <w:t xml:space="preserve"> on house sales and one third are observation</w:t>
      </w:r>
      <w:r>
        <w:t>s</w:t>
      </w:r>
      <w:r w:rsidRPr="009746CE">
        <w:t xml:space="preserve"> on unit sales.</w:t>
      </w:r>
    </w:p>
    <w:p w14:paraId="7B8A51EE" w14:textId="77777777" w:rsidR="00A763B6" w:rsidRPr="00A763B6" w:rsidRDefault="00B44672" w:rsidP="00A763B6">
      <w:pPr>
        <w:spacing w:line="276" w:lineRule="auto"/>
        <w:rPr>
          <w:rFonts w:cstheme="minorHAnsi"/>
        </w:rPr>
      </w:pPr>
      <w:r w:rsidRPr="009746CE">
        <w:rPr>
          <w:rFonts w:cstheme="minorHAnsi"/>
          <w:lang w:val="en-GB" w:bidi="bn-BD"/>
        </w:rPr>
        <w:fldChar w:fldCharType="begin"/>
      </w:r>
      <w:r w:rsidRPr="009746CE">
        <w:rPr>
          <w:rFonts w:cstheme="minorHAnsi"/>
          <w:lang w:val="en-GB" w:bidi="bn-BD"/>
        </w:rPr>
        <w:instrText xml:space="preserve"> REF _Ref528755844 \h  \* MERGEFORMAT </w:instrText>
      </w:r>
      <w:r w:rsidRPr="009746CE">
        <w:rPr>
          <w:rFonts w:cstheme="minorHAnsi"/>
          <w:lang w:val="en-GB" w:bidi="bn-BD"/>
        </w:rPr>
      </w:r>
      <w:r w:rsidRPr="009746CE">
        <w:rPr>
          <w:rFonts w:cstheme="minorHAnsi"/>
          <w:lang w:val="en-GB" w:bidi="bn-BD"/>
        </w:rPr>
        <w:fldChar w:fldCharType="separate"/>
      </w:r>
    </w:p>
    <w:p w14:paraId="2C1B8530" w14:textId="3E9C875B" w:rsidR="00B44672" w:rsidRPr="009746CE" w:rsidRDefault="00A763B6" w:rsidP="000B5D64">
      <w:pPr>
        <w:spacing w:line="276" w:lineRule="auto"/>
        <w:rPr>
          <w:rFonts w:cstheme="minorHAnsi"/>
          <w:lang w:val="en-GB" w:bidi="bn-BD"/>
        </w:rPr>
      </w:pPr>
      <w:r w:rsidRPr="00A763B6">
        <w:rPr>
          <w:rFonts w:cstheme="minorHAnsi"/>
        </w:rPr>
        <w:t>Figure</w:t>
      </w:r>
      <w:r w:rsidRPr="00A763B6">
        <w:rPr>
          <w:rFonts w:cstheme="minorHAnsi"/>
          <w:noProof/>
        </w:rPr>
        <w:t xml:space="preserve"> </w:t>
      </w:r>
      <w:r>
        <w:rPr>
          <w:rFonts w:eastAsiaTheme="minorEastAsia" w:cstheme="minorHAnsi"/>
          <w:b/>
          <w:bCs/>
          <w:i/>
          <w:iCs/>
          <w:noProof/>
          <w:color w:val="365F91" w:themeColor="accent1" w:themeShade="BF"/>
          <w:lang w:eastAsia="en-AU"/>
        </w:rPr>
        <w:t>1</w:t>
      </w:r>
      <w:r w:rsidR="00B44672" w:rsidRPr="009746CE">
        <w:rPr>
          <w:rFonts w:cstheme="minorHAnsi"/>
          <w:lang w:val="en-GB" w:bidi="bn-BD"/>
        </w:rPr>
        <w:fldChar w:fldCharType="end"/>
      </w:r>
      <w:r w:rsidR="00B44672" w:rsidRPr="009746CE">
        <w:rPr>
          <w:rFonts w:cstheme="minorHAnsi"/>
          <w:lang w:val="en-GB" w:bidi="bn-BD"/>
        </w:rPr>
        <w:t xml:space="preserve"> gives an overview of house price trends by State in the CoreLogic data. </w:t>
      </w:r>
      <w:r w:rsidR="00B44672">
        <w:rPr>
          <w:rFonts w:cstheme="minorHAnsi"/>
          <w:lang w:val="en-GB" w:bidi="bn-BD"/>
        </w:rPr>
        <w:t xml:space="preserve">The price presented is a suburb-level median house price over 12 months. This allow us to focus on the </w:t>
      </w:r>
      <w:proofErr w:type="gramStart"/>
      <w:r w:rsidR="00B44672">
        <w:rPr>
          <w:rFonts w:cstheme="minorHAnsi"/>
          <w:lang w:val="en-GB" w:bidi="bn-BD"/>
        </w:rPr>
        <w:t>longer term</w:t>
      </w:r>
      <w:proofErr w:type="gramEnd"/>
      <w:r w:rsidR="00B44672">
        <w:rPr>
          <w:rFonts w:cstheme="minorHAnsi"/>
          <w:lang w:val="en-GB" w:bidi="bn-BD"/>
        </w:rPr>
        <w:t xml:space="preserve"> trend and minimise seasonal volatility.</w:t>
      </w:r>
      <w:r w:rsidR="00B44672" w:rsidRPr="009746CE">
        <w:rPr>
          <w:rFonts w:cstheme="minorHAnsi"/>
          <w:lang w:val="en-GB" w:bidi="bn-BD"/>
        </w:rPr>
        <w:t xml:space="preserve"> We </w:t>
      </w:r>
      <w:r w:rsidR="00B44672">
        <w:rPr>
          <w:rFonts w:cstheme="minorHAnsi"/>
          <w:lang w:val="en-GB" w:bidi="bn-BD"/>
        </w:rPr>
        <w:t xml:space="preserve">observe a general </w:t>
      </w:r>
      <w:r w:rsidR="00B44672" w:rsidRPr="009746CE">
        <w:rPr>
          <w:rFonts w:cstheme="minorHAnsi"/>
          <w:lang w:val="en-GB" w:bidi="bn-BD"/>
        </w:rPr>
        <w:t>upwar</w:t>
      </w:r>
      <w:r w:rsidR="00B44672">
        <w:rPr>
          <w:rFonts w:cstheme="minorHAnsi"/>
          <w:lang w:val="en-GB" w:bidi="bn-BD"/>
        </w:rPr>
        <w:t xml:space="preserve">d trend in the </w:t>
      </w:r>
      <w:r w:rsidR="00B44672">
        <w:rPr>
          <w:rFonts w:cstheme="minorHAnsi"/>
          <w:lang w:val="en-GB" w:bidi="bn-BD"/>
        </w:rPr>
        <w:lastRenderedPageBreak/>
        <w:t>house price data. I</w:t>
      </w:r>
      <w:r w:rsidR="00B44672" w:rsidRPr="009746CE">
        <w:rPr>
          <w:rFonts w:cstheme="minorHAnsi"/>
          <w:lang w:val="en-GB" w:bidi="bn-BD"/>
        </w:rPr>
        <w:t>n nominal terms, in some States</w:t>
      </w:r>
      <w:r w:rsidR="00B44672">
        <w:rPr>
          <w:rFonts w:cstheme="minorHAnsi"/>
          <w:lang w:val="en-GB" w:bidi="bn-BD"/>
        </w:rPr>
        <w:t>,</w:t>
      </w:r>
      <w:r w:rsidR="00B44672" w:rsidRPr="009746CE">
        <w:rPr>
          <w:rFonts w:cstheme="minorHAnsi"/>
          <w:lang w:val="en-GB" w:bidi="bn-BD"/>
        </w:rPr>
        <w:t xml:space="preserve"> the average </w:t>
      </w:r>
      <w:r w:rsidR="00B44672">
        <w:rPr>
          <w:rFonts w:cstheme="minorHAnsi"/>
          <w:lang w:val="en-GB" w:bidi="bn-BD"/>
        </w:rPr>
        <w:t xml:space="preserve">median </w:t>
      </w:r>
      <w:r w:rsidR="00B44672" w:rsidRPr="009746CE">
        <w:rPr>
          <w:rFonts w:cstheme="minorHAnsi"/>
          <w:lang w:val="en-GB" w:bidi="bn-BD"/>
        </w:rPr>
        <w:t xml:space="preserve">house price grew </w:t>
      </w:r>
      <w:r w:rsidR="00B44672">
        <w:rPr>
          <w:rFonts w:cstheme="minorHAnsi"/>
          <w:lang w:val="en-GB" w:bidi="bn-BD"/>
        </w:rPr>
        <w:t>close to 40% over this short period</w:t>
      </w:r>
      <w:r w:rsidR="00B44672" w:rsidRPr="009746CE">
        <w:rPr>
          <w:rFonts w:cstheme="minorHAnsi"/>
          <w:lang w:val="en-GB" w:bidi="bn-BD"/>
        </w:rPr>
        <w:t>.</w:t>
      </w:r>
      <w:r w:rsidR="00B44672" w:rsidRPr="009746CE">
        <w:rPr>
          <w:rFonts w:cstheme="minorHAnsi"/>
          <w:vertAlign w:val="superscript"/>
          <w:lang w:val="en-GB" w:bidi="bn-BD"/>
        </w:rPr>
        <w:footnoteReference w:id="28"/>
      </w:r>
      <w:r w:rsidR="00B44672" w:rsidRPr="009746CE">
        <w:rPr>
          <w:rFonts w:cstheme="minorHAnsi"/>
          <w:lang w:val="en-GB" w:bidi="bn-BD"/>
        </w:rPr>
        <w:t xml:space="preserve"> </w:t>
      </w:r>
    </w:p>
    <w:p w14:paraId="36D15A2E" w14:textId="77777777" w:rsidR="00B44672" w:rsidRDefault="00B44672" w:rsidP="000B5D64">
      <w:pPr>
        <w:spacing w:after="0" w:line="276" w:lineRule="auto"/>
        <w:jc w:val="center"/>
        <w:rPr>
          <w:rFonts w:eastAsiaTheme="minorEastAsia" w:cstheme="minorHAnsi"/>
          <w:b/>
          <w:bCs/>
          <w:i/>
          <w:iCs/>
          <w:color w:val="365F91" w:themeColor="accent1" w:themeShade="BF"/>
          <w:lang w:eastAsia="en-AU"/>
        </w:rPr>
      </w:pPr>
      <w:bookmarkStart w:id="134" w:name="_Ref528755844"/>
      <w:bookmarkStart w:id="135" w:name="_Ref528755832"/>
      <w:bookmarkStart w:id="136" w:name="_Toc535413863"/>
      <w:bookmarkStart w:id="137" w:name="_Toc2590359"/>
    </w:p>
    <w:p w14:paraId="187D6517" w14:textId="16AD5A4B" w:rsidR="00B44672" w:rsidRDefault="00B44672" w:rsidP="00E33AF9">
      <w:pPr>
        <w:spacing w:after="0" w:line="276" w:lineRule="auto"/>
        <w:jc w:val="center"/>
        <w:rPr>
          <w:rFonts w:eastAsiaTheme="minorEastAsia" w:cstheme="minorHAnsi"/>
          <w:noProof/>
          <w:sz w:val="22"/>
          <w:lang w:eastAsia="en-AU"/>
        </w:rPr>
      </w:pPr>
      <w:r w:rsidRPr="000B5D64">
        <w:rPr>
          <w:rFonts w:eastAsiaTheme="minorEastAsia" w:cstheme="minorHAnsi"/>
          <w:b/>
          <w:bCs/>
          <w:i/>
          <w:iCs/>
          <w:color w:val="365F91" w:themeColor="accent1" w:themeShade="BF"/>
          <w:lang w:eastAsia="en-AU"/>
        </w:rPr>
        <w:t xml:space="preserve">Figure </w:t>
      </w:r>
      <w:r w:rsidRPr="000B5D64">
        <w:rPr>
          <w:rFonts w:eastAsiaTheme="minorEastAsia" w:cstheme="minorHAnsi"/>
          <w:b/>
          <w:bCs/>
          <w:i/>
          <w:iCs/>
          <w:color w:val="365F91" w:themeColor="accent1" w:themeShade="BF"/>
          <w:lang w:eastAsia="en-AU"/>
        </w:rPr>
        <w:fldChar w:fldCharType="begin"/>
      </w:r>
      <w:r w:rsidRPr="000B5D64">
        <w:rPr>
          <w:rFonts w:eastAsiaTheme="minorEastAsia" w:cstheme="minorHAnsi"/>
          <w:b/>
          <w:bCs/>
          <w:i/>
          <w:iCs/>
          <w:color w:val="365F91" w:themeColor="accent1" w:themeShade="BF"/>
          <w:lang w:eastAsia="en-AU"/>
        </w:rPr>
        <w:instrText xml:space="preserve"> SEQ Figure \* ARABIC </w:instrText>
      </w:r>
      <w:r w:rsidRPr="000B5D64">
        <w:rPr>
          <w:rFonts w:eastAsiaTheme="minorEastAsia" w:cstheme="minorHAnsi"/>
          <w:b/>
          <w:bCs/>
          <w:i/>
          <w:iCs/>
          <w:color w:val="365F91" w:themeColor="accent1" w:themeShade="BF"/>
          <w:lang w:eastAsia="en-AU"/>
        </w:rPr>
        <w:fldChar w:fldCharType="separate"/>
      </w:r>
      <w:r w:rsidR="00A763B6">
        <w:rPr>
          <w:rFonts w:eastAsiaTheme="minorEastAsia" w:cstheme="minorHAnsi"/>
          <w:b/>
          <w:bCs/>
          <w:i/>
          <w:iCs/>
          <w:noProof/>
          <w:color w:val="365F91" w:themeColor="accent1" w:themeShade="BF"/>
          <w:lang w:eastAsia="en-AU"/>
        </w:rPr>
        <w:t>1</w:t>
      </w:r>
      <w:r w:rsidRPr="000B5D64">
        <w:rPr>
          <w:rFonts w:eastAsiaTheme="minorEastAsia" w:cstheme="minorHAnsi"/>
          <w:b/>
          <w:bCs/>
          <w:i/>
          <w:iCs/>
          <w:color w:val="365F91" w:themeColor="accent1" w:themeShade="BF"/>
          <w:lang w:eastAsia="en-AU"/>
        </w:rPr>
        <w:fldChar w:fldCharType="end"/>
      </w:r>
      <w:bookmarkEnd w:id="134"/>
      <w:bookmarkEnd w:id="135"/>
      <w:r w:rsidRPr="000B5D64">
        <w:rPr>
          <w:rFonts w:eastAsiaTheme="minorEastAsia" w:cstheme="minorHAnsi"/>
          <w:b/>
          <w:bCs/>
          <w:i/>
          <w:iCs/>
          <w:color w:val="365F91" w:themeColor="accent1" w:themeShade="BF"/>
          <w:lang w:eastAsia="en-AU"/>
        </w:rPr>
        <w:t xml:space="preserve">. Average </w:t>
      </w:r>
      <w:r>
        <w:rPr>
          <w:rFonts w:eastAsiaTheme="minorEastAsia" w:cstheme="minorHAnsi"/>
          <w:b/>
          <w:bCs/>
          <w:i/>
          <w:iCs/>
          <w:color w:val="365F91" w:themeColor="accent1" w:themeShade="BF"/>
          <w:lang w:eastAsia="en-AU"/>
        </w:rPr>
        <w:t xml:space="preserve">median </w:t>
      </w:r>
      <w:r w:rsidRPr="000B5D64">
        <w:rPr>
          <w:rFonts w:eastAsiaTheme="minorEastAsia" w:cstheme="minorHAnsi"/>
          <w:b/>
          <w:bCs/>
          <w:i/>
          <w:iCs/>
          <w:color w:val="365F91" w:themeColor="accent1" w:themeShade="BF"/>
          <w:lang w:eastAsia="en-AU"/>
        </w:rPr>
        <w:t>house price trends by State and Territory 2010-201</w:t>
      </w:r>
      <w:bookmarkEnd w:id="136"/>
      <w:bookmarkEnd w:id="137"/>
      <w:r w:rsidRPr="000B5D64">
        <w:rPr>
          <w:rFonts w:eastAsiaTheme="minorEastAsia" w:cstheme="minorHAnsi"/>
          <w:b/>
          <w:bCs/>
          <w:i/>
          <w:iCs/>
          <w:color w:val="365F91" w:themeColor="accent1" w:themeShade="BF"/>
          <w:lang w:eastAsia="en-AU"/>
        </w:rPr>
        <w:t>9</w:t>
      </w:r>
    </w:p>
    <w:p w14:paraId="1D9BD6AF" w14:textId="77777777" w:rsidR="00B44672" w:rsidRPr="009746CE" w:rsidRDefault="00B44672" w:rsidP="000B5D64">
      <w:pPr>
        <w:spacing w:after="0" w:line="276" w:lineRule="auto"/>
        <w:jc w:val="center"/>
        <w:rPr>
          <w:rFonts w:eastAsiaTheme="minorEastAsia" w:cstheme="minorHAnsi"/>
          <w:sz w:val="22"/>
          <w:lang w:eastAsia="en-AU"/>
        </w:rPr>
      </w:pPr>
      <w:r>
        <w:rPr>
          <w:rFonts w:eastAsiaTheme="minorEastAsia" w:cstheme="minorHAnsi"/>
          <w:noProof/>
          <w:sz w:val="22"/>
          <w:lang w:eastAsia="en-AU"/>
        </w:rPr>
        <w:drawing>
          <wp:inline distT="0" distB="0" distL="0" distR="0" wp14:anchorId="09315D3E" wp14:editId="45D2C281">
            <wp:extent cx="5718810" cy="4152900"/>
            <wp:effectExtent l="0" t="0" r="0" b="0"/>
            <wp:docPr id="7" name="Picture 7" descr="Line chart of average median house price by state and territory from 2010-2019 in nominal terms. The line chart shows that the median price in the ACT remained relatively flat from 2010 to 2013 at about $600,000. From 2013 onwards the median price in the ACT grew to about $720,000 in 2017 and remained relatively flat from then onwards. The trends in other states and territories are different, with the average median house price in some states growing by about 40 per cent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CL_Pri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8810" cy="4152900"/>
                    </a:xfrm>
                    <a:prstGeom prst="rect">
                      <a:avLst/>
                    </a:prstGeom>
                    <a:noFill/>
                    <a:ln>
                      <a:noFill/>
                    </a:ln>
                  </pic:spPr>
                </pic:pic>
              </a:graphicData>
            </a:graphic>
          </wp:inline>
        </w:drawing>
      </w:r>
    </w:p>
    <w:p w14:paraId="7E87BB4E" w14:textId="1E9C04B1" w:rsidR="00B44672" w:rsidRDefault="00B44672" w:rsidP="000B5D64">
      <w:pPr>
        <w:spacing w:before="100" w:beforeAutospacing="1" w:after="100" w:afterAutospacing="1" w:line="276" w:lineRule="auto"/>
        <w:rPr>
          <w:rFonts w:cstheme="minorHAnsi"/>
          <w:lang w:val="en-GB" w:bidi="bn-BD"/>
        </w:rPr>
      </w:pPr>
      <w:r w:rsidRPr="009746CE">
        <w:rPr>
          <w:rFonts w:cstheme="minorHAnsi"/>
          <w:lang w:val="en-GB" w:bidi="bn-BD"/>
        </w:rPr>
        <w:fldChar w:fldCharType="begin"/>
      </w:r>
      <w:r w:rsidRPr="009746CE">
        <w:rPr>
          <w:rFonts w:cstheme="minorHAnsi"/>
          <w:lang w:val="en-GB" w:bidi="bn-BD"/>
        </w:rPr>
        <w:instrText xml:space="preserve"> REF _Ref30157771 \h </w:instrText>
      </w:r>
      <w:r>
        <w:rPr>
          <w:rFonts w:cstheme="minorHAnsi"/>
          <w:lang w:val="en-GB" w:bidi="bn-BD"/>
        </w:rPr>
        <w:instrText xml:space="preserve"> \* MERGEFORMAT </w:instrText>
      </w:r>
      <w:r w:rsidRPr="009746CE">
        <w:rPr>
          <w:rFonts w:cstheme="minorHAnsi"/>
          <w:lang w:val="en-GB" w:bidi="bn-BD"/>
        </w:rPr>
      </w:r>
      <w:r w:rsidRPr="009746CE">
        <w:rPr>
          <w:rFonts w:cstheme="minorHAnsi"/>
          <w:lang w:val="en-GB" w:bidi="bn-BD"/>
        </w:rPr>
        <w:fldChar w:fldCharType="separate"/>
      </w:r>
      <w:r w:rsidR="00A763B6" w:rsidRPr="00A763B6">
        <w:t xml:space="preserve">Figure </w:t>
      </w:r>
      <w:r w:rsidR="00A763B6" w:rsidRPr="00A763B6">
        <w:rPr>
          <w:noProof/>
        </w:rPr>
        <w:t>2</w:t>
      </w:r>
      <w:r w:rsidRPr="009746CE">
        <w:rPr>
          <w:rFonts w:cstheme="minorHAnsi"/>
          <w:lang w:val="en-GB" w:bidi="bn-BD"/>
        </w:rPr>
        <w:fldChar w:fldCharType="end"/>
      </w:r>
      <w:r w:rsidRPr="009746CE">
        <w:rPr>
          <w:rFonts w:cstheme="minorHAnsi"/>
          <w:lang w:val="en-GB" w:bidi="bn-BD"/>
        </w:rPr>
        <w:t xml:space="preserve"> gives an overview of </w:t>
      </w:r>
      <w:r>
        <w:rPr>
          <w:rFonts w:cstheme="minorHAnsi"/>
          <w:lang w:val="en-GB" w:bidi="bn-BD"/>
        </w:rPr>
        <w:t xml:space="preserve">state and territories’ </w:t>
      </w:r>
      <w:r w:rsidRPr="009746CE">
        <w:rPr>
          <w:rFonts w:cstheme="minorHAnsi"/>
          <w:lang w:val="en-GB" w:bidi="bn-BD"/>
        </w:rPr>
        <w:t xml:space="preserve">average </w:t>
      </w:r>
      <w:r>
        <w:rPr>
          <w:rFonts w:cstheme="minorHAnsi"/>
          <w:lang w:val="en-GB" w:bidi="bn-BD"/>
        </w:rPr>
        <w:t xml:space="preserve">annual </w:t>
      </w:r>
      <w:r w:rsidRPr="009746CE">
        <w:rPr>
          <w:rFonts w:cstheme="minorHAnsi"/>
          <w:lang w:val="en-GB" w:bidi="bn-BD"/>
        </w:rPr>
        <w:t xml:space="preserve">suburb sale </w:t>
      </w:r>
      <w:r>
        <w:rPr>
          <w:rFonts w:cstheme="minorHAnsi"/>
          <w:lang w:val="en-GB" w:bidi="bn-BD"/>
        </w:rPr>
        <w:t>numbers over time</w:t>
      </w:r>
      <w:r w:rsidRPr="009746CE">
        <w:rPr>
          <w:rFonts w:cstheme="minorHAnsi"/>
          <w:lang w:val="en-GB" w:bidi="bn-BD"/>
        </w:rPr>
        <w:t xml:space="preserve">. </w:t>
      </w:r>
      <w:r>
        <w:rPr>
          <w:rFonts w:cstheme="minorHAnsi"/>
          <w:lang w:val="en-GB" w:bidi="bn-BD"/>
        </w:rPr>
        <w:t xml:space="preserve">A moving average is calculated to focus on the longer-term trend without seasonal fluctuations. </w:t>
      </w:r>
      <w:r w:rsidRPr="009746CE">
        <w:rPr>
          <w:rFonts w:cstheme="minorHAnsi"/>
          <w:lang w:val="en-GB" w:bidi="bn-BD"/>
        </w:rPr>
        <w:t xml:space="preserve">We </w:t>
      </w:r>
      <w:r>
        <w:rPr>
          <w:rFonts w:cstheme="minorHAnsi"/>
          <w:lang w:val="en-GB" w:bidi="bn-BD"/>
        </w:rPr>
        <w:t>observe</w:t>
      </w:r>
      <w:r w:rsidRPr="009746CE">
        <w:rPr>
          <w:rFonts w:cstheme="minorHAnsi"/>
          <w:lang w:val="en-GB" w:bidi="bn-BD"/>
        </w:rPr>
        <w:t xml:space="preserve"> a largely sideways movement with some larger up</w:t>
      </w:r>
      <w:r>
        <w:rPr>
          <w:rFonts w:cstheme="minorHAnsi"/>
          <w:lang w:val="en-GB" w:bidi="bn-BD"/>
        </w:rPr>
        <w:t xml:space="preserve">turns and downturns in some states. </w:t>
      </w:r>
      <w:r w:rsidRPr="009746CE">
        <w:rPr>
          <w:rFonts w:cstheme="minorHAnsi"/>
          <w:lang w:val="en-GB" w:bidi="bn-BD"/>
        </w:rPr>
        <w:t xml:space="preserve">Victoria and NSW have </w:t>
      </w:r>
      <w:r>
        <w:rPr>
          <w:rFonts w:cstheme="minorHAnsi"/>
          <w:lang w:val="en-GB" w:bidi="bn-BD"/>
        </w:rPr>
        <w:t>greater</w:t>
      </w:r>
      <w:r w:rsidRPr="009746CE">
        <w:rPr>
          <w:rFonts w:cstheme="minorHAnsi"/>
          <w:lang w:val="en-GB" w:bidi="bn-BD"/>
        </w:rPr>
        <w:t xml:space="preserve"> volatility in the number of sales over time. </w:t>
      </w:r>
    </w:p>
    <w:p w14:paraId="3829A755" w14:textId="77777777" w:rsidR="00B44672" w:rsidRPr="009746CE" w:rsidRDefault="00B44672" w:rsidP="000B5D64">
      <w:pPr>
        <w:spacing w:before="100" w:beforeAutospacing="1" w:after="100" w:afterAutospacing="1" w:line="276" w:lineRule="auto"/>
        <w:rPr>
          <w:rFonts w:cstheme="minorHAnsi"/>
          <w:lang w:val="en-GB" w:bidi="bn-BD"/>
        </w:rPr>
      </w:pPr>
      <w:r>
        <w:rPr>
          <w:rFonts w:cstheme="minorHAnsi"/>
          <w:lang w:val="en-GB" w:bidi="bn-BD"/>
        </w:rPr>
        <w:t>According</w:t>
      </w:r>
      <w:r w:rsidRPr="009746CE">
        <w:rPr>
          <w:rFonts w:cstheme="minorHAnsi"/>
          <w:lang w:val="en-GB" w:bidi="bn-BD"/>
        </w:rPr>
        <w:t xml:space="preserve"> to the </w:t>
      </w:r>
      <w:proofErr w:type="spellStart"/>
      <w:r w:rsidRPr="009746CE">
        <w:rPr>
          <w:rFonts w:cstheme="minorHAnsi"/>
          <w:lang w:val="en-GB" w:bidi="bn-BD"/>
        </w:rPr>
        <w:t>Corelogic</w:t>
      </w:r>
      <w:proofErr w:type="spellEnd"/>
      <w:r w:rsidRPr="009746CE">
        <w:rPr>
          <w:rFonts w:cstheme="minorHAnsi"/>
          <w:lang w:val="en-GB" w:bidi="bn-BD"/>
        </w:rPr>
        <w:t xml:space="preserve"> data</w:t>
      </w:r>
      <w:r>
        <w:rPr>
          <w:rFonts w:cstheme="minorHAnsi"/>
          <w:lang w:val="en-GB" w:bidi="bn-BD"/>
        </w:rPr>
        <w:t>,</w:t>
      </w:r>
      <w:r w:rsidRPr="009746CE">
        <w:rPr>
          <w:rFonts w:cstheme="minorHAnsi"/>
          <w:lang w:val="en-GB" w:bidi="bn-BD"/>
        </w:rPr>
        <w:t xml:space="preserve"> the number of </w:t>
      </w:r>
      <w:r>
        <w:rPr>
          <w:rFonts w:cstheme="minorHAnsi"/>
          <w:lang w:val="en-GB" w:bidi="bn-BD"/>
        </w:rPr>
        <w:t xml:space="preserve">house </w:t>
      </w:r>
      <w:r w:rsidRPr="009746CE">
        <w:rPr>
          <w:rFonts w:cstheme="minorHAnsi"/>
          <w:lang w:val="en-GB" w:bidi="bn-BD"/>
        </w:rPr>
        <w:t>s</w:t>
      </w:r>
      <w:r>
        <w:rPr>
          <w:rFonts w:cstheme="minorHAnsi"/>
          <w:lang w:val="en-GB" w:bidi="bn-BD"/>
        </w:rPr>
        <w:t>ales per suburb in the ACT has largely moved sideways since 2012</w:t>
      </w:r>
      <w:r w:rsidRPr="009746CE">
        <w:rPr>
          <w:rFonts w:cstheme="minorHAnsi"/>
          <w:lang w:val="en-GB" w:bidi="bn-BD"/>
        </w:rPr>
        <w:t xml:space="preserve">. </w:t>
      </w:r>
      <w:r>
        <w:rPr>
          <w:rFonts w:cstheme="minorHAnsi"/>
          <w:lang w:val="en-GB" w:bidi="bn-BD"/>
        </w:rPr>
        <w:t>This trend</w:t>
      </w:r>
      <w:r w:rsidRPr="009746CE">
        <w:rPr>
          <w:rFonts w:cstheme="minorHAnsi"/>
          <w:lang w:val="en-GB" w:bidi="bn-BD"/>
        </w:rPr>
        <w:t xml:space="preserve"> is </w:t>
      </w:r>
      <w:r>
        <w:rPr>
          <w:rFonts w:cstheme="minorHAnsi"/>
          <w:lang w:val="en-GB" w:bidi="bn-BD"/>
        </w:rPr>
        <w:t>also</w:t>
      </w:r>
      <w:r w:rsidRPr="009746CE">
        <w:rPr>
          <w:rFonts w:cstheme="minorHAnsi"/>
          <w:lang w:val="en-GB" w:bidi="bn-BD"/>
        </w:rPr>
        <w:t xml:space="preserve"> </w:t>
      </w:r>
      <w:r>
        <w:rPr>
          <w:rFonts w:cstheme="minorHAnsi"/>
          <w:lang w:val="en-GB" w:bidi="bn-BD"/>
        </w:rPr>
        <w:t xml:space="preserve">present for </w:t>
      </w:r>
      <w:r w:rsidRPr="009746CE">
        <w:rPr>
          <w:rFonts w:cstheme="minorHAnsi"/>
          <w:lang w:val="en-GB" w:bidi="bn-BD"/>
        </w:rPr>
        <w:t xml:space="preserve">unit sales. </w:t>
      </w:r>
      <w:r>
        <w:rPr>
          <w:rFonts w:cstheme="minorHAnsi"/>
          <w:lang w:val="en-GB" w:bidi="bn-BD"/>
        </w:rPr>
        <w:t xml:space="preserve">These findings </w:t>
      </w:r>
      <w:r w:rsidRPr="009746CE">
        <w:rPr>
          <w:rFonts w:cstheme="minorHAnsi"/>
          <w:lang w:val="en-GB" w:bidi="bn-BD"/>
        </w:rPr>
        <w:t xml:space="preserve">seem to be at odds with the </w:t>
      </w:r>
      <w:r>
        <w:rPr>
          <w:rFonts w:cstheme="minorHAnsi"/>
          <w:lang w:val="en-GB" w:bidi="bn-BD"/>
        </w:rPr>
        <w:t>administrative</w:t>
      </w:r>
      <w:r w:rsidRPr="009746CE">
        <w:rPr>
          <w:rFonts w:cstheme="minorHAnsi"/>
          <w:lang w:val="en-GB" w:bidi="bn-BD"/>
        </w:rPr>
        <w:t xml:space="preserve"> </w:t>
      </w:r>
      <w:r>
        <w:rPr>
          <w:rFonts w:cstheme="minorHAnsi"/>
          <w:lang w:val="en-GB" w:bidi="bn-BD"/>
        </w:rPr>
        <w:t>records</w:t>
      </w:r>
      <w:r w:rsidRPr="009746CE">
        <w:rPr>
          <w:rFonts w:cstheme="minorHAnsi"/>
          <w:lang w:val="en-GB" w:bidi="bn-BD"/>
        </w:rPr>
        <w:t xml:space="preserve"> from the ACT. </w:t>
      </w:r>
      <w:r>
        <w:rPr>
          <w:rFonts w:cstheme="minorHAnsi"/>
          <w:lang w:val="en-GB" w:bidi="bn-BD"/>
        </w:rPr>
        <w:t xml:space="preserve">We explore this further in the next subsection.  </w:t>
      </w:r>
    </w:p>
    <w:p w14:paraId="3105356E" w14:textId="30457147" w:rsidR="00B44672" w:rsidRDefault="00B44672" w:rsidP="00146D22">
      <w:pPr>
        <w:keepNext/>
        <w:spacing w:before="120" w:after="120" w:line="276" w:lineRule="auto"/>
        <w:jc w:val="center"/>
        <w:rPr>
          <w:rFonts w:cstheme="minorHAnsi"/>
          <w:b/>
          <w:bCs/>
          <w:i/>
          <w:color w:val="365F91" w:themeColor="accent1" w:themeShade="BF"/>
        </w:rPr>
      </w:pPr>
      <w:bookmarkStart w:id="138" w:name="_Ref30157771"/>
      <w:r w:rsidRPr="00146D22">
        <w:rPr>
          <w:b/>
          <w:bCs/>
          <w:i/>
          <w:color w:val="365F91" w:themeColor="accent1" w:themeShade="BF"/>
        </w:rPr>
        <w:lastRenderedPageBreak/>
        <w:t xml:space="preserve">Figure </w:t>
      </w:r>
      <w:r w:rsidRPr="00146D22">
        <w:rPr>
          <w:b/>
          <w:bCs/>
          <w:i/>
          <w:color w:val="365F91" w:themeColor="accent1" w:themeShade="BF"/>
        </w:rPr>
        <w:fldChar w:fldCharType="begin"/>
      </w:r>
      <w:r w:rsidRPr="00146D22">
        <w:rPr>
          <w:b/>
          <w:bCs/>
          <w:i/>
          <w:color w:val="365F91" w:themeColor="accent1" w:themeShade="BF"/>
        </w:rPr>
        <w:instrText xml:space="preserve"> SEQ Figure \* ARABIC </w:instrText>
      </w:r>
      <w:r w:rsidRPr="00146D22">
        <w:rPr>
          <w:b/>
          <w:bCs/>
          <w:i/>
          <w:color w:val="365F91" w:themeColor="accent1" w:themeShade="BF"/>
        </w:rPr>
        <w:fldChar w:fldCharType="separate"/>
      </w:r>
      <w:r w:rsidR="00A763B6">
        <w:rPr>
          <w:b/>
          <w:bCs/>
          <w:i/>
          <w:noProof/>
          <w:color w:val="365F91" w:themeColor="accent1" w:themeShade="BF"/>
        </w:rPr>
        <w:t>2</w:t>
      </w:r>
      <w:r w:rsidRPr="00146D22">
        <w:rPr>
          <w:b/>
          <w:bCs/>
          <w:i/>
          <w:noProof/>
          <w:color w:val="365F91" w:themeColor="accent1" w:themeShade="BF"/>
        </w:rPr>
        <w:fldChar w:fldCharType="end"/>
      </w:r>
      <w:bookmarkEnd w:id="138"/>
      <w:r w:rsidRPr="00146D22">
        <w:rPr>
          <w:rFonts w:cstheme="minorHAnsi"/>
          <w:b/>
          <w:bCs/>
          <w:i/>
          <w:color w:val="365F91" w:themeColor="accent1" w:themeShade="BF"/>
        </w:rPr>
        <w:t>. Average number of houses sold, by State and Territory 2010-2019</w:t>
      </w:r>
    </w:p>
    <w:p w14:paraId="2FDF96BA" w14:textId="77777777" w:rsidR="00B44672" w:rsidRPr="009746CE" w:rsidRDefault="00B44672" w:rsidP="00146D22">
      <w:pPr>
        <w:keepNext/>
        <w:spacing w:before="120" w:after="120" w:line="276" w:lineRule="auto"/>
        <w:jc w:val="center"/>
        <w:rPr>
          <w:rFonts w:cstheme="minorHAnsi"/>
          <w:iCs/>
          <w:color w:val="595959" w:themeColor="text1" w:themeTint="A6"/>
          <w:sz w:val="20"/>
          <w:szCs w:val="18"/>
          <w:lang w:val="en-GB" w:bidi="bn-BD"/>
        </w:rPr>
      </w:pPr>
      <w:r>
        <w:rPr>
          <w:rFonts w:cstheme="minorHAnsi"/>
          <w:iCs/>
          <w:noProof/>
          <w:color w:val="595959" w:themeColor="text1" w:themeTint="A6"/>
          <w:sz w:val="20"/>
          <w:szCs w:val="18"/>
          <w:lang w:eastAsia="en-AU"/>
        </w:rPr>
        <w:drawing>
          <wp:inline distT="0" distB="0" distL="0" distR="0" wp14:anchorId="417CA46E" wp14:editId="65BCFA6F">
            <wp:extent cx="5718810" cy="4152900"/>
            <wp:effectExtent l="0" t="0" r="0" b="0"/>
            <wp:docPr id="8" name="Picture 8" descr="A line chart showing the average annual suburb house sales by state and territory from 2010 to 2019. For the ACT, this average is about 70 in 2011 and experiences a gradual decline from then onwards to about 50 in 2019. For other states and territories their is also a largely sideways movement with some larger upturns and downt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CL_Numb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8810" cy="4152900"/>
                    </a:xfrm>
                    <a:prstGeom prst="rect">
                      <a:avLst/>
                    </a:prstGeom>
                    <a:noFill/>
                    <a:ln>
                      <a:noFill/>
                    </a:ln>
                  </pic:spPr>
                </pic:pic>
              </a:graphicData>
            </a:graphic>
          </wp:inline>
        </w:drawing>
      </w:r>
    </w:p>
    <w:p w14:paraId="2FA62846" w14:textId="3474D2D2" w:rsidR="00B44672" w:rsidRPr="009746CE" w:rsidRDefault="00B44672" w:rsidP="000B5D64">
      <w:pPr>
        <w:spacing w:before="100" w:beforeAutospacing="1" w:after="100" w:afterAutospacing="1" w:line="276" w:lineRule="auto"/>
        <w:rPr>
          <w:rFonts w:cstheme="minorHAnsi"/>
          <w:lang w:val="en-GB" w:bidi="bn-BD"/>
        </w:rPr>
      </w:pPr>
      <w:r w:rsidRPr="009746CE">
        <w:rPr>
          <w:rFonts w:cstheme="minorHAnsi"/>
          <w:lang w:val="en-GB" w:bidi="bn-BD"/>
        </w:rPr>
        <w:t xml:space="preserve">As a </w:t>
      </w:r>
      <w:r>
        <w:rPr>
          <w:rFonts w:cstheme="minorHAnsi"/>
          <w:lang w:val="en-GB" w:bidi="bn-BD"/>
        </w:rPr>
        <w:t>final</w:t>
      </w:r>
      <w:r w:rsidRPr="009746CE">
        <w:rPr>
          <w:rFonts w:cstheme="minorHAnsi"/>
          <w:lang w:val="en-GB" w:bidi="bn-BD"/>
        </w:rPr>
        <w:t xml:space="preserve"> visualization of the </w:t>
      </w:r>
      <w:proofErr w:type="spellStart"/>
      <w:r w:rsidRPr="009746CE">
        <w:rPr>
          <w:rFonts w:cstheme="minorHAnsi"/>
          <w:lang w:val="en-GB" w:bidi="bn-BD"/>
        </w:rPr>
        <w:t>Corelogic</w:t>
      </w:r>
      <w:proofErr w:type="spellEnd"/>
      <w:r w:rsidRPr="009746CE">
        <w:rPr>
          <w:rFonts w:cstheme="minorHAnsi"/>
          <w:lang w:val="en-GB" w:bidi="bn-BD"/>
        </w:rPr>
        <w:t xml:space="preserve"> data we </w:t>
      </w:r>
      <w:r>
        <w:rPr>
          <w:rFonts w:cstheme="minorHAnsi"/>
          <w:lang w:val="en-GB" w:bidi="bn-BD"/>
        </w:rPr>
        <w:t>plot</w:t>
      </w:r>
      <w:r w:rsidRPr="009746CE">
        <w:rPr>
          <w:rFonts w:cstheme="minorHAnsi"/>
          <w:lang w:val="en-GB" w:bidi="bn-BD"/>
        </w:rPr>
        <w:t xml:space="preserve"> rental prices. </w:t>
      </w:r>
      <w:r w:rsidRPr="009746CE">
        <w:rPr>
          <w:rFonts w:cstheme="minorHAnsi"/>
          <w:lang w:val="en-GB" w:bidi="bn-BD"/>
        </w:rPr>
        <w:fldChar w:fldCharType="begin"/>
      </w:r>
      <w:r w:rsidRPr="009746CE">
        <w:rPr>
          <w:rFonts w:cstheme="minorHAnsi"/>
          <w:lang w:val="en-GB" w:bidi="bn-BD"/>
        </w:rPr>
        <w:instrText xml:space="preserve"> REF _Ref30162453 \h </w:instrText>
      </w:r>
      <w:r>
        <w:rPr>
          <w:rFonts w:cstheme="minorHAnsi"/>
          <w:lang w:val="en-GB" w:bidi="bn-BD"/>
        </w:rPr>
        <w:instrText xml:space="preserve"> \* MERGEFORMAT </w:instrText>
      </w:r>
      <w:r w:rsidRPr="009746CE">
        <w:rPr>
          <w:rFonts w:cstheme="minorHAnsi"/>
          <w:lang w:val="en-GB" w:bidi="bn-BD"/>
        </w:rPr>
      </w:r>
      <w:r w:rsidRPr="009746CE">
        <w:rPr>
          <w:rFonts w:cstheme="minorHAnsi"/>
          <w:lang w:val="en-GB" w:bidi="bn-BD"/>
        </w:rPr>
        <w:fldChar w:fldCharType="separate"/>
      </w:r>
      <w:r w:rsidR="00A763B6" w:rsidRPr="00A763B6">
        <w:t xml:space="preserve">Figure </w:t>
      </w:r>
      <w:r w:rsidR="00A763B6" w:rsidRPr="00A763B6">
        <w:rPr>
          <w:noProof/>
        </w:rPr>
        <w:t>3</w:t>
      </w:r>
      <w:r w:rsidRPr="009746CE">
        <w:rPr>
          <w:rFonts w:cstheme="minorHAnsi"/>
          <w:lang w:val="en-GB" w:bidi="bn-BD"/>
        </w:rPr>
        <w:fldChar w:fldCharType="end"/>
      </w:r>
      <w:r w:rsidRPr="009746CE">
        <w:rPr>
          <w:rFonts w:cstheme="minorHAnsi"/>
          <w:lang w:val="en-GB" w:bidi="bn-BD"/>
        </w:rPr>
        <w:t xml:space="preserve"> presents the average unit</w:t>
      </w:r>
      <w:r>
        <w:rPr>
          <w:rFonts w:cstheme="minorHAnsi"/>
          <w:lang w:val="en-GB" w:bidi="bn-BD"/>
        </w:rPr>
        <w:t>’s</w:t>
      </w:r>
      <w:r w:rsidRPr="009746CE">
        <w:rPr>
          <w:rFonts w:cstheme="minorHAnsi"/>
          <w:lang w:val="en-GB" w:bidi="bn-BD"/>
        </w:rPr>
        <w:t xml:space="preserve"> </w:t>
      </w:r>
      <w:r>
        <w:rPr>
          <w:rFonts w:cstheme="minorHAnsi"/>
          <w:lang w:val="en-GB" w:bidi="bn-BD"/>
        </w:rPr>
        <w:t>w</w:t>
      </w:r>
      <w:r w:rsidRPr="009746CE">
        <w:rPr>
          <w:rFonts w:cstheme="minorHAnsi"/>
          <w:lang w:val="en-GB" w:bidi="bn-BD"/>
        </w:rPr>
        <w:t xml:space="preserve">eekly rental price across the different states over time from </w:t>
      </w:r>
      <w:r>
        <w:rPr>
          <w:rFonts w:cstheme="minorHAnsi"/>
          <w:lang w:val="en-GB" w:bidi="bn-BD"/>
        </w:rPr>
        <w:t>2010</w:t>
      </w:r>
      <w:r w:rsidRPr="009746CE">
        <w:rPr>
          <w:rFonts w:cstheme="minorHAnsi"/>
          <w:lang w:val="en-GB" w:bidi="bn-BD"/>
        </w:rPr>
        <w:t xml:space="preserve"> to 2019.</w:t>
      </w:r>
      <w:r>
        <w:rPr>
          <w:rFonts w:cstheme="minorHAnsi"/>
          <w:lang w:val="en-GB" w:bidi="bn-BD"/>
        </w:rPr>
        <w:t xml:space="preserve"> The price presented is an average over 12 months in order to minimise seasonal variation. </w:t>
      </w:r>
      <w:r w:rsidRPr="009746CE">
        <w:rPr>
          <w:rFonts w:cstheme="minorHAnsi"/>
          <w:lang w:val="en-GB" w:bidi="bn-BD"/>
        </w:rPr>
        <w:t xml:space="preserve"> </w:t>
      </w:r>
      <w:r>
        <w:rPr>
          <w:rFonts w:cstheme="minorHAnsi"/>
          <w:lang w:val="en-GB" w:bidi="bn-BD"/>
        </w:rPr>
        <w:t>W</w:t>
      </w:r>
      <w:r w:rsidRPr="009746CE">
        <w:rPr>
          <w:rFonts w:cstheme="minorHAnsi"/>
          <w:lang w:val="en-GB" w:bidi="bn-BD"/>
        </w:rPr>
        <w:t xml:space="preserve">e observe a </w:t>
      </w:r>
      <w:r>
        <w:rPr>
          <w:rFonts w:cstheme="minorHAnsi"/>
          <w:lang w:val="en-GB" w:bidi="bn-BD"/>
        </w:rPr>
        <w:t>general</w:t>
      </w:r>
      <w:r w:rsidRPr="009746CE">
        <w:rPr>
          <w:rFonts w:cstheme="minorHAnsi"/>
          <w:lang w:val="en-GB" w:bidi="bn-BD"/>
        </w:rPr>
        <w:t xml:space="preserve"> upward trend in </w:t>
      </w:r>
      <w:r>
        <w:rPr>
          <w:rFonts w:cstheme="minorHAnsi"/>
          <w:lang w:val="en-GB" w:bidi="bn-BD"/>
        </w:rPr>
        <w:t xml:space="preserve">nominal </w:t>
      </w:r>
      <w:r w:rsidRPr="009746CE">
        <w:rPr>
          <w:rFonts w:cstheme="minorHAnsi"/>
          <w:lang w:val="en-GB" w:bidi="bn-BD"/>
        </w:rPr>
        <w:t xml:space="preserve">rental prices across most states. The notable exceptions are </w:t>
      </w:r>
      <w:r>
        <w:rPr>
          <w:rFonts w:cstheme="minorHAnsi"/>
          <w:lang w:val="en-GB" w:bidi="bn-BD"/>
        </w:rPr>
        <w:t>in</w:t>
      </w:r>
      <w:r w:rsidRPr="009746CE">
        <w:rPr>
          <w:rFonts w:cstheme="minorHAnsi"/>
          <w:lang w:val="en-GB" w:bidi="bn-BD"/>
        </w:rPr>
        <w:t xml:space="preserve"> </w:t>
      </w:r>
      <w:r>
        <w:rPr>
          <w:rFonts w:cstheme="minorHAnsi"/>
          <w:lang w:val="en-GB" w:bidi="bn-BD"/>
        </w:rPr>
        <w:t xml:space="preserve">TAS </w:t>
      </w:r>
      <w:r w:rsidRPr="009746CE">
        <w:rPr>
          <w:rFonts w:cstheme="minorHAnsi"/>
          <w:lang w:val="en-GB" w:bidi="bn-BD"/>
        </w:rPr>
        <w:t>NT, WA and the ACT, w</w:t>
      </w:r>
      <w:r>
        <w:rPr>
          <w:rFonts w:cstheme="minorHAnsi"/>
          <w:lang w:val="en-GB" w:bidi="bn-BD"/>
        </w:rPr>
        <w:t xml:space="preserve">here </w:t>
      </w:r>
      <w:r w:rsidRPr="009746CE">
        <w:rPr>
          <w:rFonts w:cstheme="minorHAnsi"/>
          <w:lang w:val="en-GB" w:bidi="bn-BD"/>
        </w:rPr>
        <w:t xml:space="preserve">significant downturns </w:t>
      </w:r>
      <w:r>
        <w:rPr>
          <w:rFonts w:cstheme="minorHAnsi"/>
          <w:lang w:val="en-GB" w:bidi="bn-BD"/>
        </w:rPr>
        <w:t>arise within our sample period</w:t>
      </w:r>
      <w:r w:rsidRPr="009746CE">
        <w:rPr>
          <w:rFonts w:cstheme="minorHAnsi"/>
          <w:lang w:val="en-GB" w:bidi="bn-BD"/>
        </w:rPr>
        <w:t>. Specifically, for the ACT we observe a downturn starting in 2012</w:t>
      </w:r>
      <w:r>
        <w:rPr>
          <w:rFonts w:cstheme="minorHAnsi"/>
          <w:lang w:val="en-GB" w:bidi="bn-BD"/>
        </w:rPr>
        <w:t xml:space="preserve"> which lasts for about </w:t>
      </w:r>
      <w:r w:rsidRPr="009746CE">
        <w:rPr>
          <w:rFonts w:cstheme="minorHAnsi"/>
          <w:lang w:val="en-GB" w:bidi="bn-BD"/>
        </w:rPr>
        <w:t>4 years</w:t>
      </w:r>
      <w:r>
        <w:rPr>
          <w:rFonts w:cstheme="minorHAnsi"/>
          <w:lang w:val="en-GB" w:bidi="bn-BD"/>
        </w:rPr>
        <w:t>.</w:t>
      </w:r>
      <w:r w:rsidRPr="009746CE">
        <w:rPr>
          <w:rFonts w:cstheme="minorHAnsi"/>
          <w:lang w:val="en-GB" w:bidi="bn-BD"/>
        </w:rPr>
        <w:t xml:space="preserve"> </w:t>
      </w:r>
      <w:r>
        <w:rPr>
          <w:rFonts w:cstheme="minorHAnsi"/>
          <w:lang w:val="en-GB" w:bidi="bn-BD"/>
        </w:rPr>
        <w:t xml:space="preserve">Rental prices in the ACT only </w:t>
      </w:r>
      <w:r w:rsidRPr="009746CE">
        <w:rPr>
          <w:rFonts w:cstheme="minorHAnsi"/>
          <w:lang w:val="en-GB" w:bidi="bn-BD"/>
        </w:rPr>
        <w:t>return</w:t>
      </w:r>
      <w:r>
        <w:rPr>
          <w:rFonts w:cstheme="minorHAnsi"/>
          <w:lang w:val="en-GB" w:bidi="bn-BD"/>
        </w:rPr>
        <w:t xml:space="preserve"> to pre-2012 levels in</w:t>
      </w:r>
      <w:r w:rsidRPr="009746CE">
        <w:rPr>
          <w:rFonts w:cstheme="minorHAnsi"/>
          <w:lang w:val="en-GB" w:bidi="bn-BD"/>
        </w:rPr>
        <w:t xml:space="preserve"> 2019. This </w:t>
      </w:r>
      <w:r>
        <w:rPr>
          <w:rFonts w:cstheme="minorHAnsi"/>
          <w:lang w:val="en-GB" w:bidi="bn-BD"/>
        </w:rPr>
        <w:t xml:space="preserve">broadly </w:t>
      </w:r>
      <w:r w:rsidRPr="009746CE">
        <w:rPr>
          <w:rFonts w:cstheme="minorHAnsi"/>
          <w:lang w:val="en-GB" w:bidi="bn-BD"/>
        </w:rPr>
        <w:t>coincides with the property tax reform</w:t>
      </w:r>
      <w:r>
        <w:rPr>
          <w:rFonts w:cstheme="minorHAnsi"/>
          <w:lang w:val="en-GB" w:bidi="bn-BD"/>
        </w:rPr>
        <w:t xml:space="preserve">. It is likely that the underlying factors driving this change will </w:t>
      </w:r>
      <w:proofErr w:type="gramStart"/>
      <w:r>
        <w:rPr>
          <w:rFonts w:cstheme="minorHAnsi"/>
          <w:lang w:val="en-GB" w:bidi="bn-BD"/>
        </w:rPr>
        <w:t>have an effect on</w:t>
      </w:r>
      <w:proofErr w:type="gramEnd"/>
      <w:r>
        <w:rPr>
          <w:rFonts w:cstheme="minorHAnsi"/>
          <w:lang w:val="en-GB" w:bidi="bn-BD"/>
        </w:rPr>
        <w:t xml:space="preserve"> the reform estimates</w:t>
      </w:r>
      <w:r w:rsidRPr="009746CE">
        <w:rPr>
          <w:rFonts w:cstheme="minorHAnsi"/>
          <w:lang w:val="en-GB" w:bidi="bn-BD"/>
        </w:rPr>
        <w:t xml:space="preserve">. This </w:t>
      </w:r>
      <w:r>
        <w:rPr>
          <w:rFonts w:cstheme="minorHAnsi"/>
          <w:lang w:val="en-GB" w:bidi="bn-BD"/>
        </w:rPr>
        <w:t>same</w:t>
      </w:r>
      <w:r w:rsidRPr="009746CE">
        <w:rPr>
          <w:rFonts w:cstheme="minorHAnsi"/>
          <w:lang w:val="en-GB" w:bidi="bn-BD"/>
        </w:rPr>
        <w:t xml:space="preserve"> trend is visible in the ACT</w:t>
      </w:r>
      <w:r>
        <w:rPr>
          <w:rFonts w:cstheme="minorHAnsi"/>
          <w:lang w:val="en-GB" w:bidi="bn-BD"/>
        </w:rPr>
        <w:t>’s rental</w:t>
      </w:r>
      <w:r w:rsidRPr="009746CE">
        <w:rPr>
          <w:rFonts w:cstheme="minorHAnsi"/>
          <w:lang w:val="en-GB" w:bidi="bn-BD"/>
        </w:rPr>
        <w:t xml:space="preserve"> bond</w:t>
      </w:r>
      <w:r>
        <w:rPr>
          <w:rFonts w:cstheme="minorHAnsi"/>
          <w:lang w:val="en-GB" w:bidi="bn-BD"/>
        </w:rPr>
        <w:t xml:space="preserve"> data</w:t>
      </w:r>
      <w:r w:rsidRPr="009746CE">
        <w:rPr>
          <w:rFonts w:cstheme="minorHAnsi"/>
          <w:lang w:val="en-GB" w:bidi="bn-BD"/>
        </w:rPr>
        <w:t>.</w:t>
      </w:r>
    </w:p>
    <w:p w14:paraId="1463E2F1" w14:textId="1BFC9B68" w:rsidR="00B44672" w:rsidRPr="009746CE" w:rsidRDefault="00B44672" w:rsidP="00146D22">
      <w:pPr>
        <w:spacing w:before="120" w:after="120"/>
        <w:jc w:val="center"/>
        <w:rPr>
          <w:rFonts w:cstheme="minorHAnsi"/>
          <w:iCs/>
          <w:color w:val="595959" w:themeColor="text1" w:themeTint="A6"/>
          <w:sz w:val="20"/>
          <w:szCs w:val="18"/>
          <w:lang w:val="en-GB" w:bidi="bn-BD"/>
        </w:rPr>
      </w:pPr>
      <w:bookmarkStart w:id="139" w:name="_Ref30162453"/>
      <w:r w:rsidRPr="00146D22">
        <w:rPr>
          <w:b/>
          <w:bCs/>
          <w:i/>
          <w:color w:val="365F91" w:themeColor="accent1" w:themeShade="BF"/>
        </w:rPr>
        <w:lastRenderedPageBreak/>
        <w:t xml:space="preserve">Figure </w:t>
      </w:r>
      <w:r w:rsidRPr="00146D22">
        <w:rPr>
          <w:b/>
          <w:bCs/>
          <w:i/>
          <w:color w:val="365F91" w:themeColor="accent1" w:themeShade="BF"/>
        </w:rPr>
        <w:fldChar w:fldCharType="begin"/>
      </w:r>
      <w:r w:rsidRPr="00146D22">
        <w:rPr>
          <w:b/>
          <w:bCs/>
          <w:i/>
          <w:color w:val="365F91" w:themeColor="accent1" w:themeShade="BF"/>
        </w:rPr>
        <w:instrText xml:space="preserve"> SEQ Figure \* ARABIC </w:instrText>
      </w:r>
      <w:r w:rsidRPr="00146D22">
        <w:rPr>
          <w:b/>
          <w:bCs/>
          <w:i/>
          <w:color w:val="365F91" w:themeColor="accent1" w:themeShade="BF"/>
        </w:rPr>
        <w:fldChar w:fldCharType="separate"/>
      </w:r>
      <w:r w:rsidR="00A763B6">
        <w:rPr>
          <w:b/>
          <w:bCs/>
          <w:i/>
          <w:noProof/>
          <w:color w:val="365F91" w:themeColor="accent1" w:themeShade="BF"/>
        </w:rPr>
        <w:t>3</w:t>
      </w:r>
      <w:r w:rsidRPr="00146D22">
        <w:rPr>
          <w:b/>
          <w:bCs/>
          <w:i/>
          <w:noProof/>
          <w:color w:val="365F91" w:themeColor="accent1" w:themeShade="BF"/>
        </w:rPr>
        <w:fldChar w:fldCharType="end"/>
      </w:r>
      <w:bookmarkEnd w:id="139"/>
      <w:r w:rsidRPr="00146D22">
        <w:rPr>
          <w:rFonts w:cstheme="minorHAnsi"/>
          <w:b/>
          <w:bCs/>
          <w:i/>
          <w:color w:val="365F91" w:themeColor="accent1" w:themeShade="BF"/>
        </w:rPr>
        <w:t>. Average weekly unit rental price, by State and Territory 2010-2019</w:t>
      </w:r>
      <w:r>
        <w:rPr>
          <w:rFonts w:cstheme="minorHAnsi"/>
          <w:iCs/>
          <w:noProof/>
          <w:color w:val="595959" w:themeColor="text1" w:themeTint="A6"/>
          <w:sz w:val="20"/>
          <w:szCs w:val="18"/>
          <w:lang w:eastAsia="en-AU"/>
        </w:rPr>
        <w:drawing>
          <wp:inline distT="0" distB="0" distL="0" distR="0" wp14:anchorId="1DE05270" wp14:editId="41C74B8F">
            <wp:extent cx="5721350" cy="4159250"/>
            <wp:effectExtent l="0" t="0" r="0" b="0"/>
            <wp:docPr id="10" name="Picture 10" descr="Line chart showing the average nominal weekly unit rental price by state and territory from 2010-2019. For the ACT the rental price is about $430 in 2011 and increases to about $480 in 2012. From 2012 to 2016, the rental prices decreases to about $400 in 2016. From 2016 to 2019 the rental price increases, reaching about $460 in 2019. TAS, NT and WA also experience significant downturns in rental price over this period, but other states have a general upward trend in rental p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lf Steinhauser\AppData\Local\Microsoft\Windows\INetCache\Content.Word\NewCL_Ren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1350" cy="4159250"/>
                    </a:xfrm>
                    <a:prstGeom prst="rect">
                      <a:avLst/>
                    </a:prstGeom>
                    <a:noFill/>
                    <a:ln>
                      <a:noFill/>
                    </a:ln>
                  </pic:spPr>
                </pic:pic>
              </a:graphicData>
            </a:graphic>
          </wp:inline>
        </w:drawing>
      </w:r>
    </w:p>
    <w:p w14:paraId="57060566" w14:textId="77777777" w:rsidR="00B44672" w:rsidRPr="009746CE" w:rsidRDefault="00B44672" w:rsidP="009746CE">
      <w:pPr>
        <w:spacing w:line="360" w:lineRule="auto"/>
        <w:rPr>
          <w:rFonts w:cstheme="minorHAnsi"/>
          <w:lang w:val="en-GB" w:bidi="bn-BD"/>
        </w:rPr>
      </w:pPr>
    </w:p>
    <w:p w14:paraId="1D0A0FB2" w14:textId="77777777" w:rsidR="00B44672" w:rsidRPr="009746CE" w:rsidRDefault="00B44672" w:rsidP="00B44672">
      <w:pPr>
        <w:pStyle w:val="Heading2"/>
        <w:numPr>
          <w:ilvl w:val="0"/>
          <w:numId w:val="23"/>
        </w:numPr>
        <w:spacing w:line="259" w:lineRule="auto"/>
        <w:rPr>
          <w:lang w:val="en-GB"/>
        </w:rPr>
      </w:pPr>
      <w:r>
        <w:rPr>
          <w:lang w:val="en-GB"/>
        </w:rPr>
        <w:t xml:space="preserve">Administrative Data for NSW and ACT </w:t>
      </w:r>
    </w:p>
    <w:p w14:paraId="2608D9E3" w14:textId="77777777" w:rsidR="00B44672" w:rsidRDefault="00B44672" w:rsidP="00552B32">
      <w:pPr>
        <w:rPr>
          <w:lang w:val="en-GB"/>
        </w:rPr>
      </w:pPr>
      <w:r>
        <w:rPr>
          <w:lang w:val="en-GB"/>
        </w:rPr>
        <w:t xml:space="preserve">As a secondary data source to </w:t>
      </w:r>
      <w:proofErr w:type="spellStart"/>
      <w:r>
        <w:rPr>
          <w:lang w:val="en-GB"/>
        </w:rPr>
        <w:t>Corelogic</w:t>
      </w:r>
      <w:proofErr w:type="spellEnd"/>
      <w:r>
        <w:rPr>
          <w:lang w:val="en-GB"/>
        </w:rPr>
        <w:t xml:space="preserve"> we use administrative sales data from the ACT and NSW. This section gives a brief overview over the data.</w:t>
      </w:r>
    </w:p>
    <w:p w14:paraId="3C9B921C" w14:textId="77777777" w:rsidR="00B44672" w:rsidRPr="009746CE" w:rsidRDefault="00B44672" w:rsidP="00552B32">
      <w:pPr>
        <w:spacing w:line="276" w:lineRule="auto"/>
        <w:rPr>
          <w:rFonts w:cstheme="minorHAnsi"/>
          <w:lang w:val="en-GB" w:bidi="bn-BD"/>
        </w:rPr>
      </w:pPr>
      <w:r w:rsidRPr="009746CE">
        <w:rPr>
          <w:rFonts w:cstheme="minorHAnsi"/>
        </w:rPr>
        <w:t>W</w:t>
      </w:r>
      <w:proofErr w:type="spellStart"/>
      <w:r w:rsidRPr="009746CE">
        <w:rPr>
          <w:rFonts w:cstheme="minorHAnsi"/>
          <w:lang w:val="en-GB" w:bidi="bn-BD"/>
        </w:rPr>
        <w:t>e</w:t>
      </w:r>
      <w:proofErr w:type="spellEnd"/>
      <w:r w:rsidRPr="009746CE">
        <w:rPr>
          <w:rFonts w:cstheme="minorHAnsi"/>
          <w:lang w:val="en-GB" w:bidi="bn-BD"/>
        </w:rPr>
        <w:t xml:space="preserve"> </w:t>
      </w:r>
      <w:r>
        <w:rPr>
          <w:rFonts w:cstheme="minorHAnsi"/>
          <w:lang w:val="en-GB" w:bidi="bn-BD"/>
        </w:rPr>
        <w:t>us</w:t>
      </w:r>
      <w:r w:rsidRPr="009746CE">
        <w:rPr>
          <w:rFonts w:cstheme="minorHAnsi"/>
          <w:lang w:val="en-GB" w:bidi="bn-BD"/>
        </w:rPr>
        <w:t xml:space="preserve">e </w:t>
      </w:r>
      <w:r>
        <w:rPr>
          <w:rFonts w:cstheme="minorHAnsi"/>
          <w:lang w:val="en-GB" w:bidi="bn-BD"/>
        </w:rPr>
        <w:t>fifteen</w:t>
      </w:r>
      <w:r w:rsidRPr="009746CE">
        <w:rPr>
          <w:rFonts w:cstheme="minorHAnsi"/>
          <w:lang w:val="en-GB" w:bidi="bn-BD"/>
        </w:rPr>
        <w:t xml:space="preserve"> years of </w:t>
      </w:r>
      <w:r>
        <w:rPr>
          <w:rFonts w:cstheme="minorHAnsi"/>
          <w:lang w:val="en-GB" w:bidi="bn-BD"/>
        </w:rPr>
        <w:t>administrative</w:t>
      </w:r>
      <w:r w:rsidRPr="009746CE">
        <w:rPr>
          <w:rFonts w:cstheme="minorHAnsi"/>
          <w:lang w:val="en-GB" w:bidi="bn-BD"/>
        </w:rPr>
        <w:t xml:space="preserve"> property sales data </w:t>
      </w:r>
      <w:r>
        <w:rPr>
          <w:rFonts w:cstheme="minorHAnsi"/>
          <w:lang w:val="en-GB" w:bidi="bn-BD"/>
        </w:rPr>
        <w:t xml:space="preserve">which were </w:t>
      </w:r>
      <w:r w:rsidRPr="009746CE">
        <w:rPr>
          <w:rFonts w:cstheme="minorHAnsi"/>
          <w:lang w:val="en-GB" w:bidi="bn-BD"/>
        </w:rPr>
        <w:t xml:space="preserve">available for our analysis. This includes </w:t>
      </w:r>
      <w:r>
        <w:rPr>
          <w:rFonts w:cstheme="minorHAnsi"/>
          <w:lang w:val="en-GB" w:bidi="bn-BD"/>
        </w:rPr>
        <w:t>eight</w:t>
      </w:r>
      <w:r w:rsidRPr="009746CE">
        <w:rPr>
          <w:rFonts w:cstheme="minorHAnsi"/>
          <w:lang w:val="en-GB" w:bidi="bn-BD"/>
        </w:rPr>
        <w:t xml:space="preserve"> years before the ACT tax reform and seven years</w:t>
      </w:r>
      <w:r>
        <w:rPr>
          <w:rFonts w:cstheme="minorHAnsi"/>
          <w:lang w:val="en-GB" w:bidi="bn-BD"/>
        </w:rPr>
        <w:t xml:space="preserve"> after the reform from 2004/05</w:t>
      </w:r>
      <w:r w:rsidRPr="009746CE">
        <w:rPr>
          <w:rFonts w:cstheme="minorHAnsi"/>
          <w:lang w:val="en-GB" w:bidi="bn-BD"/>
        </w:rPr>
        <w:t xml:space="preserve"> </w:t>
      </w:r>
      <w:r>
        <w:rPr>
          <w:rFonts w:cstheme="minorHAnsi"/>
          <w:lang w:val="en-GB" w:bidi="bn-BD"/>
        </w:rPr>
        <w:t>un</w:t>
      </w:r>
      <w:r w:rsidRPr="009746CE">
        <w:rPr>
          <w:rFonts w:cstheme="minorHAnsi"/>
          <w:lang w:val="en-GB" w:bidi="bn-BD"/>
        </w:rPr>
        <w:t>til</w:t>
      </w:r>
      <w:r>
        <w:rPr>
          <w:rFonts w:cstheme="minorHAnsi"/>
          <w:lang w:val="en-GB" w:bidi="bn-BD"/>
        </w:rPr>
        <w:t xml:space="preserve"> </w:t>
      </w:r>
      <w:r w:rsidRPr="009746CE">
        <w:rPr>
          <w:rFonts w:cstheme="minorHAnsi"/>
          <w:lang w:val="en-GB" w:bidi="bn-BD"/>
        </w:rPr>
        <w:t>20</w:t>
      </w:r>
      <w:r>
        <w:rPr>
          <w:rFonts w:cstheme="minorHAnsi"/>
          <w:lang w:val="en-GB" w:bidi="bn-BD"/>
        </w:rPr>
        <w:t>18/</w:t>
      </w:r>
      <w:r w:rsidRPr="009746CE">
        <w:rPr>
          <w:rFonts w:cstheme="minorHAnsi"/>
          <w:lang w:val="en-GB" w:bidi="bn-BD"/>
        </w:rPr>
        <w:t xml:space="preserve">19. The data </w:t>
      </w:r>
      <w:r>
        <w:rPr>
          <w:rFonts w:cstheme="minorHAnsi"/>
          <w:lang w:val="en-GB" w:bidi="bn-BD"/>
        </w:rPr>
        <w:t>are</w:t>
      </w:r>
      <w:r w:rsidRPr="009746CE">
        <w:rPr>
          <w:rFonts w:cstheme="minorHAnsi"/>
          <w:lang w:val="en-GB" w:bidi="bn-BD"/>
        </w:rPr>
        <w:t xml:space="preserve"> </w:t>
      </w:r>
      <w:r>
        <w:rPr>
          <w:rFonts w:cstheme="minorHAnsi"/>
          <w:lang w:val="en-GB" w:bidi="bn-BD"/>
        </w:rPr>
        <w:t xml:space="preserve">individual sales in this period which we aggregate to </w:t>
      </w:r>
      <w:r w:rsidRPr="009746CE">
        <w:rPr>
          <w:rFonts w:cstheme="minorHAnsi"/>
          <w:lang w:val="en-GB" w:bidi="bn-BD"/>
        </w:rPr>
        <w:t xml:space="preserve">a panel </w:t>
      </w:r>
      <w:r>
        <w:rPr>
          <w:rFonts w:cstheme="minorHAnsi"/>
          <w:lang w:val="en-GB" w:bidi="bn-BD"/>
        </w:rPr>
        <w:t>by</w:t>
      </w:r>
      <w:r w:rsidRPr="009746CE">
        <w:rPr>
          <w:rFonts w:cstheme="minorHAnsi"/>
          <w:lang w:val="en-GB" w:bidi="bn-BD"/>
        </w:rPr>
        <w:t xml:space="preserve"> </w:t>
      </w:r>
      <w:r>
        <w:rPr>
          <w:rFonts w:cstheme="minorHAnsi"/>
          <w:lang w:val="en-GB" w:bidi="bn-BD"/>
        </w:rPr>
        <w:t>postcode and month. The final panel has</w:t>
      </w:r>
      <w:r w:rsidRPr="009746CE">
        <w:rPr>
          <w:rFonts w:cstheme="minorHAnsi"/>
          <w:lang w:val="en-GB" w:bidi="bn-BD"/>
        </w:rPr>
        <w:t xml:space="preserve"> for each property type (Houses or Units)</w:t>
      </w:r>
      <w:r>
        <w:rPr>
          <w:rFonts w:cstheme="minorHAnsi"/>
          <w:lang w:val="en-GB" w:bidi="bn-BD"/>
        </w:rPr>
        <w:t xml:space="preserve">, </w:t>
      </w:r>
      <w:r w:rsidRPr="009746CE">
        <w:rPr>
          <w:rFonts w:cstheme="minorHAnsi"/>
          <w:lang w:val="en-GB" w:bidi="bn-BD"/>
        </w:rPr>
        <w:t xml:space="preserve">the number of </w:t>
      </w:r>
      <w:r>
        <w:rPr>
          <w:rFonts w:cstheme="minorHAnsi"/>
          <w:lang w:val="en-GB" w:bidi="bn-BD"/>
        </w:rPr>
        <w:t xml:space="preserve">properties </w:t>
      </w:r>
      <w:r w:rsidRPr="009746CE">
        <w:rPr>
          <w:rFonts w:cstheme="minorHAnsi"/>
          <w:lang w:val="en-GB" w:bidi="bn-BD"/>
        </w:rPr>
        <w:t xml:space="preserve">sold in the </w:t>
      </w:r>
      <w:r>
        <w:rPr>
          <w:rFonts w:cstheme="minorHAnsi"/>
          <w:lang w:val="en-GB" w:bidi="bn-BD"/>
        </w:rPr>
        <w:t>postcode and</w:t>
      </w:r>
      <w:r w:rsidRPr="009746CE">
        <w:rPr>
          <w:rFonts w:cstheme="minorHAnsi"/>
          <w:lang w:val="en-GB" w:bidi="bn-BD"/>
        </w:rPr>
        <w:t xml:space="preserve"> the </w:t>
      </w:r>
      <w:r>
        <w:rPr>
          <w:rFonts w:cstheme="minorHAnsi"/>
          <w:lang w:val="en-GB" w:bidi="bn-BD"/>
        </w:rPr>
        <w:t xml:space="preserve">mean </w:t>
      </w:r>
      <w:r w:rsidRPr="009746CE">
        <w:rPr>
          <w:rFonts w:cstheme="minorHAnsi"/>
          <w:lang w:val="en-GB" w:bidi="bn-BD"/>
        </w:rPr>
        <w:t xml:space="preserve">sale price </w:t>
      </w:r>
      <w:r>
        <w:rPr>
          <w:rFonts w:cstheme="minorHAnsi"/>
          <w:lang w:val="en-GB" w:bidi="bn-BD"/>
        </w:rPr>
        <w:t>in that postcode</w:t>
      </w:r>
      <w:r w:rsidRPr="009746CE">
        <w:rPr>
          <w:rFonts w:cstheme="minorHAnsi"/>
          <w:lang w:val="en-GB" w:bidi="bn-BD"/>
        </w:rPr>
        <w:t>.</w:t>
      </w:r>
      <w:r>
        <w:rPr>
          <w:rFonts w:cstheme="minorHAnsi"/>
          <w:lang w:val="en-GB" w:bidi="bn-BD"/>
        </w:rPr>
        <w:t xml:space="preserve"> There are no data on rental payments. Note that aggregating by postcode means that the data represent larger geographical areas than the suburb-level </w:t>
      </w:r>
      <w:proofErr w:type="spellStart"/>
      <w:r>
        <w:rPr>
          <w:rFonts w:cstheme="minorHAnsi"/>
          <w:lang w:val="en-GB" w:bidi="bn-BD"/>
        </w:rPr>
        <w:t>Corelogic</w:t>
      </w:r>
      <w:proofErr w:type="spellEnd"/>
      <w:r>
        <w:rPr>
          <w:rFonts w:cstheme="minorHAnsi"/>
          <w:lang w:val="en-GB" w:bidi="bn-BD"/>
        </w:rPr>
        <w:t xml:space="preserve"> data.</w:t>
      </w:r>
    </w:p>
    <w:p w14:paraId="3741224D" w14:textId="77777777" w:rsidR="00B44672" w:rsidRPr="009746CE" w:rsidRDefault="00B44672" w:rsidP="00552B32">
      <w:pPr>
        <w:spacing w:line="276" w:lineRule="auto"/>
        <w:rPr>
          <w:rFonts w:cstheme="minorHAnsi"/>
          <w:lang w:val="en-GB" w:bidi="bn-BD"/>
        </w:rPr>
      </w:pPr>
      <w:r w:rsidRPr="009746CE">
        <w:t xml:space="preserve">We observe over </w:t>
      </w:r>
      <w:r>
        <w:t>674</w:t>
      </w:r>
      <w:r w:rsidRPr="009746CE">
        <w:t xml:space="preserve"> </w:t>
      </w:r>
      <w:r>
        <w:t>postcodes</w:t>
      </w:r>
      <w:r w:rsidRPr="009746CE">
        <w:t xml:space="preserve"> across </w:t>
      </w:r>
      <w:r>
        <w:t>the ACT and NSW</w:t>
      </w:r>
      <w:r w:rsidRPr="009746CE">
        <w:t xml:space="preserve">. </w:t>
      </w:r>
      <w:r>
        <w:t xml:space="preserve">There </w:t>
      </w:r>
      <w:proofErr w:type="gramStart"/>
      <w:r>
        <w:t>are</w:t>
      </w:r>
      <w:proofErr w:type="gramEnd"/>
      <w:r>
        <w:t xml:space="preserve"> a</w:t>
      </w:r>
      <w:r w:rsidRPr="009746CE">
        <w:t xml:space="preserve"> total of </w:t>
      </w:r>
      <w:r>
        <w:t>171,</w:t>
      </w:r>
      <w:r w:rsidRPr="009746CE">
        <w:t xml:space="preserve">000 </w:t>
      </w:r>
      <w:r>
        <w:t>postcode</w:t>
      </w:r>
      <w:r w:rsidRPr="009746CE">
        <w:t>-month observations where at least one</w:t>
      </w:r>
      <w:r w:rsidRPr="00C617B5">
        <w:t xml:space="preserve"> </w:t>
      </w:r>
      <w:r w:rsidRPr="009746CE">
        <w:t xml:space="preserve">property </w:t>
      </w:r>
      <w:r>
        <w:t xml:space="preserve">was </w:t>
      </w:r>
      <w:r w:rsidRPr="009746CE">
        <w:t>sold.</w:t>
      </w:r>
      <w:r>
        <w:t xml:space="preserve"> </w:t>
      </w:r>
      <w:proofErr w:type="gramStart"/>
      <w:r>
        <w:t>Similar to</w:t>
      </w:r>
      <w:proofErr w:type="gramEnd"/>
      <w:r>
        <w:t xml:space="preserve"> the </w:t>
      </w:r>
      <w:proofErr w:type="spellStart"/>
      <w:r>
        <w:t>Corelogic</w:t>
      </w:r>
      <w:proofErr w:type="spellEnd"/>
      <w:r>
        <w:t xml:space="preserve"> data, t</w:t>
      </w:r>
      <w:r w:rsidRPr="009746CE">
        <w:t>wo</w:t>
      </w:r>
      <w:r>
        <w:t>-</w:t>
      </w:r>
      <w:r w:rsidRPr="009746CE">
        <w:t>thirds of the observation</w:t>
      </w:r>
      <w:r>
        <w:t>s</w:t>
      </w:r>
      <w:r w:rsidRPr="009746CE">
        <w:t xml:space="preserve"> </w:t>
      </w:r>
      <w:r>
        <w:t>represent</w:t>
      </w:r>
      <w:r w:rsidRPr="009746CE">
        <w:t xml:space="preserve"> house sales and </w:t>
      </w:r>
      <w:r>
        <w:t xml:space="preserve">the remaining third </w:t>
      </w:r>
      <w:r w:rsidRPr="009746CE">
        <w:t>are unit sales.</w:t>
      </w:r>
    </w:p>
    <w:p w14:paraId="58CDAD8D" w14:textId="4321C408" w:rsidR="00B44672" w:rsidRPr="009746CE" w:rsidRDefault="00B44672" w:rsidP="00552B32">
      <w:pPr>
        <w:spacing w:line="276" w:lineRule="auto"/>
        <w:rPr>
          <w:rFonts w:cstheme="minorHAnsi"/>
          <w:lang w:val="en-GB" w:bidi="bn-BD"/>
        </w:rPr>
      </w:pPr>
      <w:r w:rsidRPr="002223CA">
        <w:fldChar w:fldCharType="begin"/>
      </w:r>
      <w:r w:rsidRPr="002223CA">
        <w:instrText xml:space="preserve"> REF _Ref39242156 \h </w:instrText>
      </w:r>
      <w:r>
        <w:instrText xml:space="preserve"> \* MERGEFORMAT </w:instrText>
      </w:r>
      <w:r w:rsidRPr="002223CA">
        <w:fldChar w:fldCharType="separate"/>
      </w:r>
      <w:r w:rsidR="00A763B6" w:rsidRPr="00A763B6">
        <w:t>Figure 4</w:t>
      </w:r>
      <w:r w:rsidRPr="002223CA">
        <w:fldChar w:fldCharType="end"/>
      </w:r>
      <w:r w:rsidRPr="002223CA">
        <w:t xml:space="preserve"> g</w:t>
      </w:r>
      <w:proofErr w:type="spellStart"/>
      <w:r w:rsidRPr="009746CE">
        <w:rPr>
          <w:rFonts w:cstheme="minorHAnsi"/>
          <w:lang w:val="en-GB" w:bidi="bn-BD"/>
        </w:rPr>
        <w:t>ives</w:t>
      </w:r>
      <w:proofErr w:type="spellEnd"/>
      <w:r w:rsidRPr="009746CE">
        <w:rPr>
          <w:rFonts w:cstheme="minorHAnsi"/>
          <w:lang w:val="en-GB" w:bidi="bn-BD"/>
        </w:rPr>
        <w:t xml:space="preserve"> an overview of house price trends by </w:t>
      </w:r>
      <w:r>
        <w:rPr>
          <w:rFonts w:cstheme="minorHAnsi"/>
          <w:lang w:val="en-GB" w:bidi="bn-BD"/>
        </w:rPr>
        <w:t>s</w:t>
      </w:r>
      <w:r w:rsidRPr="009746CE">
        <w:rPr>
          <w:rFonts w:cstheme="minorHAnsi"/>
          <w:lang w:val="en-GB" w:bidi="bn-BD"/>
        </w:rPr>
        <w:t>tate</w:t>
      </w:r>
      <w:r>
        <w:rPr>
          <w:rFonts w:cstheme="minorHAnsi"/>
          <w:lang w:val="en-GB" w:bidi="bn-BD"/>
        </w:rPr>
        <w:t>/territory</w:t>
      </w:r>
      <w:r w:rsidRPr="009746CE">
        <w:rPr>
          <w:rFonts w:cstheme="minorHAnsi"/>
          <w:lang w:val="en-GB" w:bidi="bn-BD"/>
        </w:rPr>
        <w:t xml:space="preserve"> in </w:t>
      </w:r>
      <w:r>
        <w:rPr>
          <w:rFonts w:cstheme="minorHAnsi"/>
          <w:lang w:val="en-GB" w:bidi="bn-BD"/>
        </w:rPr>
        <w:t xml:space="preserve">the administrative </w:t>
      </w:r>
      <w:r w:rsidRPr="009746CE">
        <w:rPr>
          <w:rFonts w:cstheme="minorHAnsi"/>
          <w:lang w:val="en-GB" w:bidi="bn-BD"/>
        </w:rPr>
        <w:t xml:space="preserve">data. </w:t>
      </w:r>
      <w:r>
        <w:rPr>
          <w:rFonts w:cstheme="minorHAnsi"/>
          <w:lang w:val="en-GB" w:bidi="bn-BD"/>
        </w:rPr>
        <w:t xml:space="preserve">The price presented is an average house price over 12 months to focus on the </w:t>
      </w:r>
      <w:proofErr w:type="gramStart"/>
      <w:r>
        <w:rPr>
          <w:rFonts w:cstheme="minorHAnsi"/>
          <w:lang w:val="en-GB" w:bidi="bn-BD"/>
        </w:rPr>
        <w:t>longer term</w:t>
      </w:r>
      <w:proofErr w:type="gramEnd"/>
      <w:r>
        <w:rPr>
          <w:rFonts w:cstheme="minorHAnsi"/>
          <w:lang w:val="en-GB" w:bidi="bn-BD"/>
        </w:rPr>
        <w:t xml:space="preserve"> trend and minimise seasonal volatility.</w:t>
      </w:r>
      <w:r w:rsidRPr="009746CE">
        <w:rPr>
          <w:rFonts w:cstheme="minorHAnsi"/>
          <w:lang w:val="en-GB" w:bidi="bn-BD"/>
        </w:rPr>
        <w:t xml:space="preserve"> We </w:t>
      </w:r>
      <w:r>
        <w:rPr>
          <w:rFonts w:cstheme="minorHAnsi"/>
          <w:lang w:val="en-GB" w:bidi="bn-BD"/>
        </w:rPr>
        <w:t xml:space="preserve">observe a general </w:t>
      </w:r>
      <w:r w:rsidRPr="009746CE">
        <w:rPr>
          <w:rFonts w:cstheme="minorHAnsi"/>
          <w:lang w:val="en-GB" w:bidi="bn-BD"/>
        </w:rPr>
        <w:t>upwar</w:t>
      </w:r>
      <w:r>
        <w:rPr>
          <w:rFonts w:cstheme="minorHAnsi"/>
          <w:lang w:val="en-GB" w:bidi="bn-BD"/>
        </w:rPr>
        <w:t xml:space="preserve">d trend in the house price </w:t>
      </w:r>
      <w:r>
        <w:rPr>
          <w:rFonts w:cstheme="minorHAnsi"/>
          <w:lang w:val="en-GB" w:bidi="bn-BD"/>
        </w:rPr>
        <w:lastRenderedPageBreak/>
        <w:t>data. I</w:t>
      </w:r>
      <w:r w:rsidRPr="009746CE">
        <w:rPr>
          <w:rFonts w:cstheme="minorHAnsi"/>
          <w:lang w:val="en-GB" w:bidi="bn-BD"/>
        </w:rPr>
        <w:t xml:space="preserve">n </w:t>
      </w:r>
      <w:r>
        <w:rPr>
          <w:rFonts w:cstheme="minorHAnsi"/>
          <w:lang w:val="en-GB" w:bidi="bn-BD"/>
        </w:rPr>
        <w:t>nominal</w:t>
      </w:r>
      <w:r w:rsidRPr="009746CE">
        <w:rPr>
          <w:rFonts w:cstheme="minorHAnsi"/>
          <w:lang w:val="en-GB" w:bidi="bn-BD"/>
        </w:rPr>
        <w:t xml:space="preserve"> terms, the average house price grew </w:t>
      </w:r>
      <w:r>
        <w:rPr>
          <w:rFonts w:cstheme="minorHAnsi"/>
          <w:lang w:val="en-GB" w:bidi="bn-BD"/>
        </w:rPr>
        <w:t>close to 55% in the ACT and 130% in NSW over this period</w:t>
      </w:r>
      <w:r w:rsidRPr="009746CE">
        <w:rPr>
          <w:rFonts w:cstheme="minorHAnsi"/>
          <w:lang w:val="en-GB" w:bidi="bn-BD"/>
        </w:rPr>
        <w:t xml:space="preserve">. </w:t>
      </w:r>
    </w:p>
    <w:p w14:paraId="6587E24C" w14:textId="6658256F" w:rsidR="00B44672" w:rsidRPr="002223CA" w:rsidRDefault="00B44672" w:rsidP="002223CA">
      <w:pPr>
        <w:pStyle w:val="Caption"/>
        <w:rPr>
          <w:b/>
          <w:i w:val="0"/>
          <w:color w:val="365F91" w:themeColor="accent1" w:themeShade="BF"/>
        </w:rPr>
      </w:pPr>
      <w:bookmarkStart w:id="140" w:name="_Ref39242156"/>
      <w:r w:rsidRPr="002223CA">
        <w:rPr>
          <w:b/>
          <w:color w:val="365F91" w:themeColor="accent1" w:themeShade="BF"/>
        </w:rPr>
        <w:t xml:space="preserve">Figure </w:t>
      </w:r>
      <w:r w:rsidRPr="002223CA">
        <w:rPr>
          <w:b/>
          <w:i w:val="0"/>
          <w:color w:val="365F91" w:themeColor="accent1" w:themeShade="BF"/>
        </w:rPr>
        <w:fldChar w:fldCharType="begin"/>
      </w:r>
      <w:r w:rsidRPr="002223CA">
        <w:rPr>
          <w:b/>
          <w:color w:val="365F91" w:themeColor="accent1" w:themeShade="BF"/>
        </w:rPr>
        <w:instrText xml:space="preserve"> SEQ Figure \* ARABIC </w:instrText>
      </w:r>
      <w:r w:rsidRPr="002223CA">
        <w:rPr>
          <w:b/>
          <w:i w:val="0"/>
          <w:color w:val="365F91" w:themeColor="accent1" w:themeShade="BF"/>
        </w:rPr>
        <w:fldChar w:fldCharType="separate"/>
      </w:r>
      <w:r w:rsidR="00A763B6">
        <w:rPr>
          <w:b/>
          <w:noProof/>
          <w:color w:val="365F91" w:themeColor="accent1" w:themeShade="BF"/>
        </w:rPr>
        <w:t>4</w:t>
      </w:r>
      <w:r w:rsidRPr="002223CA">
        <w:rPr>
          <w:b/>
          <w:i w:val="0"/>
          <w:color w:val="365F91" w:themeColor="accent1" w:themeShade="BF"/>
        </w:rPr>
        <w:fldChar w:fldCharType="end"/>
      </w:r>
      <w:bookmarkEnd w:id="140"/>
      <w:r w:rsidRPr="002223CA">
        <w:rPr>
          <w:b/>
          <w:color w:val="365F91" w:themeColor="accent1" w:themeShade="BF"/>
        </w:rPr>
        <w:t xml:space="preserve"> Average house price trends </w:t>
      </w:r>
      <w:r>
        <w:rPr>
          <w:b/>
          <w:color w:val="365F91" w:themeColor="accent1" w:themeShade="BF"/>
        </w:rPr>
        <w:t xml:space="preserve">ACT and NSW </w:t>
      </w:r>
      <w:r w:rsidRPr="002223CA">
        <w:rPr>
          <w:b/>
          <w:color w:val="365F91" w:themeColor="accent1" w:themeShade="BF"/>
        </w:rPr>
        <w:t>20</w:t>
      </w:r>
      <w:r>
        <w:rPr>
          <w:b/>
          <w:color w:val="365F91" w:themeColor="accent1" w:themeShade="BF"/>
        </w:rPr>
        <w:t>05</w:t>
      </w:r>
      <w:r w:rsidRPr="002223CA">
        <w:rPr>
          <w:b/>
          <w:color w:val="365F91" w:themeColor="accent1" w:themeShade="BF"/>
        </w:rPr>
        <w:t>-2019</w:t>
      </w:r>
    </w:p>
    <w:p w14:paraId="290162EA" w14:textId="77777777" w:rsidR="00B44672" w:rsidRDefault="00B44672" w:rsidP="00552B32">
      <w:pPr>
        <w:spacing w:after="0" w:line="276" w:lineRule="auto"/>
        <w:jc w:val="center"/>
        <w:rPr>
          <w:rFonts w:eastAsiaTheme="minorEastAsia" w:cstheme="minorHAnsi"/>
          <w:sz w:val="22"/>
          <w:lang w:eastAsia="en-AU"/>
        </w:rPr>
      </w:pPr>
    </w:p>
    <w:p w14:paraId="353C74AA" w14:textId="77777777" w:rsidR="00B44672" w:rsidRPr="009746CE" w:rsidRDefault="00B44672" w:rsidP="00552B32">
      <w:pPr>
        <w:spacing w:after="0" w:line="276" w:lineRule="auto"/>
        <w:jc w:val="center"/>
        <w:rPr>
          <w:rFonts w:eastAsiaTheme="minorEastAsia" w:cstheme="minorHAnsi"/>
          <w:sz w:val="22"/>
          <w:lang w:eastAsia="en-AU"/>
        </w:rPr>
      </w:pPr>
      <w:r>
        <w:rPr>
          <w:rFonts w:eastAsiaTheme="minorEastAsia" w:cstheme="minorHAnsi"/>
          <w:noProof/>
          <w:sz w:val="22"/>
          <w:lang w:eastAsia="en-AU"/>
        </w:rPr>
        <w:drawing>
          <wp:inline distT="0" distB="0" distL="0" distR="0" wp14:anchorId="15AA819F" wp14:editId="493B6DFA">
            <wp:extent cx="5730240" cy="4165600"/>
            <wp:effectExtent l="0" t="0" r="0" b="0"/>
            <wp:docPr id="11" name="Picture 3" descr="Line chart showing average house price trend in the ACT and NSW from 2005 to 2019. The average price in the ACT in 2005 was about $490,000 and this has grown gradually to about $700,000 in 2019. The average price in NSW in 2005 was about $700,000 and this was largely unchanged until 2013 but with some volatility. From 2013 onwards, the average price in NSW increases steeply peaking at about $1.7 million in 2017, and then experiencing a decrease to about $1.45 million 2018 and an increase in 2019 to about $1.6 mill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vgHousePrice_ADMIN over time"/>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240" cy="4165600"/>
                    </a:xfrm>
                    <a:prstGeom prst="rect">
                      <a:avLst/>
                    </a:prstGeom>
                    <a:noFill/>
                    <a:ln>
                      <a:noFill/>
                    </a:ln>
                  </pic:spPr>
                </pic:pic>
              </a:graphicData>
            </a:graphic>
          </wp:inline>
        </w:drawing>
      </w:r>
    </w:p>
    <w:p w14:paraId="6B546670" w14:textId="77777777" w:rsidR="00B44672" w:rsidRDefault="00B44672" w:rsidP="00552B32">
      <w:pPr>
        <w:spacing w:before="100" w:beforeAutospacing="1" w:after="100" w:afterAutospacing="1" w:line="276" w:lineRule="auto"/>
        <w:rPr>
          <w:rFonts w:cstheme="minorHAnsi"/>
          <w:lang w:val="en-GB" w:bidi="bn-BD"/>
        </w:rPr>
      </w:pPr>
      <w:r>
        <w:t xml:space="preserve">Figure 5 </w:t>
      </w:r>
      <w:r w:rsidRPr="009746CE">
        <w:rPr>
          <w:rFonts w:cstheme="minorHAnsi"/>
          <w:lang w:val="en-GB" w:bidi="bn-BD"/>
        </w:rPr>
        <w:t xml:space="preserve">gives an overview of </w:t>
      </w:r>
      <w:r>
        <w:rPr>
          <w:rFonts w:cstheme="minorHAnsi"/>
          <w:lang w:val="en-GB" w:bidi="bn-BD"/>
        </w:rPr>
        <w:t xml:space="preserve">NSW and ACT </w:t>
      </w:r>
      <w:r w:rsidRPr="009746CE">
        <w:rPr>
          <w:rFonts w:cstheme="minorHAnsi"/>
          <w:lang w:val="en-GB" w:bidi="bn-BD"/>
        </w:rPr>
        <w:t xml:space="preserve">average </w:t>
      </w:r>
      <w:r>
        <w:rPr>
          <w:rFonts w:cstheme="minorHAnsi"/>
          <w:lang w:val="en-GB" w:bidi="bn-BD"/>
        </w:rPr>
        <w:t>annual postcode level</w:t>
      </w:r>
      <w:r w:rsidRPr="009746CE">
        <w:rPr>
          <w:rFonts w:cstheme="minorHAnsi"/>
          <w:lang w:val="en-GB" w:bidi="bn-BD"/>
        </w:rPr>
        <w:t xml:space="preserve"> sale </w:t>
      </w:r>
      <w:r>
        <w:rPr>
          <w:rFonts w:cstheme="minorHAnsi"/>
          <w:lang w:val="en-GB" w:bidi="bn-BD"/>
        </w:rPr>
        <w:t>numbers over time</w:t>
      </w:r>
      <w:r w:rsidRPr="009746CE">
        <w:rPr>
          <w:rFonts w:cstheme="minorHAnsi"/>
          <w:lang w:val="en-GB" w:bidi="bn-BD"/>
        </w:rPr>
        <w:t xml:space="preserve">. </w:t>
      </w:r>
      <w:r>
        <w:rPr>
          <w:rFonts w:cstheme="minorHAnsi"/>
          <w:lang w:val="en-GB" w:bidi="bn-BD"/>
        </w:rPr>
        <w:t xml:space="preserve">A moving, 12-monthaverage is calculated to focus on the longer-term trend without seasonal fluctuations. Even with the 12-month moving average, we observe large fluctuations in sales volumes over time. </w:t>
      </w:r>
    </w:p>
    <w:p w14:paraId="1FEAB7DF" w14:textId="77777777" w:rsidR="00B44672" w:rsidRDefault="00B44672">
      <w:pPr>
        <w:jc w:val="left"/>
        <w:rPr>
          <w:rFonts w:cstheme="minorHAnsi"/>
          <w:lang w:val="en-GB" w:bidi="bn-BD"/>
        </w:rPr>
      </w:pPr>
      <w:r>
        <w:rPr>
          <w:rFonts w:cstheme="minorHAnsi"/>
          <w:lang w:val="en-GB" w:bidi="bn-BD"/>
        </w:rPr>
        <w:br w:type="page"/>
      </w:r>
    </w:p>
    <w:p w14:paraId="0A9CB01F" w14:textId="77777777" w:rsidR="00B44672" w:rsidRPr="00B34936" w:rsidRDefault="00B44672" w:rsidP="00B34936">
      <w:pPr>
        <w:pStyle w:val="Caption"/>
        <w:rPr>
          <w:b/>
          <w:i w:val="0"/>
          <w:color w:val="365F91" w:themeColor="accent1" w:themeShade="BF"/>
        </w:rPr>
      </w:pPr>
      <w:bookmarkStart w:id="141" w:name="_Ref39242837"/>
      <w:r w:rsidRPr="00B34936">
        <w:rPr>
          <w:b/>
          <w:color w:val="365F91" w:themeColor="accent1" w:themeShade="BF"/>
        </w:rPr>
        <w:lastRenderedPageBreak/>
        <w:t xml:space="preserve">Figure </w:t>
      </w:r>
      <w:bookmarkEnd w:id="141"/>
      <w:r>
        <w:rPr>
          <w:b/>
          <w:color w:val="365F91" w:themeColor="accent1" w:themeShade="BF"/>
        </w:rPr>
        <w:t>5</w:t>
      </w:r>
      <w:r w:rsidRPr="00B34936">
        <w:rPr>
          <w:b/>
          <w:color w:val="365F91" w:themeColor="accent1" w:themeShade="BF"/>
        </w:rPr>
        <w:t xml:space="preserve"> Average number of houses sold</w:t>
      </w:r>
      <w:r>
        <w:rPr>
          <w:b/>
          <w:color w:val="365F91" w:themeColor="accent1" w:themeShade="BF"/>
        </w:rPr>
        <w:t xml:space="preserve"> in each postcode, ACT and NSW </w:t>
      </w:r>
      <w:r w:rsidRPr="00B34936">
        <w:rPr>
          <w:b/>
          <w:color w:val="365F91" w:themeColor="accent1" w:themeShade="BF"/>
        </w:rPr>
        <w:t>20</w:t>
      </w:r>
      <w:r>
        <w:rPr>
          <w:b/>
          <w:color w:val="365F91" w:themeColor="accent1" w:themeShade="BF"/>
        </w:rPr>
        <w:t>05</w:t>
      </w:r>
      <w:r w:rsidRPr="00B34936">
        <w:rPr>
          <w:b/>
          <w:color w:val="365F91" w:themeColor="accent1" w:themeShade="BF"/>
        </w:rPr>
        <w:t>-2019</w:t>
      </w:r>
    </w:p>
    <w:p w14:paraId="381D3B07" w14:textId="77777777" w:rsidR="00B44672" w:rsidRPr="009746CE" w:rsidRDefault="00B44672" w:rsidP="00B34936">
      <w:pPr>
        <w:pStyle w:val="Caption"/>
        <w:rPr>
          <w:rFonts w:cstheme="minorHAnsi"/>
          <w:iCs/>
          <w:lang w:val="en-GB" w:bidi="bn-BD"/>
        </w:rPr>
      </w:pPr>
    </w:p>
    <w:p w14:paraId="546E43FF" w14:textId="77777777" w:rsidR="00B44672" w:rsidRDefault="00B44672" w:rsidP="00552B32">
      <w:pPr>
        <w:rPr>
          <w:lang w:val="en-GB"/>
        </w:rPr>
      </w:pPr>
      <w:r>
        <w:rPr>
          <w:rFonts w:cstheme="minorHAnsi"/>
          <w:iCs/>
          <w:noProof/>
          <w:lang w:eastAsia="en-AU"/>
        </w:rPr>
        <w:drawing>
          <wp:inline distT="0" distB="0" distL="0" distR="0" wp14:anchorId="07F6F906" wp14:editId="28BC0F8E">
            <wp:extent cx="5730240" cy="4165600"/>
            <wp:effectExtent l="0" t="0" r="0" b="0"/>
            <wp:docPr id="12" name="Picture 12" descr="Line chart showing average annual postcode level house sale for the ACT and NSW from 2005 to 2019. Both the ACT and NSW series exhibit large fluctuations in average postcode level house sales over time. Average postcode level house sales are higher in the ACT than in NSW throughout this time period, with house sales the ACT fluctuating  around 350 and NSW around 225. Both the ACT and NSW see a big drop on in average postcode level house sales in the last 1-2 years, ACT at about 265 in 2019 and NSW at about 180 in 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vgNumberSold_ADMIN over tim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240" cy="4165600"/>
                    </a:xfrm>
                    <a:prstGeom prst="rect">
                      <a:avLst/>
                    </a:prstGeom>
                    <a:noFill/>
                    <a:ln>
                      <a:noFill/>
                    </a:ln>
                  </pic:spPr>
                </pic:pic>
              </a:graphicData>
            </a:graphic>
          </wp:inline>
        </w:drawing>
      </w:r>
    </w:p>
    <w:p w14:paraId="25338047" w14:textId="77777777" w:rsidR="00B44672" w:rsidRPr="00552B32" w:rsidRDefault="00B44672" w:rsidP="00552B32">
      <w:pPr>
        <w:rPr>
          <w:lang w:val="en-GB"/>
        </w:rPr>
      </w:pPr>
    </w:p>
    <w:p w14:paraId="43CCFA2F" w14:textId="77777777" w:rsidR="00B44672" w:rsidRPr="009746CE" w:rsidRDefault="00B44672" w:rsidP="00B44672">
      <w:pPr>
        <w:pStyle w:val="Heading2"/>
        <w:numPr>
          <w:ilvl w:val="0"/>
          <w:numId w:val="23"/>
        </w:numPr>
        <w:spacing w:line="259" w:lineRule="auto"/>
      </w:pPr>
      <w:r w:rsidRPr="009746CE">
        <w:t xml:space="preserve">Differences in the </w:t>
      </w:r>
      <w:proofErr w:type="spellStart"/>
      <w:r w:rsidRPr="009746CE">
        <w:t>Corelogic</w:t>
      </w:r>
      <w:proofErr w:type="spellEnd"/>
      <w:r w:rsidRPr="009746CE">
        <w:t xml:space="preserve"> and administrative data on numbers of ACT sales</w:t>
      </w:r>
    </w:p>
    <w:p w14:paraId="29A6C779" w14:textId="77777777" w:rsidR="00B44672" w:rsidRDefault="00B44672" w:rsidP="00952786">
      <w:r>
        <w:t>One</w:t>
      </w:r>
      <w:r w:rsidRPr="009746CE">
        <w:t xml:space="preserve"> concern</w:t>
      </w:r>
      <w:r>
        <w:t>,</w:t>
      </w:r>
      <w:r w:rsidRPr="009746CE">
        <w:t xml:space="preserve"> which </w:t>
      </w:r>
      <w:r>
        <w:t xml:space="preserve">was raised above and in the main report, is </w:t>
      </w:r>
      <w:r w:rsidRPr="009746CE">
        <w:t xml:space="preserve">differences in the trend of property sale numbers </w:t>
      </w:r>
      <w:r>
        <w:t xml:space="preserve">observed </w:t>
      </w:r>
      <w:r w:rsidRPr="009746CE">
        <w:t xml:space="preserve">between the </w:t>
      </w:r>
      <w:proofErr w:type="spellStart"/>
      <w:r w:rsidRPr="009746CE">
        <w:t>Corelogic</w:t>
      </w:r>
      <w:proofErr w:type="spellEnd"/>
      <w:r w:rsidRPr="009746CE">
        <w:t xml:space="preserve"> data and ACT</w:t>
      </w:r>
      <w:r>
        <w:t>’</w:t>
      </w:r>
      <w:r w:rsidRPr="009746CE">
        <w:t>s administrative data</w:t>
      </w:r>
      <w:r>
        <w:t xml:space="preserve"> (se</w:t>
      </w:r>
      <w:r w:rsidRPr="00FA5F39">
        <w:rPr>
          <w:color w:val="000000" w:themeColor="text1"/>
        </w:rPr>
        <w:t xml:space="preserve">e </w:t>
      </w:r>
      <w:r>
        <w:rPr>
          <w:color w:val="000000" w:themeColor="text1"/>
        </w:rPr>
        <w:t>Figure 6</w:t>
      </w:r>
      <w:r w:rsidRPr="00FA5F39">
        <w:rPr>
          <w:color w:val="000000" w:themeColor="text1"/>
        </w:rPr>
        <w:t>)</w:t>
      </w:r>
      <w:r w:rsidRPr="009746CE">
        <w:t xml:space="preserve">. </w:t>
      </w:r>
      <w:r>
        <w:t>Specifically, t</w:t>
      </w:r>
      <w:r w:rsidRPr="009746CE">
        <w:t>he ACT unit record data show a</w:t>
      </w:r>
      <w:r>
        <w:t>n</w:t>
      </w:r>
      <w:r w:rsidRPr="009746CE">
        <w:t xml:space="preserve"> increase in sales </w:t>
      </w:r>
      <w:r>
        <w:t>during the first five years of the reform. Sales numbers drop sharply from 2017/18, which is due to an administrative change (the</w:t>
      </w:r>
      <w:r w:rsidRPr="009746CE">
        <w:t xml:space="preserve"> introduction of the Barrier Free Model</w:t>
      </w:r>
      <w:r>
        <w:t xml:space="preserve">). In cases of </w:t>
      </w:r>
      <w:r w:rsidRPr="009746CE">
        <w:t xml:space="preserve">off-the-plan and land only </w:t>
      </w:r>
      <w:r>
        <w:t>transactions, the Barrier Free Model allowed payment of stamp duty to be deferred</w:t>
      </w:r>
      <w:r w:rsidRPr="009746CE">
        <w:t xml:space="preserve"> </w:t>
      </w:r>
      <w:r>
        <w:t>until completion of construction as opposed to the previous requirement that stamp duty be paid 12 months after the transaction/execution date. T</w:t>
      </w:r>
      <w:r w:rsidRPr="00F46D46">
        <w:t>his has resulted in some property transactions not yet being included in</w:t>
      </w:r>
      <w:r>
        <w:t xml:space="preserve"> the </w:t>
      </w:r>
      <w:r w:rsidRPr="00F46D46">
        <w:t xml:space="preserve">current extraction of </w:t>
      </w:r>
      <w:r>
        <w:t xml:space="preserve">ACT </w:t>
      </w:r>
      <w:r w:rsidRPr="00F46D46">
        <w:t xml:space="preserve">stamp duty data, since these transactions will only be logged once </w:t>
      </w:r>
      <w:r>
        <w:t xml:space="preserve">stamp </w:t>
      </w:r>
      <w:r w:rsidRPr="00F46D46">
        <w:t>duty has been paid</w:t>
      </w:r>
      <w:r>
        <w:t>.</w:t>
      </w:r>
      <w:r w:rsidRPr="007657AE">
        <w:t xml:space="preserve"> </w:t>
      </w:r>
      <w:r>
        <w:t>T</w:t>
      </w:r>
      <w:r w:rsidRPr="007657AE">
        <w:t>herefore,</w:t>
      </w:r>
      <w:r>
        <w:t xml:space="preserve"> the </w:t>
      </w:r>
      <w:r w:rsidRPr="007657AE">
        <w:t xml:space="preserve">count of transactions in 2017-18 and 2018-19 is ‘artificially’ low in </w:t>
      </w:r>
      <w:r>
        <w:t xml:space="preserve">the </w:t>
      </w:r>
      <w:r w:rsidRPr="007657AE">
        <w:t>current data extract</w:t>
      </w:r>
      <w:r>
        <w:t>.</w:t>
      </w:r>
      <w:r w:rsidRPr="007657AE">
        <w:t xml:space="preserve"> </w:t>
      </w:r>
      <w:r>
        <w:t>We therefore</w:t>
      </w:r>
      <w:r w:rsidRPr="007657AE">
        <w:t xml:space="preserve"> </w:t>
      </w:r>
      <w:r w:rsidRPr="002622D1">
        <w:t>also estimate models using only the pre-September 2017 data to check whether</w:t>
      </w:r>
      <w:r>
        <w:t xml:space="preserve"> this </w:t>
      </w:r>
      <w:r w:rsidRPr="002622D1">
        <w:t>administrative change impacts our estimates</w:t>
      </w:r>
      <w:r w:rsidRPr="009746CE">
        <w:t xml:space="preserve">. </w:t>
      </w:r>
    </w:p>
    <w:p w14:paraId="7E3F4418" w14:textId="77777777" w:rsidR="00B44672" w:rsidRDefault="00B44672" w:rsidP="00952786">
      <w:r>
        <w:t>In contrast to the administrative data, our</w:t>
      </w:r>
      <w:r w:rsidRPr="009746CE">
        <w:t xml:space="preserve"> </w:t>
      </w:r>
      <w:proofErr w:type="spellStart"/>
      <w:r w:rsidRPr="009746CE">
        <w:t>Corelogic</w:t>
      </w:r>
      <w:proofErr w:type="spellEnd"/>
      <w:r w:rsidRPr="009746CE">
        <w:t xml:space="preserve"> data </w:t>
      </w:r>
      <w:r>
        <w:t>does not show an increase in sales for the years after 2012, but rather</w:t>
      </w:r>
      <w:r w:rsidRPr="009746CE">
        <w:t xml:space="preserve"> a sideways </w:t>
      </w:r>
      <w:r>
        <w:t>movement</w:t>
      </w:r>
      <w:r w:rsidRPr="009746CE">
        <w:t xml:space="preserve"> over the same period. This </w:t>
      </w:r>
      <w:r>
        <w:t>could</w:t>
      </w:r>
      <w:r w:rsidRPr="009746CE">
        <w:t xml:space="preserve"> have contributed to </w:t>
      </w:r>
      <w:r>
        <w:t>our</w:t>
      </w:r>
      <w:r w:rsidRPr="009746CE">
        <w:t xml:space="preserve"> finding </w:t>
      </w:r>
      <w:r>
        <w:t>that there was a</w:t>
      </w:r>
      <w:r w:rsidRPr="009746CE">
        <w:t xml:space="preserve"> reduction in</w:t>
      </w:r>
      <w:r>
        <w:t xml:space="preserve"> both the</w:t>
      </w:r>
      <w:r w:rsidRPr="009746CE">
        <w:t xml:space="preserve"> </w:t>
      </w:r>
      <w:r>
        <w:t xml:space="preserve">number of property </w:t>
      </w:r>
      <w:r w:rsidRPr="009746CE">
        <w:lastRenderedPageBreak/>
        <w:t xml:space="preserve">sales and </w:t>
      </w:r>
      <w:r>
        <w:t xml:space="preserve">the </w:t>
      </w:r>
      <w:r w:rsidRPr="009746CE">
        <w:t xml:space="preserve">overall </w:t>
      </w:r>
      <w:r>
        <w:t>sales value</w:t>
      </w:r>
      <w:r w:rsidRPr="009746CE">
        <w:t>.</w:t>
      </w:r>
      <w:r>
        <w:rPr>
          <w:rStyle w:val="FootnoteReference"/>
        </w:rPr>
        <w:footnoteReference w:id="29"/>
      </w:r>
      <w:r>
        <w:t xml:space="preserve"> To address this concern we also use administrative data as a separate source of information to see if our results are affected in any way. </w:t>
      </w:r>
      <w:r w:rsidRPr="00B93858">
        <w:t xml:space="preserve">The results from the NSW and ACT administrative data show that </w:t>
      </w:r>
      <w:r>
        <w:t xml:space="preserve">the </w:t>
      </w:r>
      <w:r w:rsidRPr="00B93858">
        <w:t>observed difference</w:t>
      </w:r>
      <w:r>
        <w:t>s</w:t>
      </w:r>
      <w:r w:rsidRPr="00B93858">
        <w:t xml:space="preserve"> in the </w:t>
      </w:r>
      <w:proofErr w:type="spellStart"/>
      <w:r w:rsidRPr="00B93858">
        <w:t>Corelogic</w:t>
      </w:r>
      <w:proofErr w:type="spellEnd"/>
      <w:r w:rsidRPr="00B93858">
        <w:t xml:space="preserve"> data are not driving </w:t>
      </w:r>
      <w:r>
        <w:t>our findings</w:t>
      </w:r>
      <w:r w:rsidRPr="00B93858">
        <w:t>.</w:t>
      </w:r>
      <w:r>
        <w:t xml:space="preserve"> These alternative estimates are presented at the end of the appendix. </w:t>
      </w:r>
    </w:p>
    <w:p w14:paraId="5C245670" w14:textId="77777777" w:rsidR="00B44672" w:rsidRDefault="00B44672" w:rsidP="00952786"/>
    <w:p w14:paraId="7914DB21" w14:textId="12453466" w:rsidR="00B44672" w:rsidRPr="001771D2" w:rsidRDefault="00B44672" w:rsidP="001771D2">
      <w:pPr>
        <w:pStyle w:val="Caption"/>
        <w:rPr>
          <w:b/>
          <w:bCs/>
          <w:i w:val="0"/>
          <w:iCs/>
          <w:color w:val="365F91" w:themeColor="accent1" w:themeShade="BF"/>
        </w:rPr>
      </w:pPr>
      <w:bookmarkStart w:id="142" w:name="_Ref33191251"/>
      <w:r w:rsidRPr="001771D2">
        <w:rPr>
          <w:b/>
          <w:bCs/>
          <w:color w:val="365F91" w:themeColor="accent1" w:themeShade="BF"/>
        </w:rPr>
        <w:t xml:space="preserve">Figure </w:t>
      </w:r>
      <w:r w:rsidRPr="001771D2">
        <w:rPr>
          <w:b/>
          <w:bCs/>
          <w:i w:val="0"/>
          <w:iCs/>
          <w:color w:val="365F91" w:themeColor="accent1" w:themeShade="BF"/>
        </w:rPr>
        <w:fldChar w:fldCharType="begin"/>
      </w:r>
      <w:r w:rsidRPr="001771D2">
        <w:rPr>
          <w:b/>
          <w:bCs/>
          <w:color w:val="365F91" w:themeColor="accent1" w:themeShade="BF"/>
        </w:rPr>
        <w:instrText xml:space="preserve"> SEQ Figure \* ARABIC </w:instrText>
      </w:r>
      <w:r w:rsidRPr="001771D2">
        <w:rPr>
          <w:b/>
          <w:bCs/>
          <w:i w:val="0"/>
          <w:iCs/>
          <w:color w:val="365F91" w:themeColor="accent1" w:themeShade="BF"/>
        </w:rPr>
        <w:fldChar w:fldCharType="separate"/>
      </w:r>
      <w:r w:rsidR="00A763B6">
        <w:rPr>
          <w:b/>
          <w:bCs/>
          <w:noProof/>
          <w:color w:val="365F91" w:themeColor="accent1" w:themeShade="BF"/>
        </w:rPr>
        <w:t>5</w:t>
      </w:r>
      <w:r w:rsidRPr="001771D2">
        <w:rPr>
          <w:b/>
          <w:bCs/>
          <w:i w:val="0"/>
          <w:iCs/>
          <w:color w:val="365F91" w:themeColor="accent1" w:themeShade="BF"/>
        </w:rPr>
        <w:fldChar w:fldCharType="end"/>
      </w:r>
      <w:bookmarkEnd w:id="142"/>
      <w:r w:rsidRPr="001771D2">
        <w:rPr>
          <w:b/>
          <w:bCs/>
          <w:color w:val="365F91" w:themeColor="accent1" w:themeShade="BF"/>
        </w:rPr>
        <w:t xml:space="preserve"> - Difference in number of property sales between the two data sources</w:t>
      </w:r>
      <w:r>
        <w:rPr>
          <w:b/>
          <w:bCs/>
          <w:color w:val="365F91" w:themeColor="accent1" w:themeShade="BF"/>
        </w:rPr>
        <w:t xml:space="preserve"> ACT</w:t>
      </w:r>
    </w:p>
    <w:p w14:paraId="30277607" w14:textId="77777777" w:rsidR="00B44672" w:rsidRPr="00E716CA" w:rsidRDefault="00B44672" w:rsidP="00E716CA">
      <w:r>
        <w:rPr>
          <w:noProof/>
          <w:lang w:eastAsia="en-AU"/>
        </w:rPr>
        <w:drawing>
          <wp:inline distT="0" distB="0" distL="0" distR="0" wp14:anchorId="51AD9327" wp14:editId="0AF30D79">
            <wp:extent cx="5731510" cy="2835275"/>
            <wp:effectExtent l="0" t="0" r="8890" b="9525"/>
            <wp:docPr id="13" name="Chart 13" descr="The number of annual property sales in the ACT from 2010-11 to 2018-19 using Corelogic data and administrative data. The number of sales in the administrative data is greater than the number of sales in the Corelogic data over this time period. In the administrative data, the number of sales is around 14,000 in 2010-11 and there is a general increase to about 17,000 by 2016-17. From 2016-17 onwards the number of sales decreases reaching about 10,000 in 2018-10. In the Corelogic data the number of sales in 2010-11 is about 10,000 and this decreases to about 8,000 in 2011-12 and remains largely unchanged at 8,000 until 2017-18. In 2018-19 the number of sales decreases to about 7,000.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eastAsia="en-AU"/>
        </w:rPr>
        <w:t xml:space="preserve">  </w:t>
      </w:r>
    </w:p>
    <w:p w14:paraId="74E7B9E4" w14:textId="77777777" w:rsidR="00B44672" w:rsidRDefault="00B44672" w:rsidP="008E595A">
      <w:pPr>
        <w:pStyle w:val="Heading2"/>
      </w:pPr>
    </w:p>
    <w:p w14:paraId="78D34760" w14:textId="77777777" w:rsidR="00B44672" w:rsidRDefault="00B44672" w:rsidP="00684AFD">
      <w:r>
        <w:t xml:space="preserve">Similarly, when we compare the NSW administrative data to the </w:t>
      </w:r>
      <w:proofErr w:type="spellStart"/>
      <w:r>
        <w:t>Corelogic</w:t>
      </w:r>
      <w:proofErr w:type="spellEnd"/>
      <w:r>
        <w:t xml:space="preserve"> data, the overall differences appear to be similar in nature, with the number of </w:t>
      </w:r>
      <w:proofErr w:type="spellStart"/>
      <w:r>
        <w:t>salesin</w:t>
      </w:r>
      <w:proofErr w:type="spellEnd"/>
      <w:r>
        <w:t xml:space="preserve"> the administrative data consistently higher than the </w:t>
      </w:r>
      <w:proofErr w:type="spellStart"/>
      <w:r>
        <w:t>Corelogic</w:t>
      </w:r>
      <w:proofErr w:type="spellEnd"/>
      <w:r>
        <w:t xml:space="preserve"> numbers (see Figure 7</w:t>
      </w:r>
      <w:r w:rsidRPr="00552B32">
        <w:t>)</w:t>
      </w:r>
      <w:r>
        <w:t xml:space="preserve">. This provides more evidence that the </w:t>
      </w:r>
      <w:proofErr w:type="spellStart"/>
      <w:r>
        <w:t>Corelogic</w:t>
      </w:r>
      <w:proofErr w:type="spellEnd"/>
      <w:r>
        <w:t xml:space="preserve"> adjustments of raw numbers received from the state is consistent across states.  These adjustments do not seem to be specific to the ACT.  These anomalies are differenced out in our estimation methodology which explains why, despite the large apparent differences in the data, we obtain similar impact </w:t>
      </w:r>
      <w:proofErr w:type="spellStart"/>
      <w:r>
        <w:t>estiamtes</w:t>
      </w:r>
      <w:proofErr w:type="spellEnd"/>
      <w:r>
        <w:t xml:space="preserve"> from the two data sources </w:t>
      </w:r>
    </w:p>
    <w:p w14:paraId="5C662F46" w14:textId="77777777" w:rsidR="00B44672" w:rsidRDefault="00B44672" w:rsidP="00684AFD"/>
    <w:p w14:paraId="573084F1" w14:textId="77777777" w:rsidR="00B44672" w:rsidRDefault="00B44672" w:rsidP="00684AFD"/>
    <w:p w14:paraId="7B68FCB2" w14:textId="77777777" w:rsidR="00B44672" w:rsidRDefault="00B44672" w:rsidP="00684AFD"/>
    <w:p w14:paraId="05B32F21" w14:textId="77777777" w:rsidR="00B44672" w:rsidRDefault="00B44672" w:rsidP="00684AFD"/>
    <w:p w14:paraId="4623BF35" w14:textId="77777777" w:rsidR="00B44672" w:rsidRDefault="00B44672" w:rsidP="00684AFD"/>
    <w:p w14:paraId="646B3343" w14:textId="77777777" w:rsidR="00B44672" w:rsidRDefault="00B44672" w:rsidP="00684AFD"/>
    <w:p w14:paraId="7F9A7777" w14:textId="77777777" w:rsidR="00B44672" w:rsidRPr="00684AFD" w:rsidRDefault="00B44672" w:rsidP="00684AFD">
      <w:pPr>
        <w:pStyle w:val="Caption"/>
        <w:rPr>
          <w:b/>
          <w:i w:val="0"/>
          <w:color w:val="365F91" w:themeColor="accent1" w:themeShade="BF"/>
        </w:rPr>
      </w:pPr>
      <w:bookmarkStart w:id="143" w:name="_Ref39240761"/>
      <w:bookmarkStart w:id="144" w:name="_Ref39240753"/>
      <w:r w:rsidRPr="00684AFD">
        <w:rPr>
          <w:b/>
          <w:color w:val="365F91" w:themeColor="accent1" w:themeShade="BF"/>
        </w:rPr>
        <w:lastRenderedPageBreak/>
        <w:t xml:space="preserve">Figure </w:t>
      </w:r>
      <w:bookmarkEnd w:id="143"/>
      <w:r>
        <w:rPr>
          <w:b/>
          <w:color w:val="365F91" w:themeColor="accent1" w:themeShade="BF"/>
        </w:rPr>
        <w:t>7</w:t>
      </w:r>
      <w:r w:rsidRPr="00684AFD">
        <w:rPr>
          <w:b/>
          <w:color w:val="365F91" w:themeColor="accent1" w:themeShade="BF"/>
        </w:rPr>
        <w:t xml:space="preserve"> - Difference in number of property sales between the two data sources</w:t>
      </w:r>
      <w:bookmarkEnd w:id="144"/>
      <w:r>
        <w:rPr>
          <w:b/>
          <w:color w:val="365F91" w:themeColor="accent1" w:themeShade="BF"/>
        </w:rPr>
        <w:t xml:space="preserve"> NSW</w:t>
      </w:r>
    </w:p>
    <w:p w14:paraId="63E6002C" w14:textId="77777777" w:rsidR="00B44672" w:rsidRDefault="00B44672" w:rsidP="00684AFD">
      <w:r>
        <w:rPr>
          <w:noProof/>
          <w:lang w:eastAsia="en-AU"/>
        </w:rPr>
        <w:drawing>
          <wp:inline distT="0" distB="0" distL="0" distR="0" wp14:anchorId="29588751" wp14:editId="444BF648">
            <wp:extent cx="5731510" cy="2625725"/>
            <wp:effectExtent l="0" t="0" r="2540" b="3175"/>
            <wp:docPr id="9" name="Chart 9" descr="Line chart showing the number of annual property sales in NSW from 2010-11 to 2018-19 from the Corelogic data and the administrative data. The number of sales in the administrative data is greater than the number of sales in the Corelogic data over this entire time period. The administrative data shows that the number of sales in 2010-11 is about 180,000 and this remained relatively unchanged until 2012-13. In 2013-14 the number of sales increased to about 260,000 and then decreases gradually until 2018-19 to about 150,000. For the Corelogic data, the number of sales in 2010-11 is about 140,000 and remained largely unchanged until 2012-13. In 2013-14 there is an increase in the number of sales to about 180,000 and then a gradual decrease to about 110,000 in 201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A18037" w14:textId="77777777" w:rsidR="00B44672" w:rsidRPr="00684AFD" w:rsidRDefault="00B44672" w:rsidP="00684AFD"/>
    <w:p w14:paraId="13C0647F" w14:textId="77777777" w:rsidR="00B44672" w:rsidRDefault="00B44672" w:rsidP="00B44672">
      <w:pPr>
        <w:pStyle w:val="Heading2"/>
        <w:numPr>
          <w:ilvl w:val="0"/>
          <w:numId w:val="23"/>
        </w:numPr>
        <w:spacing w:line="259" w:lineRule="auto"/>
      </w:pPr>
      <w:r>
        <w:t xml:space="preserve">The rental bonds data </w:t>
      </w:r>
    </w:p>
    <w:p w14:paraId="56DC1D8C" w14:textId="77777777" w:rsidR="00B44672" w:rsidRDefault="00B44672" w:rsidP="00D123F1">
      <w:r>
        <w:t xml:space="preserve">To answer questions about rental availability we cannot use </w:t>
      </w:r>
      <w:proofErr w:type="spellStart"/>
      <w:r>
        <w:t>Corelogic</w:t>
      </w:r>
      <w:proofErr w:type="spellEnd"/>
      <w:r>
        <w:t xml:space="preserve"> data, as it doesn’t provide information on the number of advertised rental properties. Instead, we use administrative data on the number of rental bonds filed in the ACT. In lieu of observing the actual stock of rental properties, observing the flow of rental places is the next best alternative. Moreover, unless the rate of rental contracts concluding changes significantly over our sample period, the flow is a suitable proxy for rental availability in the ACT. </w:t>
      </w:r>
    </w:p>
    <w:p w14:paraId="556673A7" w14:textId="77777777" w:rsidR="00B44672" w:rsidRDefault="00B44672" w:rsidP="008E595A">
      <w:r>
        <w:t xml:space="preserve">However, while the </w:t>
      </w:r>
      <w:proofErr w:type="spellStart"/>
      <w:r>
        <w:t>Corelogic</w:t>
      </w:r>
      <w:proofErr w:type="spellEnd"/>
      <w:r>
        <w:t xml:space="preserve"> data are available nationally, the ACT rental bond data are only available for ACT suburbs.  As a result, we cannot control for common shocks over time as we have done in the difference-in difference approach in the cross-state sample. This presents implications for our results. For example, assume that at the same time as the ACT tax reform was introduced, a national trend emerged shifting preferences away from renting properties and towards buying one’s own house or unit (this could happen if interest rates decreased). In the absence of data on the other states and territories, we could wrongly attribute this shift to the tax reform rather than to a change in national preferences. </w:t>
      </w:r>
    </w:p>
    <w:p w14:paraId="566FA7CE" w14:textId="07E1E016" w:rsidR="00B44672" w:rsidRDefault="00B44672" w:rsidP="008E595A">
      <w:r w:rsidRPr="00112AD4">
        <w:t>With these caveats in mind</w:t>
      </w:r>
      <w:r>
        <w:t>,</w:t>
      </w:r>
      <w:r w:rsidRPr="00112AD4">
        <w:t xml:space="preserve"> </w:t>
      </w:r>
      <w:r>
        <w:t xml:space="preserve">descriptive data on rental </w:t>
      </w:r>
      <w:r w:rsidRPr="00112AD4">
        <w:t xml:space="preserve">bonds </w:t>
      </w:r>
      <w:r>
        <w:t xml:space="preserve">from the ACT are provided below. </w:t>
      </w:r>
      <w:r w:rsidRPr="00A64CD9">
        <w:rPr>
          <w:color w:val="000000" w:themeColor="text1"/>
        </w:rPr>
        <w:fldChar w:fldCharType="begin"/>
      </w:r>
      <w:r w:rsidRPr="00A64CD9">
        <w:rPr>
          <w:color w:val="000000" w:themeColor="text1"/>
        </w:rPr>
        <w:instrText xml:space="preserve"> REF _Ref33171653 \h  \* MERGEFORMAT </w:instrText>
      </w:r>
      <w:r w:rsidRPr="00A64CD9">
        <w:rPr>
          <w:color w:val="000000" w:themeColor="text1"/>
        </w:rPr>
      </w:r>
      <w:r w:rsidRPr="00A64CD9">
        <w:rPr>
          <w:color w:val="000000" w:themeColor="text1"/>
        </w:rPr>
        <w:fldChar w:fldCharType="separate"/>
      </w:r>
      <w:r w:rsidR="00A763B6" w:rsidRPr="00A763B6">
        <w:rPr>
          <w:color w:val="000000" w:themeColor="text1"/>
        </w:rPr>
        <w:t xml:space="preserve">Figure </w:t>
      </w:r>
      <w:r w:rsidR="00A763B6" w:rsidRPr="00A763B6">
        <w:rPr>
          <w:noProof/>
          <w:color w:val="000000" w:themeColor="text1"/>
        </w:rPr>
        <w:t>6</w:t>
      </w:r>
      <w:r w:rsidRPr="00A64CD9">
        <w:rPr>
          <w:color w:val="000000" w:themeColor="text1"/>
        </w:rPr>
        <w:fldChar w:fldCharType="end"/>
      </w:r>
      <w:r w:rsidRPr="003405DE">
        <w:rPr>
          <w:color w:val="000000" w:themeColor="text1"/>
        </w:rPr>
        <w:t xml:space="preserve"> shows </w:t>
      </w:r>
      <w:r>
        <w:t xml:space="preserve">the monthly amount of bonds registered with the ACT government. For each month we observe the number of rental bonds registered. Landlord are required to register a received rental bond, so unless they elect not to take a bond, new rental agreements will be counted in this data. It is common practice to collect a rental bond upon signing the lease. </w:t>
      </w:r>
    </w:p>
    <w:p w14:paraId="14857762" w14:textId="5795A6D8" w:rsidR="00B44672" w:rsidRPr="003405DE" w:rsidRDefault="00B44672" w:rsidP="003405DE">
      <w:pPr>
        <w:pStyle w:val="Caption"/>
        <w:keepNext/>
        <w:rPr>
          <w:b/>
          <w:bCs/>
          <w:i w:val="0"/>
          <w:iCs/>
          <w:color w:val="365F91" w:themeColor="accent1" w:themeShade="BF"/>
          <w:szCs w:val="22"/>
        </w:rPr>
      </w:pPr>
      <w:bookmarkStart w:id="145" w:name="_Ref33171653"/>
      <w:r w:rsidRPr="003405DE">
        <w:rPr>
          <w:b/>
          <w:bCs/>
          <w:color w:val="365F91" w:themeColor="accent1" w:themeShade="BF"/>
          <w:szCs w:val="22"/>
        </w:rPr>
        <w:lastRenderedPageBreak/>
        <w:t xml:space="preserve">Figure </w:t>
      </w:r>
      <w:r w:rsidRPr="003405DE">
        <w:rPr>
          <w:b/>
          <w:bCs/>
          <w:i w:val="0"/>
          <w:iCs/>
          <w:color w:val="365F91" w:themeColor="accent1" w:themeShade="BF"/>
          <w:szCs w:val="22"/>
        </w:rPr>
        <w:fldChar w:fldCharType="begin"/>
      </w:r>
      <w:r w:rsidRPr="003405DE">
        <w:rPr>
          <w:b/>
          <w:bCs/>
          <w:color w:val="365F91" w:themeColor="accent1" w:themeShade="BF"/>
          <w:szCs w:val="22"/>
        </w:rPr>
        <w:instrText xml:space="preserve"> SEQ Figure \* ARABIC </w:instrText>
      </w:r>
      <w:r w:rsidRPr="003405DE">
        <w:rPr>
          <w:b/>
          <w:bCs/>
          <w:i w:val="0"/>
          <w:iCs/>
          <w:color w:val="365F91" w:themeColor="accent1" w:themeShade="BF"/>
          <w:szCs w:val="22"/>
        </w:rPr>
        <w:fldChar w:fldCharType="separate"/>
      </w:r>
      <w:r w:rsidR="00A763B6">
        <w:rPr>
          <w:b/>
          <w:bCs/>
          <w:noProof/>
          <w:color w:val="365F91" w:themeColor="accent1" w:themeShade="BF"/>
          <w:szCs w:val="22"/>
        </w:rPr>
        <w:t>6</w:t>
      </w:r>
      <w:r w:rsidRPr="003405DE">
        <w:rPr>
          <w:b/>
          <w:bCs/>
          <w:i w:val="0"/>
          <w:iCs/>
          <w:color w:val="365F91" w:themeColor="accent1" w:themeShade="BF"/>
          <w:szCs w:val="22"/>
        </w:rPr>
        <w:fldChar w:fldCharType="end"/>
      </w:r>
      <w:bookmarkEnd w:id="145"/>
      <w:r w:rsidRPr="003405DE">
        <w:rPr>
          <w:b/>
          <w:bCs/>
          <w:color w:val="365F91" w:themeColor="accent1" w:themeShade="BF"/>
          <w:szCs w:val="22"/>
        </w:rPr>
        <w:t xml:space="preserve"> - Monthly rental bonds registered - ACT time series data 2008 - 2019</w:t>
      </w:r>
    </w:p>
    <w:p w14:paraId="5F41B381" w14:textId="77777777" w:rsidR="00B44672" w:rsidRDefault="00B44672" w:rsidP="008E595A">
      <w:r>
        <w:rPr>
          <w:noProof/>
          <w:lang w:eastAsia="en-AU"/>
        </w:rPr>
        <w:drawing>
          <wp:inline distT="0" distB="0" distL="0" distR="0" wp14:anchorId="3134096A" wp14:editId="3459F882">
            <wp:extent cx="5727700" cy="4165600"/>
            <wp:effectExtent l="0" t="0" r="6350" b="6350"/>
            <wp:docPr id="14" name="Picture 14" descr="A line chart showing the monthly amount of bonds registered from 2008 to 2020. The graphs shows that is a volatile series fluctuating around 1250 over this time period. The volatility seems to increase from 2012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ds_monthl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0" cy="4165600"/>
                    </a:xfrm>
                    <a:prstGeom prst="rect">
                      <a:avLst/>
                    </a:prstGeom>
                    <a:noFill/>
                    <a:ln>
                      <a:noFill/>
                    </a:ln>
                  </pic:spPr>
                </pic:pic>
              </a:graphicData>
            </a:graphic>
          </wp:inline>
        </w:drawing>
      </w:r>
    </w:p>
    <w:p w14:paraId="769051F2" w14:textId="77777777" w:rsidR="00B44672" w:rsidRDefault="00B44672" w:rsidP="008721C9">
      <w:pPr>
        <w:jc w:val="left"/>
        <w:rPr>
          <w:lang w:bidi="bn-BD"/>
        </w:rPr>
      </w:pPr>
      <w:r>
        <w:rPr>
          <w:lang w:bidi="bn-BD"/>
        </w:rPr>
        <w:t xml:space="preserve">We observe a seasonally volatile series which seems to become more volatile in 2012. Eyeballing the effect of the tax reform is difficult with the descriptive statistics as there is no clear break observable in 2012. A regression analysis is required to detect a possible effect. However, the graphs demonstrate the need to control for seasonal variation in the regression. This is done by including month dummies in the regression.  </w:t>
      </w:r>
    </w:p>
    <w:p w14:paraId="19A4BB4F" w14:textId="77777777" w:rsidR="00B44672" w:rsidRPr="00F7636B" w:rsidRDefault="00B44672" w:rsidP="00F7636B">
      <w:pPr>
        <w:widowControl w:val="0"/>
        <w:autoSpaceDE w:val="0"/>
        <w:autoSpaceDN w:val="0"/>
        <w:adjustRightInd w:val="0"/>
        <w:spacing w:before="79" w:after="79"/>
        <w:rPr>
          <w:rFonts w:ascii="Times New Roman" w:hAnsi="Times New Roman"/>
          <w:sz w:val="19"/>
          <w:szCs w:val="19"/>
        </w:rPr>
      </w:pPr>
      <w:r>
        <w:rPr>
          <w:lang w:bidi="bn-BD"/>
        </w:rPr>
        <w:t>Table 1 below is replicated</w:t>
      </w:r>
      <w:r>
        <w:t xml:space="preserve"> from Table 19 of the main report. </w:t>
      </w:r>
      <w:r>
        <w:rPr>
          <w:rFonts w:cstheme="minorHAnsi"/>
          <w:lang w:bidi="bn-BD"/>
        </w:rPr>
        <w:t xml:space="preserve">It presents the results of a time series analysis with the number of registered rental bonds as the dependent variable. We use month fixed effects and a linear trend as basic controls for an existing trend and seasonality. In column 1 we only include the reform dummy to measure the effect. The reform dummy is a variable which is one for all months after the start of the reform and zero before. It will capture a general shift in the number of new rentals after the reform. In column 2 and 3 we add </w:t>
      </w:r>
      <w:proofErr w:type="gramStart"/>
      <w:r>
        <w:rPr>
          <w:rFonts w:cstheme="minorHAnsi"/>
          <w:lang w:bidi="bn-BD"/>
        </w:rPr>
        <w:t>a number of</w:t>
      </w:r>
      <w:proofErr w:type="gramEnd"/>
      <w:r>
        <w:rPr>
          <w:rFonts w:cstheme="minorHAnsi"/>
          <w:lang w:bidi="bn-BD"/>
        </w:rPr>
        <w:t xml:space="preserve"> extra controls and in column 4 we introduce a reform trend. The reform trend is a trend variable that starts with the introduction of the reform and zero in months prior to the reform. It captures any change in the trend after the reform. </w:t>
      </w:r>
    </w:p>
    <w:p w14:paraId="5FB28C0E" w14:textId="77777777" w:rsidR="00B44672" w:rsidRDefault="00B44672" w:rsidP="00A64CD9">
      <w:pPr>
        <w:rPr>
          <w:rFonts w:cstheme="minorHAnsi"/>
          <w:lang w:bidi="bn-BD"/>
        </w:rPr>
      </w:pPr>
      <w:r>
        <w:rPr>
          <w:rFonts w:cstheme="minorHAnsi"/>
          <w:lang w:bidi="bn-BD"/>
        </w:rPr>
        <w:t xml:space="preserve">Throughout the specifications, the reform dummy coefficient remains large and significant. The reform’s </w:t>
      </w:r>
      <w:r w:rsidRPr="006A5943">
        <w:rPr>
          <w:rFonts w:cstheme="minorHAnsi"/>
          <w:lang w:bidi="bn-BD"/>
        </w:rPr>
        <w:t>variance inflation factor</w:t>
      </w:r>
      <w:r>
        <w:rPr>
          <w:rFonts w:cstheme="minorHAnsi"/>
          <w:lang w:bidi="bn-BD"/>
        </w:rPr>
        <w:t xml:space="preserve"> (VIF) indicates that we do not have to be overly concerned with multicollinearity. The reform coefficient suggests that more than 200 additional rental properties are available on the market each month due to the reform.   </w:t>
      </w:r>
    </w:p>
    <w:p w14:paraId="5FB3E46E" w14:textId="77777777" w:rsidR="00B44672" w:rsidRDefault="00B44672" w:rsidP="00827A0C">
      <w:pPr>
        <w:pStyle w:val="Caption"/>
        <w:rPr>
          <w:b/>
          <w:bCs/>
          <w:i w:val="0"/>
          <w:iCs/>
          <w:color w:val="365F91" w:themeColor="accent1" w:themeShade="BF"/>
        </w:rPr>
      </w:pPr>
    </w:p>
    <w:p w14:paraId="134F26A8" w14:textId="77777777" w:rsidR="00B44672" w:rsidRPr="00712B72" w:rsidRDefault="00B44672" w:rsidP="00827A0C">
      <w:pPr>
        <w:pStyle w:val="Caption"/>
        <w:rPr>
          <w:rFonts w:ascii="Times New Roman" w:hAnsi="Times New Roman" w:cs="Times New Roman"/>
          <w:b/>
          <w:bCs/>
          <w:i w:val="0"/>
          <w:iCs/>
          <w:color w:val="365F91" w:themeColor="accent1" w:themeShade="BF"/>
        </w:rPr>
      </w:pPr>
      <w:r w:rsidRPr="00712B72">
        <w:rPr>
          <w:b/>
          <w:bCs/>
          <w:color w:val="365F91" w:themeColor="accent1" w:themeShade="BF"/>
        </w:rPr>
        <w:t xml:space="preserve">Table </w:t>
      </w:r>
      <w:r>
        <w:rPr>
          <w:b/>
          <w:bCs/>
          <w:color w:val="365F91" w:themeColor="accent1" w:themeShade="BF"/>
        </w:rPr>
        <w:t>1 (Table 19 from main report)</w:t>
      </w:r>
      <w:r w:rsidRPr="00712B72">
        <w:rPr>
          <w:b/>
          <w:bCs/>
          <w:color w:val="365F91" w:themeColor="accent1" w:themeShade="BF"/>
        </w:rPr>
        <w:t xml:space="preserve"> - Effect of the tax reform on </w:t>
      </w:r>
      <w:r>
        <w:rPr>
          <w:b/>
          <w:bCs/>
          <w:color w:val="365F91" w:themeColor="accent1" w:themeShade="BF"/>
        </w:rPr>
        <w:t>new rentals – time series analysis</w:t>
      </w:r>
    </w:p>
    <w:p w14:paraId="23F8A52C" w14:textId="77777777" w:rsidR="00A763B6" w:rsidRPr="00A763B6" w:rsidRDefault="00B44672" w:rsidP="00A763B6">
      <w:pPr>
        <w:pStyle w:val="Caption"/>
        <w:rPr>
          <w:b/>
          <w:bCs/>
          <w:color w:val="365F91" w:themeColor="accent1" w:themeShade="BF"/>
        </w:rPr>
      </w:pPr>
      <w:r w:rsidRPr="00400ED3">
        <w:rPr>
          <w:rFonts w:cstheme="minorHAnsi"/>
          <w:iCs/>
          <w:color w:val="595959" w:themeColor="text1" w:themeTint="A6"/>
          <w:sz w:val="22"/>
          <w:szCs w:val="22"/>
          <w:lang w:bidi="bn-BD"/>
        </w:rPr>
        <w:lastRenderedPageBreak/>
        <w:fldChar w:fldCharType="begin"/>
      </w:r>
      <w:r w:rsidRPr="00400ED3">
        <w:rPr>
          <w:rFonts w:cstheme="minorHAnsi"/>
          <w:sz w:val="22"/>
          <w:szCs w:val="22"/>
          <w:lang w:bidi="bn-BD"/>
        </w:rPr>
        <w:instrText xml:space="preserve"> REF _Ref30335767 \h  \* MERGEFORMAT </w:instrText>
      </w:r>
      <w:r w:rsidRPr="00400ED3">
        <w:rPr>
          <w:rFonts w:cstheme="minorHAnsi"/>
          <w:iCs/>
          <w:color w:val="595959" w:themeColor="text1" w:themeTint="A6"/>
          <w:sz w:val="22"/>
          <w:szCs w:val="22"/>
          <w:lang w:bidi="bn-BD"/>
        </w:rPr>
      </w:r>
      <w:r w:rsidRPr="00400ED3">
        <w:rPr>
          <w:rFonts w:cstheme="minorHAnsi"/>
          <w:iCs/>
          <w:color w:val="595959" w:themeColor="text1" w:themeTint="A6"/>
          <w:sz w:val="22"/>
          <w:szCs w:val="22"/>
          <w:lang w:bidi="bn-BD"/>
        </w:rPr>
        <w:fldChar w:fldCharType="separate"/>
      </w:r>
      <w:bookmarkStart w:id="146" w:name="_Toc33121095"/>
      <w:r w:rsidR="00A763B6" w:rsidRPr="00A763B6">
        <w:rPr>
          <w:b/>
          <w:bCs/>
          <w:color w:val="365F91" w:themeColor="accent1" w:themeShade="BF"/>
        </w:rPr>
        <w:t>Table 19</w:t>
      </w:r>
      <w:r w:rsidR="00A763B6" w:rsidRPr="00A763B6">
        <w:rPr>
          <w:b/>
          <w:bCs/>
          <w:i w:val="0"/>
          <w:iCs/>
          <w:color w:val="365F91" w:themeColor="accent1" w:themeShade="BF"/>
        </w:rPr>
        <w:t xml:space="preserve"> </w:t>
      </w:r>
      <w:r w:rsidR="00A763B6" w:rsidRPr="00A763B6">
        <w:rPr>
          <w:b/>
          <w:bCs/>
          <w:color w:val="365F91" w:themeColor="accent1" w:themeShade="BF"/>
        </w:rPr>
        <w:t xml:space="preserve">- Effect of the tax </w:t>
      </w:r>
      <w:r w:rsidR="00A763B6" w:rsidRPr="00A763B6">
        <w:rPr>
          <w:b/>
          <w:bCs/>
          <w:i w:val="0"/>
          <w:iCs/>
          <w:color w:val="365F91" w:themeColor="accent1" w:themeShade="BF"/>
        </w:rPr>
        <w:t>reform</w:t>
      </w:r>
      <w:r w:rsidR="00A763B6" w:rsidRPr="00A763B6">
        <w:rPr>
          <w:b/>
          <w:bCs/>
          <w:noProof/>
          <w:color w:val="365F91" w:themeColor="accent1" w:themeShade="BF"/>
        </w:rPr>
        <w:t xml:space="preserve"> </w:t>
      </w:r>
      <w:r w:rsidR="00A763B6" w:rsidRPr="00A763B6">
        <w:rPr>
          <w:b/>
          <w:bCs/>
          <w:i w:val="0"/>
          <w:iCs/>
          <w:color w:val="365F91" w:themeColor="accent1" w:themeShade="BF"/>
        </w:rPr>
        <w:t>on</w:t>
      </w:r>
      <w:r w:rsidR="00A763B6" w:rsidRPr="00A763B6">
        <w:rPr>
          <w:b/>
          <w:bCs/>
          <w:color w:val="365F91" w:themeColor="accent1" w:themeShade="BF"/>
        </w:rPr>
        <w:t xml:space="preserve"> number of new rentals - time series analysis</w:t>
      </w:r>
    </w:p>
    <w:tbl>
      <w:tblPr>
        <w:tblW w:w="5000" w:type="pct"/>
        <w:jc w:val="center"/>
        <w:tblCellMar>
          <w:left w:w="75" w:type="dxa"/>
          <w:right w:w="75" w:type="dxa"/>
        </w:tblCellMar>
        <w:tblLook w:val="0000" w:firstRow="0" w:lastRow="0" w:firstColumn="0" w:lastColumn="0" w:noHBand="0" w:noVBand="0"/>
      </w:tblPr>
      <w:tblGrid>
        <w:gridCol w:w="1762"/>
        <w:gridCol w:w="1816"/>
        <w:gridCol w:w="1816"/>
        <w:gridCol w:w="1816"/>
        <w:gridCol w:w="1816"/>
      </w:tblGrid>
      <w:tr w:rsidR="00A763B6" w:rsidRPr="000D61D1" w14:paraId="354C2FFF" w14:textId="77777777" w:rsidTr="000C531F">
        <w:trPr>
          <w:jc w:val="center"/>
        </w:trPr>
        <w:tc>
          <w:tcPr>
            <w:tcW w:w="976" w:type="pct"/>
            <w:tcBorders>
              <w:top w:val="single" w:sz="6" w:space="0" w:color="auto"/>
              <w:left w:val="nil"/>
              <w:bottom w:val="nil"/>
              <w:right w:val="nil"/>
            </w:tcBorders>
          </w:tcPr>
          <w:p w14:paraId="14E548AD" w14:textId="77777777" w:rsidR="00A763B6" w:rsidRPr="00A763B6" w:rsidRDefault="00A763B6" w:rsidP="00A763B6">
            <w:pPr>
              <w:widowControl w:val="0"/>
              <w:autoSpaceDE w:val="0"/>
              <w:autoSpaceDN w:val="0"/>
              <w:adjustRightInd w:val="0"/>
              <w:spacing w:after="0"/>
              <w:rPr>
                <w:rFonts w:cstheme="minorHAnsi"/>
                <w:i/>
                <w:iCs/>
                <w:sz w:val="22"/>
              </w:rPr>
            </w:pPr>
          </w:p>
        </w:tc>
        <w:tc>
          <w:tcPr>
            <w:tcW w:w="1006" w:type="pct"/>
            <w:tcBorders>
              <w:top w:val="single" w:sz="6" w:space="0" w:color="auto"/>
              <w:left w:val="nil"/>
              <w:bottom w:val="nil"/>
              <w:right w:val="nil"/>
            </w:tcBorders>
          </w:tcPr>
          <w:p w14:paraId="3B21D776"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(1)</w:t>
            </w:r>
          </w:p>
        </w:tc>
        <w:tc>
          <w:tcPr>
            <w:tcW w:w="1006" w:type="pct"/>
            <w:tcBorders>
              <w:top w:val="single" w:sz="6" w:space="0" w:color="auto"/>
              <w:left w:val="nil"/>
              <w:bottom w:val="nil"/>
              <w:right w:val="nil"/>
            </w:tcBorders>
          </w:tcPr>
          <w:p w14:paraId="1C538FB4"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(2)</w:t>
            </w:r>
          </w:p>
        </w:tc>
        <w:tc>
          <w:tcPr>
            <w:tcW w:w="1006" w:type="pct"/>
            <w:tcBorders>
              <w:top w:val="single" w:sz="6" w:space="0" w:color="auto"/>
              <w:left w:val="nil"/>
              <w:bottom w:val="nil"/>
              <w:right w:val="nil"/>
            </w:tcBorders>
          </w:tcPr>
          <w:p w14:paraId="4CBCAAF5"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(3)</w:t>
            </w:r>
          </w:p>
        </w:tc>
        <w:tc>
          <w:tcPr>
            <w:tcW w:w="1006" w:type="pct"/>
            <w:tcBorders>
              <w:top w:val="single" w:sz="6" w:space="0" w:color="auto"/>
              <w:left w:val="nil"/>
              <w:bottom w:val="nil"/>
              <w:right w:val="nil"/>
            </w:tcBorders>
          </w:tcPr>
          <w:p w14:paraId="7CF7462D"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(4)</w:t>
            </w:r>
          </w:p>
        </w:tc>
      </w:tr>
      <w:tr w:rsidR="00A763B6" w:rsidRPr="000D61D1" w14:paraId="2BD7BC07" w14:textId="77777777" w:rsidTr="000C531F">
        <w:trPr>
          <w:jc w:val="center"/>
        </w:trPr>
        <w:tc>
          <w:tcPr>
            <w:tcW w:w="976" w:type="pct"/>
            <w:tcBorders>
              <w:top w:val="nil"/>
              <w:left w:val="nil"/>
              <w:bottom w:val="single" w:sz="6" w:space="0" w:color="auto"/>
              <w:right w:val="nil"/>
            </w:tcBorders>
          </w:tcPr>
          <w:p w14:paraId="46DA2905" w14:textId="77777777" w:rsidR="00A763B6" w:rsidRPr="00A763B6" w:rsidRDefault="00A763B6" w:rsidP="000C531F">
            <w:pPr>
              <w:widowControl w:val="0"/>
              <w:autoSpaceDE w:val="0"/>
              <w:autoSpaceDN w:val="0"/>
              <w:adjustRightInd w:val="0"/>
              <w:spacing w:after="0"/>
              <w:rPr>
                <w:rFonts w:cstheme="minorHAnsi"/>
                <w:sz w:val="22"/>
              </w:rPr>
            </w:pPr>
            <w:r w:rsidRPr="00A763B6">
              <w:rPr>
                <w:rFonts w:cstheme="minorHAnsi"/>
                <w:sz w:val="22"/>
              </w:rPr>
              <w:t>VARIABLES</w:t>
            </w:r>
          </w:p>
        </w:tc>
        <w:tc>
          <w:tcPr>
            <w:tcW w:w="1006" w:type="pct"/>
            <w:tcBorders>
              <w:top w:val="nil"/>
              <w:left w:val="nil"/>
              <w:bottom w:val="single" w:sz="6" w:space="0" w:color="auto"/>
              <w:right w:val="nil"/>
            </w:tcBorders>
          </w:tcPr>
          <w:p w14:paraId="3A64876C"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Number of Bonds</w:t>
            </w:r>
          </w:p>
        </w:tc>
        <w:tc>
          <w:tcPr>
            <w:tcW w:w="1006" w:type="pct"/>
            <w:tcBorders>
              <w:top w:val="nil"/>
              <w:left w:val="nil"/>
              <w:bottom w:val="single" w:sz="6" w:space="0" w:color="auto"/>
              <w:right w:val="nil"/>
            </w:tcBorders>
          </w:tcPr>
          <w:p w14:paraId="3DAC1593"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Number of Bonds</w:t>
            </w:r>
          </w:p>
        </w:tc>
        <w:tc>
          <w:tcPr>
            <w:tcW w:w="1006" w:type="pct"/>
            <w:tcBorders>
              <w:top w:val="nil"/>
              <w:left w:val="nil"/>
              <w:bottom w:val="single" w:sz="6" w:space="0" w:color="auto"/>
              <w:right w:val="nil"/>
            </w:tcBorders>
          </w:tcPr>
          <w:p w14:paraId="0DC46BFE"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Number of Bonds</w:t>
            </w:r>
          </w:p>
        </w:tc>
        <w:tc>
          <w:tcPr>
            <w:tcW w:w="1006" w:type="pct"/>
            <w:tcBorders>
              <w:top w:val="nil"/>
              <w:left w:val="nil"/>
              <w:bottom w:val="single" w:sz="6" w:space="0" w:color="auto"/>
              <w:right w:val="nil"/>
            </w:tcBorders>
          </w:tcPr>
          <w:p w14:paraId="436F9C9B"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Number of Bonds</w:t>
            </w:r>
          </w:p>
        </w:tc>
      </w:tr>
      <w:tr w:rsidR="00A763B6" w:rsidRPr="000D61D1" w14:paraId="5892CD5A" w14:textId="77777777" w:rsidTr="000C531F">
        <w:trPr>
          <w:jc w:val="center"/>
        </w:trPr>
        <w:tc>
          <w:tcPr>
            <w:tcW w:w="976" w:type="pct"/>
            <w:tcBorders>
              <w:top w:val="nil"/>
              <w:left w:val="nil"/>
              <w:bottom w:val="nil"/>
              <w:right w:val="nil"/>
            </w:tcBorders>
          </w:tcPr>
          <w:p w14:paraId="0E552A98" w14:textId="77777777" w:rsidR="00A763B6" w:rsidRPr="00A763B6" w:rsidRDefault="00A763B6" w:rsidP="000C531F">
            <w:pPr>
              <w:widowControl w:val="0"/>
              <w:autoSpaceDE w:val="0"/>
              <w:autoSpaceDN w:val="0"/>
              <w:adjustRightInd w:val="0"/>
              <w:spacing w:after="0"/>
              <w:rPr>
                <w:rFonts w:cstheme="minorHAnsi"/>
                <w:sz w:val="22"/>
              </w:rPr>
            </w:pPr>
          </w:p>
        </w:tc>
        <w:tc>
          <w:tcPr>
            <w:tcW w:w="1006" w:type="pct"/>
            <w:tcBorders>
              <w:top w:val="nil"/>
              <w:left w:val="nil"/>
              <w:bottom w:val="nil"/>
              <w:right w:val="nil"/>
            </w:tcBorders>
          </w:tcPr>
          <w:p w14:paraId="744FB8B8"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316E7131"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74F93280"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17134034" w14:textId="77777777" w:rsidR="00A763B6" w:rsidRPr="00A763B6" w:rsidRDefault="00A763B6" w:rsidP="000C531F">
            <w:pPr>
              <w:widowControl w:val="0"/>
              <w:autoSpaceDE w:val="0"/>
              <w:autoSpaceDN w:val="0"/>
              <w:adjustRightInd w:val="0"/>
              <w:spacing w:after="0"/>
              <w:jc w:val="center"/>
              <w:rPr>
                <w:rFonts w:cstheme="minorHAnsi"/>
                <w:sz w:val="22"/>
              </w:rPr>
            </w:pPr>
          </w:p>
        </w:tc>
      </w:tr>
      <w:tr w:rsidR="00A763B6" w:rsidRPr="000D61D1" w14:paraId="03E01E78" w14:textId="77777777" w:rsidTr="000C531F">
        <w:trPr>
          <w:jc w:val="center"/>
        </w:trPr>
        <w:tc>
          <w:tcPr>
            <w:tcW w:w="976" w:type="pct"/>
            <w:tcBorders>
              <w:top w:val="nil"/>
              <w:left w:val="nil"/>
              <w:bottom w:val="nil"/>
              <w:right w:val="nil"/>
            </w:tcBorders>
          </w:tcPr>
          <w:p w14:paraId="12DCD3F5" w14:textId="77777777" w:rsidR="00A763B6" w:rsidRPr="00A763B6" w:rsidRDefault="00A763B6" w:rsidP="00F869BE">
            <w:pPr>
              <w:widowControl w:val="0"/>
              <w:autoSpaceDE w:val="0"/>
              <w:autoSpaceDN w:val="0"/>
              <w:adjustRightInd w:val="0"/>
              <w:spacing w:after="0"/>
              <w:rPr>
                <w:rFonts w:cstheme="minorHAnsi"/>
                <w:sz w:val="22"/>
              </w:rPr>
            </w:pPr>
            <w:r w:rsidRPr="00A763B6">
              <w:rPr>
                <w:rFonts w:cstheme="minorHAnsi"/>
                <w:sz w:val="22"/>
              </w:rPr>
              <w:t>Reform Dummy</w:t>
            </w:r>
          </w:p>
        </w:tc>
        <w:tc>
          <w:tcPr>
            <w:tcW w:w="1006" w:type="pct"/>
            <w:tcBorders>
              <w:top w:val="nil"/>
              <w:left w:val="nil"/>
              <w:bottom w:val="nil"/>
              <w:right w:val="nil"/>
            </w:tcBorders>
          </w:tcPr>
          <w:p w14:paraId="3CBC24D0"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238.243***</w:t>
            </w:r>
          </w:p>
        </w:tc>
        <w:tc>
          <w:tcPr>
            <w:tcW w:w="1006" w:type="pct"/>
            <w:tcBorders>
              <w:top w:val="nil"/>
              <w:left w:val="nil"/>
              <w:bottom w:val="nil"/>
              <w:right w:val="nil"/>
            </w:tcBorders>
          </w:tcPr>
          <w:p w14:paraId="18DD0BFE"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208.141***</w:t>
            </w:r>
          </w:p>
        </w:tc>
        <w:tc>
          <w:tcPr>
            <w:tcW w:w="1006" w:type="pct"/>
            <w:tcBorders>
              <w:top w:val="nil"/>
              <w:left w:val="nil"/>
              <w:bottom w:val="nil"/>
              <w:right w:val="nil"/>
            </w:tcBorders>
          </w:tcPr>
          <w:p w14:paraId="7321CD3D"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225.237***</w:t>
            </w:r>
          </w:p>
        </w:tc>
        <w:tc>
          <w:tcPr>
            <w:tcW w:w="1006" w:type="pct"/>
            <w:tcBorders>
              <w:top w:val="nil"/>
              <w:left w:val="nil"/>
              <w:bottom w:val="nil"/>
              <w:right w:val="nil"/>
            </w:tcBorders>
          </w:tcPr>
          <w:p w14:paraId="72CB7F50"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223.037***</w:t>
            </w:r>
          </w:p>
        </w:tc>
      </w:tr>
      <w:tr w:rsidR="00A763B6" w:rsidRPr="000D61D1" w14:paraId="58B5AE16" w14:textId="77777777" w:rsidTr="000C531F">
        <w:trPr>
          <w:jc w:val="center"/>
        </w:trPr>
        <w:tc>
          <w:tcPr>
            <w:tcW w:w="976" w:type="pct"/>
            <w:tcBorders>
              <w:top w:val="nil"/>
              <w:left w:val="nil"/>
              <w:bottom w:val="nil"/>
              <w:right w:val="nil"/>
            </w:tcBorders>
          </w:tcPr>
          <w:p w14:paraId="47FDA58E" w14:textId="77777777" w:rsidR="00A763B6" w:rsidRPr="00A763B6" w:rsidRDefault="00A763B6" w:rsidP="000C531F">
            <w:pPr>
              <w:widowControl w:val="0"/>
              <w:autoSpaceDE w:val="0"/>
              <w:autoSpaceDN w:val="0"/>
              <w:adjustRightInd w:val="0"/>
              <w:spacing w:after="0"/>
              <w:rPr>
                <w:rFonts w:cstheme="minorHAnsi"/>
                <w:sz w:val="22"/>
              </w:rPr>
            </w:pPr>
            <w:r w:rsidRPr="00A763B6">
              <w:rPr>
                <w:rFonts w:cstheme="minorHAnsi"/>
                <w:sz w:val="22"/>
              </w:rPr>
              <w:t>Standard error</w:t>
            </w:r>
          </w:p>
        </w:tc>
        <w:tc>
          <w:tcPr>
            <w:tcW w:w="1006" w:type="pct"/>
            <w:tcBorders>
              <w:top w:val="nil"/>
              <w:left w:val="nil"/>
              <w:bottom w:val="nil"/>
              <w:right w:val="nil"/>
            </w:tcBorders>
          </w:tcPr>
          <w:p w14:paraId="68C508C2"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[81.560]</w:t>
            </w:r>
          </w:p>
        </w:tc>
        <w:tc>
          <w:tcPr>
            <w:tcW w:w="1006" w:type="pct"/>
            <w:tcBorders>
              <w:top w:val="nil"/>
              <w:left w:val="nil"/>
              <w:bottom w:val="nil"/>
              <w:right w:val="nil"/>
            </w:tcBorders>
          </w:tcPr>
          <w:p w14:paraId="69EDE1F3"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[78.420]</w:t>
            </w:r>
          </w:p>
        </w:tc>
        <w:tc>
          <w:tcPr>
            <w:tcW w:w="1006" w:type="pct"/>
            <w:tcBorders>
              <w:top w:val="nil"/>
              <w:left w:val="nil"/>
              <w:bottom w:val="nil"/>
              <w:right w:val="nil"/>
            </w:tcBorders>
          </w:tcPr>
          <w:p w14:paraId="6602218F"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[60.706]</w:t>
            </w:r>
          </w:p>
        </w:tc>
        <w:tc>
          <w:tcPr>
            <w:tcW w:w="1006" w:type="pct"/>
            <w:tcBorders>
              <w:top w:val="nil"/>
              <w:left w:val="nil"/>
              <w:bottom w:val="nil"/>
              <w:right w:val="nil"/>
            </w:tcBorders>
          </w:tcPr>
          <w:p w14:paraId="7ACE5592"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[63.084]</w:t>
            </w:r>
          </w:p>
        </w:tc>
      </w:tr>
      <w:tr w:rsidR="00A763B6" w:rsidRPr="000D61D1" w14:paraId="7FE34666" w14:textId="77777777" w:rsidTr="000C531F">
        <w:trPr>
          <w:jc w:val="center"/>
        </w:trPr>
        <w:tc>
          <w:tcPr>
            <w:tcW w:w="976" w:type="pct"/>
            <w:tcBorders>
              <w:top w:val="nil"/>
              <w:left w:val="nil"/>
              <w:bottom w:val="nil"/>
              <w:right w:val="nil"/>
            </w:tcBorders>
          </w:tcPr>
          <w:p w14:paraId="4CE45922" w14:textId="77777777" w:rsidR="00A763B6" w:rsidRPr="00A763B6" w:rsidRDefault="00A763B6" w:rsidP="000C531F">
            <w:pPr>
              <w:widowControl w:val="0"/>
              <w:autoSpaceDE w:val="0"/>
              <w:autoSpaceDN w:val="0"/>
              <w:adjustRightInd w:val="0"/>
              <w:spacing w:after="0"/>
              <w:rPr>
                <w:rFonts w:cstheme="minorHAnsi"/>
                <w:sz w:val="22"/>
              </w:rPr>
            </w:pPr>
            <w:r w:rsidRPr="00A763B6">
              <w:rPr>
                <w:rFonts w:cstheme="minorHAnsi"/>
                <w:sz w:val="22"/>
              </w:rPr>
              <w:t>Reform Trend</w:t>
            </w:r>
          </w:p>
        </w:tc>
        <w:tc>
          <w:tcPr>
            <w:tcW w:w="1006" w:type="pct"/>
            <w:tcBorders>
              <w:top w:val="nil"/>
              <w:left w:val="nil"/>
              <w:bottom w:val="nil"/>
              <w:right w:val="nil"/>
            </w:tcBorders>
          </w:tcPr>
          <w:p w14:paraId="6F3C50B4"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77F1040C"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74352788"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363A9141"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2.755</w:t>
            </w:r>
          </w:p>
        </w:tc>
      </w:tr>
      <w:tr w:rsidR="00A763B6" w:rsidRPr="000D61D1" w14:paraId="51027B97" w14:textId="77777777" w:rsidTr="000C531F">
        <w:trPr>
          <w:jc w:val="center"/>
        </w:trPr>
        <w:tc>
          <w:tcPr>
            <w:tcW w:w="976" w:type="pct"/>
            <w:tcBorders>
              <w:top w:val="nil"/>
              <w:left w:val="nil"/>
              <w:bottom w:val="nil"/>
              <w:right w:val="nil"/>
            </w:tcBorders>
          </w:tcPr>
          <w:p w14:paraId="4D10A473" w14:textId="77777777" w:rsidR="00A763B6" w:rsidRPr="00A763B6" w:rsidRDefault="00A763B6" w:rsidP="000C531F">
            <w:pPr>
              <w:widowControl w:val="0"/>
              <w:autoSpaceDE w:val="0"/>
              <w:autoSpaceDN w:val="0"/>
              <w:adjustRightInd w:val="0"/>
              <w:spacing w:after="0"/>
              <w:rPr>
                <w:rFonts w:cstheme="minorHAnsi"/>
                <w:sz w:val="22"/>
              </w:rPr>
            </w:pPr>
            <w:r w:rsidRPr="00A763B6">
              <w:rPr>
                <w:rFonts w:cstheme="minorHAnsi"/>
                <w:sz w:val="22"/>
              </w:rPr>
              <w:t>Standard error</w:t>
            </w:r>
          </w:p>
        </w:tc>
        <w:tc>
          <w:tcPr>
            <w:tcW w:w="1006" w:type="pct"/>
            <w:tcBorders>
              <w:top w:val="nil"/>
              <w:left w:val="nil"/>
              <w:bottom w:val="nil"/>
              <w:right w:val="nil"/>
            </w:tcBorders>
          </w:tcPr>
          <w:p w14:paraId="1281B11D"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14745724"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4E3FBCFF"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7E424FF6"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[10.287]</w:t>
            </w:r>
          </w:p>
        </w:tc>
      </w:tr>
      <w:tr w:rsidR="00A763B6" w:rsidRPr="000D61D1" w14:paraId="365E480E" w14:textId="77777777" w:rsidTr="000C531F">
        <w:trPr>
          <w:jc w:val="center"/>
        </w:trPr>
        <w:tc>
          <w:tcPr>
            <w:tcW w:w="976" w:type="pct"/>
            <w:tcBorders>
              <w:top w:val="nil"/>
              <w:left w:val="nil"/>
              <w:bottom w:val="nil"/>
              <w:right w:val="nil"/>
            </w:tcBorders>
          </w:tcPr>
          <w:p w14:paraId="674C26FF" w14:textId="77777777" w:rsidR="00A763B6" w:rsidRPr="00A763B6" w:rsidRDefault="00A763B6" w:rsidP="000C531F">
            <w:pPr>
              <w:widowControl w:val="0"/>
              <w:autoSpaceDE w:val="0"/>
              <w:autoSpaceDN w:val="0"/>
              <w:adjustRightInd w:val="0"/>
              <w:spacing w:after="0"/>
              <w:rPr>
                <w:rFonts w:cstheme="minorHAnsi"/>
                <w:sz w:val="22"/>
              </w:rPr>
            </w:pPr>
            <w:r w:rsidRPr="00A763B6">
              <w:rPr>
                <w:rFonts w:cstheme="minorHAnsi"/>
                <w:sz w:val="22"/>
              </w:rPr>
              <w:t>APS Employment</w:t>
            </w:r>
          </w:p>
        </w:tc>
        <w:tc>
          <w:tcPr>
            <w:tcW w:w="1006" w:type="pct"/>
            <w:tcBorders>
              <w:top w:val="nil"/>
              <w:left w:val="nil"/>
              <w:bottom w:val="nil"/>
              <w:right w:val="nil"/>
            </w:tcBorders>
          </w:tcPr>
          <w:p w14:paraId="6F80E7FD"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3F50CF91" w14:textId="77777777" w:rsidR="00A763B6" w:rsidRPr="000D61D1" w:rsidRDefault="00A763B6" w:rsidP="000C531F">
            <w:pPr>
              <w:widowControl w:val="0"/>
              <w:autoSpaceDE w:val="0"/>
              <w:autoSpaceDN w:val="0"/>
              <w:adjustRightInd w:val="0"/>
              <w:spacing w:after="0"/>
              <w:jc w:val="center"/>
              <w:rPr>
                <w:rFonts w:cstheme="minorHAnsi"/>
                <w:sz w:val="22"/>
                <w:szCs w:val="22"/>
                <w:lang w:val="en-AU"/>
              </w:rPr>
            </w:pPr>
            <w:r w:rsidRPr="00A763B6">
              <w:rPr>
                <w:rFonts w:cstheme="minorHAnsi"/>
                <w:sz w:val="22"/>
              </w:rPr>
              <w:t>0.010*</w:t>
            </w:r>
          </w:p>
        </w:tc>
        <w:tc>
          <w:tcPr>
            <w:tcW w:w="1006" w:type="pct"/>
            <w:tcBorders>
              <w:top w:val="nil"/>
              <w:left w:val="nil"/>
              <w:bottom w:val="nil"/>
              <w:right w:val="nil"/>
            </w:tcBorders>
          </w:tcPr>
          <w:p w14:paraId="1A37D4DB" w14:textId="77777777" w:rsidR="00A763B6" w:rsidRPr="000D61D1" w:rsidRDefault="00A763B6" w:rsidP="000C531F">
            <w:pPr>
              <w:widowControl w:val="0"/>
              <w:autoSpaceDE w:val="0"/>
              <w:autoSpaceDN w:val="0"/>
              <w:adjustRightInd w:val="0"/>
              <w:spacing w:after="0"/>
              <w:jc w:val="center"/>
              <w:rPr>
                <w:rFonts w:cstheme="minorHAnsi"/>
                <w:sz w:val="22"/>
                <w:szCs w:val="22"/>
                <w:lang w:val="en-AU"/>
              </w:rPr>
            </w:pPr>
            <w:r w:rsidRPr="00A763B6">
              <w:rPr>
                <w:rFonts w:cstheme="minorHAnsi"/>
                <w:sz w:val="22"/>
              </w:rPr>
              <w:t>0.023*</w:t>
            </w:r>
            <w:r w:rsidRPr="000D61D1">
              <w:rPr>
                <w:rFonts w:cstheme="minorHAnsi"/>
                <w:sz w:val="22"/>
                <w:szCs w:val="22"/>
                <w:lang w:val="en-AU"/>
              </w:rPr>
              <w:t>*</w:t>
            </w:r>
          </w:p>
        </w:tc>
        <w:tc>
          <w:tcPr>
            <w:tcW w:w="1006" w:type="pct"/>
            <w:tcBorders>
              <w:top w:val="nil"/>
              <w:left w:val="nil"/>
              <w:bottom w:val="nil"/>
              <w:right w:val="nil"/>
            </w:tcBorders>
          </w:tcPr>
          <w:p w14:paraId="6AED8D9A"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0.032</w:t>
            </w:r>
          </w:p>
        </w:tc>
      </w:tr>
      <w:tr w:rsidR="00A763B6" w:rsidRPr="000D61D1" w14:paraId="0D58A970" w14:textId="77777777" w:rsidTr="000C531F">
        <w:trPr>
          <w:jc w:val="center"/>
        </w:trPr>
        <w:tc>
          <w:tcPr>
            <w:tcW w:w="976" w:type="pct"/>
            <w:tcBorders>
              <w:top w:val="nil"/>
              <w:left w:val="nil"/>
              <w:bottom w:val="nil"/>
              <w:right w:val="nil"/>
            </w:tcBorders>
          </w:tcPr>
          <w:p w14:paraId="59FF0558" w14:textId="77777777" w:rsidR="00A763B6" w:rsidRPr="00A763B6" w:rsidRDefault="00A763B6" w:rsidP="000C531F">
            <w:pPr>
              <w:widowControl w:val="0"/>
              <w:autoSpaceDE w:val="0"/>
              <w:autoSpaceDN w:val="0"/>
              <w:adjustRightInd w:val="0"/>
              <w:spacing w:after="0"/>
              <w:rPr>
                <w:rFonts w:cstheme="minorHAnsi"/>
                <w:sz w:val="22"/>
              </w:rPr>
            </w:pPr>
            <w:r w:rsidRPr="00A763B6">
              <w:rPr>
                <w:rFonts w:cstheme="minorHAnsi"/>
                <w:sz w:val="22"/>
              </w:rPr>
              <w:t>Standard error</w:t>
            </w:r>
          </w:p>
        </w:tc>
        <w:tc>
          <w:tcPr>
            <w:tcW w:w="1006" w:type="pct"/>
            <w:tcBorders>
              <w:top w:val="nil"/>
              <w:left w:val="nil"/>
              <w:bottom w:val="nil"/>
              <w:right w:val="nil"/>
            </w:tcBorders>
          </w:tcPr>
          <w:p w14:paraId="277CED04"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7E9D8971"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[0.006]</w:t>
            </w:r>
          </w:p>
        </w:tc>
        <w:tc>
          <w:tcPr>
            <w:tcW w:w="1006" w:type="pct"/>
            <w:tcBorders>
              <w:top w:val="nil"/>
              <w:left w:val="nil"/>
              <w:bottom w:val="nil"/>
              <w:right w:val="nil"/>
            </w:tcBorders>
          </w:tcPr>
          <w:p w14:paraId="7CAEAFD4"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[0.009]</w:t>
            </w:r>
          </w:p>
        </w:tc>
        <w:tc>
          <w:tcPr>
            <w:tcW w:w="1006" w:type="pct"/>
            <w:tcBorders>
              <w:top w:val="nil"/>
              <w:left w:val="nil"/>
              <w:bottom w:val="nil"/>
              <w:right w:val="nil"/>
            </w:tcBorders>
          </w:tcPr>
          <w:p w14:paraId="549C5AEA"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[0.038]</w:t>
            </w:r>
          </w:p>
        </w:tc>
      </w:tr>
      <w:tr w:rsidR="00A763B6" w:rsidRPr="000D61D1" w14:paraId="2748A342" w14:textId="77777777" w:rsidTr="000C531F">
        <w:trPr>
          <w:jc w:val="center"/>
        </w:trPr>
        <w:tc>
          <w:tcPr>
            <w:tcW w:w="976" w:type="pct"/>
            <w:tcBorders>
              <w:top w:val="nil"/>
              <w:left w:val="nil"/>
              <w:bottom w:val="nil"/>
              <w:right w:val="nil"/>
            </w:tcBorders>
          </w:tcPr>
          <w:p w14:paraId="1D68ECC8" w14:textId="77777777" w:rsidR="00A763B6" w:rsidRPr="00A763B6" w:rsidRDefault="00A763B6" w:rsidP="000C531F">
            <w:pPr>
              <w:widowControl w:val="0"/>
              <w:autoSpaceDE w:val="0"/>
              <w:autoSpaceDN w:val="0"/>
              <w:adjustRightInd w:val="0"/>
              <w:spacing w:after="0"/>
              <w:rPr>
                <w:rFonts w:cstheme="minorHAnsi"/>
                <w:sz w:val="22"/>
              </w:rPr>
            </w:pPr>
            <w:r w:rsidRPr="00A763B6">
              <w:rPr>
                <w:rFonts w:cstheme="minorHAnsi"/>
                <w:sz w:val="22"/>
              </w:rPr>
              <w:t>Income</w:t>
            </w:r>
          </w:p>
        </w:tc>
        <w:tc>
          <w:tcPr>
            <w:tcW w:w="1006" w:type="pct"/>
            <w:tcBorders>
              <w:top w:val="nil"/>
              <w:left w:val="nil"/>
              <w:bottom w:val="nil"/>
              <w:right w:val="nil"/>
            </w:tcBorders>
          </w:tcPr>
          <w:p w14:paraId="5D5065E2"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706175E7"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65F500D9"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-1.328</w:t>
            </w:r>
          </w:p>
        </w:tc>
        <w:tc>
          <w:tcPr>
            <w:tcW w:w="1006" w:type="pct"/>
            <w:tcBorders>
              <w:top w:val="nil"/>
              <w:left w:val="nil"/>
              <w:bottom w:val="nil"/>
              <w:right w:val="nil"/>
            </w:tcBorders>
          </w:tcPr>
          <w:p w14:paraId="032E6E43"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-1.570</w:t>
            </w:r>
          </w:p>
        </w:tc>
      </w:tr>
      <w:tr w:rsidR="00A763B6" w:rsidRPr="000D61D1" w14:paraId="3D93CBCE" w14:textId="77777777" w:rsidTr="000C531F">
        <w:trPr>
          <w:jc w:val="center"/>
        </w:trPr>
        <w:tc>
          <w:tcPr>
            <w:tcW w:w="976" w:type="pct"/>
            <w:tcBorders>
              <w:top w:val="nil"/>
              <w:left w:val="nil"/>
              <w:bottom w:val="nil"/>
              <w:right w:val="nil"/>
            </w:tcBorders>
          </w:tcPr>
          <w:p w14:paraId="28ABE72F" w14:textId="77777777" w:rsidR="00A763B6" w:rsidRPr="00A763B6" w:rsidRDefault="00A763B6" w:rsidP="000C531F">
            <w:pPr>
              <w:widowControl w:val="0"/>
              <w:autoSpaceDE w:val="0"/>
              <w:autoSpaceDN w:val="0"/>
              <w:adjustRightInd w:val="0"/>
              <w:spacing w:after="0"/>
              <w:rPr>
                <w:rFonts w:cstheme="minorHAnsi"/>
                <w:sz w:val="22"/>
              </w:rPr>
            </w:pPr>
            <w:r w:rsidRPr="00A763B6">
              <w:rPr>
                <w:rFonts w:cstheme="minorHAnsi"/>
                <w:sz w:val="22"/>
              </w:rPr>
              <w:t>Standard error</w:t>
            </w:r>
          </w:p>
        </w:tc>
        <w:tc>
          <w:tcPr>
            <w:tcW w:w="1006" w:type="pct"/>
            <w:tcBorders>
              <w:top w:val="nil"/>
              <w:left w:val="nil"/>
              <w:bottom w:val="nil"/>
              <w:right w:val="nil"/>
            </w:tcBorders>
          </w:tcPr>
          <w:p w14:paraId="65D0B623"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12E8422C"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733F4336"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[1.986]</w:t>
            </w:r>
          </w:p>
        </w:tc>
        <w:tc>
          <w:tcPr>
            <w:tcW w:w="1006" w:type="pct"/>
            <w:tcBorders>
              <w:top w:val="nil"/>
              <w:left w:val="nil"/>
              <w:bottom w:val="nil"/>
              <w:right w:val="nil"/>
            </w:tcBorders>
          </w:tcPr>
          <w:p w14:paraId="5D02556B"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[2.510]</w:t>
            </w:r>
          </w:p>
        </w:tc>
      </w:tr>
      <w:tr w:rsidR="00A763B6" w:rsidRPr="000D61D1" w14:paraId="609415B3" w14:textId="77777777" w:rsidTr="000C531F">
        <w:trPr>
          <w:jc w:val="center"/>
        </w:trPr>
        <w:tc>
          <w:tcPr>
            <w:tcW w:w="976" w:type="pct"/>
            <w:tcBorders>
              <w:top w:val="nil"/>
              <w:left w:val="nil"/>
              <w:bottom w:val="nil"/>
              <w:right w:val="nil"/>
            </w:tcBorders>
          </w:tcPr>
          <w:p w14:paraId="69FE60D2" w14:textId="77777777" w:rsidR="00A763B6" w:rsidRPr="00A763B6" w:rsidRDefault="00A763B6" w:rsidP="000C531F">
            <w:pPr>
              <w:widowControl w:val="0"/>
              <w:autoSpaceDE w:val="0"/>
              <w:autoSpaceDN w:val="0"/>
              <w:adjustRightInd w:val="0"/>
              <w:spacing w:after="0"/>
              <w:rPr>
                <w:rFonts w:cstheme="minorHAnsi"/>
                <w:sz w:val="22"/>
              </w:rPr>
            </w:pPr>
            <w:r w:rsidRPr="00A763B6">
              <w:rPr>
                <w:rFonts w:cstheme="minorHAnsi"/>
                <w:sz w:val="22"/>
              </w:rPr>
              <w:t>Population</w:t>
            </w:r>
          </w:p>
        </w:tc>
        <w:tc>
          <w:tcPr>
            <w:tcW w:w="1006" w:type="pct"/>
            <w:tcBorders>
              <w:top w:val="nil"/>
              <w:left w:val="nil"/>
              <w:bottom w:val="nil"/>
              <w:right w:val="nil"/>
            </w:tcBorders>
          </w:tcPr>
          <w:p w14:paraId="5ED540F6"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362A140E"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07502C24"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-0.069</w:t>
            </w:r>
          </w:p>
        </w:tc>
        <w:tc>
          <w:tcPr>
            <w:tcW w:w="1006" w:type="pct"/>
            <w:tcBorders>
              <w:top w:val="nil"/>
              <w:left w:val="nil"/>
              <w:bottom w:val="nil"/>
              <w:right w:val="nil"/>
            </w:tcBorders>
          </w:tcPr>
          <w:p w14:paraId="29BA0665"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-0.074</w:t>
            </w:r>
          </w:p>
        </w:tc>
      </w:tr>
      <w:tr w:rsidR="00A763B6" w:rsidRPr="000D61D1" w14:paraId="4CF90496" w14:textId="77777777" w:rsidTr="000C531F">
        <w:trPr>
          <w:jc w:val="center"/>
        </w:trPr>
        <w:tc>
          <w:tcPr>
            <w:tcW w:w="976" w:type="pct"/>
            <w:tcBorders>
              <w:top w:val="nil"/>
              <w:left w:val="nil"/>
              <w:bottom w:val="nil"/>
              <w:right w:val="nil"/>
            </w:tcBorders>
          </w:tcPr>
          <w:p w14:paraId="2C115908" w14:textId="77777777" w:rsidR="00A763B6" w:rsidRPr="00A763B6" w:rsidRDefault="00A763B6" w:rsidP="000C531F">
            <w:pPr>
              <w:widowControl w:val="0"/>
              <w:autoSpaceDE w:val="0"/>
              <w:autoSpaceDN w:val="0"/>
              <w:adjustRightInd w:val="0"/>
              <w:spacing w:after="0"/>
              <w:rPr>
                <w:rFonts w:cstheme="minorHAnsi"/>
                <w:sz w:val="22"/>
              </w:rPr>
            </w:pPr>
            <w:r w:rsidRPr="00A763B6">
              <w:rPr>
                <w:rFonts w:cstheme="minorHAnsi"/>
                <w:sz w:val="22"/>
              </w:rPr>
              <w:t>Standard error</w:t>
            </w:r>
          </w:p>
        </w:tc>
        <w:tc>
          <w:tcPr>
            <w:tcW w:w="1006" w:type="pct"/>
            <w:tcBorders>
              <w:top w:val="nil"/>
              <w:left w:val="nil"/>
              <w:bottom w:val="nil"/>
              <w:right w:val="nil"/>
            </w:tcBorders>
          </w:tcPr>
          <w:p w14:paraId="30915C0D"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538537E3" w14:textId="77777777" w:rsidR="00A763B6" w:rsidRPr="00A763B6" w:rsidRDefault="00A763B6" w:rsidP="000C531F">
            <w:pPr>
              <w:widowControl w:val="0"/>
              <w:autoSpaceDE w:val="0"/>
              <w:autoSpaceDN w:val="0"/>
              <w:adjustRightInd w:val="0"/>
              <w:spacing w:after="0"/>
              <w:jc w:val="center"/>
              <w:rPr>
                <w:rFonts w:cstheme="minorHAnsi"/>
                <w:sz w:val="22"/>
              </w:rPr>
            </w:pPr>
          </w:p>
        </w:tc>
        <w:tc>
          <w:tcPr>
            <w:tcW w:w="1006" w:type="pct"/>
            <w:tcBorders>
              <w:top w:val="nil"/>
              <w:left w:val="nil"/>
              <w:bottom w:val="nil"/>
              <w:right w:val="nil"/>
            </w:tcBorders>
          </w:tcPr>
          <w:p w14:paraId="38BDDF26"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[0.052]</w:t>
            </w:r>
          </w:p>
        </w:tc>
        <w:tc>
          <w:tcPr>
            <w:tcW w:w="1006" w:type="pct"/>
            <w:tcBorders>
              <w:top w:val="nil"/>
              <w:left w:val="nil"/>
              <w:bottom w:val="nil"/>
              <w:right w:val="nil"/>
            </w:tcBorders>
          </w:tcPr>
          <w:p w14:paraId="67268CEB" w14:textId="77777777" w:rsidR="00A763B6" w:rsidRPr="00A763B6" w:rsidRDefault="00A763B6" w:rsidP="000C531F">
            <w:pPr>
              <w:widowControl w:val="0"/>
              <w:autoSpaceDE w:val="0"/>
              <w:autoSpaceDN w:val="0"/>
              <w:adjustRightInd w:val="0"/>
              <w:spacing w:after="0"/>
              <w:jc w:val="center"/>
              <w:rPr>
                <w:rFonts w:cstheme="minorHAnsi"/>
                <w:sz w:val="22"/>
              </w:rPr>
            </w:pPr>
            <w:r w:rsidRPr="00A763B6">
              <w:rPr>
                <w:rFonts w:cstheme="minorHAnsi"/>
                <w:sz w:val="22"/>
              </w:rPr>
              <w:t>[0.047]</w:t>
            </w:r>
          </w:p>
        </w:tc>
      </w:tr>
      <w:tr w:rsidR="00A763B6" w:rsidRPr="000D61D1" w14:paraId="373642B6" w14:textId="77777777" w:rsidTr="000C531F">
        <w:trPr>
          <w:jc w:val="center"/>
        </w:trPr>
        <w:tc>
          <w:tcPr>
            <w:tcW w:w="976" w:type="pct"/>
            <w:tcBorders>
              <w:top w:val="nil"/>
              <w:left w:val="nil"/>
              <w:bottom w:val="nil"/>
              <w:right w:val="nil"/>
            </w:tcBorders>
          </w:tcPr>
          <w:p w14:paraId="0831D9F1" w14:textId="77777777" w:rsidR="00A763B6" w:rsidRPr="000D61D1" w:rsidRDefault="00A763B6" w:rsidP="00CE2F0E">
            <w:pPr>
              <w:widowControl w:val="0"/>
              <w:autoSpaceDE w:val="0"/>
              <w:autoSpaceDN w:val="0"/>
              <w:adjustRightInd w:val="0"/>
              <w:spacing w:after="0"/>
              <w:rPr>
                <w:rFonts w:cstheme="minorHAnsi"/>
                <w:sz w:val="22"/>
                <w:szCs w:val="22"/>
                <w:lang w:val="en-AU"/>
              </w:rPr>
            </w:pPr>
            <w:r w:rsidRPr="00A763B6">
              <w:rPr>
                <w:rFonts w:cstheme="minorHAnsi"/>
                <w:sz w:val="22"/>
              </w:rPr>
              <w:t xml:space="preserve">Linear </w:t>
            </w:r>
            <w:r w:rsidRPr="000D61D1">
              <w:rPr>
                <w:rFonts w:cstheme="minorHAnsi"/>
                <w:sz w:val="22"/>
                <w:szCs w:val="22"/>
                <w:lang w:val="en-AU"/>
              </w:rPr>
              <w:t>Trend</w:t>
            </w:r>
          </w:p>
        </w:tc>
        <w:tc>
          <w:tcPr>
            <w:tcW w:w="1006" w:type="pct"/>
            <w:tcBorders>
              <w:top w:val="nil"/>
              <w:left w:val="nil"/>
              <w:bottom w:val="nil"/>
              <w:right w:val="nil"/>
            </w:tcBorders>
          </w:tcPr>
          <w:p w14:paraId="7B82B828" w14:textId="77777777" w:rsidR="00A763B6" w:rsidRPr="000D61D1" w:rsidRDefault="00A763B6" w:rsidP="00CE2F0E">
            <w:pPr>
              <w:widowControl w:val="0"/>
              <w:autoSpaceDE w:val="0"/>
              <w:autoSpaceDN w:val="0"/>
              <w:adjustRightInd w:val="0"/>
              <w:spacing w:after="0"/>
              <w:jc w:val="center"/>
              <w:rPr>
                <w:rFonts w:cstheme="minorHAnsi"/>
                <w:sz w:val="22"/>
                <w:szCs w:val="22"/>
                <w:lang w:val="en-AU"/>
              </w:rPr>
            </w:pPr>
            <w:r w:rsidRPr="00A763B6">
              <w:rPr>
                <w:rFonts w:cstheme="minorHAnsi"/>
                <w:sz w:val="22"/>
              </w:rPr>
              <w:t>0.184</w:t>
            </w:r>
          </w:p>
        </w:tc>
        <w:tc>
          <w:tcPr>
            <w:tcW w:w="1006" w:type="pct"/>
            <w:tcBorders>
              <w:top w:val="nil"/>
              <w:left w:val="nil"/>
              <w:bottom w:val="nil"/>
              <w:right w:val="nil"/>
            </w:tcBorders>
          </w:tcPr>
          <w:p w14:paraId="60DFCCEB" w14:textId="77777777" w:rsidR="00A763B6" w:rsidRPr="000D61D1" w:rsidRDefault="00A763B6" w:rsidP="00CE2F0E">
            <w:pPr>
              <w:widowControl w:val="0"/>
              <w:autoSpaceDE w:val="0"/>
              <w:autoSpaceDN w:val="0"/>
              <w:adjustRightInd w:val="0"/>
              <w:spacing w:after="0"/>
              <w:jc w:val="center"/>
              <w:rPr>
                <w:rFonts w:cstheme="minorHAnsi"/>
                <w:sz w:val="22"/>
                <w:szCs w:val="22"/>
                <w:lang w:val="en-AU"/>
              </w:rPr>
            </w:pPr>
            <w:r w:rsidRPr="00A763B6">
              <w:rPr>
                <w:rFonts w:cstheme="minorHAnsi"/>
                <w:sz w:val="22"/>
              </w:rPr>
              <w:t>0.771</w:t>
            </w:r>
          </w:p>
        </w:tc>
        <w:tc>
          <w:tcPr>
            <w:tcW w:w="1006" w:type="pct"/>
            <w:tcBorders>
              <w:top w:val="nil"/>
              <w:left w:val="nil"/>
              <w:bottom w:val="nil"/>
              <w:right w:val="nil"/>
            </w:tcBorders>
          </w:tcPr>
          <w:p w14:paraId="04C52CEA"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39.659</w:t>
            </w:r>
          </w:p>
        </w:tc>
        <w:tc>
          <w:tcPr>
            <w:tcW w:w="1006" w:type="pct"/>
            <w:tcBorders>
              <w:top w:val="nil"/>
              <w:left w:val="nil"/>
              <w:bottom w:val="nil"/>
              <w:right w:val="nil"/>
            </w:tcBorders>
          </w:tcPr>
          <w:p w14:paraId="1B58C2CF"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41.008</w:t>
            </w:r>
          </w:p>
        </w:tc>
      </w:tr>
      <w:tr w:rsidR="00A763B6" w:rsidRPr="000D61D1" w14:paraId="2C842C32" w14:textId="77777777" w:rsidTr="000C531F">
        <w:trPr>
          <w:jc w:val="center"/>
        </w:trPr>
        <w:tc>
          <w:tcPr>
            <w:tcW w:w="976" w:type="pct"/>
            <w:tcBorders>
              <w:top w:val="nil"/>
              <w:left w:val="nil"/>
              <w:bottom w:val="nil"/>
              <w:right w:val="nil"/>
            </w:tcBorders>
          </w:tcPr>
          <w:p w14:paraId="37AA0CD8" w14:textId="77777777" w:rsidR="00A763B6" w:rsidRPr="00A763B6" w:rsidRDefault="00A763B6" w:rsidP="00CE2F0E">
            <w:pPr>
              <w:widowControl w:val="0"/>
              <w:autoSpaceDE w:val="0"/>
              <w:autoSpaceDN w:val="0"/>
              <w:adjustRightInd w:val="0"/>
              <w:spacing w:after="0"/>
              <w:rPr>
                <w:rFonts w:cstheme="minorHAnsi"/>
                <w:sz w:val="22"/>
              </w:rPr>
            </w:pPr>
            <w:r w:rsidRPr="00A763B6">
              <w:rPr>
                <w:rFonts w:cstheme="minorHAnsi"/>
                <w:sz w:val="22"/>
              </w:rPr>
              <w:t>Standard error</w:t>
            </w:r>
          </w:p>
        </w:tc>
        <w:tc>
          <w:tcPr>
            <w:tcW w:w="1006" w:type="pct"/>
            <w:tcBorders>
              <w:top w:val="nil"/>
              <w:left w:val="nil"/>
              <w:bottom w:val="nil"/>
              <w:right w:val="nil"/>
            </w:tcBorders>
          </w:tcPr>
          <w:p w14:paraId="11BB9450" w14:textId="77777777" w:rsidR="00A763B6" w:rsidRPr="000D61D1" w:rsidRDefault="00A763B6" w:rsidP="00CE2F0E">
            <w:pPr>
              <w:widowControl w:val="0"/>
              <w:autoSpaceDE w:val="0"/>
              <w:autoSpaceDN w:val="0"/>
              <w:adjustRightInd w:val="0"/>
              <w:spacing w:after="0"/>
              <w:jc w:val="center"/>
              <w:rPr>
                <w:rFonts w:cstheme="minorHAnsi"/>
                <w:sz w:val="22"/>
                <w:szCs w:val="22"/>
                <w:lang w:val="en-AU"/>
              </w:rPr>
            </w:pPr>
            <w:r w:rsidRPr="00A763B6">
              <w:rPr>
                <w:rFonts w:cstheme="minorHAnsi"/>
                <w:sz w:val="22"/>
              </w:rPr>
              <w:t>[</w:t>
            </w:r>
            <w:r w:rsidRPr="000D61D1">
              <w:rPr>
                <w:rFonts w:cstheme="minorHAnsi"/>
                <w:sz w:val="22"/>
                <w:szCs w:val="22"/>
                <w:lang w:val="en-AU"/>
              </w:rPr>
              <w:t>1.318]</w:t>
            </w:r>
          </w:p>
        </w:tc>
        <w:tc>
          <w:tcPr>
            <w:tcW w:w="1006" w:type="pct"/>
            <w:tcBorders>
              <w:top w:val="nil"/>
              <w:left w:val="nil"/>
              <w:bottom w:val="nil"/>
              <w:right w:val="nil"/>
            </w:tcBorders>
          </w:tcPr>
          <w:p w14:paraId="64356C5F" w14:textId="77777777" w:rsidR="00A763B6" w:rsidRPr="000D61D1" w:rsidRDefault="00A763B6" w:rsidP="00CE2F0E">
            <w:pPr>
              <w:widowControl w:val="0"/>
              <w:autoSpaceDE w:val="0"/>
              <w:autoSpaceDN w:val="0"/>
              <w:adjustRightInd w:val="0"/>
              <w:spacing w:after="0"/>
              <w:jc w:val="center"/>
              <w:rPr>
                <w:rFonts w:cstheme="minorHAnsi"/>
                <w:sz w:val="22"/>
                <w:szCs w:val="22"/>
                <w:lang w:val="en-AU"/>
              </w:rPr>
            </w:pPr>
            <w:r w:rsidRPr="00A763B6">
              <w:rPr>
                <w:rFonts w:cstheme="minorHAnsi"/>
                <w:sz w:val="22"/>
              </w:rPr>
              <w:t>[</w:t>
            </w:r>
            <w:r w:rsidRPr="000D61D1">
              <w:rPr>
                <w:rFonts w:cstheme="minorHAnsi"/>
                <w:sz w:val="22"/>
                <w:szCs w:val="22"/>
                <w:lang w:val="en-AU"/>
              </w:rPr>
              <w:t>1.231]</w:t>
            </w:r>
          </w:p>
        </w:tc>
        <w:tc>
          <w:tcPr>
            <w:tcW w:w="1006" w:type="pct"/>
            <w:tcBorders>
              <w:top w:val="nil"/>
              <w:left w:val="nil"/>
              <w:bottom w:val="nil"/>
              <w:right w:val="nil"/>
            </w:tcBorders>
          </w:tcPr>
          <w:p w14:paraId="708B51E6"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[31.580]</w:t>
            </w:r>
          </w:p>
        </w:tc>
        <w:tc>
          <w:tcPr>
            <w:tcW w:w="1006" w:type="pct"/>
            <w:tcBorders>
              <w:top w:val="nil"/>
              <w:left w:val="nil"/>
              <w:bottom w:val="nil"/>
              <w:right w:val="nil"/>
            </w:tcBorders>
          </w:tcPr>
          <w:p w14:paraId="2BD1D925"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[29.857]</w:t>
            </w:r>
          </w:p>
        </w:tc>
      </w:tr>
      <w:tr w:rsidR="00A763B6" w:rsidRPr="000D61D1" w14:paraId="3844FC2F" w14:textId="77777777" w:rsidTr="000C531F">
        <w:trPr>
          <w:jc w:val="center"/>
        </w:trPr>
        <w:tc>
          <w:tcPr>
            <w:tcW w:w="976" w:type="pct"/>
            <w:tcBorders>
              <w:top w:val="nil"/>
              <w:left w:val="nil"/>
              <w:bottom w:val="nil"/>
              <w:right w:val="nil"/>
            </w:tcBorders>
          </w:tcPr>
          <w:p w14:paraId="65A04624" w14:textId="77777777" w:rsidR="00A763B6" w:rsidRPr="00A763B6" w:rsidRDefault="00A763B6" w:rsidP="00CE2F0E">
            <w:pPr>
              <w:widowControl w:val="0"/>
              <w:autoSpaceDE w:val="0"/>
              <w:autoSpaceDN w:val="0"/>
              <w:adjustRightInd w:val="0"/>
              <w:spacing w:after="0"/>
              <w:rPr>
                <w:rFonts w:cstheme="minorHAnsi"/>
                <w:sz w:val="22"/>
              </w:rPr>
            </w:pPr>
            <w:r w:rsidRPr="00A763B6">
              <w:rPr>
                <w:rFonts w:cstheme="minorHAnsi"/>
                <w:sz w:val="22"/>
              </w:rPr>
              <w:t>Month FX</w:t>
            </w:r>
          </w:p>
        </w:tc>
        <w:tc>
          <w:tcPr>
            <w:tcW w:w="1006" w:type="pct"/>
            <w:tcBorders>
              <w:top w:val="nil"/>
              <w:left w:val="nil"/>
              <w:bottom w:val="nil"/>
              <w:right w:val="nil"/>
            </w:tcBorders>
          </w:tcPr>
          <w:p w14:paraId="50AFB3F6"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YES</w:t>
            </w:r>
          </w:p>
        </w:tc>
        <w:tc>
          <w:tcPr>
            <w:tcW w:w="1006" w:type="pct"/>
            <w:tcBorders>
              <w:top w:val="nil"/>
              <w:left w:val="nil"/>
              <w:bottom w:val="nil"/>
              <w:right w:val="nil"/>
            </w:tcBorders>
          </w:tcPr>
          <w:p w14:paraId="7F97B8E2"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YES</w:t>
            </w:r>
          </w:p>
        </w:tc>
        <w:tc>
          <w:tcPr>
            <w:tcW w:w="1006" w:type="pct"/>
            <w:tcBorders>
              <w:top w:val="nil"/>
              <w:left w:val="nil"/>
              <w:bottom w:val="nil"/>
              <w:right w:val="nil"/>
            </w:tcBorders>
          </w:tcPr>
          <w:p w14:paraId="7A9CB21B"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YES</w:t>
            </w:r>
          </w:p>
        </w:tc>
        <w:tc>
          <w:tcPr>
            <w:tcW w:w="1006" w:type="pct"/>
            <w:tcBorders>
              <w:top w:val="nil"/>
              <w:left w:val="nil"/>
              <w:bottom w:val="nil"/>
              <w:right w:val="nil"/>
            </w:tcBorders>
          </w:tcPr>
          <w:p w14:paraId="6869A753"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YES</w:t>
            </w:r>
          </w:p>
        </w:tc>
      </w:tr>
      <w:tr w:rsidR="00A763B6" w:rsidRPr="000D61D1" w14:paraId="095B63E2" w14:textId="77777777" w:rsidTr="000C531F">
        <w:trPr>
          <w:jc w:val="center"/>
        </w:trPr>
        <w:tc>
          <w:tcPr>
            <w:tcW w:w="976" w:type="pct"/>
            <w:tcBorders>
              <w:top w:val="nil"/>
              <w:left w:val="nil"/>
              <w:bottom w:val="nil"/>
              <w:right w:val="nil"/>
            </w:tcBorders>
          </w:tcPr>
          <w:p w14:paraId="498B7988" w14:textId="77777777" w:rsidR="00A763B6" w:rsidRPr="00A763B6" w:rsidRDefault="00A763B6" w:rsidP="00CE2F0E">
            <w:pPr>
              <w:widowControl w:val="0"/>
              <w:autoSpaceDE w:val="0"/>
              <w:autoSpaceDN w:val="0"/>
              <w:adjustRightInd w:val="0"/>
              <w:spacing w:after="0"/>
              <w:rPr>
                <w:rFonts w:cstheme="minorHAnsi"/>
                <w:sz w:val="22"/>
              </w:rPr>
            </w:pPr>
            <w:r w:rsidRPr="00A763B6">
              <w:rPr>
                <w:rFonts w:cstheme="minorHAnsi"/>
                <w:sz w:val="22"/>
              </w:rPr>
              <w:t>Observations</w:t>
            </w:r>
          </w:p>
        </w:tc>
        <w:tc>
          <w:tcPr>
            <w:tcW w:w="1006" w:type="pct"/>
            <w:tcBorders>
              <w:top w:val="nil"/>
              <w:left w:val="nil"/>
              <w:bottom w:val="nil"/>
              <w:right w:val="nil"/>
            </w:tcBorders>
          </w:tcPr>
          <w:p w14:paraId="06C223D0"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143</w:t>
            </w:r>
          </w:p>
        </w:tc>
        <w:tc>
          <w:tcPr>
            <w:tcW w:w="1006" w:type="pct"/>
            <w:tcBorders>
              <w:top w:val="nil"/>
              <w:left w:val="nil"/>
              <w:bottom w:val="nil"/>
              <w:right w:val="nil"/>
            </w:tcBorders>
          </w:tcPr>
          <w:p w14:paraId="60E48806"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143</w:t>
            </w:r>
          </w:p>
        </w:tc>
        <w:tc>
          <w:tcPr>
            <w:tcW w:w="1006" w:type="pct"/>
            <w:tcBorders>
              <w:top w:val="nil"/>
              <w:left w:val="nil"/>
              <w:bottom w:val="nil"/>
              <w:right w:val="nil"/>
            </w:tcBorders>
          </w:tcPr>
          <w:p w14:paraId="3A43477D"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132</w:t>
            </w:r>
          </w:p>
        </w:tc>
        <w:tc>
          <w:tcPr>
            <w:tcW w:w="1006" w:type="pct"/>
            <w:tcBorders>
              <w:top w:val="nil"/>
              <w:left w:val="nil"/>
              <w:bottom w:val="nil"/>
              <w:right w:val="nil"/>
            </w:tcBorders>
          </w:tcPr>
          <w:p w14:paraId="421A632C"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132</w:t>
            </w:r>
          </w:p>
        </w:tc>
      </w:tr>
      <w:tr w:rsidR="00A763B6" w:rsidRPr="000D61D1" w14:paraId="39312AA8" w14:textId="77777777" w:rsidTr="000C531F">
        <w:tblPrEx>
          <w:tblBorders>
            <w:bottom w:val="single" w:sz="6" w:space="0" w:color="auto"/>
          </w:tblBorders>
        </w:tblPrEx>
        <w:trPr>
          <w:jc w:val="center"/>
        </w:trPr>
        <w:tc>
          <w:tcPr>
            <w:tcW w:w="976" w:type="pct"/>
            <w:tcBorders>
              <w:top w:val="nil"/>
              <w:left w:val="nil"/>
              <w:bottom w:val="nil"/>
              <w:right w:val="nil"/>
            </w:tcBorders>
          </w:tcPr>
          <w:p w14:paraId="121380DD" w14:textId="77777777" w:rsidR="00A763B6" w:rsidRPr="00A763B6" w:rsidRDefault="00A763B6" w:rsidP="00CE2F0E">
            <w:pPr>
              <w:widowControl w:val="0"/>
              <w:autoSpaceDE w:val="0"/>
              <w:autoSpaceDN w:val="0"/>
              <w:adjustRightInd w:val="0"/>
              <w:spacing w:after="0"/>
              <w:rPr>
                <w:rFonts w:cstheme="minorHAnsi"/>
                <w:sz w:val="22"/>
              </w:rPr>
            </w:pPr>
            <w:r w:rsidRPr="00A763B6">
              <w:rPr>
                <w:rFonts w:cstheme="minorHAnsi"/>
                <w:sz w:val="22"/>
              </w:rPr>
              <w:t>R-squared</w:t>
            </w:r>
          </w:p>
        </w:tc>
        <w:tc>
          <w:tcPr>
            <w:tcW w:w="1006" w:type="pct"/>
            <w:tcBorders>
              <w:top w:val="nil"/>
              <w:left w:val="nil"/>
              <w:bottom w:val="nil"/>
              <w:right w:val="nil"/>
            </w:tcBorders>
          </w:tcPr>
          <w:p w14:paraId="114354C3"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0.366</w:t>
            </w:r>
          </w:p>
        </w:tc>
        <w:tc>
          <w:tcPr>
            <w:tcW w:w="1006" w:type="pct"/>
            <w:tcBorders>
              <w:top w:val="nil"/>
              <w:left w:val="nil"/>
              <w:bottom w:val="nil"/>
              <w:right w:val="nil"/>
            </w:tcBorders>
          </w:tcPr>
          <w:p w14:paraId="5F177256"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0.371</w:t>
            </w:r>
          </w:p>
        </w:tc>
        <w:tc>
          <w:tcPr>
            <w:tcW w:w="1006" w:type="pct"/>
            <w:tcBorders>
              <w:top w:val="nil"/>
              <w:left w:val="nil"/>
              <w:bottom w:val="nil"/>
              <w:right w:val="nil"/>
            </w:tcBorders>
          </w:tcPr>
          <w:p w14:paraId="218A419C"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0.517</w:t>
            </w:r>
          </w:p>
        </w:tc>
        <w:tc>
          <w:tcPr>
            <w:tcW w:w="1006" w:type="pct"/>
            <w:tcBorders>
              <w:top w:val="nil"/>
              <w:left w:val="nil"/>
              <w:bottom w:val="nil"/>
              <w:right w:val="nil"/>
            </w:tcBorders>
          </w:tcPr>
          <w:p w14:paraId="5003B485"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0.517</w:t>
            </w:r>
          </w:p>
        </w:tc>
      </w:tr>
      <w:tr w:rsidR="00A763B6" w:rsidRPr="000D61D1" w14:paraId="68A9D536" w14:textId="77777777" w:rsidTr="000C531F">
        <w:tblPrEx>
          <w:tblBorders>
            <w:bottom w:val="single" w:sz="6" w:space="0" w:color="auto"/>
          </w:tblBorders>
        </w:tblPrEx>
        <w:trPr>
          <w:jc w:val="center"/>
        </w:trPr>
        <w:tc>
          <w:tcPr>
            <w:tcW w:w="976" w:type="pct"/>
            <w:tcBorders>
              <w:top w:val="nil"/>
              <w:left w:val="nil"/>
              <w:bottom w:val="single" w:sz="6" w:space="0" w:color="auto"/>
              <w:right w:val="nil"/>
            </w:tcBorders>
          </w:tcPr>
          <w:p w14:paraId="2E3E4ECB" w14:textId="77777777" w:rsidR="00A763B6" w:rsidRPr="00A763B6" w:rsidRDefault="00A763B6" w:rsidP="00CE2F0E">
            <w:pPr>
              <w:widowControl w:val="0"/>
              <w:autoSpaceDE w:val="0"/>
              <w:autoSpaceDN w:val="0"/>
              <w:adjustRightInd w:val="0"/>
              <w:spacing w:after="0"/>
              <w:rPr>
                <w:rFonts w:cstheme="minorHAnsi"/>
                <w:sz w:val="22"/>
              </w:rPr>
            </w:pPr>
            <w:r w:rsidRPr="00A763B6">
              <w:rPr>
                <w:rFonts w:cstheme="minorHAnsi"/>
                <w:sz w:val="22"/>
              </w:rPr>
              <w:t>Reform VIF</w:t>
            </w:r>
          </w:p>
        </w:tc>
        <w:tc>
          <w:tcPr>
            <w:tcW w:w="1006" w:type="pct"/>
            <w:tcBorders>
              <w:top w:val="nil"/>
              <w:left w:val="nil"/>
              <w:bottom w:val="single" w:sz="6" w:space="0" w:color="auto"/>
              <w:right w:val="nil"/>
            </w:tcBorders>
          </w:tcPr>
          <w:p w14:paraId="27617A78"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3.4</w:t>
            </w:r>
          </w:p>
        </w:tc>
        <w:tc>
          <w:tcPr>
            <w:tcW w:w="1006" w:type="pct"/>
            <w:tcBorders>
              <w:top w:val="nil"/>
              <w:left w:val="nil"/>
              <w:bottom w:val="single" w:sz="6" w:space="0" w:color="auto"/>
              <w:right w:val="nil"/>
            </w:tcBorders>
          </w:tcPr>
          <w:p w14:paraId="61A41453"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3.7</w:t>
            </w:r>
          </w:p>
        </w:tc>
        <w:tc>
          <w:tcPr>
            <w:tcW w:w="1006" w:type="pct"/>
            <w:tcBorders>
              <w:top w:val="nil"/>
              <w:left w:val="nil"/>
              <w:bottom w:val="single" w:sz="6" w:space="0" w:color="auto"/>
              <w:right w:val="nil"/>
            </w:tcBorders>
          </w:tcPr>
          <w:p w14:paraId="6EAC9FF9"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4.3</w:t>
            </w:r>
          </w:p>
        </w:tc>
        <w:tc>
          <w:tcPr>
            <w:tcW w:w="1006" w:type="pct"/>
            <w:tcBorders>
              <w:top w:val="nil"/>
              <w:left w:val="nil"/>
              <w:bottom w:val="single" w:sz="6" w:space="0" w:color="auto"/>
              <w:right w:val="nil"/>
            </w:tcBorders>
          </w:tcPr>
          <w:p w14:paraId="6F81FBE8" w14:textId="77777777" w:rsidR="00A763B6" w:rsidRPr="00A763B6" w:rsidRDefault="00A763B6" w:rsidP="00CE2F0E">
            <w:pPr>
              <w:widowControl w:val="0"/>
              <w:autoSpaceDE w:val="0"/>
              <w:autoSpaceDN w:val="0"/>
              <w:adjustRightInd w:val="0"/>
              <w:spacing w:after="0"/>
              <w:jc w:val="center"/>
              <w:rPr>
                <w:rFonts w:cstheme="minorHAnsi"/>
                <w:sz w:val="22"/>
              </w:rPr>
            </w:pPr>
            <w:r w:rsidRPr="00A763B6">
              <w:rPr>
                <w:rFonts w:cstheme="minorHAnsi"/>
                <w:sz w:val="22"/>
              </w:rPr>
              <w:t>4.4</w:t>
            </w:r>
          </w:p>
        </w:tc>
      </w:tr>
    </w:tbl>
    <w:p w14:paraId="5665620A" w14:textId="77777777" w:rsidR="00A763B6" w:rsidRPr="000D61D1" w:rsidRDefault="00A763B6" w:rsidP="003B2189">
      <w:pPr>
        <w:widowControl w:val="0"/>
        <w:autoSpaceDE w:val="0"/>
        <w:autoSpaceDN w:val="0"/>
        <w:adjustRightInd w:val="0"/>
        <w:spacing w:after="0"/>
        <w:jc w:val="center"/>
        <w:rPr>
          <w:rFonts w:cstheme="minorHAnsi"/>
          <w:sz w:val="22"/>
          <w:szCs w:val="22"/>
          <w:lang w:val="en-AU"/>
        </w:rPr>
      </w:pPr>
      <w:r w:rsidRPr="00A763B6">
        <w:rPr>
          <w:rFonts w:cstheme="minorHAnsi"/>
          <w:sz w:val="22"/>
        </w:rPr>
        <w:t>Robust standard errors in brackets, *** p&lt;0.01, ** p&lt;0.05, * p&lt;0.1,</w:t>
      </w:r>
      <w:r w:rsidRPr="000D61D1">
        <w:rPr>
          <w:rFonts w:cstheme="minorHAnsi"/>
          <w:sz w:val="22"/>
          <w:szCs w:val="22"/>
          <w:lang w:val="en-AU"/>
        </w:rPr>
        <w:t xml:space="preserve"> Constant not reported</w:t>
      </w:r>
    </w:p>
    <w:p w14:paraId="0A6F0948" w14:textId="77777777" w:rsidR="00A763B6" w:rsidRPr="00A763B6" w:rsidRDefault="00A763B6" w:rsidP="000D52D4">
      <w:pPr>
        <w:pStyle w:val="Caption"/>
        <w:rPr>
          <w:rFonts w:cstheme="minorHAnsi"/>
          <w:sz w:val="22"/>
          <w:szCs w:val="22"/>
        </w:rPr>
      </w:pPr>
    </w:p>
    <w:bookmarkEnd w:id="146"/>
    <w:p w14:paraId="420A6020" w14:textId="77777777" w:rsidR="00B44672" w:rsidRPr="00D3609A" w:rsidRDefault="00B44672" w:rsidP="00D3609A">
      <w:pPr>
        <w:widowControl w:val="0"/>
        <w:autoSpaceDE w:val="0"/>
        <w:autoSpaceDN w:val="0"/>
        <w:adjustRightInd w:val="0"/>
        <w:spacing w:before="79" w:after="79"/>
        <w:rPr>
          <w:rFonts w:cstheme="minorHAnsi"/>
          <w:lang w:bidi="bn-BD"/>
        </w:rPr>
      </w:pPr>
      <w:r w:rsidRPr="00400ED3">
        <w:rPr>
          <w:rFonts w:cstheme="minorHAnsi"/>
          <w:sz w:val="22"/>
          <w:lang w:bidi="bn-BD"/>
        </w:rPr>
        <w:fldChar w:fldCharType="end"/>
      </w:r>
      <w:r w:rsidRPr="00D3609A">
        <w:t xml:space="preserve"> </w:t>
      </w:r>
      <w:r w:rsidRPr="00D3609A">
        <w:rPr>
          <w:rFonts w:cstheme="minorHAnsi"/>
          <w:lang w:bidi="bn-BD"/>
        </w:rPr>
        <w:t xml:space="preserve">This type of Before-After (BA) analysis is valid to estimate a treatment effect under certain circumstances. Most importantly that there is no other confounding effect on the outcome over the course of the treatment period. </w:t>
      </w:r>
      <w:r>
        <w:rPr>
          <w:rFonts w:cstheme="minorHAnsi"/>
          <w:lang w:bidi="bn-BD"/>
        </w:rPr>
        <w:t>W</w:t>
      </w:r>
      <w:r w:rsidRPr="00D3609A">
        <w:rPr>
          <w:rFonts w:cstheme="minorHAnsi"/>
          <w:lang w:bidi="bn-BD"/>
        </w:rPr>
        <w:t xml:space="preserve">e </w:t>
      </w:r>
      <w:r>
        <w:rPr>
          <w:rFonts w:cstheme="minorHAnsi"/>
          <w:lang w:bidi="bn-BD"/>
        </w:rPr>
        <w:t>do</w:t>
      </w:r>
      <w:r w:rsidRPr="00D3609A">
        <w:rPr>
          <w:rFonts w:cstheme="minorHAnsi"/>
          <w:lang w:bidi="bn-BD"/>
        </w:rPr>
        <w:t xml:space="preserve"> not have a control group to identify </w:t>
      </w:r>
      <w:r>
        <w:rPr>
          <w:rFonts w:cstheme="minorHAnsi"/>
          <w:lang w:bidi="bn-BD"/>
        </w:rPr>
        <w:t xml:space="preserve">common </w:t>
      </w:r>
      <w:r w:rsidRPr="00D3609A">
        <w:rPr>
          <w:rFonts w:cstheme="minorHAnsi"/>
          <w:lang w:bidi="bn-BD"/>
        </w:rPr>
        <w:t>changes</w:t>
      </w:r>
      <w:r>
        <w:rPr>
          <w:rFonts w:cstheme="minorHAnsi"/>
          <w:lang w:bidi="bn-BD"/>
        </w:rPr>
        <w:t xml:space="preserve"> that affect the outcome in both the control and treatment group in order to control for such confounders. Any such changes, like a downturn in the economy which coincides with the treatment period, will impact our estimate in this time series analysis and lead to an erroneous conclusion about the policy impact.  </w:t>
      </w:r>
    </w:p>
    <w:p w14:paraId="23167A4D" w14:textId="77777777" w:rsidR="00B44672" w:rsidRDefault="00B44672" w:rsidP="00D3609A">
      <w:pPr>
        <w:widowControl w:val="0"/>
        <w:autoSpaceDE w:val="0"/>
        <w:autoSpaceDN w:val="0"/>
        <w:adjustRightInd w:val="0"/>
        <w:spacing w:before="79" w:after="79"/>
        <w:rPr>
          <w:rFonts w:cstheme="minorHAnsi"/>
          <w:lang w:bidi="bn-BD"/>
        </w:rPr>
      </w:pPr>
    </w:p>
    <w:p w14:paraId="305EAB2C" w14:textId="77777777" w:rsidR="00B44672" w:rsidRDefault="00B44672" w:rsidP="00B44672">
      <w:pPr>
        <w:pStyle w:val="Heading2"/>
        <w:numPr>
          <w:ilvl w:val="0"/>
          <w:numId w:val="23"/>
        </w:numPr>
        <w:spacing w:line="259" w:lineRule="auto"/>
      </w:pPr>
      <w:r w:rsidRPr="002416A1">
        <w:t>Multicollinearity</w:t>
      </w:r>
    </w:p>
    <w:p w14:paraId="3AD99099" w14:textId="77777777" w:rsidR="00B44672" w:rsidRDefault="00B44672" w:rsidP="002416A1">
      <w:r>
        <w:t>Mu</w:t>
      </w:r>
      <w:r w:rsidRPr="002416A1">
        <w:t xml:space="preserve">lticollinearity </w:t>
      </w:r>
      <w:r>
        <w:t xml:space="preserve">is a problem in some instances. </w:t>
      </w:r>
      <w:r w:rsidRPr="002416A1">
        <w:t xml:space="preserve">We check for multicollinearity issues </w:t>
      </w:r>
      <w:r>
        <w:t xml:space="preserve">in our data </w:t>
      </w:r>
      <w:r w:rsidRPr="002416A1">
        <w:t xml:space="preserve">with a post-regression analysis of the correlation matrix. </w:t>
      </w:r>
      <w:r>
        <w:t xml:space="preserve">This is an alternative the </w:t>
      </w:r>
      <w:r w:rsidRPr="006A5943">
        <w:rPr>
          <w:rFonts w:cstheme="minorHAnsi"/>
          <w:lang w:bidi="bn-BD"/>
        </w:rPr>
        <w:t>variance inflation factor</w:t>
      </w:r>
      <w:r>
        <w:rPr>
          <w:rFonts w:cstheme="minorHAnsi"/>
          <w:lang w:bidi="bn-BD"/>
        </w:rPr>
        <w:t xml:space="preserve">, which in our case is prohibitive to calculate given the large number of dummy variables in our regressions.  </w:t>
      </w:r>
    </w:p>
    <w:p w14:paraId="478D20B6" w14:textId="77777777" w:rsidR="00B44672" w:rsidRDefault="00B44672" w:rsidP="002416A1">
      <w:r>
        <w:t xml:space="preserve">In the correlation matrix we observe a complete set of correlations between pairs of variables. We are only concerned about the correlation with our variable of interest, the reform dummy. Correlation between the other covariates is not biasing our results. </w:t>
      </w:r>
      <w:r w:rsidRPr="002416A1">
        <w:t xml:space="preserve">The </w:t>
      </w:r>
      <w:r>
        <w:t>higher</w:t>
      </w:r>
      <w:r w:rsidRPr="002416A1">
        <w:t xml:space="preserve"> </w:t>
      </w:r>
      <w:r>
        <w:t xml:space="preserve">the </w:t>
      </w:r>
      <w:r w:rsidRPr="002416A1">
        <w:t>correlation between the reform variable and any of the added controls</w:t>
      </w:r>
      <w:r>
        <w:t>,</w:t>
      </w:r>
      <w:r w:rsidRPr="002416A1">
        <w:t xml:space="preserve"> the </w:t>
      </w:r>
      <w:r>
        <w:t>less likely</w:t>
      </w:r>
      <w:r w:rsidRPr="002416A1">
        <w:t xml:space="preserve"> </w:t>
      </w:r>
      <w:r>
        <w:t>our</w:t>
      </w:r>
      <w:r w:rsidRPr="002416A1">
        <w:t xml:space="preserve"> measure of the reform estimate</w:t>
      </w:r>
      <w:r>
        <w:t xml:space="preserve"> will be consistent</w:t>
      </w:r>
      <w:r w:rsidRPr="002416A1">
        <w:t xml:space="preserve">. Correlation values in excess of 0.55 should </w:t>
      </w:r>
      <w:r>
        <w:t>raise</w:t>
      </w:r>
      <w:r w:rsidRPr="002416A1">
        <w:t xml:space="preserve"> concern</w:t>
      </w:r>
      <w:r>
        <w:t xml:space="preserve"> about issues of </w:t>
      </w:r>
      <w:r w:rsidRPr="002416A1">
        <w:t xml:space="preserve">multicollinearity. </w:t>
      </w:r>
    </w:p>
    <w:p w14:paraId="0C2CCBE0" w14:textId="77777777" w:rsidR="00B44672" w:rsidRPr="002416A1" w:rsidRDefault="00B44672" w:rsidP="002416A1">
      <w:r>
        <w:t xml:space="preserve">In the results section </w:t>
      </w:r>
      <w:r w:rsidRPr="002416A1">
        <w:t xml:space="preserve">for each </w:t>
      </w:r>
      <w:r>
        <w:t xml:space="preserve">regression, we </w:t>
      </w:r>
      <w:r w:rsidRPr="002416A1">
        <w:t xml:space="preserve">report </w:t>
      </w:r>
      <w:r>
        <w:t xml:space="preserve">the largest correlation measure between the reform dummy and any other included controls as </w:t>
      </w:r>
      <w:r w:rsidRPr="002416A1">
        <w:t xml:space="preserve">a measure of the severity of multicollinearity. </w:t>
      </w:r>
      <w:r>
        <w:t>R</w:t>
      </w:r>
      <w:r w:rsidRPr="002416A1">
        <w:t>eporting the whole correlation matr</w:t>
      </w:r>
      <w:r>
        <w:t xml:space="preserve">ix is impractical because of size and the </w:t>
      </w:r>
      <w:r w:rsidRPr="002416A1">
        <w:t xml:space="preserve">largest correlation value from the correlation matrix </w:t>
      </w:r>
      <w:r>
        <w:t>gives a good indicator</w:t>
      </w:r>
      <w:r w:rsidRPr="002416A1">
        <w:t xml:space="preserve"> </w:t>
      </w:r>
      <w:r>
        <w:t xml:space="preserve">of multicollinearity </w:t>
      </w:r>
      <w:r w:rsidRPr="002416A1">
        <w:t>for each regression.</w:t>
      </w:r>
      <w:r>
        <w:t xml:space="preserve"> </w:t>
      </w:r>
    </w:p>
    <w:p w14:paraId="2D95F71D" w14:textId="77777777" w:rsidR="00B44672" w:rsidRDefault="00B44672" w:rsidP="008E595A"/>
    <w:p w14:paraId="6D35E9DA" w14:textId="77777777" w:rsidR="00B44672" w:rsidRDefault="00B44672" w:rsidP="00B44672">
      <w:pPr>
        <w:pStyle w:val="Heading2"/>
        <w:numPr>
          <w:ilvl w:val="0"/>
          <w:numId w:val="23"/>
        </w:numPr>
        <w:spacing w:line="259" w:lineRule="auto"/>
      </w:pPr>
      <w:r>
        <w:t xml:space="preserve">Alternative control groups as counterfactuals </w:t>
      </w:r>
    </w:p>
    <w:p w14:paraId="485933A0" w14:textId="77777777" w:rsidR="00B44672" w:rsidRDefault="00B44672" w:rsidP="0029189E">
      <w:r w:rsidRPr="002416A1">
        <w:t>All suburbs in the ACT belong to the treatment group</w:t>
      </w:r>
      <w:r>
        <w:t xml:space="preserve">, as they all experienced </w:t>
      </w:r>
      <w:r w:rsidRPr="002416A1">
        <w:t>th</w:t>
      </w:r>
      <w:r>
        <w:t>e tax reform introduced in 2012.</w:t>
      </w:r>
      <w:r w:rsidRPr="002416A1">
        <w:t xml:space="preserve"> </w:t>
      </w:r>
      <w:r>
        <w:t>A</w:t>
      </w:r>
      <w:r w:rsidRPr="002416A1">
        <w:t xml:space="preserve">ll other states and territories </w:t>
      </w:r>
      <w:r>
        <w:t xml:space="preserve">are </w:t>
      </w:r>
      <w:r w:rsidRPr="002416A1">
        <w:t>part of the control group</w:t>
      </w:r>
      <w:r>
        <w:t xml:space="preserve"> since they were unaffected by the ACT’s tax reform.</w:t>
      </w:r>
      <w:r w:rsidRPr="002416A1">
        <w:t xml:space="preserve"> </w:t>
      </w:r>
    </w:p>
    <w:p w14:paraId="211E5C77" w14:textId="77777777" w:rsidR="00B44672" w:rsidRDefault="00B44672" w:rsidP="00230D87">
      <w:r>
        <w:t xml:space="preserve">Taking all Australian suburbs as the counterfactual is advantageous since we can </w:t>
      </w:r>
      <w:r w:rsidRPr="002416A1">
        <w:t xml:space="preserve">utilize </w:t>
      </w:r>
      <w:r>
        <w:t xml:space="preserve">all </w:t>
      </w:r>
      <w:r w:rsidRPr="002416A1">
        <w:t>available data</w:t>
      </w:r>
      <w:r>
        <w:t xml:space="preserve">. However, it is by no means certain that this control group - the </w:t>
      </w:r>
      <w:r w:rsidRPr="002416A1">
        <w:t xml:space="preserve">entirety </w:t>
      </w:r>
      <w:r>
        <w:t xml:space="preserve">of all </w:t>
      </w:r>
      <w:r w:rsidRPr="002416A1">
        <w:t>suburbs outside of the ACT</w:t>
      </w:r>
      <w:r>
        <w:t xml:space="preserve"> - </w:t>
      </w:r>
      <w:r w:rsidRPr="002416A1">
        <w:t xml:space="preserve">is the best control group. We therefore use </w:t>
      </w:r>
      <w:proofErr w:type="gramStart"/>
      <w:r>
        <w:t>a number of</w:t>
      </w:r>
      <w:proofErr w:type="gramEnd"/>
      <w:r>
        <w:t xml:space="preserve"> </w:t>
      </w:r>
      <w:r w:rsidRPr="002416A1">
        <w:t>different subset</w:t>
      </w:r>
      <w:r>
        <w:t>s</w:t>
      </w:r>
      <w:r w:rsidRPr="002416A1">
        <w:t xml:space="preserve"> of the rest of Australia as alternative control groups in our robustness tests. </w:t>
      </w:r>
    </w:p>
    <w:p w14:paraId="24CE04D1" w14:textId="77777777" w:rsidR="00B44672" w:rsidRDefault="00B44672" w:rsidP="00230D87">
      <w:r>
        <w:t xml:space="preserve">First, we reduced the control group to include only Australian States and Territory’s </w:t>
      </w:r>
      <w:r w:rsidRPr="002416A1">
        <w:t>capital cities</w:t>
      </w:r>
      <w:r>
        <w:t xml:space="preserve">. A second control group was limited to </w:t>
      </w:r>
      <w:r w:rsidRPr="002416A1">
        <w:t>suburbs in NSW &amp; VIC</w:t>
      </w:r>
      <w:r>
        <w:t>; as the two neighbouring states to the ACT, they may possibly be the most similar property markets. A third control group limited the analysis to suburbs from the capital cities of the neighbouring states (</w:t>
      </w:r>
      <w:r w:rsidRPr="002416A1">
        <w:t>Melbourne and Sydney</w:t>
      </w:r>
      <w:r>
        <w:t>).</w:t>
      </w:r>
    </w:p>
    <w:p w14:paraId="0E9B99A0" w14:textId="77777777" w:rsidR="00B44672" w:rsidRDefault="00B44672" w:rsidP="00230D87">
      <w:r>
        <w:t>All three additional control groups could prove suitable candidates for a counterfactual to ACT’s suburbs. However, e</w:t>
      </w:r>
      <w:r w:rsidRPr="002416A1">
        <w:t>ach of these sets of counterfactuals has fewer and fewer observation</w:t>
      </w:r>
      <w:r>
        <w:t xml:space="preserve">s, which tends to </w:t>
      </w:r>
      <w:r w:rsidRPr="002416A1">
        <w:t>reduce</w:t>
      </w:r>
      <w:r>
        <w:t xml:space="preserve"> the</w:t>
      </w:r>
      <w:r w:rsidRPr="002416A1">
        <w:t xml:space="preserve"> </w:t>
      </w:r>
      <w:r>
        <w:t>significance of the results. Furthermore, fewer observations can worsen</w:t>
      </w:r>
      <w:r w:rsidRPr="002416A1">
        <w:t xml:space="preserve"> multicollinearity. </w:t>
      </w:r>
      <w:r>
        <w:t>While the results from all</w:t>
      </w:r>
      <w:r w:rsidRPr="002416A1">
        <w:t xml:space="preserve"> capital city suburbs </w:t>
      </w:r>
      <w:r>
        <w:t xml:space="preserve">are </w:t>
      </w:r>
      <w:r w:rsidRPr="002416A1">
        <w:t>present</w:t>
      </w:r>
      <w:r>
        <w:t>ed</w:t>
      </w:r>
      <w:r w:rsidRPr="002416A1">
        <w:t xml:space="preserve"> in t</w:t>
      </w:r>
      <w:r>
        <w:t>he main</w:t>
      </w:r>
      <w:r w:rsidRPr="002416A1">
        <w:t xml:space="preserve"> report</w:t>
      </w:r>
      <w:r>
        <w:t xml:space="preserve">, alongside the results for all Australian suburbs, the Results for </w:t>
      </w:r>
      <w:proofErr w:type="gramStart"/>
      <w:r>
        <w:t>all of</w:t>
      </w:r>
      <w:proofErr w:type="gramEnd"/>
      <w:r>
        <w:t xml:space="preserve"> the additional control groups are included at the end of this appendix. </w:t>
      </w:r>
    </w:p>
    <w:p w14:paraId="02613E7C" w14:textId="77777777" w:rsidR="00B44672" w:rsidRDefault="00B44672" w:rsidP="008E595A">
      <w:pPr>
        <w:pStyle w:val="Heading2"/>
      </w:pPr>
    </w:p>
    <w:p w14:paraId="67A6C6BA" w14:textId="77777777" w:rsidR="00B44672" w:rsidRDefault="00B44672" w:rsidP="00B44672">
      <w:pPr>
        <w:pStyle w:val="Heading2"/>
        <w:numPr>
          <w:ilvl w:val="0"/>
          <w:numId w:val="23"/>
        </w:numPr>
        <w:spacing w:line="259" w:lineRule="auto"/>
      </w:pPr>
      <w:r>
        <w:t xml:space="preserve">Testing the common trend assumption </w:t>
      </w:r>
    </w:p>
    <w:p w14:paraId="0422C9CF" w14:textId="77777777" w:rsidR="00B44672" w:rsidRDefault="00B44672" w:rsidP="00E312C3">
      <w:pPr>
        <w:rPr>
          <w:lang w:val="en-GB" w:bidi="bn-BD"/>
        </w:rPr>
      </w:pPr>
      <w:r>
        <w:rPr>
          <w:lang w:val="en-GB" w:bidi="bn-BD"/>
        </w:rPr>
        <w:t xml:space="preserve">To verify the first assumption of the difference-indifference method, the </w:t>
      </w:r>
      <w:r w:rsidRPr="00564A6A">
        <w:rPr>
          <w:lang w:val="en-GB" w:bidi="bn-BD"/>
        </w:rPr>
        <w:t>common trends assumption</w:t>
      </w:r>
      <w:r>
        <w:rPr>
          <w:lang w:val="en-GB" w:bidi="bn-BD"/>
        </w:rPr>
        <w:t>,</w:t>
      </w:r>
      <w:r w:rsidRPr="00564A6A">
        <w:rPr>
          <w:lang w:val="en-GB" w:bidi="bn-BD"/>
        </w:rPr>
        <w:t xml:space="preserve"> </w:t>
      </w:r>
      <w:r>
        <w:rPr>
          <w:lang w:val="en-GB" w:bidi="bn-BD"/>
        </w:rPr>
        <w:t>we run tests to see if the pre-treatment trends in the treatment and control groups are similar. In this section we present the results for the common trends tests.</w:t>
      </w:r>
    </w:p>
    <w:p w14:paraId="45A4B475" w14:textId="77777777" w:rsidR="00B44672" w:rsidRDefault="00B44672" w:rsidP="00E312C3">
      <w:r>
        <w:rPr>
          <w:lang w:val="en-GB" w:bidi="bn-BD"/>
        </w:rPr>
        <w:t>A typical way to test if this assumption holds is to run a regression for the period before the policy implementation. In such regression we include a time trend for the treatment group. If the coefficient on the time trend were to be significant it would mean that there is significant variation between treatment and control group which the added time trend picks up. In this case the common trends assumption fails. If the time trend coefficient is not significantly different from zero, we take this as support for the assumption of a common trend prior to the policy intervention.</w:t>
      </w:r>
    </w:p>
    <w:p w14:paraId="5AABD76D" w14:textId="77777777" w:rsidR="00B44672" w:rsidRDefault="00B44672" w:rsidP="00BE7750">
      <w:r>
        <w:t xml:space="preserve">This test has the null hypothesis of a common trend between treatment and control groups. Rejecting the null hypothesis would imply that the two groups do not have common trends. However, failing to reject the parallel trend test in the pre-treatment period is not the same as confirming parallel trends between control and treatment groups. </w:t>
      </w:r>
    </w:p>
    <w:p w14:paraId="0D745228" w14:textId="77777777" w:rsidR="00B44672" w:rsidRDefault="00B44672" w:rsidP="004D2B7C">
      <w:r>
        <w:t xml:space="preserve">The following tables </w:t>
      </w:r>
      <w:r w:rsidRPr="00E312C3">
        <w:t>present</w:t>
      </w:r>
      <w:r>
        <w:t xml:space="preserve"> t</w:t>
      </w:r>
      <w:r w:rsidRPr="00E312C3">
        <w:t xml:space="preserve">est results of the common trends assumption for the </w:t>
      </w:r>
      <w:proofErr w:type="spellStart"/>
      <w:r w:rsidRPr="00E312C3">
        <w:t>Corelogic</w:t>
      </w:r>
      <w:proofErr w:type="spellEnd"/>
      <w:r w:rsidRPr="00E312C3">
        <w:t xml:space="preserve"> data</w:t>
      </w:r>
      <w:r>
        <w:t xml:space="preserve">. For each data series; </w:t>
      </w:r>
      <w:r>
        <w:rPr>
          <w:lang w:val="en-GB" w:bidi="bn-BD"/>
        </w:rPr>
        <w:t xml:space="preserve">total sales value, property price, property turnover and rental price we have tested the hypothesis for four control groups; all suburbs, </w:t>
      </w:r>
      <w:r>
        <w:t xml:space="preserve">only capital city suburbs, suburbs from a subset of states (NSW and Victoria), capital cities suburbs from a subset of states and with controls. </w:t>
      </w:r>
      <w:r>
        <w:rPr>
          <w:lang w:val="en-GB" w:bidi="bn-BD"/>
        </w:rPr>
        <w:t xml:space="preserve"> </w:t>
      </w:r>
    </w:p>
    <w:p w14:paraId="42808F0A" w14:textId="77777777" w:rsidR="00B44672" w:rsidRDefault="00B44672" w:rsidP="00E312C3">
      <w:pPr>
        <w:pStyle w:val="BodyText"/>
      </w:pPr>
      <w:r>
        <w:lastRenderedPageBreak/>
        <w:t xml:space="preserve">We find that we do not reject the hypothesis of common trends between the ACT and control group for almost </w:t>
      </w:r>
      <w:proofErr w:type="gramStart"/>
      <w:r>
        <w:t>all of</w:t>
      </w:r>
      <w:proofErr w:type="gramEnd"/>
      <w:r>
        <w:t xml:space="preserve"> the tests. When the control group is restricted to only the suburbs of some capital cities, we cannot always reject the null hypothesis.  </w:t>
      </w:r>
    </w:p>
    <w:p w14:paraId="58FC498C" w14:textId="77777777" w:rsidR="00B44672" w:rsidRDefault="00B44672" w:rsidP="00E312C3">
      <w:pPr>
        <w:pStyle w:val="BodyText"/>
        <w:rPr>
          <w:lang w:val="en-GB" w:bidi="bn-BD"/>
        </w:rPr>
      </w:pPr>
      <w:r>
        <w:t xml:space="preserve">The following tables present the coefficient for the tested trend for the different control groups (columns) and across the different dependent variables (tables).   </w:t>
      </w:r>
    </w:p>
    <w:p w14:paraId="619E74AC" w14:textId="025C45CD" w:rsidR="00B44672" w:rsidRPr="00F54215" w:rsidRDefault="00B44672" w:rsidP="00F54215">
      <w:pPr>
        <w:pStyle w:val="Caption"/>
        <w:rPr>
          <w:rFonts w:cstheme="minorHAnsi"/>
          <w:b/>
          <w:bCs/>
          <w:i w:val="0"/>
          <w:iCs/>
          <w:color w:val="365F91" w:themeColor="accent1" w:themeShade="BF"/>
          <w:sz w:val="32"/>
          <w:szCs w:val="32"/>
        </w:rPr>
      </w:pPr>
      <w:r w:rsidRPr="00F54215">
        <w:rPr>
          <w:b/>
          <w:bCs/>
          <w:color w:val="365F91" w:themeColor="accent1" w:themeShade="BF"/>
          <w:szCs w:val="22"/>
        </w:rPr>
        <w:t xml:space="preserve">Table </w:t>
      </w:r>
      <w:r w:rsidRPr="00F54215">
        <w:rPr>
          <w:b/>
          <w:bCs/>
          <w:i w:val="0"/>
          <w:iCs/>
          <w:color w:val="365F91" w:themeColor="accent1" w:themeShade="BF"/>
          <w:szCs w:val="22"/>
        </w:rPr>
        <w:fldChar w:fldCharType="begin"/>
      </w:r>
      <w:r w:rsidRPr="00F54215">
        <w:rPr>
          <w:b/>
          <w:bCs/>
          <w:color w:val="365F91" w:themeColor="accent1" w:themeShade="BF"/>
          <w:szCs w:val="22"/>
        </w:rPr>
        <w:instrText xml:space="preserve"> SEQ Table \* ARABIC </w:instrText>
      </w:r>
      <w:r w:rsidRPr="00F54215">
        <w:rPr>
          <w:b/>
          <w:bCs/>
          <w:i w:val="0"/>
          <w:iCs/>
          <w:color w:val="365F91" w:themeColor="accent1" w:themeShade="BF"/>
          <w:szCs w:val="22"/>
        </w:rPr>
        <w:fldChar w:fldCharType="separate"/>
      </w:r>
      <w:r w:rsidR="00A763B6">
        <w:rPr>
          <w:b/>
          <w:bCs/>
          <w:noProof/>
          <w:color w:val="365F91" w:themeColor="accent1" w:themeShade="BF"/>
          <w:szCs w:val="22"/>
        </w:rPr>
        <w:t>20</w:t>
      </w:r>
      <w:r w:rsidRPr="00F54215">
        <w:rPr>
          <w:b/>
          <w:bCs/>
          <w:i w:val="0"/>
          <w:iCs/>
          <w:color w:val="365F91" w:themeColor="accent1" w:themeShade="BF"/>
          <w:szCs w:val="22"/>
        </w:rPr>
        <w:fldChar w:fldCharType="end"/>
      </w:r>
      <w:r w:rsidRPr="00F54215">
        <w:rPr>
          <w:b/>
          <w:bCs/>
          <w:color w:val="365F91" w:themeColor="accent1" w:themeShade="BF"/>
          <w:szCs w:val="22"/>
        </w:rPr>
        <w:t xml:space="preserve"> - Common trend assumption tests - property market sales value</w:t>
      </w:r>
    </w:p>
    <w:tbl>
      <w:tblPr>
        <w:tblW w:w="5000" w:type="pct"/>
        <w:jc w:val="center"/>
        <w:tblCellMar>
          <w:left w:w="75" w:type="dxa"/>
          <w:right w:w="75" w:type="dxa"/>
        </w:tblCellMar>
        <w:tblLook w:val="04A0" w:firstRow="1" w:lastRow="0" w:firstColumn="1" w:lastColumn="0" w:noHBand="0" w:noVBand="1"/>
      </w:tblPr>
      <w:tblGrid>
        <w:gridCol w:w="2127"/>
        <w:gridCol w:w="1172"/>
        <w:gridCol w:w="1190"/>
        <w:gridCol w:w="1513"/>
        <w:gridCol w:w="1513"/>
        <w:gridCol w:w="1511"/>
      </w:tblGrid>
      <w:tr w:rsidR="00B44672" w:rsidRPr="00F54215" w14:paraId="4C26F268" w14:textId="77777777" w:rsidTr="00A948E5">
        <w:trPr>
          <w:jc w:val="center"/>
        </w:trPr>
        <w:tc>
          <w:tcPr>
            <w:tcW w:w="1178" w:type="pct"/>
            <w:tcBorders>
              <w:top w:val="single" w:sz="6" w:space="0" w:color="auto"/>
              <w:left w:val="nil"/>
              <w:bottom w:val="nil"/>
              <w:right w:val="nil"/>
            </w:tcBorders>
            <w:hideMark/>
          </w:tcPr>
          <w:p w14:paraId="16EECB25" w14:textId="77777777" w:rsidR="00B44672" w:rsidRPr="00F54215" w:rsidRDefault="00B44672" w:rsidP="00625E60">
            <w:pPr>
              <w:widowControl w:val="0"/>
              <w:autoSpaceDE w:val="0"/>
              <w:autoSpaceDN w:val="0"/>
              <w:adjustRightInd w:val="0"/>
              <w:spacing w:after="0"/>
              <w:rPr>
                <w:rFonts w:cstheme="minorHAnsi"/>
                <w:sz w:val="22"/>
              </w:rPr>
            </w:pPr>
            <w:proofErr w:type="gramStart"/>
            <w:r w:rsidRPr="00F54215">
              <w:rPr>
                <w:rFonts w:cstheme="minorHAnsi"/>
                <w:sz w:val="22"/>
              </w:rPr>
              <w:t>Log(</w:t>
            </w:r>
            <w:proofErr w:type="gramEnd"/>
            <w:r w:rsidRPr="00F54215">
              <w:rPr>
                <w:rFonts w:cstheme="minorHAnsi"/>
                <w:sz w:val="22"/>
              </w:rPr>
              <w:t xml:space="preserve">Sales Value) </w:t>
            </w:r>
          </w:p>
        </w:tc>
        <w:tc>
          <w:tcPr>
            <w:tcW w:w="649" w:type="pct"/>
            <w:tcBorders>
              <w:top w:val="single" w:sz="6" w:space="0" w:color="auto"/>
              <w:left w:val="nil"/>
              <w:bottom w:val="nil"/>
              <w:right w:val="nil"/>
            </w:tcBorders>
            <w:hideMark/>
          </w:tcPr>
          <w:p w14:paraId="61F40A0E"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(1)</w:t>
            </w:r>
          </w:p>
        </w:tc>
        <w:tc>
          <w:tcPr>
            <w:tcW w:w="659" w:type="pct"/>
            <w:tcBorders>
              <w:top w:val="single" w:sz="6" w:space="0" w:color="auto"/>
              <w:left w:val="nil"/>
              <w:bottom w:val="nil"/>
              <w:right w:val="nil"/>
            </w:tcBorders>
            <w:hideMark/>
          </w:tcPr>
          <w:p w14:paraId="6A329D17"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(2)</w:t>
            </w:r>
          </w:p>
        </w:tc>
        <w:tc>
          <w:tcPr>
            <w:tcW w:w="838" w:type="pct"/>
            <w:tcBorders>
              <w:top w:val="single" w:sz="6" w:space="0" w:color="auto"/>
              <w:left w:val="nil"/>
              <w:bottom w:val="nil"/>
              <w:right w:val="nil"/>
            </w:tcBorders>
            <w:hideMark/>
          </w:tcPr>
          <w:p w14:paraId="32C16BAD"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(3)</w:t>
            </w:r>
          </w:p>
        </w:tc>
        <w:tc>
          <w:tcPr>
            <w:tcW w:w="838" w:type="pct"/>
            <w:tcBorders>
              <w:top w:val="single" w:sz="6" w:space="0" w:color="auto"/>
              <w:left w:val="nil"/>
              <w:bottom w:val="nil"/>
              <w:right w:val="nil"/>
            </w:tcBorders>
            <w:hideMark/>
          </w:tcPr>
          <w:p w14:paraId="414C8A0A"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(4)</w:t>
            </w:r>
          </w:p>
        </w:tc>
        <w:tc>
          <w:tcPr>
            <w:tcW w:w="837" w:type="pct"/>
            <w:tcBorders>
              <w:top w:val="single" w:sz="6" w:space="0" w:color="auto"/>
              <w:left w:val="nil"/>
              <w:bottom w:val="nil"/>
              <w:right w:val="nil"/>
            </w:tcBorders>
            <w:hideMark/>
          </w:tcPr>
          <w:p w14:paraId="30587255"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(5)</w:t>
            </w:r>
          </w:p>
        </w:tc>
      </w:tr>
      <w:tr w:rsidR="00B44672" w:rsidRPr="00F54215" w14:paraId="15D604D6" w14:textId="77777777" w:rsidTr="00A948E5">
        <w:trPr>
          <w:jc w:val="center"/>
        </w:trPr>
        <w:tc>
          <w:tcPr>
            <w:tcW w:w="1178" w:type="pct"/>
            <w:tcBorders>
              <w:top w:val="nil"/>
              <w:left w:val="nil"/>
              <w:bottom w:val="single" w:sz="4" w:space="0" w:color="auto"/>
              <w:right w:val="nil"/>
            </w:tcBorders>
          </w:tcPr>
          <w:p w14:paraId="0D2E5D38" w14:textId="77777777" w:rsidR="00B44672" w:rsidRPr="00F54215" w:rsidRDefault="00B44672">
            <w:pPr>
              <w:widowControl w:val="0"/>
              <w:autoSpaceDE w:val="0"/>
              <w:autoSpaceDN w:val="0"/>
              <w:adjustRightInd w:val="0"/>
              <w:spacing w:after="0"/>
              <w:rPr>
                <w:rFonts w:cstheme="minorHAnsi"/>
                <w:sz w:val="22"/>
              </w:rPr>
            </w:pPr>
          </w:p>
        </w:tc>
        <w:tc>
          <w:tcPr>
            <w:tcW w:w="649" w:type="pct"/>
            <w:tcBorders>
              <w:top w:val="nil"/>
              <w:left w:val="nil"/>
              <w:bottom w:val="single" w:sz="4" w:space="0" w:color="auto"/>
              <w:right w:val="nil"/>
            </w:tcBorders>
            <w:hideMark/>
          </w:tcPr>
          <w:p w14:paraId="46BAF43A"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All Suburbs</w:t>
            </w:r>
          </w:p>
        </w:tc>
        <w:tc>
          <w:tcPr>
            <w:tcW w:w="659" w:type="pct"/>
            <w:tcBorders>
              <w:top w:val="nil"/>
              <w:left w:val="nil"/>
              <w:bottom w:val="single" w:sz="4" w:space="0" w:color="auto"/>
              <w:right w:val="nil"/>
            </w:tcBorders>
            <w:hideMark/>
          </w:tcPr>
          <w:p w14:paraId="0D382878"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All City Suburbs</w:t>
            </w:r>
          </w:p>
        </w:tc>
        <w:tc>
          <w:tcPr>
            <w:tcW w:w="838" w:type="pct"/>
            <w:tcBorders>
              <w:top w:val="nil"/>
              <w:left w:val="nil"/>
              <w:bottom w:val="single" w:sz="4" w:space="0" w:color="auto"/>
              <w:right w:val="nil"/>
            </w:tcBorders>
            <w:hideMark/>
          </w:tcPr>
          <w:p w14:paraId="3E753D70"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Subset States Suburbs</w:t>
            </w:r>
          </w:p>
        </w:tc>
        <w:tc>
          <w:tcPr>
            <w:tcW w:w="838" w:type="pct"/>
            <w:tcBorders>
              <w:top w:val="nil"/>
              <w:left w:val="nil"/>
              <w:bottom w:val="single" w:sz="4" w:space="0" w:color="auto"/>
              <w:right w:val="nil"/>
            </w:tcBorders>
            <w:hideMark/>
          </w:tcPr>
          <w:p w14:paraId="32C2D438"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Subset City Suburbs</w:t>
            </w:r>
          </w:p>
        </w:tc>
        <w:tc>
          <w:tcPr>
            <w:tcW w:w="837" w:type="pct"/>
            <w:tcBorders>
              <w:top w:val="nil"/>
              <w:left w:val="nil"/>
              <w:bottom w:val="single" w:sz="4" w:space="0" w:color="auto"/>
              <w:right w:val="nil"/>
            </w:tcBorders>
            <w:hideMark/>
          </w:tcPr>
          <w:p w14:paraId="77543CB6"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Subset City Suburbs &amp;</w:t>
            </w:r>
          </w:p>
          <w:p w14:paraId="75AA002F"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Controls</w:t>
            </w:r>
          </w:p>
        </w:tc>
      </w:tr>
      <w:tr w:rsidR="00B44672" w:rsidRPr="00F54215" w14:paraId="54D77FC7" w14:textId="77777777" w:rsidTr="00A948E5">
        <w:trPr>
          <w:jc w:val="center"/>
        </w:trPr>
        <w:tc>
          <w:tcPr>
            <w:tcW w:w="1178" w:type="pct"/>
            <w:tcBorders>
              <w:top w:val="single" w:sz="4" w:space="0" w:color="auto"/>
              <w:left w:val="nil"/>
              <w:bottom w:val="nil"/>
              <w:right w:val="nil"/>
            </w:tcBorders>
          </w:tcPr>
          <w:p w14:paraId="4E843FA9" w14:textId="77777777" w:rsidR="00B44672" w:rsidRPr="00F54215" w:rsidRDefault="00B44672">
            <w:pPr>
              <w:widowControl w:val="0"/>
              <w:autoSpaceDE w:val="0"/>
              <w:autoSpaceDN w:val="0"/>
              <w:adjustRightInd w:val="0"/>
              <w:spacing w:after="0"/>
              <w:rPr>
                <w:rFonts w:cstheme="minorHAnsi"/>
                <w:sz w:val="22"/>
              </w:rPr>
            </w:pPr>
          </w:p>
        </w:tc>
        <w:tc>
          <w:tcPr>
            <w:tcW w:w="649" w:type="pct"/>
            <w:tcBorders>
              <w:top w:val="single" w:sz="4" w:space="0" w:color="auto"/>
              <w:left w:val="nil"/>
              <w:bottom w:val="nil"/>
              <w:right w:val="nil"/>
            </w:tcBorders>
          </w:tcPr>
          <w:p w14:paraId="428B1FE5" w14:textId="77777777" w:rsidR="00B44672" w:rsidRPr="00F54215" w:rsidRDefault="00B44672">
            <w:pPr>
              <w:widowControl w:val="0"/>
              <w:autoSpaceDE w:val="0"/>
              <w:autoSpaceDN w:val="0"/>
              <w:adjustRightInd w:val="0"/>
              <w:spacing w:after="0"/>
              <w:jc w:val="center"/>
              <w:rPr>
                <w:rFonts w:cstheme="minorHAnsi"/>
                <w:sz w:val="22"/>
              </w:rPr>
            </w:pPr>
          </w:p>
        </w:tc>
        <w:tc>
          <w:tcPr>
            <w:tcW w:w="659" w:type="pct"/>
            <w:tcBorders>
              <w:top w:val="single" w:sz="4" w:space="0" w:color="auto"/>
              <w:left w:val="nil"/>
              <w:bottom w:val="nil"/>
              <w:right w:val="nil"/>
            </w:tcBorders>
          </w:tcPr>
          <w:p w14:paraId="6E536470" w14:textId="77777777" w:rsidR="00B44672" w:rsidRPr="00F54215" w:rsidRDefault="00B44672">
            <w:pPr>
              <w:widowControl w:val="0"/>
              <w:autoSpaceDE w:val="0"/>
              <w:autoSpaceDN w:val="0"/>
              <w:adjustRightInd w:val="0"/>
              <w:spacing w:after="0"/>
              <w:jc w:val="center"/>
              <w:rPr>
                <w:rFonts w:cstheme="minorHAnsi"/>
                <w:sz w:val="22"/>
              </w:rPr>
            </w:pPr>
          </w:p>
        </w:tc>
        <w:tc>
          <w:tcPr>
            <w:tcW w:w="838" w:type="pct"/>
            <w:tcBorders>
              <w:top w:val="single" w:sz="4" w:space="0" w:color="auto"/>
              <w:left w:val="nil"/>
              <w:bottom w:val="nil"/>
              <w:right w:val="nil"/>
            </w:tcBorders>
          </w:tcPr>
          <w:p w14:paraId="10410B23" w14:textId="77777777" w:rsidR="00B44672" w:rsidRPr="00F54215" w:rsidRDefault="00B44672">
            <w:pPr>
              <w:widowControl w:val="0"/>
              <w:autoSpaceDE w:val="0"/>
              <w:autoSpaceDN w:val="0"/>
              <w:adjustRightInd w:val="0"/>
              <w:spacing w:after="0"/>
              <w:jc w:val="center"/>
              <w:rPr>
                <w:rFonts w:cstheme="minorHAnsi"/>
                <w:sz w:val="22"/>
              </w:rPr>
            </w:pPr>
          </w:p>
        </w:tc>
        <w:tc>
          <w:tcPr>
            <w:tcW w:w="838" w:type="pct"/>
            <w:tcBorders>
              <w:top w:val="single" w:sz="4" w:space="0" w:color="auto"/>
              <w:left w:val="nil"/>
              <w:bottom w:val="nil"/>
              <w:right w:val="nil"/>
            </w:tcBorders>
          </w:tcPr>
          <w:p w14:paraId="2A54E74D" w14:textId="77777777" w:rsidR="00B44672" w:rsidRPr="00F54215" w:rsidRDefault="00B44672">
            <w:pPr>
              <w:widowControl w:val="0"/>
              <w:autoSpaceDE w:val="0"/>
              <w:autoSpaceDN w:val="0"/>
              <w:adjustRightInd w:val="0"/>
              <w:spacing w:after="0"/>
              <w:jc w:val="center"/>
              <w:rPr>
                <w:rFonts w:cstheme="minorHAnsi"/>
                <w:sz w:val="22"/>
              </w:rPr>
            </w:pPr>
          </w:p>
        </w:tc>
        <w:tc>
          <w:tcPr>
            <w:tcW w:w="837" w:type="pct"/>
            <w:tcBorders>
              <w:top w:val="single" w:sz="4" w:space="0" w:color="auto"/>
              <w:left w:val="nil"/>
              <w:bottom w:val="nil"/>
              <w:right w:val="nil"/>
            </w:tcBorders>
          </w:tcPr>
          <w:p w14:paraId="163A478C" w14:textId="77777777" w:rsidR="00B44672" w:rsidRPr="00F54215" w:rsidRDefault="00B44672">
            <w:pPr>
              <w:widowControl w:val="0"/>
              <w:autoSpaceDE w:val="0"/>
              <w:autoSpaceDN w:val="0"/>
              <w:adjustRightInd w:val="0"/>
              <w:spacing w:after="0"/>
              <w:jc w:val="center"/>
              <w:rPr>
                <w:rFonts w:cstheme="minorHAnsi"/>
                <w:sz w:val="22"/>
              </w:rPr>
            </w:pPr>
          </w:p>
        </w:tc>
      </w:tr>
      <w:tr w:rsidR="00B44672" w:rsidRPr="00F54215" w14:paraId="64992CBC" w14:textId="77777777" w:rsidTr="00A948E5">
        <w:trPr>
          <w:jc w:val="center"/>
        </w:trPr>
        <w:tc>
          <w:tcPr>
            <w:tcW w:w="1178" w:type="pct"/>
            <w:hideMark/>
          </w:tcPr>
          <w:p w14:paraId="6A4DDECA" w14:textId="77777777" w:rsidR="00B44672" w:rsidRPr="00F54215" w:rsidRDefault="00B44672">
            <w:pPr>
              <w:widowControl w:val="0"/>
              <w:autoSpaceDE w:val="0"/>
              <w:autoSpaceDN w:val="0"/>
              <w:adjustRightInd w:val="0"/>
              <w:spacing w:after="0"/>
              <w:rPr>
                <w:rFonts w:cstheme="minorHAnsi"/>
                <w:sz w:val="22"/>
              </w:rPr>
            </w:pPr>
            <w:r w:rsidRPr="00F54215">
              <w:rPr>
                <w:rFonts w:cstheme="minorHAnsi"/>
                <w:sz w:val="22"/>
              </w:rPr>
              <w:t xml:space="preserve">Trend Test </w:t>
            </w:r>
          </w:p>
        </w:tc>
        <w:tc>
          <w:tcPr>
            <w:tcW w:w="649" w:type="pct"/>
            <w:hideMark/>
          </w:tcPr>
          <w:p w14:paraId="4868E1FE"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0.002</w:t>
            </w:r>
          </w:p>
        </w:tc>
        <w:tc>
          <w:tcPr>
            <w:tcW w:w="659" w:type="pct"/>
            <w:hideMark/>
          </w:tcPr>
          <w:p w14:paraId="7AB2BBB7"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0.003</w:t>
            </w:r>
          </w:p>
        </w:tc>
        <w:tc>
          <w:tcPr>
            <w:tcW w:w="838" w:type="pct"/>
            <w:hideMark/>
          </w:tcPr>
          <w:p w14:paraId="35D851A5"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0.002</w:t>
            </w:r>
          </w:p>
        </w:tc>
        <w:tc>
          <w:tcPr>
            <w:tcW w:w="838" w:type="pct"/>
            <w:hideMark/>
          </w:tcPr>
          <w:p w14:paraId="46C0EBA7"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0.003</w:t>
            </w:r>
          </w:p>
        </w:tc>
        <w:tc>
          <w:tcPr>
            <w:tcW w:w="837" w:type="pct"/>
            <w:hideMark/>
          </w:tcPr>
          <w:p w14:paraId="721D2ECC"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0.005</w:t>
            </w:r>
          </w:p>
        </w:tc>
      </w:tr>
      <w:tr w:rsidR="00B44672" w:rsidRPr="00F54215" w14:paraId="77AC48B2" w14:textId="77777777" w:rsidTr="00A948E5">
        <w:trPr>
          <w:jc w:val="center"/>
        </w:trPr>
        <w:tc>
          <w:tcPr>
            <w:tcW w:w="1178" w:type="pct"/>
          </w:tcPr>
          <w:p w14:paraId="63562666" w14:textId="77777777" w:rsidR="00B44672" w:rsidRPr="00F54215" w:rsidRDefault="00B44672">
            <w:pPr>
              <w:widowControl w:val="0"/>
              <w:autoSpaceDE w:val="0"/>
              <w:autoSpaceDN w:val="0"/>
              <w:adjustRightInd w:val="0"/>
              <w:spacing w:after="0"/>
              <w:rPr>
                <w:rFonts w:cstheme="minorHAnsi"/>
                <w:sz w:val="22"/>
              </w:rPr>
            </w:pPr>
            <w:r>
              <w:rPr>
                <w:rFonts w:cstheme="minorHAnsi"/>
                <w:sz w:val="22"/>
              </w:rPr>
              <w:t>Standard error</w:t>
            </w:r>
          </w:p>
        </w:tc>
        <w:tc>
          <w:tcPr>
            <w:tcW w:w="649" w:type="pct"/>
            <w:hideMark/>
          </w:tcPr>
          <w:p w14:paraId="7B0C0BCA"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[0.002]</w:t>
            </w:r>
          </w:p>
        </w:tc>
        <w:tc>
          <w:tcPr>
            <w:tcW w:w="659" w:type="pct"/>
            <w:hideMark/>
          </w:tcPr>
          <w:p w14:paraId="182D4470"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[0.002]</w:t>
            </w:r>
          </w:p>
        </w:tc>
        <w:tc>
          <w:tcPr>
            <w:tcW w:w="838" w:type="pct"/>
            <w:hideMark/>
          </w:tcPr>
          <w:p w14:paraId="1BA74080"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[0.002]</w:t>
            </w:r>
          </w:p>
        </w:tc>
        <w:tc>
          <w:tcPr>
            <w:tcW w:w="838" w:type="pct"/>
            <w:hideMark/>
          </w:tcPr>
          <w:p w14:paraId="7A6230BC"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[0.002]</w:t>
            </w:r>
          </w:p>
        </w:tc>
        <w:tc>
          <w:tcPr>
            <w:tcW w:w="837" w:type="pct"/>
            <w:hideMark/>
          </w:tcPr>
          <w:p w14:paraId="23F48C04"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[0.003]</w:t>
            </w:r>
          </w:p>
        </w:tc>
      </w:tr>
      <w:tr w:rsidR="00B44672" w:rsidRPr="00F54215" w14:paraId="4373E823" w14:textId="77777777" w:rsidTr="00A948E5">
        <w:trPr>
          <w:jc w:val="center"/>
        </w:trPr>
        <w:tc>
          <w:tcPr>
            <w:tcW w:w="1178" w:type="pct"/>
          </w:tcPr>
          <w:p w14:paraId="276DCD4D" w14:textId="77777777" w:rsidR="00B44672" w:rsidRPr="00F54215" w:rsidRDefault="00B44672">
            <w:pPr>
              <w:widowControl w:val="0"/>
              <w:autoSpaceDE w:val="0"/>
              <w:autoSpaceDN w:val="0"/>
              <w:adjustRightInd w:val="0"/>
              <w:spacing w:after="0"/>
              <w:rPr>
                <w:rFonts w:cstheme="minorHAnsi"/>
                <w:sz w:val="22"/>
              </w:rPr>
            </w:pPr>
          </w:p>
        </w:tc>
        <w:tc>
          <w:tcPr>
            <w:tcW w:w="649" w:type="pct"/>
          </w:tcPr>
          <w:p w14:paraId="3A69C788" w14:textId="77777777" w:rsidR="00B44672" w:rsidRPr="00F54215" w:rsidRDefault="00B44672">
            <w:pPr>
              <w:widowControl w:val="0"/>
              <w:autoSpaceDE w:val="0"/>
              <w:autoSpaceDN w:val="0"/>
              <w:adjustRightInd w:val="0"/>
              <w:spacing w:after="0"/>
              <w:jc w:val="center"/>
              <w:rPr>
                <w:rFonts w:cstheme="minorHAnsi"/>
                <w:sz w:val="22"/>
              </w:rPr>
            </w:pPr>
          </w:p>
        </w:tc>
        <w:tc>
          <w:tcPr>
            <w:tcW w:w="659" w:type="pct"/>
          </w:tcPr>
          <w:p w14:paraId="07188DF7" w14:textId="77777777" w:rsidR="00B44672" w:rsidRPr="00F54215" w:rsidRDefault="00B44672">
            <w:pPr>
              <w:widowControl w:val="0"/>
              <w:autoSpaceDE w:val="0"/>
              <w:autoSpaceDN w:val="0"/>
              <w:adjustRightInd w:val="0"/>
              <w:spacing w:after="0"/>
              <w:jc w:val="center"/>
              <w:rPr>
                <w:rFonts w:cstheme="minorHAnsi"/>
                <w:sz w:val="22"/>
              </w:rPr>
            </w:pPr>
          </w:p>
        </w:tc>
        <w:tc>
          <w:tcPr>
            <w:tcW w:w="838" w:type="pct"/>
          </w:tcPr>
          <w:p w14:paraId="540B033D" w14:textId="77777777" w:rsidR="00B44672" w:rsidRPr="00F54215" w:rsidRDefault="00B44672">
            <w:pPr>
              <w:widowControl w:val="0"/>
              <w:autoSpaceDE w:val="0"/>
              <w:autoSpaceDN w:val="0"/>
              <w:adjustRightInd w:val="0"/>
              <w:spacing w:after="0"/>
              <w:jc w:val="center"/>
              <w:rPr>
                <w:rFonts w:cstheme="minorHAnsi"/>
                <w:sz w:val="22"/>
              </w:rPr>
            </w:pPr>
          </w:p>
        </w:tc>
        <w:tc>
          <w:tcPr>
            <w:tcW w:w="838" w:type="pct"/>
          </w:tcPr>
          <w:p w14:paraId="45881214" w14:textId="77777777" w:rsidR="00B44672" w:rsidRPr="00F54215" w:rsidRDefault="00B44672">
            <w:pPr>
              <w:widowControl w:val="0"/>
              <w:autoSpaceDE w:val="0"/>
              <w:autoSpaceDN w:val="0"/>
              <w:adjustRightInd w:val="0"/>
              <w:spacing w:after="0"/>
              <w:jc w:val="center"/>
              <w:rPr>
                <w:rFonts w:cstheme="minorHAnsi"/>
                <w:sz w:val="22"/>
              </w:rPr>
            </w:pPr>
          </w:p>
        </w:tc>
        <w:tc>
          <w:tcPr>
            <w:tcW w:w="837" w:type="pct"/>
          </w:tcPr>
          <w:p w14:paraId="102A57B8" w14:textId="77777777" w:rsidR="00B44672" w:rsidRPr="00F54215" w:rsidRDefault="00B44672">
            <w:pPr>
              <w:widowControl w:val="0"/>
              <w:autoSpaceDE w:val="0"/>
              <w:autoSpaceDN w:val="0"/>
              <w:adjustRightInd w:val="0"/>
              <w:spacing w:after="0"/>
              <w:jc w:val="center"/>
              <w:rPr>
                <w:rFonts w:cstheme="minorHAnsi"/>
                <w:sz w:val="22"/>
              </w:rPr>
            </w:pPr>
          </w:p>
        </w:tc>
      </w:tr>
      <w:tr w:rsidR="00B44672" w:rsidRPr="00F54215" w14:paraId="1E8C6F23" w14:textId="77777777" w:rsidTr="00A948E5">
        <w:trPr>
          <w:jc w:val="center"/>
        </w:trPr>
        <w:tc>
          <w:tcPr>
            <w:tcW w:w="1178" w:type="pct"/>
            <w:hideMark/>
          </w:tcPr>
          <w:p w14:paraId="509D6CB1" w14:textId="77777777" w:rsidR="00B44672" w:rsidRPr="00F54215" w:rsidRDefault="00B44672" w:rsidP="00A948E5">
            <w:pPr>
              <w:widowControl w:val="0"/>
              <w:autoSpaceDE w:val="0"/>
              <w:autoSpaceDN w:val="0"/>
              <w:adjustRightInd w:val="0"/>
              <w:spacing w:after="0"/>
              <w:rPr>
                <w:rFonts w:cstheme="minorHAnsi"/>
                <w:sz w:val="22"/>
              </w:rPr>
            </w:pPr>
            <w:r w:rsidRPr="00F54215">
              <w:rPr>
                <w:rFonts w:cstheme="minorHAnsi"/>
                <w:sz w:val="22"/>
              </w:rPr>
              <w:t>Observations</w:t>
            </w:r>
          </w:p>
        </w:tc>
        <w:tc>
          <w:tcPr>
            <w:tcW w:w="649" w:type="pct"/>
            <w:hideMark/>
          </w:tcPr>
          <w:p w14:paraId="425FA44F"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136,707</w:t>
            </w:r>
          </w:p>
        </w:tc>
        <w:tc>
          <w:tcPr>
            <w:tcW w:w="659" w:type="pct"/>
            <w:hideMark/>
          </w:tcPr>
          <w:p w14:paraId="6A2F34A7"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65,467</w:t>
            </w:r>
          </w:p>
        </w:tc>
        <w:tc>
          <w:tcPr>
            <w:tcW w:w="838" w:type="pct"/>
            <w:hideMark/>
          </w:tcPr>
          <w:p w14:paraId="3003CF39"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98,425</w:t>
            </w:r>
          </w:p>
        </w:tc>
        <w:tc>
          <w:tcPr>
            <w:tcW w:w="838" w:type="pct"/>
            <w:hideMark/>
          </w:tcPr>
          <w:p w14:paraId="1D318E68"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43,964</w:t>
            </w:r>
          </w:p>
        </w:tc>
        <w:tc>
          <w:tcPr>
            <w:tcW w:w="837" w:type="pct"/>
            <w:hideMark/>
          </w:tcPr>
          <w:p w14:paraId="1130F750"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43,964</w:t>
            </w:r>
          </w:p>
        </w:tc>
      </w:tr>
      <w:tr w:rsidR="00B44672" w:rsidRPr="00F54215" w14:paraId="229AC1DA" w14:textId="77777777" w:rsidTr="00A948E5">
        <w:trPr>
          <w:jc w:val="center"/>
        </w:trPr>
        <w:tc>
          <w:tcPr>
            <w:tcW w:w="1178" w:type="pct"/>
            <w:tcBorders>
              <w:top w:val="nil"/>
              <w:left w:val="nil"/>
              <w:bottom w:val="single" w:sz="6" w:space="0" w:color="auto"/>
              <w:right w:val="nil"/>
            </w:tcBorders>
            <w:hideMark/>
          </w:tcPr>
          <w:p w14:paraId="0C90589A" w14:textId="77777777" w:rsidR="00B44672" w:rsidRPr="00F54215" w:rsidRDefault="00B44672" w:rsidP="00A948E5">
            <w:pPr>
              <w:widowControl w:val="0"/>
              <w:autoSpaceDE w:val="0"/>
              <w:autoSpaceDN w:val="0"/>
              <w:adjustRightInd w:val="0"/>
              <w:spacing w:after="0"/>
              <w:rPr>
                <w:rFonts w:cstheme="minorHAnsi"/>
                <w:sz w:val="22"/>
              </w:rPr>
            </w:pPr>
            <w:r w:rsidRPr="00F54215">
              <w:rPr>
                <w:rFonts w:cstheme="minorHAnsi"/>
                <w:sz w:val="22"/>
              </w:rPr>
              <w:t>R-squared</w:t>
            </w:r>
          </w:p>
        </w:tc>
        <w:tc>
          <w:tcPr>
            <w:tcW w:w="649" w:type="pct"/>
            <w:tcBorders>
              <w:top w:val="nil"/>
              <w:left w:val="nil"/>
              <w:bottom w:val="single" w:sz="6" w:space="0" w:color="auto"/>
              <w:right w:val="nil"/>
            </w:tcBorders>
            <w:hideMark/>
          </w:tcPr>
          <w:p w14:paraId="18A3B8FB"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0.792</w:t>
            </w:r>
          </w:p>
        </w:tc>
        <w:tc>
          <w:tcPr>
            <w:tcW w:w="659" w:type="pct"/>
            <w:tcBorders>
              <w:top w:val="nil"/>
              <w:left w:val="nil"/>
              <w:bottom w:val="single" w:sz="6" w:space="0" w:color="auto"/>
              <w:right w:val="nil"/>
            </w:tcBorders>
            <w:hideMark/>
          </w:tcPr>
          <w:p w14:paraId="5BFC2F07"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0.736</w:t>
            </w:r>
          </w:p>
        </w:tc>
        <w:tc>
          <w:tcPr>
            <w:tcW w:w="838" w:type="pct"/>
            <w:tcBorders>
              <w:top w:val="nil"/>
              <w:left w:val="nil"/>
              <w:bottom w:val="single" w:sz="6" w:space="0" w:color="auto"/>
              <w:right w:val="nil"/>
            </w:tcBorders>
            <w:hideMark/>
          </w:tcPr>
          <w:p w14:paraId="74A50212"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0.801</w:t>
            </w:r>
          </w:p>
        </w:tc>
        <w:tc>
          <w:tcPr>
            <w:tcW w:w="838" w:type="pct"/>
            <w:tcBorders>
              <w:top w:val="nil"/>
              <w:left w:val="nil"/>
              <w:bottom w:val="single" w:sz="6" w:space="0" w:color="auto"/>
              <w:right w:val="nil"/>
            </w:tcBorders>
            <w:hideMark/>
          </w:tcPr>
          <w:p w14:paraId="794D6745"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0.750</w:t>
            </w:r>
          </w:p>
        </w:tc>
        <w:tc>
          <w:tcPr>
            <w:tcW w:w="837" w:type="pct"/>
            <w:tcBorders>
              <w:top w:val="nil"/>
              <w:left w:val="nil"/>
              <w:bottom w:val="single" w:sz="6" w:space="0" w:color="auto"/>
              <w:right w:val="nil"/>
            </w:tcBorders>
            <w:hideMark/>
          </w:tcPr>
          <w:p w14:paraId="297FB04A"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0.751</w:t>
            </w:r>
          </w:p>
        </w:tc>
      </w:tr>
    </w:tbl>
    <w:p w14:paraId="260BA02A"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Robust standard errors in brackets; ** p&lt;0.01, * p&lt;0.05</w:t>
      </w:r>
    </w:p>
    <w:p w14:paraId="270C282D" w14:textId="77777777" w:rsidR="00B44672" w:rsidRPr="00F54215" w:rsidRDefault="00B44672" w:rsidP="00F54215">
      <w:pPr>
        <w:widowControl w:val="0"/>
        <w:autoSpaceDE w:val="0"/>
        <w:autoSpaceDN w:val="0"/>
        <w:adjustRightInd w:val="0"/>
        <w:spacing w:after="0"/>
        <w:jc w:val="center"/>
        <w:rPr>
          <w:rFonts w:cstheme="minorHAnsi"/>
          <w:b/>
          <w:bCs/>
          <w:i/>
          <w:color w:val="365F91" w:themeColor="accent1" w:themeShade="BF"/>
        </w:rPr>
      </w:pPr>
    </w:p>
    <w:p w14:paraId="186E13AD" w14:textId="6F19F566" w:rsidR="00B44672" w:rsidRPr="00F54215" w:rsidRDefault="00B44672" w:rsidP="00F54215">
      <w:pPr>
        <w:pStyle w:val="Caption"/>
        <w:rPr>
          <w:rFonts w:cstheme="minorHAnsi"/>
          <w:b/>
          <w:bCs/>
          <w:i w:val="0"/>
          <w:iCs/>
          <w:color w:val="365F91" w:themeColor="accent1" w:themeShade="BF"/>
        </w:rPr>
      </w:pPr>
      <w:r w:rsidRPr="00F54215">
        <w:rPr>
          <w:b/>
          <w:bCs/>
          <w:color w:val="365F91" w:themeColor="accent1" w:themeShade="BF"/>
        </w:rPr>
        <w:t xml:space="preserve">Table </w:t>
      </w:r>
      <w:r w:rsidRPr="00F54215">
        <w:rPr>
          <w:b/>
          <w:bCs/>
          <w:i w:val="0"/>
          <w:iCs/>
          <w:color w:val="365F91" w:themeColor="accent1" w:themeShade="BF"/>
        </w:rPr>
        <w:fldChar w:fldCharType="begin"/>
      </w:r>
      <w:r w:rsidRPr="00F54215">
        <w:rPr>
          <w:b/>
          <w:bCs/>
          <w:color w:val="365F91" w:themeColor="accent1" w:themeShade="BF"/>
        </w:rPr>
        <w:instrText xml:space="preserve"> SEQ Table \* ARABIC </w:instrText>
      </w:r>
      <w:r w:rsidRPr="00F54215">
        <w:rPr>
          <w:b/>
          <w:bCs/>
          <w:i w:val="0"/>
          <w:iCs/>
          <w:color w:val="365F91" w:themeColor="accent1" w:themeShade="BF"/>
        </w:rPr>
        <w:fldChar w:fldCharType="separate"/>
      </w:r>
      <w:r w:rsidR="00A763B6">
        <w:rPr>
          <w:b/>
          <w:bCs/>
          <w:noProof/>
          <w:color w:val="365F91" w:themeColor="accent1" w:themeShade="BF"/>
        </w:rPr>
        <w:t>21</w:t>
      </w:r>
      <w:r w:rsidRPr="00F54215">
        <w:rPr>
          <w:b/>
          <w:bCs/>
          <w:i w:val="0"/>
          <w:iCs/>
          <w:color w:val="365F91" w:themeColor="accent1" w:themeShade="BF"/>
        </w:rPr>
        <w:fldChar w:fldCharType="end"/>
      </w:r>
      <w:r w:rsidRPr="00F54215">
        <w:rPr>
          <w:b/>
          <w:bCs/>
          <w:color w:val="365F91" w:themeColor="accent1" w:themeShade="BF"/>
        </w:rPr>
        <w:t xml:space="preserve"> - Common trend assumption tests - property prices</w:t>
      </w:r>
    </w:p>
    <w:tbl>
      <w:tblPr>
        <w:tblW w:w="5000" w:type="pct"/>
        <w:jc w:val="center"/>
        <w:tblCellMar>
          <w:left w:w="75" w:type="dxa"/>
          <w:right w:w="75" w:type="dxa"/>
        </w:tblCellMar>
        <w:tblLook w:val="04A0" w:firstRow="1" w:lastRow="0" w:firstColumn="1" w:lastColumn="0" w:noHBand="0" w:noVBand="1"/>
      </w:tblPr>
      <w:tblGrid>
        <w:gridCol w:w="2127"/>
        <w:gridCol w:w="1172"/>
        <w:gridCol w:w="1190"/>
        <w:gridCol w:w="1513"/>
        <w:gridCol w:w="1513"/>
        <w:gridCol w:w="1511"/>
      </w:tblGrid>
      <w:tr w:rsidR="00B44672" w:rsidRPr="00F54215" w14:paraId="27ADD330" w14:textId="77777777" w:rsidTr="00D123F1">
        <w:trPr>
          <w:jc w:val="center"/>
        </w:trPr>
        <w:tc>
          <w:tcPr>
            <w:tcW w:w="1178" w:type="pct"/>
            <w:tcBorders>
              <w:top w:val="single" w:sz="6" w:space="0" w:color="auto"/>
              <w:left w:val="nil"/>
              <w:bottom w:val="nil"/>
              <w:right w:val="nil"/>
            </w:tcBorders>
            <w:hideMark/>
          </w:tcPr>
          <w:p w14:paraId="51F598B5" w14:textId="77777777" w:rsidR="00B44672" w:rsidRPr="00F54215" w:rsidRDefault="00B44672" w:rsidP="00625E60">
            <w:pPr>
              <w:widowControl w:val="0"/>
              <w:autoSpaceDE w:val="0"/>
              <w:autoSpaceDN w:val="0"/>
              <w:adjustRightInd w:val="0"/>
              <w:spacing w:after="0"/>
              <w:rPr>
                <w:rFonts w:cstheme="minorHAnsi"/>
                <w:sz w:val="22"/>
              </w:rPr>
            </w:pPr>
            <w:proofErr w:type="gramStart"/>
            <w:r w:rsidRPr="00F54215">
              <w:rPr>
                <w:rFonts w:cstheme="minorHAnsi"/>
                <w:sz w:val="22"/>
              </w:rPr>
              <w:t>Log(</w:t>
            </w:r>
            <w:proofErr w:type="gramEnd"/>
            <w:r w:rsidRPr="00F54215">
              <w:rPr>
                <w:rFonts w:cstheme="minorHAnsi"/>
                <w:sz w:val="22"/>
              </w:rPr>
              <w:t xml:space="preserve">Property Price) </w:t>
            </w:r>
          </w:p>
        </w:tc>
        <w:tc>
          <w:tcPr>
            <w:tcW w:w="649" w:type="pct"/>
            <w:tcBorders>
              <w:top w:val="single" w:sz="6" w:space="0" w:color="auto"/>
              <w:left w:val="nil"/>
              <w:bottom w:val="nil"/>
              <w:right w:val="nil"/>
            </w:tcBorders>
            <w:hideMark/>
          </w:tcPr>
          <w:p w14:paraId="55F02ED2"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(1)</w:t>
            </w:r>
          </w:p>
        </w:tc>
        <w:tc>
          <w:tcPr>
            <w:tcW w:w="659" w:type="pct"/>
            <w:tcBorders>
              <w:top w:val="single" w:sz="6" w:space="0" w:color="auto"/>
              <w:left w:val="nil"/>
              <w:bottom w:val="nil"/>
              <w:right w:val="nil"/>
            </w:tcBorders>
            <w:hideMark/>
          </w:tcPr>
          <w:p w14:paraId="7A410AAC"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(2)</w:t>
            </w:r>
          </w:p>
        </w:tc>
        <w:tc>
          <w:tcPr>
            <w:tcW w:w="838" w:type="pct"/>
            <w:tcBorders>
              <w:top w:val="single" w:sz="6" w:space="0" w:color="auto"/>
              <w:left w:val="nil"/>
              <w:bottom w:val="nil"/>
              <w:right w:val="nil"/>
            </w:tcBorders>
            <w:hideMark/>
          </w:tcPr>
          <w:p w14:paraId="2C436744"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(3)</w:t>
            </w:r>
          </w:p>
        </w:tc>
        <w:tc>
          <w:tcPr>
            <w:tcW w:w="838" w:type="pct"/>
            <w:tcBorders>
              <w:top w:val="single" w:sz="6" w:space="0" w:color="auto"/>
              <w:left w:val="nil"/>
              <w:bottom w:val="nil"/>
              <w:right w:val="nil"/>
            </w:tcBorders>
            <w:hideMark/>
          </w:tcPr>
          <w:p w14:paraId="30DD5C11"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(4)</w:t>
            </w:r>
          </w:p>
        </w:tc>
        <w:tc>
          <w:tcPr>
            <w:tcW w:w="837" w:type="pct"/>
            <w:tcBorders>
              <w:top w:val="single" w:sz="6" w:space="0" w:color="auto"/>
              <w:left w:val="nil"/>
              <w:bottom w:val="nil"/>
              <w:right w:val="nil"/>
            </w:tcBorders>
            <w:hideMark/>
          </w:tcPr>
          <w:p w14:paraId="3721D324"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(5)</w:t>
            </w:r>
          </w:p>
        </w:tc>
      </w:tr>
      <w:tr w:rsidR="00B44672" w:rsidRPr="00F54215" w14:paraId="35613BC3" w14:textId="77777777" w:rsidTr="00D123F1">
        <w:trPr>
          <w:jc w:val="center"/>
        </w:trPr>
        <w:tc>
          <w:tcPr>
            <w:tcW w:w="1178" w:type="pct"/>
            <w:tcBorders>
              <w:top w:val="nil"/>
              <w:left w:val="nil"/>
              <w:bottom w:val="single" w:sz="4" w:space="0" w:color="auto"/>
              <w:right w:val="nil"/>
            </w:tcBorders>
          </w:tcPr>
          <w:p w14:paraId="528B9A60" w14:textId="77777777" w:rsidR="00B44672" w:rsidRPr="00F54215" w:rsidRDefault="00B44672" w:rsidP="00D123F1">
            <w:pPr>
              <w:widowControl w:val="0"/>
              <w:autoSpaceDE w:val="0"/>
              <w:autoSpaceDN w:val="0"/>
              <w:adjustRightInd w:val="0"/>
              <w:spacing w:after="0"/>
              <w:rPr>
                <w:rFonts w:cstheme="minorHAnsi"/>
                <w:sz w:val="22"/>
              </w:rPr>
            </w:pPr>
          </w:p>
        </w:tc>
        <w:tc>
          <w:tcPr>
            <w:tcW w:w="649" w:type="pct"/>
            <w:tcBorders>
              <w:top w:val="nil"/>
              <w:left w:val="nil"/>
              <w:bottom w:val="single" w:sz="4" w:space="0" w:color="auto"/>
              <w:right w:val="nil"/>
            </w:tcBorders>
            <w:hideMark/>
          </w:tcPr>
          <w:p w14:paraId="50AE28B8"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All Suburbs</w:t>
            </w:r>
          </w:p>
        </w:tc>
        <w:tc>
          <w:tcPr>
            <w:tcW w:w="659" w:type="pct"/>
            <w:tcBorders>
              <w:top w:val="nil"/>
              <w:left w:val="nil"/>
              <w:bottom w:val="single" w:sz="4" w:space="0" w:color="auto"/>
              <w:right w:val="nil"/>
            </w:tcBorders>
            <w:hideMark/>
          </w:tcPr>
          <w:p w14:paraId="445CFE80"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All City Suburbs</w:t>
            </w:r>
          </w:p>
        </w:tc>
        <w:tc>
          <w:tcPr>
            <w:tcW w:w="838" w:type="pct"/>
            <w:tcBorders>
              <w:top w:val="nil"/>
              <w:left w:val="nil"/>
              <w:bottom w:val="single" w:sz="4" w:space="0" w:color="auto"/>
              <w:right w:val="nil"/>
            </w:tcBorders>
            <w:hideMark/>
          </w:tcPr>
          <w:p w14:paraId="3E9C3E4E"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Subset States Suburbs</w:t>
            </w:r>
          </w:p>
        </w:tc>
        <w:tc>
          <w:tcPr>
            <w:tcW w:w="838" w:type="pct"/>
            <w:tcBorders>
              <w:top w:val="nil"/>
              <w:left w:val="nil"/>
              <w:bottom w:val="single" w:sz="4" w:space="0" w:color="auto"/>
              <w:right w:val="nil"/>
            </w:tcBorders>
            <w:hideMark/>
          </w:tcPr>
          <w:p w14:paraId="0B0F0CF5"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Subset City Suburbs</w:t>
            </w:r>
          </w:p>
        </w:tc>
        <w:tc>
          <w:tcPr>
            <w:tcW w:w="837" w:type="pct"/>
            <w:tcBorders>
              <w:top w:val="nil"/>
              <w:left w:val="nil"/>
              <w:bottom w:val="single" w:sz="4" w:space="0" w:color="auto"/>
              <w:right w:val="nil"/>
            </w:tcBorders>
            <w:hideMark/>
          </w:tcPr>
          <w:p w14:paraId="5B70C594"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Subset City Suburbs &amp;</w:t>
            </w:r>
          </w:p>
          <w:p w14:paraId="1058AFE9"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Controls</w:t>
            </w:r>
          </w:p>
        </w:tc>
      </w:tr>
      <w:tr w:rsidR="00B44672" w:rsidRPr="00F54215" w14:paraId="6C30D89A" w14:textId="77777777" w:rsidTr="00D123F1">
        <w:trPr>
          <w:jc w:val="center"/>
        </w:trPr>
        <w:tc>
          <w:tcPr>
            <w:tcW w:w="1178" w:type="pct"/>
            <w:tcBorders>
              <w:top w:val="single" w:sz="4" w:space="0" w:color="auto"/>
              <w:left w:val="nil"/>
              <w:bottom w:val="nil"/>
              <w:right w:val="nil"/>
            </w:tcBorders>
          </w:tcPr>
          <w:p w14:paraId="6E3E7191" w14:textId="77777777" w:rsidR="00B44672" w:rsidRPr="00F54215" w:rsidRDefault="00B44672" w:rsidP="00D123F1">
            <w:pPr>
              <w:widowControl w:val="0"/>
              <w:autoSpaceDE w:val="0"/>
              <w:autoSpaceDN w:val="0"/>
              <w:adjustRightInd w:val="0"/>
              <w:spacing w:after="0"/>
              <w:rPr>
                <w:rFonts w:cstheme="minorHAnsi"/>
                <w:sz w:val="22"/>
              </w:rPr>
            </w:pPr>
          </w:p>
        </w:tc>
        <w:tc>
          <w:tcPr>
            <w:tcW w:w="649" w:type="pct"/>
            <w:tcBorders>
              <w:top w:val="single" w:sz="4" w:space="0" w:color="auto"/>
              <w:left w:val="nil"/>
              <w:bottom w:val="nil"/>
              <w:right w:val="nil"/>
            </w:tcBorders>
          </w:tcPr>
          <w:p w14:paraId="6C97BDAF"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659" w:type="pct"/>
            <w:tcBorders>
              <w:top w:val="single" w:sz="4" w:space="0" w:color="auto"/>
              <w:left w:val="nil"/>
              <w:bottom w:val="nil"/>
              <w:right w:val="nil"/>
            </w:tcBorders>
          </w:tcPr>
          <w:p w14:paraId="1454E614"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838" w:type="pct"/>
            <w:tcBorders>
              <w:top w:val="single" w:sz="4" w:space="0" w:color="auto"/>
              <w:left w:val="nil"/>
              <w:bottom w:val="nil"/>
              <w:right w:val="nil"/>
            </w:tcBorders>
          </w:tcPr>
          <w:p w14:paraId="180B385A"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838" w:type="pct"/>
            <w:tcBorders>
              <w:top w:val="single" w:sz="4" w:space="0" w:color="auto"/>
              <w:left w:val="nil"/>
              <w:bottom w:val="nil"/>
              <w:right w:val="nil"/>
            </w:tcBorders>
          </w:tcPr>
          <w:p w14:paraId="017D992F"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837" w:type="pct"/>
            <w:tcBorders>
              <w:top w:val="single" w:sz="4" w:space="0" w:color="auto"/>
              <w:left w:val="nil"/>
              <w:bottom w:val="nil"/>
              <w:right w:val="nil"/>
            </w:tcBorders>
          </w:tcPr>
          <w:p w14:paraId="4A6A544D" w14:textId="77777777" w:rsidR="00B44672" w:rsidRPr="00F54215" w:rsidRDefault="00B44672" w:rsidP="00D123F1">
            <w:pPr>
              <w:widowControl w:val="0"/>
              <w:autoSpaceDE w:val="0"/>
              <w:autoSpaceDN w:val="0"/>
              <w:adjustRightInd w:val="0"/>
              <w:spacing w:after="0"/>
              <w:jc w:val="center"/>
              <w:rPr>
                <w:rFonts w:cstheme="minorHAnsi"/>
                <w:sz w:val="22"/>
              </w:rPr>
            </w:pPr>
          </w:p>
        </w:tc>
      </w:tr>
      <w:tr w:rsidR="00B44672" w:rsidRPr="00F54215" w14:paraId="1A0DBA1E" w14:textId="77777777" w:rsidTr="00D123F1">
        <w:trPr>
          <w:jc w:val="center"/>
        </w:trPr>
        <w:tc>
          <w:tcPr>
            <w:tcW w:w="1178" w:type="pct"/>
            <w:hideMark/>
          </w:tcPr>
          <w:p w14:paraId="28F26DF4" w14:textId="77777777" w:rsidR="00B44672" w:rsidRPr="00F54215" w:rsidRDefault="00B44672" w:rsidP="00D123F1">
            <w:pPr>
              <w:widowControl w:val="0"/>
              <w:autoSpaceDE w:val="0"/>
              <w:autoSpaceDN w:val="0"/>
              <w:adjustRightInd w:val="0"/>
              <w:spacing w:after="0"/>
              <w:rPr>
                <w:rFonts w:cstheme="minorHAnsi"/>
                <w:sz w:val="22"/>
              </w:rPr>
            </w:pPr>
            <w:r w:rsidRPr="00F54215">
              <w:rPr>
                <w:rFonts w:cstheme="minorHAnsi"/>
                <w:sz w:val="22"/>
              </w:rPr>
              <w:t xml:space="preserve">Trend Test </w:t>
            </w:r>
          </w:p>
        </w:tc>
        <w:tc>
          <w:tcPr>
            <w:tcW w:w="649" w:type="pct"/>
            <w:hideMark/>
          </w:tcPr>
          <w:p w14:paraId="7770F397"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0.000</w:t>
            </w:r>
          </w:p>
        </w:tc>
        <w:tc>
          <w:tcPr>
            <w:tcW w:w="659" w:type="pct"/>
            <w:hideMark/>
          </w:tcPr>
          <w:p w14:paraId="433DF2C6"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0.000</w:t>
            </w:r>
          </w:p>
        </w:tc>
        <w:tc>
          <w:tcPr>
            <w:tcW w:w="838" w:type="pct"/>
            <w:hideMark/>
          </w:tcPr>
          <w:p w14:paraId="3A9766C7"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0.001</w:t>
            </w:r>
          </w:p>
        </w:tc>
        <w:tc>
          <w:tcPr>
            <w:tcW w:w="838" w:type="pct"/>
            <w:hideMark/>
          </w:tcPr>
          <w:p w14:paraId="5D4EB9C2"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0.001*</w:t>
            </w:r>
          </w:p>
        </w:tc>
        <w:tc>
          <w:tcPr>
            <w:tcW w:w="837" w:type="pct"/>
            <w:hideMark/>
          </w:tcPr>
          <w:p w14:paraId="30391CAC"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0.002</w:t>
            </w:r>
          </w:p>
        </w:tc>
      </w:tr>
      <w:tr w:rsidR="00B44672" w:rsidRPr="00F54215" w14:paraId="73BE68E6" w14:textId="77777777" w:rsidTr="00D123F1">
        <w:trPr>
          <w:jc w:val="center"/>
        </w:trPr>
        <w:tc>
          <w:tcPr>
            <w:tcW w:w="1178" w:type="pct"/>
          </w:tcPr>
          <w:p w14:paraId="1BA9DD41" w14:textId="77777777" w:rsidR="00B44672" w:rsidRPr="00F54215" w:rsidRDefault="00B44672" w:rsidP="00D123F1">
            <w:pPr>
              <w:widowControl w:val="0"/>
              <w:autoSpaceDE w:val="0"/>
              <w:autoSpaceDN w:val="0"/>
              <w:adjustRightInd w:val="0"/>
              <w:spacing w:after="0"/>
              <w:rPr>
                <w:rFonts w:cstheme="minorHAnsi"/>
                <w:sz w:val="22"/>
              </w:rPr>
            </w:pPr>
            <w:r>
              <w:rPr>
                <w:rFonts w:cstheme="minorHAnsi"/>
                <w:sz w:val="22"/>
              </w:rPr>
              <w:t>Standard error</w:t>
            </w:r>
          </w:p>
        </w:tc>
        <w:tc>
          <w:tcPr>
            <w:tcW w:w="649" w:type="pct"/>
            <w:hideMark/>
          </w:tcPr>
          <w:p w14:paraId="5E99BD9C"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[0.001]</w:t>
            </w:r>
          </w:p>
        </w:tc>
        <w:tc>
          <w:tcPr>
            <w:tcW w:w="659" w:type="pct"/>
            <w:hideMark/>
          </w:tcPr>
          <w:p w14:paraId="4B0BEFF3"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[0.001]</w:t>
            </w:r>
          </w:p>
        </w:tc>
        <w:tc>
          <w:tcPr>
            <w:tcW w:w="838" w:type="pct"/>
            <w:hideMark/>
          </w:tcPr>
          <w:p w14:paraId="240114CC"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[0.001]</w:t>
            </w:r>
          </w:p>
        </w:tc>
        <w:tc>
          <w:tcPr>
            <w:tcW w:w="838" w:type="pct"/>
            <w:hideMark/>
          </w:tcPr>
          <w:p w14:paraId="58878F94"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[0.001]</w:t>
            </w:r>
          </w:p>
        </w:tc>
        <w:tc>
          <w:tcPr>
            <w:tcW w:w="837" w:type="pct"/>
            <w:hideMark/>
          </w:tcPr>
          <w:p w14:paraId="639C06D1"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[0.001]</w:t>
            </w:r>
          </w:p>
        </w:tc>
      </w:tr>
      <w:tr w:rsidR="00B44672" w:rsidRPr="00F54215" w14:paraId="1D405053" w14:textId="77777777" w:rsidTr="00D123F1">
        <w:trPr>
          <w:jc w:val="center"/>
        </w:trPr>
        <w:tc>
          <w:tcPr>
            <w:tcW w:w="1178" w:type="pct"/>
          </w:tcPr>
          <w:p w14:paraId="6ACB2BC0" w14:textId="77777777" w:rsidR="00B44672" w:rsidRPr="00F54215" w:rsidRDefault="00B44672" w:rsidP="00D123F1">
            <w:pPr>
              <w:widowControl w:val="0"/>
              <w:autoSpaceDE w:val="0"/>
              <w:autoSpaceDN w:val="0"/>
              <w:adjustRightInd w:val="0"/>
              <w:spacing w:after="0"/>
              <w:rPr>
                <w:rFonts w:cstheme="minorHAnsi"/>
                <w:sz w:val="22"/>
              </w:rPr>
            </w:pPr>
          </w:p>
        </w:tc>
        <w:tc>
          <w:tcPr>
            <w:tcW w:w="649" w:type="pct"/>
          </w:tcPr>
          <w:p w14:paraId="0F5A49AF"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659" w:type="pct"/>
          </w:tcPr>
          <w:p w14:paraId="15C96577"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838" w:type="pct"/>
          </w:tcPr>
          <w:p w14:paraId="6A46441E"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838" w:type="pct"/>
          </w:tcPr>
          <w:p w14:paraId="24B03474"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837" w:type="pct"/>
          </w:tcPr>
          <w:p w14:paraId="16D8FBCB" w14:textId="77777777" w:rsidR="00B44672" w:rsidRPr="00F54215" w:rsidRDefault="00B44672" w:rsidP="00D123F1">
            <w:pPr>
              <w:widowControl w:val="0"/>
              <w:autoSpaceDE w:val="0"/>
              <w:autoSpaceDN w:val="0"/>
              <w:adjustRightInd w:val="0"/>
              <w:spacing w:after="0"/>
              <w:jc w:val="center"/>
              <w:rPr>
                <w:rFonts w:cstheme="minorHAnsi"/>
                <w:sz w:val="22"/>
              </w:rPr>
            </w:pPr>
          </w:p>
        </w:tc>
      </w:tr>
      <w:tr w:rsidR="00B44672" w:rsidRPr="00F54215" w14:paraId="0B9118EF" w14:textId="77777777" w:rsidTr="00D123F1">
        <w:trPr>
          <w:jc w:val="center"/>
        </w:trPr>
        <w:tc>
          <w:tcPr>
            <w:tcW w:w="1178" w:type="pct"/>
            <w:hideMark/>
          </w:tcPr>
          <w:p w14:paraId="47562EC2" w14:textId="77777777" w:rsidR="00B44672" w:rsidRPr="00F54215" w:rsidRDefault="00B44672" w:rsidP="00A948E5">
            <w:pPr>
              <w:widowControl w:val="0"/>
              <w:autoSpaceDE w:val="0"/>
              <w:autoSpaceDN w:val="0"/>
              <w:adjustRightInd w:val="0"/>
              <w:spacing w:after="0"/>
              <w:rPr>
                <w:rFonts w:cstheme="minorHAnsi"/>
                <w:sz w:val="22"/>
              </w:rPr>
            </w:pPr>
            <w:r w:rsidRPr="00F54215">
              <w:rPr>
                <w:rFonts w:cstheme="minorHAnsi"/>
                <w:sz w:val="22"/>
              </w:rPr>
              <w:t>Observations</w:t>
            </w:r>
          </w:p>
        </w:tc>
        <w:tc>
          <w:tcPr>
            <w:tcW w:w="649" w:type="pct"/>
            <w:hideMark/>
          </w:tcPr>
          <w:p w14:paraId="504CA191"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136,707</w:t>
            </w:r>
          </w:p>
        </w:tc>
        <w:tc>
          <w:tcPr>
            <w:tcW w:w="659" w:type="pct"/>
            <w:hideMark/>
          </w:tcPr>
          <w:p w14:paraId="26DF1065"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65,467</w:t>
            </w:r>
          </w:p>
        </w:tc>
        <w:tc>
          <w:tcPr>
            <w:tcW w:w="838" w:type="pct"/>
            <w:hideMark/>
          </w:tcPr>
          <w:p w14:paraId="5684A890"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98,425</w:t>
            </w:r>
          </w:p>
        </w:tc>
        <w:tc>
          <w:tcPr>
            <w:tcW w:w="838" w:type="pct"/>
            <w:hideMark/>
          </w:tcPr>
          <w:p w14:paraId="3A438D28"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34,022</w:t>
            </w:r>
          </w:p>
        </w:tc>
        <w:tc>
          <w:tcPr>
            <w:tcW w:w="837" w:type="pct"/>
            <w:hideMark/>
          </w:tcPr>
          <w:p w14:paraId="4C8B0023"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34,022</w:t>
            </w:r>
          </w:p>
        </w:tc>
      </w:tr>
      <w:tr w:rsidR="00B44672" w:rsidRPr="00F54215" w14:paraId="0FB963AC" w14:textId="77777777" w:rsidTr="00D123F1">
        <w:trPr>
          <w:jc w:val="center"/>
        </w:trPr>
        <w:tc>
          <w:tcPr>
            <w:tcW w:w="1178" w:type="pct"/>
            <w:tcBorders>
              <w:top w:val="nil"/>
              <w:left w:val="nil"/>
              <w:bottom w:val="single" w:sz="6" w:space="0" w:color="auto"/>
              <w:right w:val="nil"/>
            </w:tcBorders>
            <w:hideMark/>
          </w:tcPr>
          <w:p w14:paraId="5876309C" w14:textId="77777777" w:rsidR="00B44672" w:rsidRPr="00F54215" w:rsidRDefault="00B44672" w:rsidP="00A948E5">
            <w:pPr>
              <w:widowControl w:val="0"/>
              <w:autoSpaceDE w:val="0"/>
              <w:autoSpaceDN w:val="0"/>
              <w:adjustRightInd w:val="0"/>
              <w:spacing w:after="0"/>
              <w:rPr>
                <w:rFonts w:cstheme="minorHAnsi"/>
                <w:sz w:val="22"/>
              </w:rPr>
            </w:pPr>
            <w:r w:rsidRPr="00F54215">
              <w:rPr>
                <w:rFonts w:cstheme="minorHAnsi"/>
                <w:sz w:val="22"/>
              </w:rPr>
              <w:t>R-squared</w:t>
            </w:r>
          </w:p>
        </w:tc>
        <w:tc>
          <w:tcPr>
            <w:tcW w:w="649" w:type="pct"/>
            <w:tcBorders>
              <w:top w:val="nil"/>
              <w:left w:val="nil"/>
              <w:bottom w:val="single" w:sz="6" w:space="0" w:color="auto"/>
              <w:right w:val="nil"/>
            </w:tcBorders>
            <w:hideMark/>
          </w:tcPr>
          <w:p w14:paraId="4933BBD2"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0.776</w:t>
            </w:r>
          </w:p>
        </w:tc>
        <w:tc>
          <w:tcPr>
            <w:tcW w:w="659" w:type="pct"/>
            <w:tcBorders>
              <w:top w:val="nil"/>
              <w:left w:val="nil"/>
              <w:bottom w:val="single" w:sz="6" w:space="0" w:color="auto"/>
              <w:right w:val="nil"/>
            </w:tcBorders>
            <w:hideMark/>
          </w:tcPr>
          <w:p w14:paraId="60B93763"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0.806</w:t>
            </w:r>
          </w:p>
        </w:tc>
        <w:tc>
          <w:tcPr>
            <w:tcW w:w="838" w:type="pct"/>
            <w:tcBorders>
              <w:top w:val="nil"/>
              <w:left w:val="nil"/>
              <w:bottom w:val="single" w:sz="6" w:space="0" w:color="auto"/>
              <w:right w:val="nil"/>
            </w:tcBorders>
            <w:hideMark/>
          </w:tcPr>
          <w:p w14:paraId="3C8EB179"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0.785</w:t>
            </w:r>
          </w:p>
        </w:tc>
        <w:tc>
          <w:tcPr>
            <w:tcW w:w="838" w:type="pct"/>
            <w:tcBorders>
              <w:top w:val="nil"/>
              <w:left w:val="nil"/>
              <w:bottom w:val="single" w:sz="6" w:space="0" w:color="auto"/>
              <w:right w:val="nil"/>
            </w:tcBorders>
            <w:hideMark/>
          </w:tcPr>
          <w:p w14:paraId="493B46FF"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0.816</w:t>
            </w:r>
          </w:p>
        </w:tc>
        <w:tc>
          <w:tcPr>
            <w:tcW w:w="837" w:type="pct"/>
            <w:tcBorders>
              <w:top w:val="nil"/>
              <w:left w:val="nil"/>
              <w:bottom w:val="single" w:sz="6" w:space="0" w:color="auto"/>
              <w:right w:val="nil"/>
            </w:tcBorders>
            <w:hideMark/>
          </w:tcPr>
          <w:p w14:paraId="021F8EE4"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0.817</w:t>
            </w:r>
          </w:p>
        </w:tc>
      </w:tr>
    </w:tbl>
    <w:p w14:paraId="563182B8" w14:textId="77777777" w:rsidR="00B44672" w:rsidRPr="00F54215" w:rsidRDefault="00B44672" w:rsidP="00A948E5">
      <w:pPr>
        <w:widowControl w:val="0"/>
        <w:autoSpaceDE w:val="0"/>
        <w:autoSpaceDN w:val="0"/>
        <w:adjustRightInd w:val="0"/>
        <w:spacing w:after="0"/>
        <w:jc w:val="center"/>
        <w:rPr>
          <w:rFonts w:cstheme="minorHAnsi"/>
          <w:sz w:val="22"/>
        </w:rPr>
      </w:pPr>
      <w:r w:rsidRPr="00F54215">
        <w:rPr>
          <w:rFonts w:cstheme="minorHAnsi"/>
          <w:sz w:val="22"/>
        </w:rPr>
        <w:t>Robust standard errors in brackets; ** p&lt;0.01, * p&lt;0.05</w:t>
      </w:r>
    </w:p>
    <w:p w14:paraId="4470B764" w14:textId="77777777" w:rsidR="00B44672" w:rsidRPr="00F54215" w:rsidRDefault="00B44672" w:rsidP="00F54215">
      <w:pPr>
        <w:widowControl w:val="0"/>
        <w:autoSpaceDE w:val="0"/>
        <w:autoSpaceDN w:val="0"/>
        <w:adjustRightInd w:val="0"/>
        <w:spacing w:after="0"/>
        <w:jc w:val="center"/>
        <w:rPr>
          <w:rFonts w:cstheme="minorHAnsi"/>
          <w:b/>
          <w:bCs/>
          <w:i/>
          <w:color w:val="365F91" w:themeColor="accent1" w:themeShade="BF"/>
        </w:rPr>
      </w:pPr>
    </w:p>
    <w:p w14:paraId="33385C68" w14:textId="62C6D60D" w:rsidR="00B44672" w:rsidRPr="00F54215" w:rsidRDefault="00B44672" w:rsidP="00F54215">
      <w:pPr>
        <w:pStyle w:val="Caption"/>
        <w:rPr>
          <w:rFonts w:cstheme="minorHAnsi"/>
          <w:b/>
          <w:bCs/>
          <w:i w:val="0"/>
          <w:iCs/>
          <w:color w:val="365F91" w:themeColor="accent1" w:themeShade="BF"/>
        </w:rPr>
      </w:pPr>
      <w:r w:rsidRPr="00F54215">
        <w:rPr>
          <w:b/>
          <w:bCs/>
          <w:color w:val="365F91" w:themeColor="accent1" w:themeShade="BF"/>
        </w:rPr>
        <w:t xml:space="preserve">Table </w:t>
      </w:r>
      <w:r w:rsidRPr="00F54215">
        <w:rPr>
          <w:b/>
          <w:bCs/>
          <w:i w:val="0"/>
          <w:iCs/>
          <w:color w:val="365F91" w:themeColor="accent1" w:themeShade="BF"/>
        </w:rPr>
        <w:fldChar w:fldCharType="begin"/>
      </w:r>
      <w:r w:rsidRPr="00F54215">
        <w:rPr>
          <w:b/>
          <w:bCs/>
          <w:color w:val="365F91" w:themeColor="accent1" w:themeShade="BF"/>
        </w:rPr>
        <w:instrText xml:space="preserve"> SEQ Table \* ARABIC </w:instrText>
      </w:r>
      <w:r w:rsidRPr="00F54215">
        <w:rPr>
          <w:b/>
          <w:bCs/>
          <w:i w:val="0"/>
          <w:iCs/>
          <w:color w:val="365F91" w:themeColor="accent1" w:themeShade="BF"/>
        </w:rPr>
        <w:fldChar w:fldCharType="separate"/>
      </w:r>
      <w:r w:rsidR="00A763B6">
        <w:rPr>
          <w:b/>
          <w:bCs/>
          <w:noProof/>
          <w:color w:val="365F91" w:themeColor="accent1" w:themeShade="BF"/>
        </w:rPr>
        <w:t>22</w:t>
      </w:r>
      <w:r w:rsidRPr="00F54215">
        <w:rPr>
          <w:b/>
          <w:bCs/>
          <w:i w:val="0"/>
          <w:iCs/>
          <w:color w:val="365F91" w:themeColor="accent1" w:themeShade="BF"/>
        </w:rPr>
        <w:fldChar w:fldCharType="end"/>
      </w:r>
      <w:r w:rsidRPr="00F54215">
        <w:rPr>
          <w:b/>
          <w:bCs/>
          <w:color w:val="365F91" w:themeColor="accent1" w:themeShade="BF"/>
        </w:rPr>
        <w:t xml:space="preserve"> - Common trend assumption tests - number of sales</w:t>
      </w:r>
    </w:p>
    <w:tbl>
      <w:tblPr>
        <w:tblW w:w="5000" w:type="pct"/>
        <w:jc w:val="center"/>
        <w:tblCellMar>
          <w:left w:w="75" w:type="dxa"/>
          <w:right w:w="75" w:type="dxa"/>
        </w:tblCellMar>
        <w:tblLook w:val="04A0" w:firstRow="1" w:lastRow="0" w:firstColumn="1" w:lastColumn="0" w:noHBand="0" w:noVBand="1"/>
      </w:tblPr>
      <w:tblGrid>
        <w:gridCol w:w="2127"/>
        <w:gridCol w:w="1172"/>
        <w:gridCol w:w="1190"/>
        <w:gridCol w:w="1513"/>
        <w:gridCol w:w="1513"/>
        <w:gridCol w:w="1511"/>
      </w:tblGrid>
      <w:tr w:rsidR="00B44672" w:rsidRPr="00F54215" w14:paraId="624A6D66" w14:textId="77777777" w:rsidTr="00A948E5">
        <w:trPr>
          <w:jc w:val="center"/>
        </w:trPr>
        <w:tc>
          <w:tcPr>
            <w:tcW w:w="1178" w:type="pct"/>
            <w:tcBorders>
              <w:top w:val="single" w:sz="6" w:space="0" w:color="auto"/>
              <w:left w:val="nil"/>
              <w:bottom w:val="nil"/>
              <w:right w:val="nil"/>
            </w:tcBorders>
            <w:hideMark/>
          </w:tcPr>
          <w:p w14:paraId="143DDCE6" w14:textId="77777777" w:rsidR="00B44672" w:rsidRPr="00F54215" w:rsidRDefault="00B44672">
            <w:pPr>
              <w:widowControl w:val="0"/>
              <w:autoSpaceDE w:val="0"/>
              <w:autoSpaceDN w:val="0"/>
              <w:adjustRightInd w:val="0"/>
              <w:spacing w:after="0"/>
              <w:rPr>
                <w:rFonts w:cstheme="minorHAnsi"/>
                <w:sz w:val="22"/>
              </w:rPr>
            </w:pPr>
            <w:proofErr w:type="gramStart"/>
            <w:r w:rsidRPr="00F54215">
              <w:rPr>
                <w:rFonts w:cstheme="minorHAnsi"/>
                <w:sz w:val="22"/>
              </w:rPr>
              <w:t>Log(</w:t>
            </w:r>
            <w:proofErr w:type="gramEnd"/>
            <w:r w:rsidRPr="00F54215">
              <w:rPr>
                <w:rFonts w:cstheme="minorHAnsi"/>
                <w:sz w:val="22"/>
              </w:rPr>
              <w:t xml:space="preserve">Number Sold) </w:t>
            </w:r>
          </w:p>
        </w:tc>
        <w:tc>
          <w:tcPr>
            <w:tcW w:w="649" w:type="pct"/>
            <w:tcBorders>
              <w:top w:val="single" w:sz="6" w:space="0" w:color="auto"/>
              <w:left w:val="nil"/>
              <w:bottom w:val="nil"/>
              <w:right w:val="nil"/>
            </w:tcBorders>
            <w:hideMark/>
          </w:tcPr>
          <w:p w14:paraId="2450123D"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(1)</w:t>
            </w:r>
          </w:p>
        </w:tc>
        <w:tc>
          <w:tcPr>
            <w:tcW w:w="659" w:type="pct"/>
            <w:tcBorders>
              <w:top w:val="single" w:sz="6" w:space="0" w:color="auto"/>
              <w:left w:val="nil"/>
              <w:bottom w:val="nil"/>
              <w:right w:val="nil"/>
            </w:tcBorders>
            <w:hideMark/>
          </w:tcPr>
          <w:p w14:paraId="2ED867DB"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(2)</w:t>
            </w:r>
          </w:p>
        </w:tc>
        <w:tc>
          <w:tcPr>
            <w:tcW w:w="838" w:type="pct"/>
            <w:tcBorders>
              <w:top w:val="single" w:sz="6" w:space="0" w:color="auto"/>
              <w:left w:val="nil"/>
              <w:bottom w:val="nil"/>
              <w:right w:val="nil"/>
            </w:tcBorders>
            <w:hideMark/>
          </w:tcPr>
          <w:p w14:paraId="3F151127"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(3)</w:t>
            </w:r>
          </w:p>
        </w:tc>
        <w:tc>
          <w:tcPr>
            <w:tcW w:w="838" w:type="pct"/>
            <w:tcBorders>
              <w:top w:val="single" w:sz="6" w:space="0" w:color="auto"/>
              <w:left w:val="nil"/>
              <w:bottom w:val="nil"/>
              <w:right w:val="nil"/>
            </w:tcBorders>
            <w:hideMark/>
          </w:tcPr>
          <w:p w14:paraId="263FE1C8"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(4)</w:t>
            </w:r>
          </w:p>
        </w:tc>
        <w:tc>
          <w:tcPr>
            <w:tcW w:w="837" w:type="pct"/>
            <w:tcBorders>
              <w:top w:val="single" w:sz="6" w:space="0" w:color="auto"/>
              <w:left w:val="nil"/>
              <w:bottom w:val="nil"/>
              <w:right w:val="nil"/>
            </w:tcBorders>
            <w:hideMark/>
          </w:tcPr>
          <w:p w14:paraId="7BC57C9C"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(5)</w:t>
            </w:r>
          </w:p>
        </w:tc>
      </w:tr>
      <w:tr w:rsidR="00B44672" w:rsidRPr="00F54215" w14:paraId="45459F79" w14:textId="77777777" w:rsidTr="00A948E5">
        <w:trPr>
          <w:jc w:val="center"/>
        </w:trPr>
        <w:tc>
          <w:tcPr>
            <w:tcW w:w="1178" w:type="pct"/>
            <w:tcBorders>
              <w:top w:val="nil"/>
              <w:left w:val="nil"/>
              <w:bottom w:val="single" w:sz="4" w:space="0" w:color="auto"/>
              <w:right w:val="nil"/>
            </w:tcBorders>
          </w:tcPr>
          <w:p w14:paraId="5C53BE4A" w14:textId="77777777" w:rsidR="00B44672" w:rsidRPr="00F54215" w:rsidRDefault="00B44672">
            <w:pPr>
              <w:widowControl w:val="0"/>
              <w:autoSpaceDE w:val="0"/>
              <w:autoSpaceDN w:val="0"/>
              <w:adjustRightInd w:val="0"/>
              <w:spacing w:after="0"/>
              <w:rPr>
                <w:rFonts w:cstheme="minorHAnsi"/>
                <w:sz w:val="22"/>
              </w:rPr>
            </w:pPr>
          </w:p>
        </w:tc>
        <w:tc>
          <w:tcPr>
            <w:tcW w:w="649" w:type="pct"/>
            <w:tcBorders>
              <w:top w:val="nil"/>
              <w:left w:val="nil"/>
              <w:bottom w:val="single" w:sz="4" w:space="0" w:color="auto"/>
              <w:right w:val="nil"/>
            </w:tcBorders>
            <w:hideMark/>
          </w:tcPr>
          <w:p w14:paraId="13B80DBA"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All Suburbs</w:t>
            </w:r>
          </w:p>
        </w:tc>
        <w:tc>
          <w:tcPr>
            <w:tcW w:w="659" w:type="pct"/>
            <w:tcBorders>
              <w:top w:val="nil"/>
              <w:left w:val="nil"/>
              <w:bottom w:val="single" w:sz="4" w:space="0" w:color="auto"/>
              <w:right w:val="nil"/>
            </w:tcBorders>
            <w:hideMark/>
          </w:tcPr>
          <w:p w14:paraId="16F3612E"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All City Suburbs</w:t>
            </w:r>
          </w:p>
        </w:tc>
        <w:tc>
          <w:tcPr>
            <w:tcW w:w="838" w:type="pct"/>
            <w:tcBorders>
              <w:top w:val="nil"/>
              <w:left w:val="nil"/>
              <w:bottom w:val="single" w:sz="4" w:space="0" w:color="auto"/>
              <w:right w:val="nil"/>
            </w:tcBorders>
            <w:hideMark/>
          </w:tcPr>
          <w:p w14:paraId="11E3D591"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Subset States Suburbs</w:t>
            </w:r>
          </w:p>
        </w:tc>
        <w:tc>
          <w:tcPr>
            <w:tcW w:w="838" w:type="pct"/>
            <w:tcBorders>
              <w:top w:val="nil"/>
              <w:left w:val="nil"/>
              <w:bottom w:val="single" w:sz="4" w:space="0" w:color="auto"/>
              <w:right w:val="nil"/>
            </w:tcBorders>
            <w:hideMark/>
          </w:tcPr>
          <w:p w14:paraId="6C84C376"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Subset City Suburbs</w:t>
            </w:r>
          </w:p>
        </w:tc>
        <w:tc>
          <w:tcPr>
            <w:tcW w:w="837" w:type="pct"/>
            <w:tcBorders>
              <w:top w:val="nil"/>
              <w:left w:val="nil"/>
              <w:bottom w:val="single" w:sz="4" w:space="0" w:color="auto"/>
              <w:right w:val="nil"/>
            </w:tcBorders>
            <w:hideMark/>
          </w:tcPr>
          <w:p w14:paraId="3C4B7104"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Subset City Suburbs &amp;</w:t>
            </w:r>
          </w:p>
          <w:p w14:paraId="353B76B4"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Controls</w:t>
            </w:r>
          </w:p>
        </w:tc>
      </w:tr>
      <w:tr w:rsidR="00B44672" w:rsidRPr="00F54215" w14:paraId="0EE88F91" w14:textId="77777777" w:rsidTr="00A948E5">
        <w:trPr>
          <w:jc w:val="center"/>
        </w:trPr>
        <w:tc>
          <w:tcPr>
            <w:tcW w:w="1178" w:type="pct"/>
            <w:tcBorders>
              <w:top w:val="single" w:sz="4" w:space="0" w:color="auto"/>
              <w:left w:val="nil"/>
              <w:bottom w:val="nil"/>
              <w:right w:val="nil"/>
            </w:tcBorders>
          </w:tcPr>
          <w:p w14:paraId="1B03B4C2" w14:textId="77777777" w:rsidR="00B44672" w:rsidRPr="00F54215" w:rsidRDefault="00B44672">
            <w:pPr>
              <w:widowControl w:val="0"/>
              <w:autoSpaceDE w:val="0"/>
              <w:autoSpaceDN w:val="0"/>
              <w:adjustRightInd w:val="0"/>
              <w:spacing w:after="0"/>
              <w:rPr>
                <w:rFonts w:cstheme="minorHAnsi"/>
                <w:sz w:val="22"/>
              </w:rPr>
            </w:pPr>
          </w:p>
        </w:tc>
        <w:tc>
          <w:tcPr>
            <w:tcW w:w="649" w:type="pct"/>
            <w:tcBorders>
              <w:top w:val="single" w:sz="4" w:space="0" w:color="auto"/>
              <w:left w:val="nil"/>
              <w:bottom w:val="nil"/>
              <w:right w:val="nil"/>
            </w:tcBorders>
          </w:tcPr>
          <w:p w14:paraId="783A3B1C" w14:textId="77777777" w:rsidR="00B44672" w:rsidRPr="00F54215" w:rsidRDefault="00B44672">
            <w:pPr>
              <w:widowControl w:val="0"/>
              <w:autoSpaceDE w:val="0"/>
              <w:autoSpaceDN w:val="0"/>
              <w:adjustRightInd w:val="0"/>
              <w:spacing w:after="0"/>
              <w:jc w:val="center"/>
              <w:rPr>
                <w:rFonts w:cstheme="minorHAnsi"/>
                <w:sz w:val="22"/>
              </w:rPr>
            </w:pPr>
          </w:p>
        </w:tc>
        <w:tc>
          <w:tcPr>
            <w:tcW w:w="659" w:type="pct"/>
            <w:tcBorders>
              <w:top w:val="single" w:sz="4" w:space="0" w:color="auto"/>
              <w:left w:val="nil"/>
              <w:bottom w:val="nil"/>
              <w:right w:val="nil"/>
            </w:tcBorders>
          </w:tcPr>
          <w:p w14:paraId="6CFA89B2" w14:textId="77777777" w:rsidR="00B44672" w:rsidRPr="00F54215" w:rsidRDefault="00B44672">
            <w:pPr>
              <w:widowControl w:val="0"/>
              <w:autoSpaceDE w:val="0"/>
              <w:autoSpaceDN w:val="0"/>
              <w:adjustRightInd w:val="0"/>
              <w:spacing w:after="0"/>
              <w:jc w:val="center"/>
              <w:rPr>
                <w:rFonts w:cstheme="minorHAnsi"/>
                <w:sz w:val="22"/>
              </w:rPr>
            </w:pPr>
          </w:p>
        </w:tc>
        <w:tc>
          <w:tcPr>
            <w:tcW w:w="838" w:type="pct"/>
            <w:tcBorders>
              <w:top w:val="single" w:sz="4" w:space="0" w:color="auto"/>
              <w:left w:val="nil"/>
              <w:bottom w:val="nil"/>
              <w:right w:val="nil"/>
            </w:tcBorders>
          </w:tcPr>
          <w:p w14:paraId="62815A7D" w14:textId="77777777" w:rsidR="00B44672" w:rsidRPr="00F54215" w:rsidRDefault="00B44672">
            <w:pPr>
              <w:widowControl w:val="0"/>
              <w:autoSpaceDE w:val="0"/>
              <w:autoSpaceDN w:val="0"/>
              <w:adjustRightInd w:val="0"/>
              <w:spacing w:after="0"/>
              <w:jc w:val="center"/>
              <w:rPr>
                <w:rFonts w:cstheme="minorHAnsi"/>
                <w:sz w:val="22"/>
              </w:rPr>
            </w:pPr>
          </w:p>
        </w:tc>
        <w:tc>
          <w:tcPr>
            <w:tcW w:w="838" w:type="pct"/>
            <w:tcBorders>
              <w:top w:val="single" w:sz="4" w:space="0" w:color="auto"/>
              <w:left w:val="nil"/>
              <w:bottom w:val="nil"/>
              <w:right w:val="nil"/>
            </w:tcBorders>
          </w:tcPr>
          <w:p w14:paraId="17794BBF" w14:textId="77777777" w:rsidR="00B44672" w:rsidRPr="00F54215" w:rsidRDefault="00B44672">
            <w:pPr>
              <w:widowControl w:val="0"/>
              <w:autoSpaceDE w:val="0"/>
              <w:autoSpaceDN w:val="0"/>
              <w:adjustRightInd w:val="0"/>
              <w:spacing w:after="0"/>
              <w:jc w:val="center"/>
              <w:rPr>
                <w:rFonts w:cstheme="minorHAnsi"/>
                <w:sz w:val="22"/>
              </w:rPr>
            </w:pPr>
          </w:p>
        </w:tc>
        <w:tc>
          <w:tcPr>
            <w:tcW w:w="837" w:type="pct"/>
            <w:tcBorders>
              <w:top w:val="single" w:sz="4" w:space="0" w:color="auto"/>
              <w:left w:val="nil"/>
              <w:bottom w:val="nil"/>
              <w:right w:val="nil"/>
            </w:tcBorders>
          </w:tcPr>
          <w:p w14:paraId="235BAC2A" w14:textId="77777777" w:rsidR="00B44672" w:rsidRPr="00F54215" w:rsidRDefault="00B44672">
            <w:pPr>
              <w:widowControl w:val="0"/>
              <w:autoSpaceDE w:val="0"/>
              <w:autoSpaceDN w:val="0"/>
              <w:adjustRightInd w:val="0"/>
              <w:spacing w:after="0"/>
              <w:jc w:val="center"/>
              <w:rPr>
                <w:rFonts w:cstheme="minorHAnsi"/>
                <w:sz w:val="22"/>
              </w:rPr>
            </w:pPr>
          </w:p>
        </w:tc>
      </w:tr>
      <w:tr w:rsidR="00B44672" w:rsidRPr="00F54215" w14:paraId="4DE80B73" w14:textId="77777777" w:rsidTr="00A948E5">
        <w:trPr>
          <w:jc w:val="center"/>
        </w:trPr>
        <w:tc>
          <w:tcPr>
            <w:tcW w:w="1178" w:type="pct"/>
            <w:hideMark/>
          </w:tcPr>
          <w:p w14:paraId="0AD86C05" w14:textId="77777777" w:rsidR="00B44672" w:rsidRPr="00F54215" w:rsidRDefault="00B44672">
            <w:pPr>
              <w:widowControl w:val="0"/>
              <w:autoSpaceDE w:val="0"/>
              <w:autoSpaceDN w:val="0"/>
              <w:adjustRightInd w:val="0"/>
              <w:spacing w:after="0"/>
              <w:rPr>
                <w:rFonts w:cstheme="minorHAnsi"/>
                <w:sz w:val="22"/>
              </w:rPr>
            </w:pPr>
            <w:r w:rsidRPr="00F54215">
              <w:rPr>
                <w:rFonts w:cstheme="minorHAnsi"/>
                <w:sz w:val="22"/>
              </w:rPr>
              <w:t>Trend Test</w:t>
            </w:r>
          </w:p>
        </w:tc>
        <w:tc>
          <w:tcPr>
            <w:tcW w:w="649" w:type="pct"/>
            <w:hideMark/>
          </w:tcPr>
          <w:p w14:paraId="2BB4B417"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0.002</w:t>
            </w:r>
          </w:p>
        </w:tc>
        <w:tc>
          <w:tcPr>
            <w:tcW w:w="659" w:type="pct"/>
            <w:hideMark/>
          </w:tcPr>
          <w:p w14:paraId="4E6D99A4"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0.003</w:t>
            </w:r>
          </w:p>
        </w:tc>
        <w:tc>
          <w:tcPr>
            <w:tcW w:w="838" w:type="pct"/>
            <w:hideMark/>
          </w:tcPr>
          <w:p w14:paraId="5DAC06C3"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0.002</w:t>
            </w:r>
          </w:p>
        </w:tc>
        <w:tc>
          <w:tcPr>
            <w:tcW w:w="838" w:type="pct"/>
            <w:hideMark/>
          </w:tcPr>
          <w:p w14:paraId="2B8C4D0B"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0.004*</w:t>
            </w:r>
          </w:p>
        </w:tc>
        <w:tc>
          <w:tcPr>
            <w:tcW w:w="837" w:type="pct"/>
            <w:hideMark/>
          </w:tcPr>
          <w:p w14:paraId="40746F8B"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0.004</w:t>
            </w:r>
          </w:p>
        </w:tc>
      </w:tr>
      <w:tr w:rsidR="00B44672" w:rsidRPr="00F54215" w14:paraId="3935B7BB" w14:textId="77777777" w:rsidTr="00A948E5">
        <w:trPr>
          <w:jc w:val="center"/>
        </w:trPr>
        <w:tc>
          <w:tcPr>
            <w:tcW w:w="1178" w:type="pct"/>
          </w:tcPr>
          <w:p w14:paraId="5A0C2074" w14:textId="77777777" w:rsidR="00B44672" w:rsidRPr="00F54215" w:rsidRDefault="00B44672">
            <w:pPr>
              <w:widowControl w:val="0"/>
              <w:autoSpaceDE w:val="0"/>
              <w:autoSpaceDN w:val="0"/>
              <w:adjustRightInd w:val="0"/>
              <w:spacing w:after="0"/>
              <w:rPr>
                <w:rFonts w:cstheme="minorHAnsi"/>
                <w:sz w:val="22"/>
              </w:rPr>
            </w:pPr>
            <w:r>
              <w:rPr>
                <w:rFonts w:cstheme="minorHAnsi"/>
                <w:sz w:val="22"/>
              </w:rPr>
              <w:t>Standard error</w:t>
            </w:r>
          </w:p>
        </w:tc>
        <w:tc>
          <w:tcPr>
            <w:tcW w:w="649" w:type="pct"/>
            <w:hideMark/>
          </w:tcPr>
          <w:p w14:paraId="1E45EEA4"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[0.002]</w:t>
            </w:r>
          </w:p>
        </w:tc>
        <w:tc>
          <w:tcPr>
            <w:tcW w:w="659" w:type="pct"/>
            <w:hideMark/>
          </w:tcPr>
          <w:p w14:paraId="7BE0BDA6"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[0.002]</w:t>
            </w:r>
          </w:p>
        </w:tc>
        <w:tc>
          <w:tcPr>
            <w:tcW w:w="838" w:type="pct"/>
            <w:hideMark/>
          </w:tcPr>
          <w:p w14:paraId="77D892B8"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[0.002]</w:t>
            </w:r>
          </w:p>
        </w:tc>
        <w:tc>
          <w:tcPr>
            <w:tcW w:w="838" w:type="pct"/>
            <w:hideMark/>
          </w:tcPr>
          <w:p w14:paraId="4A81A224"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[0.002]</w:t>
            </w:r>
          </w:p>
        </w:tc>
        <w:tc>
          <w:tcPr>
            <w:tcW w:w="837" w:type="pct"/>
            <w:hideMark/>
          </w:tcPr>
          <w:p w14:paraId="6A361E4F"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[0.002]</w:t>
            </w:r>
          </w:p>
        </w:tc>
      </w:tr>
      <w:tr w:rsidR="00B44672" w:rsidRPr="00F54215" w14:paraId="57EA59A9" w14:textId="77777777" w:rsidTr="00A948E5">
        <w:trPr>
          <w:jc w:val="center"/>
        </w:trPr>
        <w:tc>
          <w:tcPr>
            <w:tcW w:w="1178" w:type="pct"/>
          </w:tcPr>
          <w:p w14:paraId="5CD66483" w14:textId="77777777" w:rsidR="00B44672" w:rsidRPr="00F54215" w:rsidRDefault="00B44672">
            <w:pPr>
              <w:widowControl w:val="0"/>
              <w:autoSpaceDE w:val="0"/>
              <w:autoSpaceDN w:val="0"/>
              <w:adjustRightInd w:val="0"/>
              <w:spacing w:after="0"/>
              <w:rPr>
                <w:rFonts w:cstheme="minorHAnsi"/>
                <w:sz w:val="22"/>
              </w:rPr>
            </w:pPr>
          </w:p>
        </w:tc>
        <w:tc>
          <w:tcPr>
            <w:tcW w:w="649" w:type="pct"/>
          </w:tcPr>
          <w:p w14:paraId="27DADECA" w14:textId="77777777" w:rsidR="00B44672" w:rsidRPr="00F54215" w:rsidRDefault="00B44672">
            <w:pPr>
              <w:widowControl w:val="0"/>
              <w:autoSpaceDE w:val="0"/>
              <w:autoSpaceDN w:val="0"/>
              <w:adjustRightInd w:val="0"/>
              <w:spacing w:after="0"/>
              <w:jc w:val="center"/>
              <w:rPr>
                <w:rFonts w:cstheme="minorHAnsi"/>
                <w:sz w:val="22"/>
              </w:rPr>
            </w:pPr>
          </w:p>
        </w:tc>
        <w:tc>
          <w:tcPr>
            <w:tcW w:w="659" w:type="pct"/>
          </w:tcPr>
          <w:p w14:paraId="12A1C620" w14:textId="77777777" w:rsidR="00B44672" w:rsidRPr="00F54215" w:rsidRDefault="00B44672">
            <w:pPr>
              <w:widowControl w:val="0"/>
              <w:autoSpaceDE w:val="0"/>
              <w:autoSpaceDN w:val="0"/>
              <w:adjustRightInd w:val="0"/>
              <w:spacing w:after="0"/>
              <w:jc w:val="center"/>
              <w:rPr>
                <w:rFonts w:cstheme="minorHAnsi"/>
                <w:sz w:val="22"/>
              </w:rPr>
            </w:pPr>
          </w:p>
        </w:tc>
        <w:tc>
          <w:tcPr>
            <w:tcW w:w="838" w:type="pct"/>
          </w:tcPr>
          <w:p w14:paraId="633A6BD3" w14:textId="77777777" w:rsidR="00B44672" w:rsidRPr="00F54215" w:rsidRDefault="00B44672">
            <w:pPr>
              <w:widowControl w:val="0"/>
              <w:autoSpaceDE w:val="0"/>
              <w:autoSpaceDN w:val="0"/>
              <w:adjustRightInd w:val="0"/>
              <w:spacing w:after="0"/>
              <w:jc w:val="center"/>
              <w:rPr>
                <w:rFonts w:cstheme="minorHAnsi"/>
                <w:sz w:val="22"/>
              </w:rPr>
            </w:pPr>
          </w:p>
        </w:tc>
        <w:tc>
          <w:tcPr>
            <w:tcW w:w="838" w:type="pct"/>
          </w:tcPr>
          <w:p w14:paraId="53477251" w14:textId="77777777" w:rsidR="00B44672" w:rsidRPr="00F54215" w:rsidRDefault="00B44672">
            <w:pPr>
              <w:widowControl w:val="0"/>
              <w:autoSpaceDE w:val="0"/>
              <w:autoSpaceDN w:val="0"/>
              <w:adjustRightInd w:val="0"/>
              <w:spacing w:after="0"/>
              <w:jc w:val="center"/>
              <w:rPr>
                <w:rFonts w:cstheme="minorHAnsi"/>
                <w:sz w:val="22"/>
              </w:rPr>
            </w:pPr>
          </w:p>
        </w:tc>
        <w:tc>
          <w:tcPr>
            <w:tcW w:w="837" w:type="pct"/>
          </w:tcPr>
          <w:p w14:paraId="76F96025" w14:textId="77777777" w:rsidR="00B44672" w:rsidRPr="00F54215" w:rsidRDefault="00B44672">
            <w:pPr>
              <w:widowControl w:val="0"/>
              <w:autoSpaceDE w:val="0"/>
              <w:autoSpaceDN w:val="0"/>
              <w:adjustRightInd w:val="0"/>
              <w:spacing w:after="0"/>
              <w:jc w:val="center"/>
              <w:rPr>
                <w:rFonts w:cstheme="minorHAnsi"/>
                <w:sz w:val="22"/>
              </w:rPr>
            </w:pPr>
          </w:p>
        </w:tc>
      </w:tr>
      <w:tr w:rsidR="00B44672" w:rsidRPr="00F54215" w14:paraId="43458F8D" w14:textId="77777777" w:rsidTr="00A948E5">
        <w:trPr>
          <w:jc w:val="center"/>
        </w:trPr>
        <w:tc>
          <w:tcPr>
            <w:tcW w:w="1178" w:type="pct"/>
            <w:hideMark/>
          </w:tcPr>
          <w:p w14:paraId="547E89BA" w14:textId="77777777" w:rsidR="00B44672" w:rsidRPr="00F54215" w:rsidRDefault="00B44672">
            <w:pPr>
              <w:widowControl w:val="0"/>
              <w:autoSpaceDE w:val="0"/>
              <w:autoSpaceDN w:val="0"/>
              <w:adjustRightInd w:val="0"/>
              <w:spacing w:after="0"/>
              <w:rPr>
                <w:rFonts w:cstheme="minorHAnsi"/>
                <w:sz w:val="22"/>
              </w:rPr>
            </w:pPr>
            <w:r w:rsidRPr="00F54215">
              <w:rPr>
                <w:rFonts w:cstheme="minorHAnsi"/>
                <w:sz w:val="22"/>
              </w:rPr>
              <w:t>Observations</w:t>
            </w:r>
          </w:p>
        </w:tc>
        <w:tc>
          <w:tcPr>
            <w:tcW w:w="649" w:type="pct"/>
            <w:hideMark/>
          </w:tcPr>
          <w:p w14:paraId="15767C8A"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137,638</w:t>
            </w:r>
          </w:p>
        </w:tc>
        <w:tc>
          <w:tcPr>
            <w:tcW w:w="659" w:type="pct"/>
            <w:hideMark/>
          </w:tcPr>
          <w:p w14:paraId="7D94770C"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66,350</w:t>
            </w:r>
          </w:p>
        </w:tc>
        <w:tc>
          <w:tcPr>
            <w:tcW w:w="838" w:type="pct"/>
            <w:hideMark/>
          </w:tcPr>
          <w:p w14:paraId="43A7FB0C"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99,206</w:t>
            </w:r>
          </w:p>
        </w:tc>
        <w:tc>
          <w:tcPr>
            <w:tcW w:w="838" w:type="pct"/>
            <w:hideMark/>
          </w:tcPr>
          <w:p w14:paraId="1E56E696"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44,701</w:t>
            </w:r>
          </w:p>
        </w:tc>
        <w:tc>
          <w:tcPr>
            <w:tcW w:w="837" w:type="pct"/>
            <w:hideMark/>
          </w:tcPr>
          <w:p w14:paraId="06D8B933"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44,701</w:t>
            </w:r>
          </w:p>
        </w:tc>
      </w:tr>
      <w:tr w:rsidR="00B44672" w:rsidRPr="00F54215" w14:paraId="76BD04F2" w14:textId="77777777" w:rsidTr="00A948E5">
        <w:trPr>
          <w:jc w:val="center"/>
        </w:trPr>
        <w:tc>
          <w:tcPr>
            <w:tcW w:w="1178" w:type="pct"/>
            <w:tcBorders>
              <w:top w:val="nil"/>
              <w:left w:val="nil"/>
              <w:bottom w:val="single" w:sz="6" w:space="0" w:color="auto"/>
              <w:right w:val="nil"/>
            </w:tcBorders>
            <w:hideMark/>
          </w:tcPr>
          <w:p w14:paraId="5EA0ECA3" w14:textId="77777777" w:rsidR="00B44672" w:rsidRPr="00F54215" w:rsidRDefault="00B44672">
            <w:pPr>
              <w:widowControl w:val="0"/>
              <w:autoSpaceDE w:val="0"/>
              <w:autoSpaceDN w:val="0"/>
              <w:adjustRightInd w:val="0"/>
              <w:spacing w:after="0"/>
              <w:rPr>
                <w:rFonts w:cstheme="minorHAnsi"/>
                <w:sz w:val="22"/>
              </w:rPr>
            </w:pPr>
            <w:r w:rsidRPr="00F54215">
              <w:rPr>
                <w:rFonts w:cstheme="minorHAnsi"/>
                <w:sz w:val="22"/>
              </w:rPr>
              <w:t>R-squared</w:t>
            </w:r>
          </w:p>
        </w:tc>
        <w:tc>
          <w:tcPr>
            <w:tcW w:w="649" w:type="pct"/>
            <w:tcBorders>
              <w:top w:val="nil"/>
              <w:left w:val="nil"/>
              <w:bottom w:val="single" w:sz="6" w:space="0" w:color="auto"/>
              <w:right w:val="nil"/>
            </w:tcBorders>
            <w:hideMark/>
          </w:tcPr>
          <w:p w14:paraId="5EA30FF1"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0.771</w:t>
            </w:r>
          </w:p>
        </w:tc>
        <w:tc>
          <w:tcPr>
            <w:tcW w:w="659" w:type="pct"/>
            <w:tcBorders>
              <w:top w:val="nil"/>
              <w:left w:val="nil"/>
              <w:bottom w:val="single" w:sz="6" w:space="0" w:color="auto"/>
              <w:right w:val="nil"/>
            </w:tcBorders>
            <w:hideMark/>
          </w:tcPr>
          <w:p w14:paraId="30A76B84"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0.747</w:t>
            </w:r>
          </w:p>
        </w:tc>
        <w:tc>
          <w:tcPr>
            <w:tcW w:w="838" w:type="pct"/>
            <w:tcBorders>
              <w:top w:val="nil"/>
              <w:left w:val="nil"/>
              <w:bottom w:val="single" w:sz="6" w:space="0" w:color="auto"/>
              <w:right w:val="nil"/>
            </w:tcBorders>
            <w:hideMark/>
          </w:tcPr>
          <w:p w14:paraId="21D46E10"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0.783</w:t>
            </w:r>
          </w:p>
        </w:tc>
        <w:tc>
          <w:tcPr>
            <w:tcW w:w="838" w:type="pct"/>
            <w:tcBorders>
              <w:top w:val="nil"/>
              <w:left w:val="nil"/>
              <w:bottom w:val="single" w:sz="6" w:space="0" w:color="auto"/>
              <w:right w:val="nil"/>
            </w:tcBorders>
            <w:hideMark/>
          </w:tcPr>
          <w:p w14:paraId="6D8F1DBF"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0.762</w:t>
            </w:r>
          </w:p>
        </w:tc>
        <w:tc>
          <w:tcPr>
            <w:tcW w:w="837" w:type="pct"/>
            <w:tcBorders>
              <w:top w:val="nil"/>
              <w:left w:val="nil"/>
              <w:bottom w:val="single" w:sz="6" w:space="0" w:color="auto"/>
              <w:right w:val="nil"/>
            </w:tcBorders>
            <w:hideMark/>
          </w:tcPr>
          <w:p w14:paraId="26752299" w14:textId="77777777" w:rsidR="00B44672" w:rsidRPr="00F54215" w:rsidRDefault="00B44672">
            <w:pPr>
              <w:widowControl w:val="0"/>
              <w:autoSpaceDE w:val="0"/>
              <w:autoSpaceDN w:val="0"/>
              <w:adjustRightInd w:val="0"/>
              <w:spacing w:after="0"/>
              <w:jc w:val="center"/>
              <w:rPr>
                <w:rFonts w:cstheme="minorHAnsi"/>
                <w:sz w:val="22"/>
              </w:rPr>
            </w:pPr>
            <w:r w:rsidRPr="00F54215">
              <w:rPr>
                <w:rFonts w:cstheme="minorHAnsi"/>
                <w:sz w:val="22"/>
              </w:rPr>
              <w:t>0.762</w:t>
            </w:r>
          </w:p>
        </w:tc>
      </w:tr>
    </w:tbl>
    <w:p w14:paraId="4C73AF0D" w14:textId="77777777" w:rsidR="00B44672" w:rsidRPr="00F54215" w:rsidRDefault="00B44672" w:rsidP="00FF1D09">
      <w:pPr>
        <w:widowControl w:val="0"/>
        <w:autoSpaceDE w:val="0"/>
        <w:autoSpaceDN w:val="0"/>
        <w:adjustRightInd w:val="0"/>
        <w:spacing w:after="0"/>
        <w:jc w:val="center"/>
        <w:rPr>
          <w:rFonts w:cstheme="minorHAnsi"/>
          <w:sz w:val="22"/>
        </w:rPr>
      </w:pPr>
      <w:r w:rsidRPr="00F54215">
        <w:rPr>
          <w:rFonts w:cstheme="minorHAnsi"/>
          <w:sz w:val="22"/>
        </w:rPr>
        <w:t>Robust standard errors in brackets; ** p&lt;0.01, * p&lt;0.05</w:t>
      </w:r>
    </w:p>
    <w:p w14:paraId="0D0F585F" w14:textId="77777777" w:rsidR="00B44672" w:rsidRDefault="00B44672" w:rsidP="0029189E">
      <w:pPr>
        <w:rPr>
          <w:rFonts w:cstheme="minorHAnsi"/>
          <w:sz w:val="22"/>
        </w:rPr>
      </w:pPr>
    </w:p>
    <w:p w14:paraId="20BDF567" w14:textId="77777777" w:rsidR="00B44672" w:rsidRPr="00F54215" w:rsidRDefault="00B44672" w:rsidP="0029189E">
      <w:pPr>
        <w:rPr>
          <w:rFonts w:cstheme="minorHAnsi"/>
          <w:sz w:val="22"/>
        </w:rPr>
      </w:pPr>
    </w:p>
    <w:p w14:paraId="327C2F6F" w14:textId="4E01D5D9" w:rsidR="00B44672" w:rsidRPr="00E70E34" w:rsidRDefault="00B44672" w:rsidP="00E70E34">
      <w:pPr>
        <w:pStyle w:val="Caption"/>
        <w:rPr>
          <w:rFonts w:cstheme="minorHAnsi"/>
          <w:b/>
          <w:bCs/>
          <w:i w:val="0"/>
          <w:iCs/>
          <w:color w:val="365F91" w:themeColor="accent1" w:themeShade="BF"/>
        </w:rPr>
      </w:pPr>
      <w:r w:rsidRPr="00E70E34">
        <w:rPr>
          <w:b/>
          <w:bCs/>
          <w:color w:val="365F91" w:themeColor="accent1" w:themeShade="BF"/>
        </w:rPr>
        <w:t xml:space="preserve">Table </w:t>
      </w:r>
      <w:r w:rsidRPr="00E70E34">
        <w:rPr>
          <w:b/>
          <w:bCs/>
          <w:i w:val="0"/>
          <w:iCs/>
          <w:color w:val="365F91" w:themeColor="accent1" w:themeShade="BF"/>
        </w:rPr>
        <w:fldChar w:fldCharType="begin"/>
      </w:r>
      <w:r w:rsidRPr="00E70E34">
        <w:rPr>
          <w:b/>
          <w:bCs/>
          <w:color w:val="365F91" w:themeColor="accent1" w:themeShade="BF"/>
        </w:rPr>
        <w:instrText xml:space="preserve"> SEQ Table \* ARABIC </w:instrText>
      </w:r>
      <w:r w:rsidRPr="00E70E34">
        <w:rPr>
          <w:b/>
          <w:bCs/>
          <w:i w:val="0"/>
          <w:iCs/>
          <w:color w:val="365F91" w:themeColor="accent1" w:themeShade="BF"/>
        </w:rPr>
        <w:fldChar w:fldCharType="separate"/>
      </w:r>
      <w:r w:rsidR="00A763B6">
        <w:rPr>
          <w:b/>
          <w:bCs/>
          <w:noProof/>
          <w:color w:val="365F91" w:themeColor="accent1" w:themeShade="BF"/>
        </w:rPr>
        <w:t>23</w:t>
      </w:r>
      <w:r w:rsidRPr="00E70E34">
        <w:rPr>
          <w:b/>
          <w:bCs/>
          <w:i w:val="0"/>
          <w:iCs/>
          <w:color w:val="365F91" w:themeColor="accent1" w:themeShade="BF"/>
        </w:rPr>
        <w:fldChar w:fldCharType="end"/>
      </w:r>
      <w:r w:rsidRPr="00E70E34">
        <w:rPr>
          <w:b/>
          <w:bCs/>
          <w:color w:val="365F91" w:themeColor="accent1" w:themeShade="BF"/>
        </w:rPr>
        <w:t xml:space="preserve"> - Common trend assumption tests - property prices</w:t>
      </w:r>
    </w:p>
    <w:tbl>
      <w:tblPr>
        <w:tblW w:w="5000" w:type="pct"/>
        <w:jc w:val="center"/>
        <w:tblCellMar>
          <w:left w:w="75" w:type="dxa"/>
          <w:right w:w="75" w:type="dxa"/>
        </w:tblCellMar>
        <w:tblLook w:val="04A0" w:firstRow="1" w:lastRow="0" w:firstColumn="1" w:lastColumn="0" w:noHBand="0" w:noVBand="1"/>
      </w:tblPr>
      <w:tblGrid>
        <w:gridCol w:w="2127"/>
        <w:gridCol w:w="1172"/>
        <w:gridCol w:w="1190"/>
        <w:gridCol w:w="1513"/>
        <w:gridCol w:w="1513"/>
        <w:gridCol w:w="1511"/>
      </w:tblGrid>
      <w:tr w:rsidR="00B44672" w:rsidRPr="00F54215" w14:paraId="1420D05A" w14:textId="77777777" w:rsidTr="00D123F1">
        <w:trPr>
          <w:jc w:val="center"/>
        </w:trPr>
        <w:tc>
          <w:tcPr>
            <w:tcW w:w="1178" w:type="pct"/>
            <w:tcBorders>
              <w:top w:val="single" w:sz="6" w:space="0" w:color="auto"/>
              <w:left w:val="nil"/>
              <w:bottom w:val="nil"/>
              <w:right w:val="nil"/>
            </w:tcBorders>
            <w:hideMark/>
          </w:tcPr>
          <w:p w14:paraId="613485F2" w14:textId="77777777" w:rsidR="00B44672" w:rsidRPr="00F54215" w:rsidRDefault="00B44672" w:rsidP="00625E60">
            <w:pPr>
              <w:widowControl w:val="0"/>
              <w:autoSpaceDE w:val="0"/>
              <w:autoSpaceDN w:val="0"/>
              <w:adjustRightInd w:val="0"/>
              <w:spacing w:after="0"/>
              <w:rPr>
                <w:rFonts w:cstheme="minorHAnsi"/>
                <w:sz w:val="22"/>
              </w:rPr>
            </w:pPr>
            <w:proofErr w:type="gramStart"/>
            <w:r w:rsidRPr="00F54215">
              <w:rPr>
                <w:rFonts w:cstheme="minorHAnsi"/>
                <w:sz w:val="22"/>
              </w:rPr>
              <w:lastRenderedPageBreak/>
              <w:t>Log(</w:t>
            </w:r>
            <w:proofErr w:type="gramEnd"/>
            <w:r w:rsidRPr="00F54215">
              <w:rPr>
                <w:rFonts w:cstheme="minorHAnsi"/>
                <w:sz w:val="22"/>
              </w:rPr>
              <w:t xml:space="preserve">Rental Price) </w:t>
            </w:r>
          </w:p>
        </w:tc>
        <w:tc>
          <w:tcPr>
            <w:tcW w:w="649" w:type="pct"/>
            <w:tcBorders>
              <w:top w:val="single" w:sz="6" w:space="0" w:color="auto"/>
              <w:left w:val="nil"/>
              <w:bottom w:val="nil"/>
              <w:right w:val="nil"/>
            </w:tcBorders>
            <w:hideMark/>
          </w:tcPr>
          <w:p w14:paraId="37037FD6"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(1)</w:t>
            </w:r>
          </w:p>
        </w:tc>
        <w:tc>
          <w:tcPr>
            <w:tcW w:w="659" w:type="pct"/>
            <w:tcBorders>
              <w:top w:val="single" w:sz="6" w:space="0" w:color="auto"/>
              <w:left w:val="nil"/>
              <w:bottom w:val="nil"/>
              <w:right w:val="nil"/>
            </w:tcBorders>
            <w:hideMark/>
          </w:tcPr>
          <w:p w14:paraId="1C4C164D"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(2)</w:t>
            </w:r>
          </w:p>
        </w:tc>
        <w:tc>
          <w:tcPr>
            <w:tcW w:w="838" w:type="pct"/>
            <w:tcBorders>
              <w:top w:val="single" w:sz="6" w:space="0" w:color="auto"/>
              <w:left w:val="nil"/>
              <w:bottom w:val="nil"/>
              <w:right w:val="nil"/>
            </w:tcBorders>
            <w:hideMark/>
          </w:tcPr>
          <w:p w14:paraId="2E004E7B"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(3)</w:t>
            </w:r>
          </w:p>
        </w:tc>
        <w:tc>
          <w:tcPr>
            <w:tcW w:w="838" w:type="pct"/>
            <w:tcBorders>
              <w:top w:val="single" w:sz="6" w:space="0" w:color="auto"/>
              <w:left w:val="nil"/>
              <w:bottom w:val="nil"/>
              <w:right w:val="nil"/>
            </w:tcBorders>
            <w:hideMark/>
          </w:tcPr>
          <w:p w14:paraId="5CCF9B99"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(4)</w:t>
            </w:r>
          </w:p>
        </w:tc>
        <w:tc>
          <w:tcPr>
            <w:tcW w:w="837" w:type="pct"/>
            <w:tcBorders>
              <w:top w:val="single" w:sz="6" w:space="0" w:color="auto"/>
              <w:left w:val="nil"/>
              <w:bottom w:val="nil"/>
              <w:right w:val="nil"/>
            </w:tcBorders>
            <w:hideMark/>
          </w:tcPr>
          <w:p w14:paraId="23913166"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(5)</w:t>
            </w:r>
          </w:p>
        </w:tc>
      </w:tr>
      <w:tr w:rsidR="00B44672" w:rsidRPr="00F54215" w14:paraId="789A92F6" w14:textId="77777777" w:rsidTr="00D123F1">
        <w:trPr>
          <w:jc w:val="center"/>
        </w:trPr>
        <w:tc>
          <w:tcPr>
            <w:tcW w:w="1178" w:type="pct"/>
            <w:tcBorders>
              <w:top w:val="nil"/>
              <w:left w:val="nil"/>
              <w:bottom w:val="single" w:sz="4" w:space="0" w:color="auto"/>
              <w:right w:val="nil"/>
            </w:tcBorders>
          </w:tcPr>
          <w:p w14:paraId="49E5CC4F" w14:textId="77777777" w:rsidR="00B44672" w:rsidRPr="00F54215" w:rsidRDefault="00B44672" w:rsidP="00D123F1">
            <w:pPr>
              <w:widowControl w:val="0"/>
              <w:autoSpaceDE w:val="0"/>
              <w:autoSpaceDN w:val="0"/>
              <w:adjustRightInd w:val="0"/>
              <w:spacing w:after="0"/>
              <w:rPr>
                <w:rFonts w:cstheme="minorHAnsi"/>
                <w:sz w:val="22"/>
              </w:rPr>
            </w:pPr>
          </w:p>
        </w:tc>
        <w:tc>
          <w:tcPr>
            <w:tcW w:w="649" w:type="pct"/>
            <w:tcBorders>
              <w:top w:val="nil"/>
              <w:left w:val="nil"/>
              <w:bottom w:val="single" w:sz="4" w:space="0" w:color="auto"/>
              <w:right w:val="nil"/>
            </w:tcBorders>
            <w:hideMark/>
          </w:tcPr>
          <w:p w14:paraId="0FDBD4B5"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All Suburbs</w:t>
            </w:r>
          </w:p>
        </w:tc>
        <w:tc>
          <w:tcPr>
            <w:tcW w:w="659" w:type="pct"/>
            <w:tcBorders>
              <w:top w:val="nil"/>
              <w:left w:val="nil"/>
              <w:bottom w:val="single" w:sz="4" w:space="0" w:color="auto"/>
              <w:right w:val="nil"/>
            </w:tcBorders>
            <w:hideMark/>
          </w:tcPr>
          <w:p w14:paraId="7F7BEDB4"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All City Suburbs</w:t>
            </w:r>
          </w:p>
        </w:tc>
        <w:tc>
          <w:tcPr>
            <w:tcW w:w="838" w:type="pct"/>
            <w:tcBorders>
              <w:top w:val="nil"/>
              <w:left w:val="nil"/>
              <w:bottom w:val="single" w:sz="4" w:space="0" w:color="auto"/>
              <w:right w:val="nil"/>
            </w:tcBorders>
            <w:hideMark/>
          </w:tcPr>
          <w:p w14:paraId="505B1D4F"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Subset States Suburbs</w:t>
            </w:r>
          </w:p>
        </w:tc>
        <w:tc>
          <w:tcPr>
            <w:tcW w:w="838" w:type="pct"/>
            <w:tcBorders>
              <w:top w:val="nil"/>
              <w:left w:val="nil"/>
              <w:bottom w:val="single" w:sz="4" w:space="0" w:color="auto"/>
              <w:right w:val="nil"/>
            </w:tcBorders>
            <w:hideMark/>
          </w:tcPr>
          <w:p w14:paraId="5280308C"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Subset City Suburbs</w:t>
            </w:r>
          </w:p>
        </w:tc>
        <w:tc>
          <w:tcPr>
            <w:tcW w:w="837" w:type="pct"/>
            <w:tcBorders>
              <w:top w:val="nil"/>
              <w:left w:val="nil"/>
              <w:bottom w:val="single" w:sz="4" w:space="0" w:color="auto"/>
              <w:right w:val="nil"/>
            </w:tcBorders>
            <w:hideMark/>
          </w:tcPr>
          <w:p w14:paraId="1AD34454"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Subset City Suburbs &amp;</w:t>
            </w:r>
          </w:p>
          <w:p w14:paraId="35F0F959"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Controls</w:t>
            </w:r>
          </w:p>
        </w:tc>
      </w:tr>
      <w:tr w:rsidR="00B44672" w:rsidRPr="00F54215" w14:paraId="221D6C9C" w14:textId="77777777" w:rsidTr="00D123F1">
        <w:trPr>
          <w:jc w:val="center"/>
        </w:trPr>
        <w:tc>
          <w:tcPr>
            <w:tcW w:w="1178" w:type="pct"/>
            <w:tcBorders>
              <w:top w:val="single" w:sz="4" w:space="0" w:color="auto"/>
              <w:left w:val="nil"/>
              <w:bottom w:val="nil"/>
              <w:right w:val="nil"/>
            </w:tcBorders>
          </w:tcPr>
          <w:p w14:paraId="5D04DA15" w14:textId="77777777" w:rsidR="00B44672" w:rsidRPr="00F54215" w:rsidRDefault="00B44672" w:rsidP="00D123F1">
            <w:pPr>
              <w:widowControl w:val="0"/>
              <w:autoSpaceDE w:val="0"/>
              <w:autoSpaceDN w:val="0"/>
              <w:adjustRightInd w:val="0"/>
              <w:spacing w:after="0"/>
              <w:rPr>
                <w:rFonts w:cstheme="minorHAnsi"/>
                <w:sz w:val="22"/>
              </w:rPr>
            </w:pPr>
          </w:p>
        </w:tc>
        <w:tc>
          <w:tcPr>
            <w:tcW w:w="649" w:type="pct"/>
            <w:tcBorders>
              <w:top w:val="single" w:sz="4" w:space="0" w:color="auto"/>
              <w:left w:val="nil"/>
              <w:bottom w:val="nil"/>
              <w:right w:val="nil"/>
            </w:tcBorders>
          </w:tcPr>
          <w:p w14:paraId="1E2F3511"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659" w:type="pct"/>
            <w:tcBorders>
              <w:top w:val="single" w:sz="4" w:space="0" w:color="auto"/>
              <w:left w:val="nil"/>
              <w:bottom w:val="nil"/>
              <w:right w:val="nil"/>
            </w:tcBorders>
          </w:tcPr>
          <w:p w14:paraId="14139410"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838" w:type="pct"/>
            <w:tcBorders>
              <w:top w:val="single" w:sz="4" w:space="0" w:color="auto"/>
              <w:left w:val="nil"/>
              <w:bottom w:val="nil"/>
              <w:right w:val="nil"/>
            </w:tcBorders>
          </w:tcPr>
          <w:p w14:paraId="4E23D6D8"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838" w:type="pct"/>
            <w:tcBorders>
              <w:top w:val="single" w:sz="4" w:space="0" w:color="auto"/>
              <w:left w:val="nil"/>
              <w:bottom w:val="nil"/>
              <w:right w:val="nil"/>
            </w:tcBorders>
          </w:tcPr>
          <w:p w14:paraId="4FF5FCAD"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837" w:type="pct"/>
            <w:tcBorders>
              <w:top w:val="single" w:sz="4" w:space="0" w:color="auto"/>
              <w:left w:val="nil"/>
              <w:bottom w:val="nil"/>
              <w:right w:val="nil"/>
            </w:tcBorders>
          </w:tcPr>
          <w:p w14:paraId="2AEB5B61" w14:textId="77777777" w:rsidR="00B44672" w:rsidRPr="00F54215" w:rsidRDefault="00B44672" w:rsidP="00D123F1">
            <w:pPr>
              <w:widowControl w:val="0"/>
              <w:autoSpaceDE w:val="0"/>
              <w:autoSpaceDN w:val="0"/>
              <w:adjustRightInd w:val="0"/>
              <w:spacing w:after="0"/>
              <w:jc w:val="center"/>
              <w:rPr>
                <w:rFonts w:cstheme="minorHAnsi"/>
                <w:sz w:val="22"/>
              </w:rPr>
            </w:pPr>
          </w:p>
        </w:tc>
      </w:tr>
      <w:tr w:rsidR="00B44672" w:rsidRPr="00F54215" w14:paraId="1662B5DE" w14:textId="77777777" w:rsidTr="00D123F1">
        <w:trPr>
          <w:jc w:val="center"/>
        </w:trPr>
        <w:tc>
          <w:tcPr>
            <w:tcW w:w="1178" w:type="pct"/>
            <w:hideMark/>
          </w:tcPr>
          <w:p w14:paraId="5DDC6460" w14:textId="77777777" w:rsidR="00B44672" w:rsidRPr="00F54215" w:rsidRDefault="00B44672" w:rsidP="00D123F1">
            <w:pPr>
              <w:widowControl w:val="0"/>
              <w:autoSpaceDE w:val="0"/>
              <w:autoSpaceDN w:val="0"/>
              <w:adjustRightInd w:val="0"/>
              <w:spacing w:after="0"/>
              <w:rPr>
                <w:rFonts w:cstheme="minorHAnsi"/>
                <w:sz w:val="22"/>
              </w:rPr>
            </w:pPr>
            <w:r w:rsidRPr="00F54215">
              <w:rPr>
                <w:rFonts w:cstheme="minorHAnsi"/>
                <w:sz w:val="22"/>
              </w:rPr>
              <w:t xml:space="preserve">Trend Test </w:t>
            </w:r>
          </w:p>
        </w:tc>
        <w:tc>
          <w:tcPr>
            <w:tcW w:w="649" w:type="pct"/>
            <w:hideMark/>
          </w:tcPr>
          <w:p w14:paraId="6B03B08E"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0.000</w:t>
            </w:r>
          </w:p>
        </w:tc>
        <w:tc>
          <w:tcPr>
            <w:tcW w:w="659" w:type="pct"/>
            <w:hideMark/>
          </w:tcPr>
          <w:p w14:paraId="07993731"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0.000</w:t>
            </w:r>
          </w:p>
        </w:tc>
        <w:tc>
          <w:tcPr>
            <w:tcW w:w="838" w:type="pct"/>
            <w:hideMark/>
          </w:tcPr>
          <w:p w14:paraId="1BE7132B"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0.001</w:t>
            </w:r>
          </w:p>
        </w:tc>
        <w:tc>
          <w:tcPr>
            <w:tcW w:w="838" w:type="pct"/>
            <w:hideMark/>
          </w:tcPr>
          <w:p w14:paraId="0AD70D39"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0.002**</w:t>
            </w:r>
          </w:p>
        </w:tc>
        <w:tc>
          <w:tcPr>
            <w:tcW w:w="837" w:type="pct"/>
            <w:hideMark/>
          </w:tcPr>
          <w:p w14:paraId="77230AD0"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0.000</w:t>
            </w:r>
          </w:p>
        </w:tc>
      </w:tr>
      <w:tr w:rsidR="00B44672" w:rsidRPr="00F54215" w14:paraId="6B021003" w14:textId="77777777" w:rsidTr="00D123F1">
        <w:trPr>
          <w:jc w:val="center"/>
        </w:trPr>
        <w:tc>
          <w:tcPr>
            <w:tcW w:w="1178" w:type="pct"/>
          </w:tcPr>
          <w:p w14:paraId="63E7B321" w14:textId="77777777" w:rsidR="00B44672" w:rsidRPr="00F54215" w:rsidRDefault="00B44672" w:rsidP="00D123F1">
            <w:pPr>
              <w:widowControl w:val="0"/>
              <w:autoSpaceDE w:val="0"/>
              <w:autoSpaceDN w:val="0"/>
              <w:adjustRightInd w:val="0"/>
              <w:spacing w:after="0"/>
              <w:rPr>
                <w:rFonts w:cstheme="minorHAnsi"/>
                <w:sz w:val="22"/>
              </w:rPr>
            </w:pPr>
            <w:r>
              <w:rPr>
                <w:rFonts w:cstheme="minorHAnsi"/>
                <w:sz w:val="22"/>
              </w:rPr>
              <w:t>Standard error</w:t>
            </w:r>
          </w:p>
        </w:tc>
        <w:tc>
          <w:tcPr>
            <w:tcW w:w="649" w:type="pct"/>
            <w:hideMark/>
          </w:tcPr>
          <w:p w14:paraId="4ACFDCA4"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[0.001]</w:t>
            </w:r>
          </w:p>
        </w:tc>
        <w:tc>
          <w:tcPr>
            <w:tcW w:w="659" w:type="pct"/>
            <w:hideMark/>
          </w:tcPr>
          <w:p w14:paraId="23506FBF"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[0.001]</w:t>
            </w:r>
          </w:p>
        </w:tc>
        <w:tc>
          <w:tcPr>
            <w:tcW w:w="838" w:type="pct"/>
            <w:hideMark/>
          </w:tcPr>
          <w:p w14:paraId="5FDBC901"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[0.001]</w:t>
            </w:r>
          </w:p>
        </w:tc>
        <w:tc>
          <w:tcPr>
            <w:tcW w:w="838" w:type="pct"/>
            <w:hideMark/>
          </w:tcPr>
          <w:p w14:paraId="0DBB044E"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[0.001]</w:t>
            </w:r>
          </w:p>
        </w:tc>
        <w:tc>
          <w:tcPr>
            <w:tcW w:w="837" w:type="pct"/>
            <w:hideMark/>
          </w:tcPr>
          <w:p w14:paraId="5AA0EF1D" w14:textId="77777777" w:rsidR="00B44672" w:rsidRPr="00F54215" w:rsidRDefault="00B44672" w:rsidP="00D123F1">
            <w:pPr>
              <w:widowControl w:val="0"/>
              <w:autoSpaceDE w:val="0"/>
              <w:autoSpaceDN w:val="0"/>
              <w:adjustRightInd w:val="0"/>
              <w:spacing w:after="0"/>
              <w:jc w:val="center"/>
              <w:rPr>
                <w:rFonts w:cstheme="minorHAnsi"/>
                <w:sz w:val="22"/>
              </w:rPr>
            </w:pPr>
            <w:r w:rsidRPr="00F54215">
              <w:rPr>
                <w:rFonts w:cstheme="minorHAnsi"/>
                <w:sz w:val="22"/>
              </w:rPr>
              <w:t>[0.001]</w:t>
            </w:r>
          </w:p>
        </w:tc>
      </w:tr>
      <w:tr w:rsidR="00B44672" w:rsidRPr="00F54215" w14:paraId="7375295C" w14:textId="77777777" w:rsidTr="00D123F1">
        <w:trPr>
          <w:jc w:val="center"/>
        </w:trPr>
        <w:tc>
          <w:tcPr>
            <w:tcW w:w="1178" w:type="pct"/>
          </w:tcPr>
          <w:p w14:paraId="492D332F" w14:textId="77777777" w:rsidR="00B44672" w:rsidRPr="00F54215" w:rsidRDefault="00B44672" w:rsidP="00D123F1">
            <w:pPr>
              <w:widowControl w:val="0"/>
              <w:autoSpaceDE w:val="0"/>
              <w:autoSpaceDN w:val="0"/>
              <w:adjustRightInd w:val="0"/>
              <w:spacing w:after="0"/>
              <w:rPr>
                <w:rFonts w:cstheme="minorHAnsi"/>
                <w:sz w:val="22"/>
              </w:rPr>
            </w:pPr>
          </w:p>
        </w:tc>
        <w:tc>
          <w:tcPr>
            <w:tcW w:w="649" w:type="pct"/>
          </w:tcPr>
          <w:p w14:paraId="661161B9"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659" w:type="pct"/>
          </w:tcPr>
          <w:p w14:paraId="43DED345"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838" w:type="pct"/>
          </w:tcPr>
          <w:p w14:paraId="565BC878"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838" w:type="pct"/>
          </w:tcPr>
          <w:p w14:paraId="1A268B99" w14:textId="77777777" w:rsidR="00B44672" w:rsidRPr="00F54215" w:rsidRDefault="00B44672" w:rsidP="00D123F1">
            <w:pPr>
              <w:widowControl w:val="0"/>
              <w:autoSpaceDE w:val="0"/>
              <w:autoSpaceDN w:val="0"/>
              <w:adjustRightInd w:val="0"/>
              <w:spacing w:after="0"/>
              <w:jc w:val="center"/>
              <w:rPr>
                <w:rFonts w:cstheme="minorHAnsi"/>
                <w:sz w:val="22"/>
              </w:rPr>
            </w:pPr>
          </w:p>
        </w:tc>
        <w:tc>
          <w:tcPr>
            <w:tcW w:w="837" w:type="pct"/>
          </w:tcPr>
          <w:p w14:paraId="53C6248D" w14:textId="77777777" w:rsidR="00B44672" w:rsidRPr="00F54215" w:rsidRDefault="00B44672" w:rsidP="00D123F1">
            <w:pPr>
              <w:widowControl w:val="0"/>
              <w:autoSpaceDE w:val="0"/>
              <w:autoSpaceDN w:val="0"/>
              <w:adjustRightInd w:val="0"/>
              <w:spacing w:after="0"/>
              <w:jc w:val="center"/>
              <w:rPr>
                <w:rFonts w:cstheme="minorHAnsi"/>
                <w:sz w:val="22"/>
              </w:rPr>
            </w:pPr>
          </w:p>
        </w:tc>
      </w:tr>
      <w:tr w:rsidR="00B44672" w:rsidRPr="00F54215" w14:paraId="43B86BE0" w14:textId="77777777" w:rsidTr="00D123F1">
        <w:trPr>
          <w:jc w:val="center"/>
        </w:trPr>
        <w:tc>
          <w:tcPr>
            <w:tcW w:w="1178" w:type="pct"/>
            <w:hideMark/>
          </w:tcPr>
          <w:p w14:paraId="70C09D17" w14:textId="77777777" w:rsidR="00B44672" w:rsidRPr="00F54215" w:rsidRDefault="00B44672" w:rsidP="00625E60">
            <w:pPr>
              <w:widowControl w:val="0"/>
              <w:autoSpaceDE w:val="0"/>
              <w:autoSpaceDN w:val="0"/>
              <w:adjustRightInd w:val="0"/>
              <w:spacing w:after="0"/>
              <w:rPr>
                <w:rFonts w:cstheme="minorHAnsi"/>
                <w:sz w:val="22"/>
              </w:rPr>
            </w:pPr>
            <w:r w:rsidRPr="00F54215">
              <w:rPr>
                <w:rFonts w:cstheme="minorHAnsi"/>
                <w:sz w:val="22"/>
              </w:rPr>
              <w:t>Observations</w:t>
            </w:r>
          </w:p>
        </w:tc>
        <w:tc>
          <w:tcPr>
            <w:tcW w:w="649" w:type="pct"/>
            <w:hideMark/>
          </w:tcPr>
          <w:p w14:paraId="28576023" w14:textId="77777777" w:rsidR="00B44672" w:rsidRPr="00F54215" w:rsidRDefault="00B44672" w:rsidP="00625E60">
            <w:pPr>
              <w:widowControl w:val="0"/>
              <w:autoSpaceDE w:val="0"/>
              <w:autoSpaceDN w:val="0"/>
              <w:adjustRightInd w:val="0"/>
              <w:spacing w:after="0"/>
              <w:jc w:val="center"/>
              <w:rPr>
                <w:rFonts w:cstheme="minorHAnsi"/>
                <w:sz w:val="22"/>
              </w:rPr>
            </w:pPr>
            <w:r w:rsidRPr="00F54215">
              <w:rPr>
                <w:rFonts w:cstheme="minorHAnsi"/>
                <w:sz w:val="22"/>
              </w:rPr>
              <w:t>60,608</w:t>
            </w:r>
          </w:p>
        </w:tc>
        <w:tc>
          <w:tcPr>
            <w:tcW w:w="659" w:type="pct"/>
            <w:hideMark/>
          </w:tcPr>
          <w:p w14:paraId="3B0FDE08" w14:textId="77777777" w:rsidR="00B44672" w:rsidRPr="00F54215" w:rsidRDefault="00B44672" w:rsidP="00625E60">
            <w:pPr>
              <w:widowControl w:val="0"/>
              <w:autoSpaceDE w:val="0"/>
              <w:autoSpaceDN w:val="0"/>
              <w:adjustRightInd w:val="0"/>
              <w:spacing w:after="0"/>
              <w:jc w:val="center"/>
              <w:rPr>
                <w:rFonts w:cstheme="minorHAnsi"/>
                <w:sz w:val="22"/>
              </w:rPr>
            </w:pPr>
            <w:r w:rsidRPr="00F54215">
              <w:rPr>
                <w:rFonts w:cstheme="minorHAnsi"/>
                <w:sz w:val="22"/>
              </w:rPr>
              <w:t>38,346</w:t>
            </w:r>
          </w:p>
        </w:tc>
        <w:tc>
          <w:tcPr>
            <w:tcW w:w="838" w:type="pct"/>
            <w:hideMark/>
          </w:tcPr>
          <w:p w14:paraId="6AC59F09" w14:textId="77777777" w:rsidR="00B44672" w:rsidRPr="00F54215" w:rsidRDefault="00B44672" w:rsidP="00625E60">
            <w:pPr>
              <w:widowControl w:val="0"/>
              <w:autoSpaceDE w:val="0"/>
              <w:autoSpaceDN w:val="0"/>
              <w:adjustRightInd w:val="0"/>
              <w:spacing w:after="0"/>
              <w:jc w:val="center"/>
              <w:rPr>
                <w:rFonts w:cstheme="minorHAnsi"/>
                <w:sz w:val="22"/>
              </w:rPr>
            </w:pPr>
            <w:r w:rsidRPr="00F54215">
              <w:rPr>
                <w:rFonts w:cstheme="minorHAnsi"/>
                <w:sz w:val="22"/>
              </w:rPr>
              <w:t>45,101</w:t>
            </w:r>
          </w:p>
        </w:tc>
        <w:tc>
          <w:tcPr>
            <w:tcW w:w="838" w:type="pct"/>
            <w:hideMark/>
          </w:tcPr>
          <w:p w14:paraId="3A731D12" w14:textId="77777777" w:rsidR="00B44672" w:rsidRPr="00F54215" w:rsidRDefault="00B44672" w:rsidP="00625E60">
            <w:pPr>
              <w:widowControl w:val="0"/>
              <w:autoSpaceDE w:val="0"/>
              <w:autoSpaceDN w:val="0"/>
              <w:adjustRightInd w:val="0"/>
              <w:spacing w:after="0"/>
              <w:jc w:val="center"/>
              <w:rPr>
                <w:rFonts w:cstheme="minorHAnsi"/>
                <w:sz w:val="22"/>
              </w:rPr>
            </w:pPr>
            <w:r w:rsidRPr="00F54215">
              <w:rPr>
                <w:rFonts w:cstheme="minorHAnsi"/>
                <w:sz w:val="22"/>
              </w:rPr>
              <w:t>16,187</w:t>
            </w:r>
          </w:p>
        </w:tc>
        <w:tc>
          <w:tcPr>
            <w:tcW w:w="837" w:type="pct"/>
            <w:hideMark/>
          </w:tcPr>
          <w:p w14:paraId="6D2F1EAB" w14:textId="77777777" w:rsidR="00B44672" w:rsidRPr="00F54215" w:rsidRDefault="00B44672" w:rsidP="00625E60">
            <w:pPr>
              <w:widowControl w:val="0"/>
              <w:autoSpaceDE w:val="0"/>
              <w:autoSpaceDN w:val="0"/>
              <w:adjustRightInd w:val="0"/>
              <w:spacing w:after="0"/>
              <w:jc w:val="center"/>
              <w:rPr>
                <w:rFonts w:cstheme="minorHAnsi"/>
                <w:sz w:val="22"/>
              </w:rPr>
            </w:pPr>
            <w:r w:rsidRPr="00F54215">
              <w:rPr>
                <w:rFonts w:cstheme="minorHAnsi"/>
                <w:sz w:val="22"/>
              </w:rPr>
              <w:t>16,187</w:t>
            </w:r>
          </w:p>
        </w:tc>
      </w:tr>
      <w:tr w:rsidR="00B44672" w:rsidRPr="00F54215" w14:paraId="4392DDAB" w14:textId="77777777" w:rsidTr="00D123F1">
        <w:trPr>
          <w:jc w:val="center"/>
        </w:trPr>
        <w:tc>
          <w:tcPr>
            <w:tcW w:w="1178" w:type="pct"/>
            <w:tcBorders>
              <w:top w:val="nil"/>
              <w:left w:val="nil"/>
              <w:bottom w:val="single" w:sz="6" w:space="0" w:color="auto"/>
              <w:right w:val="nil"/>
            </w:tcBorders>
            <w:hideMark/>
          </w:tcPr>
          <w:p w14:paraId="150F3DA1" w14:textId="77777777" w:rsidR="00B44672" w:rsidRPr="00F54215" w:rsidRDefault="00B44672" w:rsidP="00625E60">
            <w:pPr>
              <w:widowControl w:val="0"/>
              <w:autoSpaceDE w:val="0"/>
              <w:autoSpaceDN w:val="0"/>
              <w:adjustRightInd w:val="0"/>
              <w:spacing w:after="0"/>
              <w:rPr>
                <w:rFonts w:cstheme="minorHAnsi"/>
                <w:sz w:val="22"/>
              </w:rPr>
            </w:pPr>
            <w:r w:rsidRPr="00F54215">
              <w:rPr>
                <w:rFonts w:cstheme="minorHAnsi"/>
                <w:sz w:val="22"/>
              </w:rPr>
              <w:t>R-squared</w:t>
            </w:r>
          </w:p>
        </w:tc>
        <w:tc>
          <w:tcPr>
            <w:tcW w:w="649" w:type="pct"/>
            <w:tcBorders>
              <w:top w:val="nil"/>
              <w:left w:val="nil"/>
              <w:bottom w:val="single" w:sz="6" w:space="0" w:color="auto"/>
              <w:right w:val="nil"/>
            </w:tcBorders>
            <w:hideMark/>
          </w:tcPr>
          <w:p w14:paraId="04BC0762" w14:textId="77777777" w:rsidR="00B44672" w:rsidRPr="00F54215" w:rsidRDefault="00B44672" w:rsidP="00625E60">
            <w:pPr>
              <w:widowControl w:val="0"/>
              <w:autoSpaceDE w:val="0"/>
              <w:autoSpaceDN w:val="0"/>
              <w:adjustRightInd w:val="0"/>
              <w:spacing w:after="0"/>
              <w:jc w:val="center"/>
              <w:rPr>
                <w:rFonts w:cstheme="minorHAnsi"/>
                <w:sz w:val="22"/>
              </w:rPr>
            </w:pPr>
            <w:r w:rsidRPr="00F54215">
              <w:rPr>
                <w:rFonts w:cstheme="minorHAnsi"/>
                <w:sz w:val="22"/>
              </w:rPr>
              <w:t>0.964</w:t>
            </w:r>
          </w:p>
        </w:tc>
        <w:tc>
          <w:tcPr>
            <w:tcW w:w="659" w:type="pct"/>
            <w:tcBorders>
              <w:top w:val="nil"/>
              <w:left w:val="nil"/>
              <w:bottom w:val="single" w:sz="6" w:space="0" w:color="auto"/>
              <w:right w:val="nil"/>
            </w:tcBorders>
            <w:hideMark/>
          </w:tcPr>
          <w:p w14:paraId="3C73EF6D" w14:textId="77777777" w:rsidR="00B44672" w:rsidRPr="00F54215" w:rsidRDefault="00B44672" w:rsidP="00625E60">
            <w:pPr>
              <w:widowControl w:val="0"/>
              <w:autoSpaceDE w:val="0"/>
              <w:autoSpaceDN w:val="0"/>
              <w:adjustRightInd w:val="0"/>
              <w:spacing w:after="0"/>
              <w:jc w:val="center"/>
              <w:rPr>
                <w:rFonts w:cstheme="minorHAnsi"/>
                <w:sz w:val="22"/>
              </w:rPr>
            </w:pPr>
            <w:r w:rsidRPr="00F54215">
              <w:rPr>
                <w:rFonts w:cstheme="minorHAnsi"/>
                <w:sz w:val="22"/>
              </w:rPr>
              <w:t>0.962</w:t>
            </w:r>
          </w:p>
        </w:tc>
        <w:tc>
          <w:tcPr>
            <w:tcW w:w="838" w:type="pct"/>
            <w:tcBorders>
              <w:top w:val="nil"/>
              <w:left w:val="nil"/>
              <w:bottom w:val="single" w:sz="6" w:space="0" w:color="auto"/>
              <w:right w:val="nil"/>
            </w:tcBorders>
            <w:hideMark/>
          </w:tcPr>
          <w:p w14:paraId="46B5049C" w14:textId="77777777" w:rsidR="00B44672" w:rsidRPr="00F54215" w:rsidRDefault="00B44672" w:rsidP="00625E60">
            <w:pPr>
              <w:widowControl w:val="0"/>
              <w:autoSpaceDE w:val="0"/>
              <w:autoSpaceDN w:val="0"/>
              <w:adjustRightInd w:val="0"/>
              <w:spacing w:after="0"/>
              <w:jc w:val="center"/>
              <w:rPr>
                <w:rFonts w:cstheme="minorHAnsi"/>
                <w:sz w:val="22"/>
              </w:rPr>
            </w:pPr>
            <w:r w:rsidRPr="00F54215">
              <w:rPr>
                <w:rFonts w:cstheme="minorHAnsi"/>
                <w:sz w:val="22"/>
              </w:rPr>
              <w:t>0.964</w:t>
            </w:r>
          </w:p>
        </w:tc>
        <w:tc>
          <w:tcPr>
            <w:tcW w:w="838" w:type="pct"/>
            <w:tcBorders>
              <w:top w:val="nil"/>
              <w:left w:val="nil"/>
              <w:bottom w:val="single" w:sz="6" w:space="0" w:color="auto"/>
              <w:right w:val="nil"/>
            </w:tcBorders>
            <w:hideMark/>
          </w:tcPr>
          <w:p w14:paraId="297EB09C" w14:textId="77777777" w:rsidR="00B44672" w:rsidRPr="00F54215" w:rsidRDefault="00B44672" w:rsidP="00625E60">
            <w:pPr>
              <w:widowControl w:val="0"/>
              <w:autoSpaceDE w:val="0"/>
              <w:autoSpaceDN w:val="0"/>
              <w:adjustRightInd w:val="0"/>
              <w:spacing w:after="0"/>
              <w:jc w:val="center"/>
              <w:rPr>
                <w:rFonts w:cstheme="minorHAnsi"/>
                <w:sz w:val="22"/>
              </w:rPr>
            </w:pPr>
            <w:r w:rsidRPr="00F54215">
              <w:rPr>
                <w:rFonts w:cstheme="minorHAnsi"/>
                <w:sz w:val="22"/>
              </w:rPr>
              <w:t>0.959</w:t>
            </w:r>
          </w:p>
        </w:tc>
        <w:tc>
          <w:tcPr>
            <w:tcW w:w="837" w:type="pct"/>
            <w:tcBorders>
              <w:top w:val="nil"/>
              <w:left w:val="nil"/>
              <w:bottom w:val="single" w:sz="6" w:space="0" w:color="auto"/>
              <w:right w:val="nil"/>
            </w:tcBorders>
            <w:hideMark/>
          </w:tcPr>
          <w:p w14:paraId="7C4A25A3" w14:textId="77777777" w:rsidR="00B44672" w:rsidRPr="00F54215" w:rsidRDefault="00B44672" w:rsidP="00625E60">
            <w:pPr>
              <w:widowControl w:val="0"/>
              <w:autoSpaceDE w:val="0"/>
              <w:autoSpaceDN w:val="0"/>
              <w:adjustRightInd w:val="0"/>
              <w:spacing w:after="0"/>
              <w:jc w:val="center"/>
              <w:rPr>
                <w:rFonts w:cstheme="minorHAnsi"/>
                <w:sz w:val="22"/>
              </w:rPr>
            </w:pPr>
            <w:r w:rsidRPr="00F54215">
              <w:rPr>
                <w:rFonts w:cstheme="minorHAnsi"/>
                <w:sz w:val="22"/>
              </w:rPr>
              <w:t>0.960</w:t>
            </w:r>
          </w:p>
        </w:tc>
      </w:tr>
    </w:tbl>
    <w:p w14:paraId="744EC1E9" w14:textId="77777777" w:rsidR="00B44672" w:rsidRPr="00F54215" w:rsidRDefault="00B44672" w:rsidP="00625E60">
      <w:pPr>
        <w:widowControl w:val="0"/>
        <w:autoSpaceDE w:val="0"/>
        <w:autoSpaceDN w:val="0"/>
        <w:adjustRightInd w:val="0"/>
        <w:spacing w:after="0"/>
        <w:jc w:val="center"/>
        <w:rPr>
          <w:rFonts w:cstheme="minorHAnsi"/>
          <w:sz w:val="22"/>
        </w:rPr>
      </w:pPr>
      <w:r w:rsidRPr="00F54215">
        <w:rPr>
          <w:rFonts w:cstheme="minorHAnsi"/>
          <w:sz w:val="22"/>
        </w:rPr>
        <w:t>Robust standard errors in brackets; ** p&lt;0.01, * p&lt;0.05</w:t>
      </w:r>
    </w:p>
    <w:p w14:paraId="0C71EADA" w14:textId="77777777" w:rsidR="00B44672" w:rsidRDefault="00B44672" w:rsidP="0029189E"/>
    <w:p w14:paraId="094B738F" w14:textId="77777777" w:rsidR="00B44672" w:rsidRDefault="00B44672" w:rsidP="00B44672">
      <w:pPr>
        <w:pStyle w:val="Heading2"/>
        <w:numPr>
          <w:ilvl w:val="0"/>
          <w:numId w:val="23"/>
        </w:numPr>
        <w:spacing w:line="259" w:lineRule="auto"/>
      </w:pPr>
      <w:r>
        <w:t xml:space="preserve">Extended results tables </w:t>
      </w:r>
    </w:p>
    <w:p w14:paraId="2E9CD791" w14:textId="77777777" w:rsidR="00B44672" w:rsidRDefault="00B44672" w:rsidP="00E312C3">
      <w:r>
        <w:t xml:space="preserve">The following pages include the extended result tables of our analysis of the economic and affordability effects of the ACT tax reform. </w:t>
      </w:r>
      <w:proofErr w:type="gramStart"/>
      <w:r>
        <w:t>In particular, you</w:t>
      </w:r>
      <w:proofErr w:type="gramEnd"/>
      <w:r>
        <w:t xml:space="preserve"> will find results for the full set of alternative control groups in the tables below.   </w:t>
      </w:r>
    </w:p>
    <w:p w14:paraId="5206AC5E" w14:textId="77777777" w:rsidR="00B44672" w:rsidRDefault="00B44672" w:rsidP="00565753">
      <w:pPr>
        <w:pStyle w:val="Heading3"/>
      </w:pPr>
      <w:r>
        <w:t>Overview</w:t>
      </w:r>
    </w:p>
    <w:p w14:paraId="650F720E" w14:textId="77777777" w:rsidR="00B44672" w:rsidRDefault="00B44672" w:rsidP="00E312C3">
      <w:r>
        <w:t xml:space="preserve">The order of the tables is the same as in the main report. The table numbers are also the same as those in the main report for ease of reference. All tables are exclusive to either house or unit observations. The results tables typically include additional results using NSW and Victoria as the control group in column 4. Column 5 is a combination of reducing the control group to suburbs from capital cities and NSW or Victoria. In other words, suburbs in Sydney and Melbourne are the counterfactual to the ACT in those cases. </w:t>
      </w:r>
    </w:p>
    <w:p w14:paraId="1C97701C" w14:textId="77777777" w:rsidR="00B44672" w:rsidRDefault="00B44672" w:rsidP="006C706A">
      <w:pPr>
        <w:pStyle w:val="BodyText"/>
        <w:rPr>
          <w:lang w:val="en-GB" w:bidi="bn-BD"/>
        </w:rPr>
      </w:pPr>
      <w:r>
        <w:rPr>
          <w:lang w:val="en-GB" w:bidi="bn-BD"/>
        </w:rPr>
        <w:t>All regressions are</w:t>
      </w:r>
      <w:r w:rsidRPr="00DE4C28">
        <w:rPr>
          <w:lang w:val="en-GB" w:bidi="bn-BD"/>
        </w:rPr>
        <w:t xml:space="preserve"> </w:t>
      </w:r>
      <w:r>
        <w:rPr>
          <w:lang w:val="en-GB" w:bidi="bn-BD"/>
        </w:rPr>
        <w:t>estimated</w:t>
      </w:r>
      <w:r w:rsidRPr="00DE4C28">
        <w:rPr>
          <w:lang w:val="en-GB" w:bidi="bn-BD"/>
        </w:rPr>
        <w:t xml:space="preserve"> as log-log specification, as the price series are log-normal</w:t>
      </w:r>
      <w:r>
        <w:rPr>
          <w:lang w:val="en-GB" w:bidi="bn-BD"/>
        </w:rPr>
        <w:t xml:space="preserve">ly </w:t>
      </w:r>
      <w:r w:rsidRPr="00DE4C28">
        <w:rPr>
          <w:lang w:val="en-GB" w:bidi="bn-BD"/>
        </w:rPr>
        <w:t>distributed. This log-log specification is typical in the property tax literature and has the nice side effect of allowing us to read the coefficients on the continuous variables as elasticitie</w:t>
      </w:r>
      <w:r>
        <w:rPr>
          <w:lang w:val="en-GB" w:bidi="bn-BD"/>
        </w:rPr>
        <w:t>s and easily covert coefficients on dummy variables,</w:t>
      </w:r>
      <w:r w:rsidRPr="00DE4C28">
        <w:rPr>
          <w:lang w:val="en-GB" w:bidi="bn-BD"/>
        </w:rPr>
        <w:t xml:space="preserve"> mak</w:t>
      </w:r>
      <w:r>
        <w:rPr>
          <w:lang w:val="en-GB" w:bidi="bn-BD"/>
        </w:rPr>
        <w:t>ing</w:t>
      </w:r>
      <w:r w:rsidRPr="00DE4C28">
        <w:rPr>
          <w:lang w:val="en-GB" w:bidi="bn-BD"/>
        </w:rPr>
        <w:t xml:space="preserve"> the interpretation straight forward.</w:t>
      </w:r>
    </w:p>
    <w:p w14:paraId="78B4A0A9" w14:textId="77777777" w:rsidR="00B44672" w:rsidRDefault="00B44672" w:rsidP="000620F9">
      <w:r>
        <w:t xml:space="preserve">As indicated in the main report, restricting the control group to smaller subgroups reduces the number of observations, which in turn can decrease the power of the regression and could lead to greater issues of multicollinearity. The tables below show that in almost all cases, the restriction to NSW and Victoria or to just suburbs in Sydney and Melbourne leads to an increase in the error term and to an increase in the correlation of the reform variable with the controls. </w:t>
      </w:r>
    </w:p>
    <w:p w14:paraId="44845FF7" w14:textId="77777777" w:rsidR="00B44672" w:rsidRDefault="00B44672" w:rsidP="000620F9">
      <w:r>
        <w:t xml:space="preserve">As we have confirmed the common trends assumption for all four control groups, it remains a matter of judgement and involves considering the trade-off between choosing all Australian suburbs or a smaller subset of Australian suburbs, but with larger error terms and greater concerns about possible multicollinearity. While we only present the results of the full sample and the alternative of capital cities in the main report, the conclusion in the main reports refers to robustness checks across all four counterfactuals. </w:t>
      </w:r>
    </w:p>
    <w:p w14:paraId="25626837" w14:textId="77777777" w:rsidR="00B44672" w:rsidRDefault="00B44672" w:rsidP="00565753">
      <w:pPr>
        <w:pStyle w:val="Heading3"/>
      </w:pPr>
      <w:r>
        <w:t xml:space="preserve">Results </w:t>
      </w:r>
    </w:p>
    <w:p w14:paraId="4B44C585" w14:textId="77777777" w:rsidR="00B44672" w:rsidRPr="00E312C3" w:rsidRDefault="00B44672" w:rsidP="000620F9">
      <w:r>
        <w:t xml:space="preserve">The first two tables are present the results on the economic impact on overall value of the house and unit markets.  </w:t>
      </w:r>
    </w:p>
    <w:p w14:paraId="285A5A5B" w14:textId="653202A5" w:rsidR="00B44672" w:rsidRPr="00712B72" w:rsidRDefault="00B44672" w:rsidP="00712B72">
      <w:pPr>
        <w:pStyle w:val="Caption"/>
        <w:keepNext/>
        <w:rPr>
          <w:b/>
          <w:bCs/>
          <w:i w:val="0"/>
          <w:iCs/>
          <w:color w:val="365F91" w:themeColor="accent1" w:themeShade="BF"/>
          <w:sz w:val="22"/>
          <w:szCs w:val="21"/>
        </w:rPr>
      </w:pPr>
      <w:bookmarkStart w:id="147" w:name="_Toc33121087"/>
      <w:r w:rsidRPr="00712B72">
        <w:rPr>
          <w:b/>
          <w:bCs/>
          <w:color w:val="365F91" w:themeColor="accent1" w:themeShade="BF"/>
          <w:sz w:val="22"/>
          <w:szCs w:val="21"/>
        </w:rPr>
        <w:lastRenderedPageBreak/>
        <w:t xml:space="preserve">Table </w:t>
      </w:r>
      <w:r w:rsidRPr="00712B72">
        <w:rPr>
          <w:b/>
          <w:bCs/>
          <w:i w:val="0"/>
          <w:iCs/>
          <w:color w:val="365F91" w:themeColor="accent1" w:themeShade="BF"/>
          <w:sz w:val="22"/>
          <w:szCs w:val="21"/>
        </w:rPr>
        <w:fldChar w:fldCharType="begin"/>
      </w:r>
      <w:r w:rsidRPr="00712B72">
        <w:rPr>
          <w:b/>
          <w:bCs/>
          <w:color w:val="365F91" w:themeColor="accent1" w:themeShade="BF"/>
          <w:sz w:val="22"/>
          <w:szCs w:val="21"/>
        </w:rPr>
        <w:instrText xml:space="preserve"> SEQ Table \* ARABIC </w:instrText>
      </w:r>
      <w:r w:rsidRPr="00712B72">
        <w:rPr>
          <w:b/>
          <w:bCs/>
          <w:i w:val="0"/>
          <w:iCs/>
          <w:color w:val="365F91" w:themeColor="accent1" w:themeShade="BF"/>
          <w:sz w:val="22"/>
          <w:szCs w:val="21"/>
        </w:rPr>
        <w:fldChar w:fldCharType="separate"/>
      </w:r>
      <w:r w:rsidR="00A763B6">
        <w:rPr>
          <w:b/>
          <w:bCs/>
          <w:noProof/>
          <w:color w:val="365F91" w:themeColor="accent1" w:themeShade="BF"/>
          <w:sz w:val="22"/>
          <w:szCs w:val="21"/>
        </w:rPr>
        <w:t>24</w:t>
      </w:r>
      <w:r w:rsidRPr="00712B72">
        <w:rPr>
          <w:b/>
          <w:bCs/>
          <w:i w:val="0"/>
          <w:iCs/>
          <w:color w:val="365F91" w:themeColor="accent1" w:themeShade="BF"/>
          <w:sz w:val="22"/>
          <w:szCs w:val="21"/>
        </w:rPr>
        <w:fldChar w:fldCharType="end"/>
      </w:r>
      <w:r w:rsidRPr="00712B72">
        <w:rPr>
          <w:b/>
          <w:bCs/>
          <w:color w:val="365F91" w:themeColor="accent1" w:themeShade="BF"/>
          <w:sz w:val="22"/>
          <w:szCs w:val="21"/>
        </w:rPr>
        <w:t xml:space="preserve"> </w:t>
      </w:r>
      <w:r>
        <w:rPr>
          <w:b/>
          <w:bCs/>
          <w:color w:val="365F91" w:themeColor="accent1" w:themeShade="BF"/>
          <w:sz w:val="22"/>
          <w:szCs w:val="21"/>
        </w:rPr>
        <w:t>(from main report)</w:t>
      </w:r>
      <w:r w:rsidRPr="00712B72">
        <w:rPr>
          <w:b/>
          <w:bCs/>
          <w:color w:val="365F91" w:themeColor="accent1" w:themeShade="BF"/>
          <w:sz w:val="22"/>
          <w:szCs w:val="21"/>
        </w:rPr>
        <w:t>- Effect of the tax reform on the housing market - estimations in logs</w:t>
      </w:r>
      <w:bookmarkEnd w:id="147"/>
    </w:p>
    <w:tbl>
      <w:tblPr>
        <w:tblW w:w="0" w:type="auto"/>
        <w:jc w:val="center"/>
        <w:tblCellMar>
          <w:left w:w="144" w:type="dxa"/>
          <w:right w:w="144" w:type="dxa"/>
        </w:tblCellMar>
        <w:tblLook w:val="0000" w:firstRow="0" w:lastRow="0" w:firstColumn="0" w:lastColumn="0" w:noHBand="0" w:noVBand="0"/>
      </w:tblPr>
      <w:tblGrid>
        <w:gridCol w:w="2091"/>
        <w:gridCol w:w="1271"/>
        <w:gridCol w:w="1271"/>
        <w:gridCol w:w="1387"/>
        <w:gridCol w:w="1194"/>
        <w:gridCol w:w="1812"/>
      </w:tblGrid>
      <w:tr w:rsidR="00B44672" w:rsidRPr="006B5978" w14:paraId="37D7A475" w14:textId="77777777" w:rsidTr="004D2B7C">
        <w:trPr>
          <w:jc w:val="center"/>
        </w:trPr>
        <w:tc>
          <w:tcPr>
            <w:tcW w:w="2242" w:type="dxa"/>
            <w:tcBorders>
              <w:top w:val="single" w:sz="6" w:space="0" w:color="auto"/>
              <w:left w:val="nil"/>
              <w:bottom w:val="nil"/>
              <w:right w:val="nil"/>
            </w:tcBorders>
          </w:tcPr>
          <w:p w14:paraId="2D492323" w14:textId="77777777" w:rsidR="00B44672" w:rsidRPr="006B5978" w:rsidRDefault="00B44672" w:rsidP="004D2B7C">
            <w:pPr>
              <w:widowControl w:val="0"/>
              <w:autoSpaceDE w:val="0"/>
              <w:autoSpaceDN w:val="0"/>
              <w:adjustRightInd w:val="0"/>
              <w:spacing w:before="79" w:after="0"/>
              <w:rPr>
                <w:rFonts w:cstheme="minorHAnsi"/>
                <w:sz w:val="22"/>
              </w:rPr>
            </w:pPr>
            <w:proofErr w:type="gramStart"/>
            <w:r w:rsidRPr="006B5978">
              <w:rPr>
                <w:rFonts w:cstheme="minorHAnsi"/>
                <w:sz w:val="22"/>
              </w:rPr>
              <w:t>Log(</w:t>
            </w:r>
            <w:proofErr w:type="gramEnd"/>
            <w:r w:rsidRPr="006B5978">
              <w:rPr>
                <w:rFonts w:cstheme="minorHAnsi"/>
                <w:sz w:val="22"/>
              </w:rPr>
              <w:t>Sales Volume)</w:t>
            </w:r>
          </w:p>
        </w:tc>
        <w:tc>
          <w:tcPr>
            <w:tcW w:w="1320" w:type="dxa"/>
            <w:tcBorders>
              <w:top w:val="single" w:sz="6" w:space="0" w:color="auto"/>
              <w:left w:val="nil"/>
              <w:bottom w:val="nil"/>
              <w:right w:val="nil"/>
            </w:tcBorders>
          </w:tcPr>
          <w:p w14:paraId="69D5B387"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(1)</w:t>
            </w:r>
          </w:p>
        </w:tc>
        <w:tc>
          <w:tcPr>
            <w:tcW w:w="1320" w:type="dxa"/>
            <w:tcBorders>
              <w:top w:val="single" w:sz="6" w:space="0" w:color="auto"/>
              <w:left w:val="nil"/>
              <w:bottom w:val="nil"/>
              <w:right w:val="nil"/>
            </w:tcBorders>
          </w:tcPr>
          <w:p w14:paraId="46553CA0"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(2)</w:t>
            </w:r>
          </w:p>
        </w:tc>
        <w:tc>
          <w:tcPr>
            <w:tcW w:w="1481" w:type="dxa"/>
            <w:tcBorders>
              <w:top w:val="single" w:sz="6" w:space="0" w:color="auto"/>
              <w:left w:val="nil"/>
              <w:bottom w:val="nil"/>
              <w:right w:val="nil"/>
            </w:tcBorders>
          </w:tcPr>
          <w:p w14:paraId="4F03A642"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(3)</w:t>
            </w:r>
          </w:p>
        </w:tc>
        <w:tc>
          <w:tcPr>
            <w:tcW w:w="1213" w:type="dxa"/>
            <w:tcBorders>
              <w:top w:val="single" w:sz="6" w:space="0" w:color="auto"/>
              <w:left w:val="nil"/>
              <w:bottom w:val="nil"/>
              <w:right w:val="nil"/>
            </w:tcBorders>
          </w:tcPr>
          <w:p w14:paraId="5A0E0D8A"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(4)</w:t>
            </w:r>
          </w:p>
        </w:tc>
        <w:tc>
          <w:tcPr>
            <w:tcW w:w="2072" w:type="dxa"/>
            <w:tcBorders>
              <w:top w:val="single" w:sz="6" w:space="0" w:color="auto"/>
              <w:left w:val="nil"/>
              <w:bottom w:val="nil"/>
              <w:right w:val="nil"/>
            </w:tcBorders>
          </w:tcPr>
          <w:p w14:paraId="682A3F9F"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(1)</w:t>
            </w:r>
          </w:p>
        </w:tc>
      </w:tr>
      <w:tr w:rsidR="00B44672" w:rsidRPr="006B5978" w14:paraId="1E7890AA" w14:textId="77777777" w:rsidTr="004D2B7C">
        <w:trPr>
          <w:jc w:val="center"/>
        </w:trPr>
        <w:tc>
          <w:tcPr>
            <w:tcW w:w="2242" w:type="dxa"/>
            <w:tcBorders>
              <w:top w:val="nil"/>
              <w:left w:val="nil"/>
              <w:bottom w:val="nil"/>
              <w:right w:val="nil"/>
            </w:tcBorders>
          </w:tcPr>
          <w:p w14:paraId="66CCF358" w14:textId="77777777" w:rsidR="00B44672" w:rsidRPr="006B5978" w:rsidRDefault="00B44672" w:rsidP="004D2B7C">
            <w:pPr>
              <w:widowControl w:val="0"/>
              <w:autoSpaceDE w:val="0"/>
              <w:autoSpaceDN w:val="0"/>
              <w:adjustRightInd w:val="0"/>
              <w:spacing w:after="79"/>
              <w:rPr>
                <w:rFonts w:cstheme="minorHAnsi"/>
                <w:sz w:val="22"/>
              </w:rPr>
            </w:pPr>
          </w:p>
        </w:tc>
        <w:tc>
          <w:tcPr>
            <w:tcW w:w="1320" w:type="dxa"/>
            <w:tcBorders>
              <w:top w:val="nil"/>
              <w:left w:val="nil"/>
              <w:bottom w:val="nil"/>
              <w:right w:val="nil"/>
            </w:tcBorders>
          </w:tcPr>
          <w:p w14:paraId="5FA064D0"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320" w:type="dxa"/>
            <w:tcBorders>
              <w:top w:val="nil"/>
              <w:left w:val="nil"/>
              <w:bottom w:val="nil"/>
              <w:right w:val="nil"/>
            </w:tcBorders>
          </w:tcPr>
          <w:p w14:paraId="27486458"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481" w:type="dxa"/>
            <w:tcBorders>
              <w:top w:val="nil"/>
              <w:left w:val="nil"/>
              <w:bottom w:val="nil"/>
              <w:right w:val="nil"/>
            </w:tcBorders>
          </w:tcPr>
          <w:p w14:paraId="1F3E4336"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w:t>
            </w:r>
          </w:p>
        </w:tc>
        <w:tc>
          <w:tcPr>
            <w:tcW w:w="1213" w:type="dxa"/>
            <w:tcBorders>
              <w:top w:val="nil"/>
              <w:left w:val="nil"/>
              <w:bottom w:val="nil"/>
              <w:right w:val="nil"/>
            </w:tcBorders>
          </w:tcPr>
          <w:p w14:paraId="32A52DC8"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NSW &amp; VIC</w:t>
            </w:r>
          </w:p>
        </w:tc>
        <w:tc>
          <w:tcPr>
            <w:tcW w:w="2072" w:type="dxa"/>
            <w:tcBorders>
              <w:top w:val="nil"/>
              <w:left w:val="nil"/>
              <w:bottom w:val="nil"/>
              <w:right w:val="nil"/>
            </w:tcBorders>
          </w:tcPr>
          <w:p w14:paraId="05DA3038"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 NSW &amp; VIC</w:t>
            </w:r>
          </w:p>
        </w:tc>
      </w:tr>
      <w:tr w:rsidR="00B44672" w:rsidRPr="006B5978" w14:paraId="6E67D0FD" w14:textId="77777777" w:rsidTr="004D2B7C">
        <w:trPr>
          <w:jc w:val="center"/>
        </w:trPr>
        <w:tc>
          <w:tcPr>
            <w:tcW w:w="2242" w:type="dxa"/>
            <w:tcBorders>
              <w:top w:val="single" w:sz="6" w:space="0" w:color="auto"/>
              <w:left w:val="nil"/>
              <w:bottom w:val="nil"/>
              <w:right w:val="nil"/>
            </w:tcBorders>
          </w:tcPr>
          <w:p w14:paraId="125285B4"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Reform Dummy</w:t>
            </w:r>
          </w:p>
        </w:tc>
        <w:tc>
          <w:tcPr>
            <w:tcW w:w="1320" w:type="dxa"/>
            <w:tcBorders>
              <w:top w:val="single" w:sz="6" w:space="0" w:color="auto"/>
              <w:left w:val="nil"/>
              <w:bottom w:val="nil"/>
              <w:right w:val="nil"/>
            </w:tcBorders>
          </w:tcPr>
          <w:p w14:paraId="02E009D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-0.103</w:t>
            </w:r>
          </w:p>
        </w:tc>
        <w:tc>
          <w:tcPr>
            <w:tcW w:w="1320" w:type="dxa"/>
            <w:tcBorders>
              <w:top w:val="single" w:sz="6" w:space="0" w:color="auto"/>
              <w:left w:val="nil"/>
              <w:bottom w:val="nil"/>
              <w:right w:val="nil"/>
            </w:tcBorders>
          </w:tcPr>
          <w:p w14:paraId="67E6EAA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0.031</w:t>
            </w:r>
          </w:p>
        </w:tc>
        <w:tc>
          <w:tcPr>
            <w:tcW w:w="1481" w:type="dxa"/>
            <w:tcBorders>
              <w:top w:val="single" w:sz="6" w:space="0" w:color="auto"/>
              <w:left w:val="nil"/>
              <w:bottom w:val="nil"/>
              <w:right w:val="nil"/>
            </w:tcBorders>
          </w:tcPr>
          <w:p w14:paraId="20C3F4B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-0.055</w:t>
            </w:r>
          </w:p>
        </w:tc>
        <w:tc>
          <w:tcPr>
            <w:tcW w:w="1213" w:type="dxa"/>
            <w:tcBorders>
              <w:top w:val="single" w:sz="6" w:space="0" w:color="auto"/>
              <w:left w:val="nil"/>
              <w:bottom w:val="nil"/>
              <w:right w:val="nil"/>
            </w:tcBorders>
          </w:tcPr>
          <w:p w14:paraId="188ED86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-0.042</w:t>
            </w:r>
          </w:p>
        </w:tc>
        <w:tc>
          <w:tcPr>
            <w:tcW w:w="2072" w:type="dxa"/>
            <w:tcBorders>
              <w:top w:val="single" w:sz="6" w:space="0" w:color="auto"/>
              <w:left w:val="nil"/>
              <w:bottom w:val="nil"/>
              <w:right w:val="nil"/>
            </w:tcBorders>
          </w:tcPr>
          <w:p w14:paraId="3B0FF64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-0.071</w:t>
            </w:r>
          </w:p>
        </w:tc>
      </w:tr>
      <w:tr w:rsidR="00B44672" w:rsidRPr="006B5978" w14:paraId="03D0AE82" w14:textId="77777777" w:rsidTr="004D2B7C">
        <w:trPr>
          <w:jc w:val="center"/>
        </w:trPr>
        <w:tc>
          <w:tcPr>
            <w:tcW w:w="2242" w:type="dxa"/>
            <w:tcBorders>
              <w:top w:val="nil"/>
              <w:left w:val="nil"/>
              <w:bottom w:val="nil"/>
              <w:right w:val="nil"/>
            </w:tcBorders>
          </w:tcPr>
          <w:p w14:paraId="1FC979E4"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20" w:type="dxa"/>
            <w:tcBorders>
              <w:top w:val="nil"/>
              <w:left w:val="nil"/>
              <w:bottom w:val="nil"/>
              <w:right w:val="nil"/>
            </w:tcBorders>
          </w:tcPr>
          <w:p w14:paraId="0F55DC9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0.021]*</w:t>
            </w:r>
            <w:proofErr w:type="gramEnd"/>
            <w:r w:rsidRPr="006B5978">
              <w:rPr>
                <w:rFonts w:cstheme="minorHAnsi"/>
                <w:sz w:val="22"/>
              </w:rPr>
              <w:t>*</w:t>
            </w:r>
          </w:p>
        </w:tc>
        <w:tc>
          <w:tcPr>
            <w:tcW w:w="1320" w:type="dxa"/>
            <w:tcBorders>
              <w:top w:val="nil"/>
              <w:left w:val="nil"/>
              <w:bottom w:val="nil"/>
              <w:right w:val="nil"/>
            </w:tcBorders>
          </w:tcPr>
          <w:p w14:paraId="6BFC98F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[0.022]</w:t>
            </w:r>
          </w:p>
        </w:tc>
        <w:tc>
          <w:tcPr>
            <w:tcW w:w="1481" w:type="dxa"/>
            <w:tcBorders>
              <w:top w:val="nil"/>
              <w:left w:val="nil"/>
              <w:bottom w:val="nil"/>
              <w:right w:val="nil"/>
            </w:tcBorders>
          </w:tcPr>
          <w:p w14:paraId="5485558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0.022]*</w:t>
            </w:r>
            <w:proofErr w:type="gramEnd"/>
          </w:p>
        </w:tc>
        <w:tc>
          <w:tcPr>
            <w:tcW w:w="1213" w:type="dxa"/>
            <w:tcBorders>
              <w:top w:val="nil"/>
              <w:left w:val="nil"/>
              <w:bottom w:val="nil"/>
              <w:right w:val="nil"/>
            </w:tcBorders>
          </w:tcPr>
          <w:p w14:paraId="1A30255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[0.025]</w:t>
            </w:r>
          </w:p>
        </w:tc>
        <w:tc>
          <w:tcPr>
            <w:tcW w:w="2072" w:type="dxa"/>
            <w:tcBorders>
              <w:top w:val="nil"/>
              <w:left w:val="nil"/>
              <w:bottom w:val="nil"/>
              <w:right w:val="nil"/>
            </w:tcBorders>
          </w:tcPr>
          <w:p w14:paraId="4415650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0.025]*</w:t>
            </w:r>
            <w:proofErr w:type="gramEnd"/>
            <w:r w:rsidRPr="006B5978">
              <w:rPr>
                <w:rFonts w:cstheme="minorHAnsi"/>
                <w:sz w:val="22"/>
              </w:rPr>
              <w:t>*</w:t>
            </w:r>
          </w:p>
        </w:tc>
      </w:tr>
      <w:tr w:rsidR="00B44672" w:rsidRPr="006B5978" w14:paraId="772A48CE" w14:textId="77777777" w:rsidTr="004D2B7C">
        <w:trPr>
          <w:jc w:val="center"/>
        </w:trPr>
        <w:tc>
          <w:tcPr>
            <w:tcW w:w="2242" w:type="dxa"/>
            <w:tcBorders>
              <w:top w:val="nil"/>
              <w:left w:val="nil"/>
              <w:bottom w:val="nil"/>
              <w:right w:val="nil"/>
            </w:tcBorders>
          </w:tcPr>
          <w:p w14:paraId="77C36E37"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Income)</w:t>
            </w:r>
          </w:p>
        </w:tc>
        <w:tc>
          <w:tcPr>
            <w:tcW w:w="1320" w:type="dxa"/>
            <w:tcBorders>
              <w:top w:val="nil"/>
              <w:left w:val="nil"/>
              <w:bottom w:val="nil"/>
              <w:right w:val="nil"/>
            </w:tcBorders>
          </w:tcPr>
          <w:p w14:paraId="1F682EA4"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7AD20A6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3.102</w:t>
            </w:r>
          </w:p>
        </w:tc>
        <w:tc>
          <w:tcPr>
            <w:tcW w:w="1481" w:type="dxa"/>
            <w:tcBorders>
              <w:top w:val="nil"/>
              <w:left w:val="nil"/>
              <w:bottom w:val="nil"/>
              <w:right w:val="nil"/>
            </w:tcBorders>
          </w:tcPr>
          <w:p w14:paraId="66E57CB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3.053</w:t>
            </w:r>
          </w:p>
        </w:tc>
        <w:tc>
          <w:tcPr>
            <w:tcW w:w="1213" w:type="dxa"/>
            <w:tcBorders>
              <w:top w:val="nil"/>
              <w:left w:val="nil"/>
              <w:bottom w:val="nil"/>
              <w:right w:val="nil"/>
            </w:tcBorders>
          </w:tcPr>
          <w:p w14:paraId="0CEF336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2.311</w:t>
            </w:r>
          </w:p>
        </w:tc>
        <w:tc>
          <w:tcPr>
            <w:tcW w:w="2072" w:type="dxa"/>
            <w:tcBorders>
              <w:top w:val="nil"/>
              <w:left w:val="nil"/>
              <w:bottom w:val="nil"/>
              <w:right w:val="nil"/>
            </w:tcBorders>
          </w:tcPr>
          <w:p w14:paraId="4F93E0F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2.920</w:t>
            </w:r>
          </w:p>
        </w:tc>
      </w:tr>
      <w:tr w:rsidR="00B44672" w:rsidRPr="006B5978" w14:paraId="5634FAFE" w14:textId="77777777" w:rsidTr="004D2B7C">
        <w:trPr>
          <w:jc w:val="center"/>
        </w:trPr>
        <w:tc>
          <w:tcPr>
            <w:tcW w:w="2242" w:type="dxa"/>
            <w:tcBorders>
              <w:top w:val="nil"/>
              <w:left w:val="nil"/>
              <w:bottom w:val="nil"/>
              <w:right w:val="nil"/>
            </w:tcBorders>
          </w:tcPr>
          <w:p w14:paraId="2C380850"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20" w:type="dxa"/>
            <w:tcBorders>
              <w:top w:val="nil"/>
              <w:left w:val="nil"/>
              <w:bottom w:val="nil"/>
              <w:right w:val="nil"/>
            </w:tcBorders>
          </w:tcPr>
          <w:p w14:paraId="7CA3BA1A"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30277DD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0.080]*</w:t>
            </w:r>
            <w:proofErr w:type="gramEnd"/>
            <w:r w:rsidRPr="006B5978">
              <w:rPr>
                <w:rFonts w:cstheme="minorHAnsi"/>
                <w:sz w:val="22"/>
              </w:rPr>
              <w:t>*</w:t>
            </w:r>
          </w:p>
        </w:tc>
        <w:tc>
          <w:tcPr>
            <w:tcW w:w="1481" w:type="dxa"/>
            <w:tcBorders>
              <w:top w:val="nil"/>
              <w:left w:val="nil"/>
              <w:bottom w:val="nil"/>
              <w:right w:val="nil"/>
            </w:tcBorders>
          </w:tcPr>
          <w:p w14:paraId="7614826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0.108]*</w:t>
            </w:r>
            <w:proofErr w:type="gramEnd"/>
            <w:r w:rsidRPr="006B5978">
              <w:rPr>
                <w:rFonts w:cstheme="minorHAnsi"/>
                <w:sz w:val="22"/>
              </w:rPr>
              <w:t>*</w:t>
            </w:r>
          </w:p>
        </w:tc>
        <w:tc>
          <w:tcPr>
            <w:tcW w:w="1213" w:type="dxa"/>
            <w:tcBorders>
              <w:top w:val="nil"/>
              <w:left w:val="nil"/>
              <w:bottom w:val="nil"/>
              <w:right w:val="nil"/>
            </w:tcBorders>
          </w:tcPr>
          <w:p w14:paraId="0BDB20E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0.288]*</w:t>
            </w:r>
            <w:proofErr w:type="gramEnd"/>
            <w:r w:rsidRPr="006B5978">
              <w:rPr>
                <w:rFonts w:cstheme="minorHAnsi"/>
                <w:sz w:val="22"/>
              </w:rPr>
              <w:t>*</w:t>
            </w:r>
          </w:p>
        </w:tc>
        <w:tc>
          <w:tcPr>
            <w:tcW w:w="2072" w:type="dxa"/>
            <w:tcBorders>
              <w:top w:val="nil"/>
              <w:left w:val="nil"/>
              <w:bottom w:val="nil"/>
              <w:right w:val="nil"/>
            </w:tcBorders>
          </w:tcPr>
          <w:p w14:paraId="7089169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0.311]*</w:t>
            </w:r>
            <w:proofErr w:type="gramEnd"/>
            <w:r w:rsidRPr="006B5978">
              <w:rPr>
                <w:rFonts w:cstheme="minorHAnsi"/>
                <w:sz w:val="22"/>
              </w:rPr>
              <w:t>*</w:t>
            </w:r>
          </w:p>
        </w:tc>
      </w:tr>
      <w:tr w:rsidR="00B44672" w:rsidRPr="006B5978" w14:paraId="52222B98" w14:textId="77777777" w:rsidTr="004D2B7C">
        <w:trPr>
          <w:jc w:val="center"/>
        </w:trPr>
        <w:tc>
          <w:tcPr>
            <w:tcW w:w="2242" w:type="dxa"/>
            <w:tcBorders>
              <w:top w:val="nil"/>
              <w:left w:val="nil"/>
              <w:bottom w:val="nil"/>
              <w:right w:val="nil"/>
            </w:tcBorders>
          </w:tcPr>
          <w:p w14:paraId="498DD596"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Population)</w:t>
            </w:r>
          </w:p>
        </w:tc>
        <w:tc>
          <w:tcPr>
            <w:tcW w:w="1320" w:type="dxa"/>
            <w:tcBorders>
              <w:top w:val="nil"/>
              <w:left w:val="nil"/>
              <w:bottom w:val="nil"/>
              <w:right w:val="nil"/>
            </w:tcBorders>
          </w:tcPr>
          <w:p w14:paraId="6147CA3C"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1A264B7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3.129</w:t>
            </w:r>
          </w:p>
        </w:tc>
        <w:tc>
          <w:tcPr>
            <w:tcW w:w="1481" w:type="dxa"/>
            <w:tcBorders>
              <w:top w:val="nil"/>
              <w:left w:val="nil"/>
              <w:bottom w:val="nil"/>
              <w:right w:val="nil"/>
            </w:tcBorders>
          </w:tcPr>
          <w:p w14:paraId="4A2A151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3.961</w:t>
            </w:r>
          </w:p>
        </w:tc>
        <w:tc>
          <w:tcPr>
            <w:tcW w:w="1213" w:type="dxa"/>
            <w:tcBorders>
              <w:top w:val="nil"/>
              <w:left w:val="nil"/>
              <w:bottom w:val="nil"/>
              <w:right w:val="nil"/>
            </w:tcBorders>
          </w:tcPr>
          <w:p w14:paraId="4B7896D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2.141</w:t>
            </w:r>
          </w:p>
        </w:tc>
        <w:tc>
          <w:tcPr>
            <w:tcW w:w="2072" w:type="dxa"/>
            <w:tcBorders>
              <w:top w:val="nil"/>
              <w:left w:val="nil"/>
              <w:bottom w:val="nil"/>
              <w:right w:val="nil"/>
            </w:tcBorders>
          </w:tcPr>
          <w:p w14:paraId="6C3F440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3.753</w:t>
            </w:r>
          </w:p>
        </w:tc>
      </w:tr>
      <w:tr w:rsidR="00B44672" w:rsidRPr="006B5978" w14:paraId="6CA2BE5B" w14:textId="77777777" w:rsidTr="004D2B7C">
        <w:trPr>
          <w:jc w:val="center"/>
        </w:trPr>
        <w:tc>
          <w:tcPr>
            <w:tcW w:w="2242" w:type="dxa"/>
            <w:tcBorders>
              <w:top w:val="nil"/>
              <w:left w:val="nil"/>
              <w:bottom w:val="nil"/>
              <w:right w:val="nil"/>
            </w:tcBorders>
          </w:tcPr>
          <w:p w14:paraId="03EF38B8"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20" w:type="dxa"/>
            <w:tcBorders>
              <w:top w:val="nil"/>
              <w:left w:val="nil"/>
              <w:bottom w:val="nil"/>
              <w:right w:val="nil"/>
            </w:tcBorders>
          </w:tcPr>
          <w:p w14:paraId="0B5F9DCC"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6E35625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0.128]*</w:t>
            </w:r>
            <w:proofErr w:type="gramEnd"/>
            <w:r w:rsidRPr="006B5978">
              <w:rPr>
                <w:rFonts w:cstheme="minorHAnsi"/>
                <w:sz w:val="22"/>
              </w:rPr>
              <w:t>*</w:t>
            </w:r>
          </w:p>
        </w:tc>
        <w:tc>
          <w:tcPr>
            <w:tcW w:w="1481" w:type="dxa"/>
            <w:tcBorders>
              <w:top w:val="nil"/>
              <w:left w:val="nil"/>
              <w:bottom w:val="nil"/>
              <w:right w:val="nil"/>
            </w:tcBorders>
          </w:tcPr>
          <w:p w14:paraId="110B800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0.184]*</w:t>
            </w:r>
            <w:proofErr w:type="gramEnd"/>
            <w:r w:rsidRPr="006B5978">
              <w:rPr>
                <w:rFonts w:cstheme="minorHAnsi"/>
                <w:sz w:val="22"/>
              </w:rPr>
              <w:t>*</w:t>
            </w:r>
          </w:p>
        </w:tc>
        <w:tc>
          <w:tcPr>
            <w:tcW w:w="1213" w:type="dxa"/>
            <w:tcBorders>
              <w:top w:val="nil"/>
              <w:left w:val="nil"/>
              <w:bottom w:val="nil"/>
              <w:right w:val="nil"/>
            </w:tcBorders>
          </w:tcPr>
          <w:p w14:paraId="013B31F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0.251]*</w:t>
            </w:r>
            <w:proofErr w:type="gramEnd"/>
            <w:r w:rsidRPr="006B5978">
              <w:rPr>
                <w:rFonts w:cstheme="minorHAnsi"/>
                <w:sz w:val="22"/>
              </w:rPr>
              <w:t>*</w:t>
            </w:r>
          </w:p>
        </w:tc>
        <w:tc>
          <w:tcPr>
            <w:tcW w:w="2072" w:type="dxa"/>
            <w:tcBorders>
              <w:top w:val="nil"/>
              <w:left w:val="nil"/>
              <w:bottom w:val="nil"/>
              <w:right w:val="nil"/>
            </w:tcBorders>
          </w:tcPr>
          <w:p w14:paraId="56F769C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0.385]*</w:t>
            </w:r>
            <w:proofErr w:type="gramEnd"/>
            <w:r w:rsidRPr="006B5978">
              <w:rPr>
                <w:rFonts w:cstheme="minorHAnsi"/>
                <w:sz w:val="22"/>
              </w:rPr>
              <w:t>*</w:t>
            </w:r>
          </w:p>
        </w:tc>
      </w:tr>
      <w:tr w:rsidR="00B44672" w:rsidRPr="006B5978" w14:paraId="59698047" w14:textId="77777777" w:rsidTr="004D2B7C">
        <w:trPr>
          <w:jc w:val="center"/>
        </w:trPr>
        <w:tc>
          <w:tcPr>
            <w:tcW w:w="2242" w:type="dxa"/>
            <w:tcBorders>
              <w:top w:val="nil"/>
              <w:left w:val="nil"/>
              <w:bottom w:val="nil"/>
              <w:right w:val="nil"/>
            </w:tcBorders>
          </w:tcPr>
          <w:p w14:paraId="3A6D890B"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Time &amp; Suburb FE</w:t>
            </w:r>
          </w:p>
        </w:tc>
        <w:tc>
          <w:tcPr>
            <w:tcW w:w="1320" w:type="dxa"/>
            <w:tcBorders>
              <w:top w:val="nil"/>
              <w:left w:val="nil"/>
              <w:bottom w:val="nil"/>
              <w:right w:val="nil"/>
            </w:tcBorders>
          </w:tcPr>
          <w:p w14:paraId="172F38B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320" w:type="dxa"/>
            <w:tcBorders>
              <w:top w:val="nil"/>
              <w:left w:val="nil"/>
              <w:bottom w:val="nil"/>
              <w:right w:val="nil"/>
            </w:tcBorders>
          </w:tcPr>
          <w:p w14:paraId="099EEC5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81" w:type="dxa"/>
            <w:tcBorders>
              <w:top w:val="nil"/>
              <w:left w:val="nil"/>
              <w:bottom w:val="nil"/>
              <w:right w:val="nil"/>
            </w:tcBorders>
          </w:tcPr>
          <w:p w14:paraId="30DE949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213" w:type="dxa"/>
            <w:tcBorders>
              <w:top w:val="nil"/>
              <w:left w:val="nil"/>
              <w:bottom w:val="nil"/>
              <w:right w:val="nil"/>
            </w:tcBorders>
          </w:tcPr>
          <w:p w14:paraId="65F802E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2072" w:type="dxa"/>
            <w:tcBorders>
              <w:top w:val="nil"/>
              <w:left w:val="nil"/>
              <w:bottom w:val="nil"/>
              <w:right w:val="nil"/>
            </w:tcBorders>
          </w:tcPr>
          <w:p w14:paraId="769551A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r>
      <w:tr w:rsidR="00B44672" w:rsidRPr="006B5978" w14:paraId="77DC82B0" w14:textId="77777777" w:rsidTr="004D2B7C">
        <w:trPr>
          <w:jc w:val="center"/>
        </w:trPr>
        <w:tc>
          <w:tcPr>
            <w:tcW w:w="2242" w:type="dxa"/>
            <w:tcBorders>
              <w:top w:val="nil"/>
              <w:left w:val="nil"/>
              <w:bottom w:val="nil"/>
              <w:right w:val="nil"/>
            </w:tcBorders>
          </w:tcPr>
          <w:p w14:paraId="3F6B081F"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Observations</w:t>
            </w:r>
          </w:p>
        </w:tc>
        <w:tc>
          <w:tcPr>
            <w:tcW w:w="1320" w:type="dxa"/>
            <w:tcBorders>
              <w:top w:val="nil"/>
              <w:left w:val="nil"/>
              <w:bottom w:val="nil"/>
              <w:right w:val="nil"/>
            </w:tcBorders>
          </w:tcPr>
          <w:p w14:paraId="08236F6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543,443</w:t>
            </w:r>
          </w:p>
        </w:tc>
        <w:tc>
          <w:tcPr>
            <w:tcW w:w="1320" w:type="dxa"/>
            <w:tcBorders>
              <w:top w:val="nil"/>
              <w:left w:val="nil"/>
              <w:bottom w:val="nil"/>
              <w:right w:val="nil"/>
            </w:tcBorders>
          </w:tcPr>
          <w:p w14:paraId="527633C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515,524</w:t>
            </w:r>
          </w:p>
        </w:tc>
        <w:tc>
          <w:tcPr>
            <w:tcW w:w="1481" w:type="dxa"/>
            <w:tcBorders>
              <w:top w:val="nil"/>
              <w:left w:val="nil"/>
              <w:bottom w:val="nil"/>
              <w:right w:val="nil"/>
            </w:tcBorders>
          </w:tcPr>
          <w:p w14:paraId="1BAC9C2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234,695</w:t>
            </w:r>
          </w:p>
        </w:tc>
        <w:tc>
          <w:tcPr>
            <w:tcW w:w="1213" w:type="dxa"/>
            <w:tcBorders>
              <w:top w:val="nil"/>
              <w:left w:val="nil"/>
              <w:bottom w:val="nil"/>
              <w:right w:val="nil"/>
            </w:tcBorders>
          </w:tcPr>
          <w:p w14:paraId="47EF559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261,777</w:t>
            </w:r>
          </w:p>
        </w:tc>
        <w:tc>
          <w:tcPr>
            <w:tcW w:w="2072" w:type="dxa"/>
            <w:tcBorders>
              <w:top w:val="nil"/>
              <w:left w:val="nil"/>
              <w:bottom w:val="nil"/>
              <w:right w:val="nil"/>
            </w:tcBorders>
          </w:tcPr>
          <w:p w14:paraId="43B452E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120,366</w:t>
            </w:r>
          </w:p>
        </w:tc>
      </w:tr>
      <w:tr w:rsidR="00B44672" w:rsidRPr="006B5978" w14:paraId="2983604C" w14:textId="77777777" w:rsidTr="004D2B7C">
        <w:trPr>
          <w:jc w:val="center"/>
        </w:trPr>
        <w:tc>
          <w:tcPr>
            <w:tcW w:w="2242" w:type="dxa"/>
            <w:tcBorders>
              <w:top w:val="nil"/>
              <w:left w:val="nil"/>
              <w:bottom w:val="nil"/>
              <w:right w:val="nil"/>
            </w:tcBorders>
          </w:tcPr>
          <w:p w14:paraId="618E8AED"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Number of Suburbs</w:t>
            </w:r>
          </w:p>
        </w:tc>
        <w:tc>
          <w:tcPr>
            <w:tcW w:w="1320" w:type="dxa"/>
            <w:tcBorders>
              <w:top w:val="nil"/>
              <w:left w:val="nil"/>
              <w:bottom w:val="nil"/>
              <w:right w:val="nil"/>
            </w:tcBorders>
          </w:tcPr>
          <w:p w14:paraId="3474A30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10,116</w:t>
            </w:r>
          </w:p>
        </w:tc>
        <w:tc>
          <w:tcPr>
            <w:tcW w:w="1320" w:type="dxa"/>
            <w:tcBorders>
              <w:top w:val="nil"/>
              <w:left w:val="nil"/>
              <w:bottom w:val="nil"/>
              <w:right w:val="nil"/>
            </w:tcBorders>
          </w:tcPr>
          <w:p w14:paraId="799E2F5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10,045</w:t>
            </w:r>
          </w:p>
        </w:tc>
        <w:tc>
          <w:tcPr>
            <w:tcW w:w="1481" w:type="dxa"/>
            <w:tcBorders>
              <w:top w:val="nil"/>
              <w:left w:val="nil"/>
              <w:bottom w:val="nil"/>
              <w:right w:val="nil"/>
            </w:tcBorders>
          </w:tcPr>
          <w:p w14:paraId="448AC52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2,806</w:t>
            </w:r>
          </w:p>
        </w:tc>
        <w:tc>
          <w:tcPr>
            <w:tcW w:w="1213" w:type="dxa"/>
            <w:tcBorders>
              <w:top w:val="nil"/>
              <w:left w:val="nil"/>
              <w:bottom w:val="nil"/>
              <w:right w:val="nil"/>
            </w:tcBorders>
          </w:tcPr>
          <w:p w14:paraId="1AB9DA4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5,069</w:t>
            </w:r>
          </w:p>
        </w:tc>
        <w:tc>
          <w:tcPr>
            <w:tcW w:w="2072" w:type="dxa"/>
            <w:tcBorders>
              <w:top w:val="nil"/>
              <w:left w:val="nil"/>
              <w:bottom w:val="nil"/>
              <w:right w:val="nil"/>
            </w:tcBorders>
          </w:tcPr>
          <w:p w14:paraId="66F6EA3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1,455</w:t>
            </w:r>
          </w:p>
        </w:tc>
      </w:tr>
      <w:tr w:rsidR="00B44672" w:rsidRPr="006B5978" w14:paraId="15219C1B" w14:textId="77777777" w:rsidTr="004D2B7C">
        <w:trPr>
          <w:jc w:val="center"/>
        </w:trPr>
        <w:tc>
          <w:tcPr>
            <w:tcW w:w="2242" w:type="dxa"/>
            <w:tcBorders>
              <w:top w:val="nil"/>
              <w:left w:val="nil"/>
              <w:bottom w:val="nil"/>
              <w:right w:val="nil"/>
            </w:tcBorders>
          </w:tcPr>
          <w:p w14:paraId="30121F2C"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Adj. R-squared</w:t>
            </w:r>
          </w:p>
        </w:tc>
        <w:tc>
          <w:tcPr>
            <w:tcW w:w="1320" w:type="dxa"/>
            <w:tcBorders>
              <w:top w:val="nil"/>
              <w:left w:val="nil"/>
              <w:bottom w:val="nil"/>
              <w:right w:val="nil"/>
            </w:tcBorders>
          </w:tcPr>
          <w:p w14:paraId="4242B37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0.78</w:t>
            </w:r>
          </w:p>
        </w:tc>
        <w:tc>
          <w:tcPr>
            <w:tcW w:w="1320" w:type="dxa"/>
            <w:tcBorders>
              <w:top w:val="nil"/>
              <w:left w:val="nil"/>
              <w:bottom w:val="nil"/>
              <w:right w:val="nil"/>
            </w:tcBorders>
          </w:tcPr>
          <w:p w14:paraId="13EC16A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0.79</w:t>
            </w:r>
          </w:p>
        </w:tc>
        <w:tc>
          <w:tcPr>
            <w:tcW w:w="1481" w:type="dxa"/>
            <w:tcBorders>
              <w:top w:val="nil"/>
              <w:left w:val="nil"/>
              <w:bottom w:val="nil"/>
              <w:right w:val="nil"/>
            </w:tcBorders>
          </w:tcPr>
          <w:p w14:paraId="632DDB8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0.74</w:t>
            </w:r>
          </w:p>
        </w:tc>
        <w:tc>
          <w:tcPr>
            <w:tcW w:w="1213" w:type="dxa"/>
            <w:tcBorders>
              <w:top w:val="nil"/>
              <w:left w:val="nil"/>
              <w:bottom w:val="nil"/>
              <w:right w:val="nil"/>
            </w:tcBorders>
          </w:tcPr>
          <w:p w14:paraId="714AF81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0.80</w:t>
            </w:r>
          </w:p>
        </w:tc>
        <w:tc>
          <w:tcPr>
            <w:tcW w:w="2072" w:type="dxa"/>
            <w:tcBorders>
              <w:top w:val="nil"/>
              <w:left w:val="nil"/>
              <w:bottom w:val="nil"/>
              <w:right w:val="nil"/>
            </w:tcBorders>
          </w:tcPr>
          <w:p w14:paraId="641BAF5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0.75</w:t>
            </w:r>
          </w:p>
        </w:tc>
      </w:tr>
      <w:tr w:rsidR="00B44672" w:rsidRPr="006B5978" w14:paraId="4AE2B8D5" w14:textId="77777777" w:rsidTr="004D2B7C">
        <w:trPr>
          <w:jc w:val="center"/>
        </w:trPr>
        <w:tc>
          <w:tcPr>
            <w:tcW w:w="2242" w:type="dxa"/>
            <w:tcBorders>
              <w:top w:val="nil"/>
              <w:left w:val="nil"/>
              <w:bottom w:val="single" w:sz="6" w:space="0" w:color="auto"/>
              <w:right w:val="nil"/>
            </w:tcBorders>
          </w:tcPr>
          <w:p w14:paraId="456E7DF1"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Max in Cor. Matrix</w:t>
            </w:r>
          </w:p>
        </w:tc>
        <w:tc>
          <w:tcPr>
            <w:tcW w:w="1320" w:type="dxa"/>
            <w:tcBorders>
              <w:top w:val="nil"/>
              <w:left w:val="nil"/>
              <w:bottom w:val="single" w:sz="6" w:space="0" w:color="auto"/>
              <w:right w:val="nil"/>
            </w:tcBorders>
          </w:tcPr>
          <w:p w14:paraId="3AE260F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
        </w:tc>
        <w:tc>
          <w:tcPr>
            <w:tcW w:w="1320" w:type="dxa"/>
            <w:tcBorders>
              <w:top w:val="nil"/>
              <w:left w:val="nil"/>
              <w:bottom w:val="single" w:sz="6" w:space="0" w:color="auto"/>
              <w:right w:val="nil"/>
            </w:tcBorders>
          </w:tcPr>
          <w:p w14:paraId="19AFACF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0.25</w:t>
            </w:r>
          </w:p>
        </w:tc>
        <w:tc>
          <w:tcPr>
            <w:tcW w:w="1481" w:type="dxa"/>
            <w:tcBorders>
              <w:top w:val="nil"/>
              <w:left w:val="nil"/>
              <w:bottom w:val="single" w:sz="6" w:space="0" w:color="auto"/>
              <w:right w:val="nil"/>
            </w:tcBorders>
          </w:tcPr>
          <w:p w14:paraId="038B5E8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0.26</w:t>
            </w:r>
          </w:p>
        </w:tc>
        <w:tc>
          <w:tcPr>
            <w:tcW w:w="1213" w:type="dxa"/>
            <w:tcBorders>
              <w:top w:val="nil"/>
              <w:left w:val="nil"/>
              <w:bottom w:val="single" w:sz="6" w:space="0" w:color="auto"/>
              <w:right w:val="nil"/>
            </w:tcBorders>
          </w:tcPr>
          <w:p w14:paraId="14B5BF2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0.59</w:t>
            </w:r>
          </w:p>
        </w:tc>
        <w:tc>
          <w:tcPr>
            <w:tcW w:w="2072" w:type="dxa"/>
            <w:tcBorders>
              <w:top w:val="nil"/>
              <w:left w:val="nil"/>
              <w:bottom w:val="single" w:sz="6" w:space="0" w:color="auto"/>
              <w:right w:val="nil"/>
            </w:tcBorders>
          </w:tcPr>
          <w:p w14:paraId="1B73F74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0.61</w:t>
            </w:r>
          </w:p>
        </w:tc>
      </w:tr>
    </w:tbl>
    <w:p w14:paraId="76D9B33E" w14:textId="77777777" w:rsidR="00B44672" w:rsidRPr="006B5978" w:rsidRDefault="00B44672" w:rsidP="005D290D">
      <w:pPr>
        <w:widowControl w:val="0"/>
        <w:autoSpaceDE w:val="0"/>
        <w:autoSpaceDN w:val="0"/>
        <w:adjustRightInd w:val="0"/>
        <w:spacing w:before="79" w:after="79"/>
        <w:jc w:val="center"/>
        <w:rPr>
          <w:rFonts w:cstheme="minorHAnsi"/>
          <w:sz w:val="22"/>
        </w:rPr>
      </w:pPr>
      <w:r w:rsidRPr="006B5978">
        <w:rPr>
          <w:rFonts w:cstheme="minorHAnsi"/>
          <w:sz w:val="22"/>
        </w:rPr>
        <w:t xml:space="preserve">* </w:t>
      </w:r>
      <w:r w:rsidRPr="006B5978">
        <w:rPr>
          <w:rFonts w:cstheme="minorHAnsi"/>
          <w:i/>
          <w:iCs/>
          <w:sz w:val="22"/>
        </w:rPr>
        <w:t>p</w:t>
      </w:r>
      <w:r w:rsidRPr="006B5978">
        <w:rPr>
          <w:rFonts w:cstheme="minorHAnsi"/>
          <w:sz w:val="22"/>
        </w:rPr>
        <w:t xml:space="preserve">&lt;0.05; ** </w:t>
      </w:r>
      <w:r w:rsidRPr="006B5978">
        <w:rPr>
          <w:rFonts w:cstheme="minorHAnsi"/>
          <w:i/>
          <w:iCs/>
          <w:sz w:val="22"/>
        </w:rPr>
        <w:t>p</w:t>
      </w:r>
      <w:r w:rsidRPr="006B5978">
        <w:rPr>
          <w:rFonts w:cstheme="minorHAnsi"/>
          <w:sz w:val="22"/>
        </w:rPr>
        <w:t>&lt;0.01</w:t>
      </w:r>
    </w:p>
    <w:p w14:paraId="18BE58FF" w14:textId="77777777" w:rsidR="00B44672" w:rsidRPr="00712B72" w:rsidRDefault="00B44672" w:rsidP="00712B72">
      <w:pPr>
        <w:widowControl w:val="0"/>
        <w:autoSpaceDE w:val="0"/>
        <w:autoSpaceDN w:val="0"/>
        <w:adjustRightInd w:val="0"/>
        <w:spacing w:before="79" w:after="79"/>
        <w:jc w:val="center"/>
        <w:rPr>
          <w:rFonts w:cstheme="minorHAnsi"/>
          <w:i/>
        </w:rPr>
      </w:pPr>
    </w:p>
    <w:p w14:paraId="5968F1B2" w14:textId="3EBABA75" w:rsidR="00B44672" w:rsidRPr="00712B72" w:rsidRDefault="00B44672" w:rsidP="00712B72">
      <w:pPr>
        <w:pStyle w:val="Caption"/>
        <w:keepNext/>
        <w:rPr>
          <w:b/>
          <w:bCs/>
          <w:i w:val="0"/>
          <w:iCs/>
          <w:color w:val="365F91" w:themeColor="accent1" w:themeShade="BF"/>
        </w:rPr>
      </w:pPr>
      <w:r w:rsidRPr="00712B72">
        <w:rPr>
          <w:b/>
          <w:bCs/>
          <w:color w:val="365F91" w:themeColor="accent1" w:themeShade="BF"/>
        </w:rPr>
        <w:t xml:space="preserve">Table </w:t>
      </w:r>
      <w:r w:rsidRPr="00712B72">
        <w:rPr>
          <w:b/>
          <w:bCs/>
          <w:i w:val="0"/>
          <w:iCs/>
          <w:color w:val="365F91" w:themeColor="accent1" w:themeShade="BF"/>
        </w:rPr>
        <w:fldChar w:fldCharType="begin"/>
      </w:r>
      <w:r w:rsidRPr="00712B72">
        <w:rPr>
          <w:b/>
          <w:bCs/>
          <w:color w:val="365F91" w:themeColor="accent1" w:themeShade="BF"/>
        </w:rPr>
        <w:instrText xml:space="preserve"> SEQ Table \* ARABIC </w:instrText>
      </w:r>
      <w:r w:rsidRPr="00712B72">
        <w:rPr>
          <w:b/>
          <w:bCs/>
          <w:i w:val="0"/>
          <w:iCs/>
          <w:color w:val="365F91" w:themeColor="accent1" w:themeShade="BF"/>
        </w:rPr>
        <w:fldChar w:fldCharType="separate"/>
      </w:r>
      <w:r w:rsidR="00A763B6">
        <w:rPr>
          <w:b/>
          <w:bCs/>
          <w:noProof/>
          <w:color w:val="365F91" w:themeColor="accent1" w:themeShade="BF"/>
        </w:rPr>
        <w:t>25</w:t>
      </w:r>
      <w:r w:rsidRPr="00712B72">
        <w:rPr>
          <w:b/>
          <w:bCs/>
          <w:i w:val="0"/>
          <w:iCs/>
          <w:color w:val="365F91" w:themeColor="accent1" w:themeShade="BF"/>
        </w:rPr>
        <w:fldChar w:fldCharType="end"/>
      </w:r>
      <w:r>
        <w:rPr>
          <w:b/>
          <w:bCs/>
          <w:color w:val="365F91" w:themeColor="accent1" w:themeShade="BF"/>
        </w:rPr>
        <w:t>b</w:t>
      </w:r>
      <w:r w:rsidRPr="00712B72">
        <w:rPr>
          <w:b/>
          <w:bCs/>
          <w:color w:val="365F91" w:themeColor="accent1" w:themeShade="BF"/>
        </w:rPr>
        <w:t xml:space="preserve"> </w:t>
      </w:r>
      <w:r>
        <w:rPr>
          <w:b/>
          <w:bCs/>
          <w:color w:val="365F91" w:themeColor="accent1" w:themeShade="BF"/>
        </w:rPr>
        <w:t xml:space="preserve">(not in main report) </w:t>
      </w:r>
      <w:r w:rsidRPr="00712B72">
        <w:rPr>
          <w:b/>
          <w:bCs/>
          <w:color w:val="365F91" w:themeColor="accent1" w:themeShade="BF"/>
        </w:rPr>
        <w:t>- Effect of the tax reform on the unit market - estimations in logs</w:t>
      </w:r>
    </w:p>
    <w:tbl>
      <w:tblPr>
        <w:tblW w:w="0" w:type="auto"/>
        <w:jc w:val="center"/>
        <w:tblCellMar>
          <w:left w:w="144" w:type="dxa"/>
          <w:right w:w="144" w:type="dxa"/>
        </w:tblCellMar>
        <w:tblLook w:val="0000" w:firstRow="0" w:lastRow="0" w:firstColumn="0" w:lastColumn="0" w:noHBand="0" w:noVBand="0"/>
      </w:tblPr>
      <w:tblGrid>
        <w:gridCol w:w="2091"/>
        <w:gridCol w:w="1271"/>
        <w:gridCol w:w="1271"/>
        <w:gridCol w:w="1387"/>
        <w:gridCol w:w="1194"/>
        <w:gridCol w:w="1812"/>
      </w:tblGrid>
      <w:tr w:rsidR="00B44672" w:rsidRPr="006B5978" w14:paraId="2BD496AF" w14:textId="77777777" w:rsidTr="004D2B7C">
        <w:trPr>
          <w:jc w:val="center"/>
        </w:trPr>
        <w:tc>
          <w:tcPr>
            <w:tcW w:w="2242" w:type="dxa"/>
            <w:tcBorders>
              <w:top w:val="single" w:sz="6" w:space="0" w:color="auto"/>
              <w:left w:val="nil"/>
              <w:bottom w:val="nil"/>
              <w:right w:val="nil"/>
            </w:tcBorders>
          </w:tcPr>
          <w:p w14:paraId="2A0D294F" w14:textId="77777777" w:rsidR="00B44672" w:rsidRPr="006B5978" w:rsidRDefault="00B44672" w:rsidP="004D2B7C">
            <w:pPr>
              <w:widowControl w:val="0"/>
              <w:autoSpaceDE w:val="0"/>
              <w:autoSpaceDN w:val="0"/>
              <w:adjustRightInd w:val="0"/>
              <w:spacing w:before="79" w:after="0"/>
              <w:rPr>
                <w:rFonts w:cstheme="minorHAnsi"/>
                <w:sz w:val="22"/>
              </w:rPr>
            </w:pPr>
            <w:proofErr w:type="gramStart"/>
            <w:r w:rsidRPr="006B5978">
              <w:rPr>
                <w:rFonts w:cstheme="minorHAnsi"/>
                <w:sz w:val="22"/>
              </w:rPr>
              <w:t>Log(</w:t>
            </w:r>
            <w:proofErr w:type="gramEnd"/>
            <w:r w:rsidRPr="006B5978">
              <w:rPr>
                <w:rFonts w:cstheme="minorHAnsi"/>
                <w:sz w:val="22"/>
              </w:rPr>
              <w:t>Sales Volume)</w:t>
            </w:r>
          </w:p>
        </w:tc>
        <w:tc>
          <w:tcPr>
            <w:tcW w:w="1320" w:type="dxa"/>
            <w:tcBorders>
              <w:top w:val="single" w:sz="6" w:space="0" w:color="auto"/>
              <w:left w:val="nil"/>
              <w:bottom w:val="nil"/>
              <w:right w:val="nil"/>
            </w:tcBorders>
          </w:tcPr>
          <w:p w14:paraId="55F687E6"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(1)</w:t>
            </w:r>
          </w:p>
        </w:tc>
        <w:tc>
          <w:tcPr>
            <w:tcW w:w="1320" w:type="dxa"/>
            <w:tcBorders>
              <w:top w:val="single" w:sz="6" w:space="0" w:color="auto"/>
              <w:left w:val="nil"/>
              <w:bottom w:val="nil"/>
              <w:right w:val="nil"/>
            </w:tcBorders>
          </w:tcPr>
          <w:p w14:paraId="6DC87857"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(2)</w:t>
            </w:r>
          </w:p>
        </w:tc>
        <w:tc>
          <w:tcPr>
            <w:tcW w:w="1481" w:type="dxa"/>
            <w:tcBorders>
              <w:top w:val="single" w:sz="6" w:space="0" w:color="auto"/>
              <w:left w:val="nil"/>
              <w:bottom w:val="nil"/>
              <w:right w:val="nil"/>
            </w:tcBorders>
          </w:tcPr>
          <w:p w14:paraId="3EBD9020"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(3)</w:t>
            </w:r>
          </w:p>
        </w:tc>
        <w:tc>
          <w:tcPr>
            <w:tcW w:w="1213" w:type="dxa"/>
            <w:tcBorders>
              <w:top w:val="single" w:sz="6" w:space="0" w:color="auto"/>
              <w:left w:val="nil"/>
              <w:bottom w:val="nil"/>
              <w:right w:val="nil"/>
            </w:tcBorders>
          </w:tcPr>
          <w:p w14:paraId="094EF278"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(4)</w:t>
            </w:r>
          </w:p>
        </w:tc>
        <w:tc>
          <w:tcPr>
            <w:tcW w:w="2072" w:type="dxa"/>
            <w:tcBorders>
              <w:top w:val="single" w:sz="6" w:space="0" w:color="auto"/>
              <w:left w:val="nil"/>
              <w:bottom w:val="nil"/>
              <w:right w:val="nil"/>
            </w:tcBorders>
          </w:tcPr>
          <w:p w14:paraId="34B8AD14"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(1)</w:t>
            </w:r>
          </w:p>
        </w:tc>
      </w:tr>
      <w:tr w:rsidR="00B44672" w:rsidRPr="006B5978" w14:paraId="256FE4C4" w14:textId="77777777" w:rsidTr="004D2B7C">
        <w:trPr>
          <w:jc w:val="center"/>
        </w:trPr>
        <w:tc>
          <w:tcPr>
            <w:tcW w:w="2242" w:type="dxa"/>
            <w:tcBorders>
              <w:top w:val="nil"/>
              <w:left w:val="nil"/>
              <w:bottom w:val="nil"/>
              <w:right w:val="nil"/>
            </w:tcBorders>
          </w:tcPr>
          <w:p w14:paraId="15A576D1" w14:textId="77777777" w:rsidR="00B44672" w:rsidRPr="006B5978" w:rsidRDefault="00B44672" w:rsidP="004D2B7C">
            <w:pPr>
              <w:widowControl w:val="0"/>
              <w:autoSpaceDE w:val="0"/>
              <w:autoSpaceDN w:val="0"/>
              <w:adjustRightInd w:val="0"/>
              <w:spacing w:after="79"/>
              <w:rPr>
                <w:rFonts w:cstheme="minorHAnsi"/>
                <w:sz w:val="22"/>
              </w:rPr>
            </w:pPr>
          </w:p>
        </w:tc>
        <w:tc>
          <w:tcPr>
            <w:tcW w:w="1320" w:type="dxa"/>
            <w:tcBorders>
              <w:top w:val="nil"/>
              <w:left w:val="nil"/>
              <w:bottom w:val="nil"/>
              <w:right w:val="nil"/>
            </w:tcBorders>
          </w:tcPr>
          <w:p w14:paraId="07CBEF18"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320" w:type="dxa"/>
            <w:tcBorders>
              <w:top w:val="nil"/>
              <w:left w:val="nil"/>
              <w:bottom w:val="nil"/>
              <w:right w:val="nil"/>
            </w:tcBorders>
          </w:tcPr>
          <w:p w14:paraId="35A023EA"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481" w:type="dxa"/>
            <w:tcBorders>
              <w:top w:val="nil"/>
              <w:left w:val="nil"/>
              <w:bottom w:val="nil"/>
              <w:right w:val="nil"/>
            </w:tcBorders>
          </w:tcPr>
          <w:p w14:paraId="5B8EAAB0"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w:t>
            </w:r>
          </w:p>
        </w:tc>
        <w:tc>
          <w:tcPr>
            <w:tcW w:w="1213" w:type="dxa"/>
            <w:tcBorders>
              <w:top w:val="nil"/>
              <w:left w:val="nil"/>
              <w:bottom w:val="nil"/>
              <w:right w:val="nil"/>
            </w:tcBorders>
          </w:tcPr>
          <w:p w14:paraId="0B37043F"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NSW &amp; VIC</w:t>
            </w:r>
          </w:p>
        </w:tc>
        <w:tc>
          <w:tcPr>
            <w:tcW w:w="2072" w:type="dxa"/>
            <w:tcBorders>
              <w:top w:val="nil"/>
              <w:left w:val="nil"/>
              <w:bottom w:val="nil"/>
              <w:right w:val="nil"/>
            </w:tcBorders>
          </w:tcPr>
          <w:p w14:paraId="58AAA45A"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 NSW &amp; VIC</w:t>
            </w:r>
          </w:p>
        </w:tc>
      </w:tr>
      <w:tr w:rsidR="00B44672" w:rsidRPr="006B5978" w14:paraId="1747AE91" w14:textId="77777777" w:rsidTr="004D2B7C">
        <w:trPr>
          <w:jc w:val="center"/>
        </w:trPr>
        <w:tc>
          <w:tcPr>
            <w:tcW w:w="2242" w:type="dxa"/>
            <w:tcBorders>
              <w:top w:val="single" w:sz="6" w:space="0" w:color="auto"/>
              <w:left w:val="nil"/>
              <w:bottom w:val="nil"/>
              <w:right w:val="nil"/>
            </w:tcBorders>
          </w:tcPr>
          <w:p w14:paraId="50A80566"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Reform Dummy</w:t>
            </w:r>
          </w:p>
        </w:tc>
        <w:tc>
          <w:tcPr>
            <w:tcW w:w="1320" w:type="dxa"/>
            <w:tcBorders>
              <w:top w:val="single" w:sz="6" w:space="0" w:color="auto"/>
              <w:left w:val="nil"/>
              <w:bottom w:val="nil"/>
              <w:right w:val="nil"/>
            </w:tcBorders>
          </w:tcPr>
          <w:p w14:paraId="58E3FDD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-0.396</w:t>
            </w:r>
          </w:p>
        </w:tc>
        <w:tc>
          <w:tcPr>
            <w:tcW w:w="1320" w:type="dxa"/>
            <w:tcBorders>
              <w:top w:val="single" w:sz="6" w:space="0" w:color="auto"/>
              <w:left w:val="nil"/>
              <w:bottom w:val="nil"/>
              <w:right w:val="nil"/>
            </w:tcBorders>
          </w:tcPr>
          <w:p w14:paraId="3D8EB8A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-0.222</w:t>
            </w:r>
          </w:p>
        </w:tc>
        <w:tc>
          <w:tcPr>
            <w:tcW w:w="1481" w:type="dxa"/>
            <w:tcBorders>
              <w:top w:val="single" w:sz="6" w:space="0" w:color="auto"/>
              <w:left w:val="nil"/>
              <w:bottom w:val="nil"/>
              <w:right w:val="nil"/>
            </w:tcBorders>
          </w:tcPr>
          <w:p w14:paraId="274F202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-0.274</w:t>
            </w:r>
          </w:p>
        </w:tc>
        <w:tc>
          <w:tcPr>
            <w:tcW w:w="1213" w:type="dxa"/>
            <w:tcBorders>
              <w:top w:val="single" w:sz="6" w:space="0" w:color="auto"/>
              <w:left w:val="nil"/>
              <w:bottom w:val="nil"/>
              <w:right w:val="nil"/>
            </w:tcBorders>
          </w:tcPr>
          <w:p w14:paraId="2190920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-0.284</w:t>
            </w:r>
          </w:p>
        </w:tc>
        <w:tc>
          <w:tcPr>
            <w:tcW w:w="2072" w:type="dxa"/>
            <w:tcBorders>
              <w:top w:val="single" w:sz="6" w:space="0" w:color="auto"/>
              <w:left w:val="nil"/>
              <w:bottom w:val="nil"/>
              <w:right w:val="nil"/>
            </w:tcBorders>
          </w:tcPr>
          <w:p w14:paraId="423F73B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-0.297</w:t>
            </w:r>
          </w:p>
        </w:tc>
      </w:tr>
      <w:tr w:rsidR="00B44672" w:rsidRPr="006B5978" w14:paraId="76ABF564" w14:textId="77777777" w:rsidTr="004D2B7C">
        <w:trPr>
          <w:jc w:val="center"/>
        </w:trPr>
        <w:tc>
          <w:tcPr>
            <w:tcW w:w="2242" w:type="dxa"/>
            <w:tcBorders>
              <w:top w:val="nil"/>
              <w:left w:val="nil"/>
              <w:bottom w:val="nil"/>
              <w:right w:val="nil"/>
            </w:tcBorders>
          </w:tcPr>
          <w:p w14:paraId="3400BE27"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20" w:type="dxa"/>
            <w:tcBorders>
              <w:top w:val="nil"/>
              <w:left w:val="nil"/>
              <w:bottom w:val="nil"/>
              <w:right w:val="nil"/>
            </w:tcBorders>
          </w:tcPr>
          <w:p w14:paraId="1B8BB0F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0.028]*</w:t>
            </w:r>
            <w:proofErr w:type="gramEnd"/>
            <w:r w:rsidRPr="006B5978">
              <w:rPr>
                <w:rFonts w:cstheme="minorHAnsi"/>
                <w:sz w:val="22"/>
              </w:rPr>
              <w:t>*</w:t>
            </w:r>
          </w:p>
        </w:tc>
        <w:tc>
          <w:tcPr>
            <w:tcW w:w="1320" w:type="dxa"/>
            <w:tcBorders>
              <w:top w:val="nil"/>
              <w:left w:val="nil"/>
              <w:bottom w:val="nil"/>
              <w:right w:val="nil"/>
            </w:tcBorders>
          </w:tcPr>
          <w:p w14:paraId="5910C28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0.031]*</w:t>
            </w:r>
            <w:proofErr w:type="gramEnd"/>
            <w:r w:rsidRPr="006B5978">
              <w:rPr>
                <w:rFonts w:cstheme="minorHAnsi"/>
                <w:sz w:val="22"/>
              </w:rPr>
              <w:t>*</w:t>
            </w:r>
          </w:p>
        </w:tc>
        <w:tc>
          <w:tcPr>
            <w:tcW w:w="1481" w:type="dxa"/>
            <w:tcBorders>
              <w:top w:val="nil"/>
              <w:left w:val="nil"/>
              <w:bottom w:val="nil"/>
              <w:right w:val="nil"/>
            </w:tcBorders>
          </w:tcPr>
          <w:p w14:paraId="73049EB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0.031]*</w:t>
            </w:r>
            <w:proofErr w:type="gramEnd"/>
            <w:r w:rsidRPr="006B5978">
              <w:rPr>
                <w:rFonts w:cstheme="minorHAnsi"/>
                <w:sz w:val="22"/>
              </w:rPr>
              <w:t>*</w:t>
            </w:r>
          </w:p>
        </w:tc>
        <w:tc>
          <w:tcPr>
            <w:tcW w:w="1213" w:type="dxa"/>
            <w:tcBorders>
              <w:top w:val="nil"/>
              <w:left w:val="nil"/>
              <w:bottom w:val="nil"/>
              <w:right w:val="nil"/>
            </w:tcBorders>
          </w:tcPr>
          <w:p w14:paraId="1349F09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0.041]*</w:t>
            </w:r>
            <w:proofErr w:type="gramEnd"/>
            <w:r w:rsidRPr="006B5978">
              <w:rPr>
                <w:rFonts w:cstheme="minorHAnsi"/>
                <w:sz w:val="22"/>
              </w:rPr>
              <w:t>*</w:t>
            </w:r>
          </w:p>
        </w:tc>
        <w:tc>
          <w:tcPr>
            <w:tcW w:w="2072" w:type="dxa"/>
            <w:tcBorders>
              <w:top w:val="nil"/>
              <w:left w:val="nil"/>
              <w:bottom w:val="nil"/>
              <w:right w:val="nil"/>
            </w:tcBorders>
          </w:tcPr>
          <w:p w14:paraId="169F41C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0.042]*</w:t>
            </w:r>
            <w:proofErr w:type="gramEnd"/>
            <w:r w:rsidRPr="006B5978">
              <w:rPr>
                <w:rFonts w:cstheme="minorHAnsi"/>
                <w:sz w:val="22"/>
              </w:rPr>
              <w:t>*</w:t>
            </w:r>
          </w:p>
        </w:tc>
      </w:tr>
      <w:tr w:rsidR="00B44672" w:rsidRPr="006B5978" w14:paraId="41014635" w14:textId="77777777" w:rsidTr="004D2B7C">
        <w:trPr>
          <w:jc w:val="center"/>
        </w:trPr>
        <w:tc>
          <w:tcPr>
            <w:tcW w:w="2242" w:type="dxa"/>
            <w:tcBorders>
              <w:top w:val="nil"/>
              <w:left w:val="nil"/>
              <w:bottom w:val="nil"/>
              <w:right w:val="nil"/>
            </w:tcBorders>
          </w:tcPr>
          <w:p w14:paraId="3DF1E5B4"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Income)</w:t>
            </w:r>
          </w:p>
        </w:tc>
        <w:tc>
          <w:tcPr>
            <w:tcW w:w="1320" w:type="dxa"/>
            <w:tcBorders>
              <w:top w:val="nil"/>
              <w:left w:val="nil"/>
              <w:bottom w:val="nil"/>
              <w:right w:val="nil"/>
            </w:tcBorders>
          </w:tcPr>
          <w:p w14:paraId="04060548"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76055B4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3.414</w:t>
            </w:r>
          </w:p>
        </w:tc>
        <w:tc>
          <w:tcPr>
            <w:tcW w:w="1481" w:type="dxa"/>
            <w:tcBorders>
              <w:top w:val="nil"/>
              <w:left w:val="nil"/>
              <w:bottom w:val="nil"/>
              <w:right w:val="nil"/>
            </w:tcBorders>
          </w:tcPr>
          <w:p w14:paraId="468C38A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3.351</w:t>
            </w:r>
          </w:p>
        </w:tc>
        <w:tc>
          <w:tcPr>
            <w:tcW w:w="1213" w:type="dxa"/>
            <w:tcBorders>
              <w:top w:val="nil"/>
              <w:left w:val="nil"/>
              <w:bottom w:val="nil"/>
              <w:right w:val="nil"/>
            </w:tcBorders>
          </w:tcPr>
          <w:p w14:paraId="0C66CBA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2.788</w:t>
            </w:r>
          </w:p>
        </w:tc>
        <w:tc>
          <w:tcPr>
            <w:tcW w:w="2072" w:type="dxa"/>
            <w:tcBorders>
              <w:top w:val="nil"/>
              <w:left w:val="nil"/>
              <w:bottom w:val="nil"/>
              <w:right w:val="nil"/>
            </w:tcBorders>
          </w:tcPr>
          <w:p w14:paraId="5EA026E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3.457</w:t>
            </w:r>
          </w:p>
        </w:tc>
      </w:tr>
      <w:tr w:rsidR="00B44672" w:rsidRPr="006B5978" w14:paraId="48EFD1DC" w14:textId="77777777" w:rsidTr="004D2B7C">
        <w:trPr>
          <w:jc w:val="center"/>
        </w:trPr>
        <w:tc>
          <w:tcPr>
            <w:tcW w:w="2242" w:type="dxa"/>
            <w:tcBorders>
              <w:top w:val="nil"/>
              <w:left w:val="nil"/>
              <w:bottom w:val="nil"/>
              <w:right w:val="nil"/>
            </w:tcBorders>
          </w:tcPr>
          <w:p w14:paraId="68EF345F"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20" w:type="dxa"/>
            <w:tcBorders>
              <w:top w:val="nil"/>
              <w:left w:val="nil"/>
              <w:bottom w:val="nil"/>
              <w:right w:val="nil"/>
            </w:tcBorders>
          </w:tcPr>
          <w:p w14:paraId="3BB9078A"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4463099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0.160]*</w:t>
            </w:r>
            <w:proofErr w:type="gramEnd"/>
            <w:r w:rsidRPr="006B5978">
              <w:rPr>
                <w:rFonts w:cstheme="minorHAnsi"/>
                <w:sz w:val="22"/>
              </w:rPr>
              <w:t>*</w:t>
            </w:r>
          </w:p>
        </w:tc>
        <w:tc>
          <w:tcPr>
            <w:tcW w:w="1481" w:type="dxa"/>
            <w:tcBorders>
              <w:top w:val="nil"/>
              <w:left w:val="nil"/>
              <w:bottom w:val="nil"/>
              <w:right w:val="nil"/>
            </w:tcBorders>
          </w:tcPr>
          <w:p w14:paraId="26745C4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0.185]*</w:t>
            </w:r>
            <w:proofErr w:type="gramEnd"/>
            <w:r w:rsidRPr="006B5978">
              <w:rPr>
                <w:rFonts w:cstheme="minorHAnsi"/>
                <w:sz w:val="22"/>
              </w:rPr>
              <w:t>*</w:t>
            </w:r>
          </w:p>
        </w:tc>
        <w:tc>
          <w:tcPr>
            <w:tcW w:w="1213" w:type="dxa"/>
            <w:tcBorders>
              <w:top w:val="nil"/>
              <w:left w:val="nil"/>
              <w:bottom w:val="nil"/>
              <w:right w:val="nil"/>
            </w:tcBorders>
          </w:tcPr>
          <w:p w14:paraId="5905930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0.402]*</w:t>
            </w:r>
            <w:proofErr w:type="gramEnd"/>
            <w:r w:rsidRPr="006B5978">
              <w:rPr>
                <w:rFonts w:cstheme="minorHAnsi"/>
                <w:sz w:val="22"/>
              </w:rPr>
              <w:t>*</w:t>
            </w:r>
          </w:p>
        </w:tc>
        <w:tc>
          <w:tcPr>
            <w:tcW w:w="2072" w:type="dxa"/>
            <w:tcBorders>
              <w:top w:val="nil"/>
              <w:left w:val="nil"/>
              <w:bottom w:val="nil"/>
              <w:right w:val="nil"/>
            </w:tcBorders>
          </w:tcPr>
          <w:p w14:paraId="45E6F91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0.418]*</w:t>
            </w:r>
            <w:proofErr w:type="gramEnd"/>
            <w:r w:rsidRPr="006B5978">
              <w:rPr>
                <w:rFonts w:cstheme="minorHAnsi"/>
                <w:sz w:val="22"/>
              </w:rPr>
              <w:t>*</w:t>
            </w:r>
          </w:p>
        </w:tc>
      </w:tr>
      <w:tr w:rsidR="00B44672" w:rsidRPr="006B5978" w14:paraId="19F787AF" w14:textId="77777777" w:rsidTr="004D2B7C">
        <w:trPr>
          <w:jc w:val="center"/>
        </w:trPr>
        <w:tc>
          <w:tcPr>
            <w:tcW w:w="2242" w:type="dxa"/>
            <w:tcBorders>
              <w:top w:val="nil"/>
              <w:left w:val="nil"/>
              <w:bottom w:val="nil"/>
              <w:right w:val="nil"/>
            </w:tcBorders>
          </w:tcPr>
          <w:p w14:paraId="3352B638"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Population)</w:t>
            </w:r>
          </w:p>
        </w:tc>
        <w:tc>
          <w:tcPr>
            <w:tcW w:w="1320" w:type="dxa"/>
            <w:tcBorders>
              <w:top w:val="nil"/>
              <w:left w:val="nil"/>
              <w:bottom w:val="nil"/>
              <w:right w:val="nil"/>
            </w:tcBorders>
          </w:tcPr>
          <w:p w14:paraId="07255F42"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3FC4237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2.479</w:t>
            </w:r>
          </w:p>
        </w:tc>
        <w:tc>
          <w:tcPr>
            <w:tcW w:w="1481" w:type="dxa"/>
            <w:tcBorders>
              <w:top w:val="nil"/>
              <w:left w:val="nil"/>
              <w:bottom w:val="nil"/>
              <w:right w:val="nil"/>
            </w:tcBorders>
          </w:tcPr>
          <w:p w14:paraId="6290964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3.216</w:t>
            </w:r>
          </w:p>
        </w:tc>
        <w:tc>
          <w:tcPr>
            <w:tcW w:w="1213" w:type="dxa"/>
            <w:tcBorders>
              <w:top w:val="nil"/>
              <w:left w:val="nil"/>
              <w:bottom w:val="nil"/>
              <w:right w:val="nil"/>
            </w:tcBorders>
          </w:tcPr>
          <w:p w14:paraId="5FE298D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0.835</w:t>
            </w:r>
          </w:p>
        </w:tc>
        <w:tc>
          <w:tcPr>
            <w:tcW w:w="2072" w:type="dxa"/>
            <w:tcBorders>
              <w:top w:val="nil"/>
              <w:left w:val="nil"/>
              <w:bottom w:val="nil"/>
              <w:right w:val="nil"/>
            </w:tcBorders>
          </w:tcPr>
          <w:p w14:paraId="130DF83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2.495</w:t>
            </w:r>
          </w:p>
        </w:tc>
      </w:tr>
      <w:tr w:rsidR="00B44672" w:rsidRPr="006B5978" w14:paraId="27A62031" w14:textId="77777777" w:rsidTr="004D2B7C">
        <w:trPr>
          <w:jc w:val="center"/>
        </w:trPr>
        <w:tc>
          <w:tcPr>
            <w:tcW w:w="2242" w:type="dxa"/>
            <w:tcBorders>
              <w:top w:val="nil"/>
              <w:left w:val="nil"/>
              <w:bottom w:val="nil"/>
              <w:right w:val="nil"/>
            </w:tcBorders>
          </w:tcPr>
          <w:p w14:paraId="481CFF2B"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20" w:type="dxa"/>
            <w:tcBorders>
              <w:top w:val="nil"/>
              <w:left w:val="nil"/>
              <w:bottom w:val="nil"/>
              <w:right w:val="nil"/>
            </w:tcBorders>
          </w:tcPr>
          <w:p w14:paraId="1B75F01C"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168933B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0.222]*</w:t>
            </w:r>
            <w:proofErr w:type="gramEnd"/>
            <w:r w:rsidRPr="006B5978">
              <w:rPr>
                <w:rFonts w:cstheme="minorHAnsi"/>
                <w:sz w:val="22"/>
              </w:rPr>
              <w:t>*</w:t>
            </w:r>
          </w:p>
        </w:tc>
        <w:tc>
          <w:tcPr>
            <w:tcW w:w="1481" w:type="dxa"/>
            <w:tcBorders>
              <w:top w:val="nil"/>
              <w:left w:val="nil"/>
              <w:bottom w:val="nil"/>
              <w:right w:val="nil"/>
            </w:tcBorders>
          </w:tcPr>
          <w:p w14:paraId="2890FF1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0.276]*</w:t>
            </w:r>
            <w:proofErr w:type="gramEnd"/>
            <w:r w:rsidRPr="006B5978">
              <w:rPr>
                <w:rFonts w:cstheme="minorHAnsi"/>
                <w:sz w:val="22"/>
              </w:rPr>
              <w:t>*</w:t>
            </w:r>
          </w:p>
        </w:tc>
        <w:tc>
          <w:tcPr>
            <w:tcW w:w="1213" w:type="dxa"/>
            <w:tcBorders>
              <w:top w:val="nil"/>
              <w:left w:val="nil"/>
              <w:bottom w:val="nil"/>
              <w:right w:val="nil"/>
            </w:tcBorders>
          </w:tcPr>
          <w:p w14:paraId="5D97F85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0.406]*</w:t>
            </w:r>
            <w:proofErr w:type="gramEnd"/>
          </w:p>
        </w:tc>
        <w:tc>
          <w:tcPr>
            <w:tcW w:w="2072" w:type="dxa"/>
            <w:tcBorders>
              <w:top w:val="nil"/>
              <w:left w:val="nil"/>
              <w:bottom w:val="nil"/>
              <w:right w:val="nil"/>
            </w:tcBorders>
          </w:tcPr>
          <w:p w14:paraId="2A1FF92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0.505]*</w:t>
            </w:r>
            <w:proofErr w:type="gramEnd"/>
            <w:r w:rsidRPr="006B5978">
              <w:rPr>
                <w:rFonts w:cstheme="minorHAnsi"/>
                <w:sz w:val="22"/>
              </w:rPr>
              <w:t>*</w:t>
            </w:r>
          </w:p>
        </w:tc>
      </w:tr>
      <w:tr w:rsidR="00B44672" w:rsidRPr="006B5978" w14:paraId="05088692" w14:textId="77777777" w:rsidTr="004D2B7C">
        <w:trPr>
          <w:jc w:val="center"/>
        </w:trPr>
        <w:tc>
          <w:tcPr>
            <w:tcW w:w="2242" w:type="dxa"/>
            <w:tcBorders>
              <w:top w:val="nil"/>
              <w:left w:val="nil"/>
              <w:bottom w:val="nil"/>
              <w:right w:val="nil"/>
            </w:tcBorders>
          </w:tcPr>
          <w:p w14:paraId="2B2DB52B"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Time &amp; Suburb FE</w:t>
            </w:r>
          </w:p>
        </w:tc>
        <w:tc>
          <w:tcPr>
            <w:tcW w:w="1320" w:type="dxa"/>
            <w:tcBorders>
              <w:top w:val="nil"/>
              <w:left w:val="nil"/>
              <w:bottom w:val="nil"/>
              <w:right w:val="nil"/>
            </w:tcBorders>
          </w:tcPr>
          <w:p w14:paraId="138C036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320" w:type="dxa"/>
            <w:tcBorders>
              <w:top w:val="nil"/>
              <w:left w:val="nil"/>
              <w:bottom w:val="nil"/>
              <w:right w:val="nil"/>
            </w:tcBorders>
          </w:tcPr>
          <w:p w14:paraId="7D6B0C2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81" w:type="dxa"/>
            <w:tcBorders>
              <w:top w:val="nil"/>
              <w:left w:val="nil"/>
              <w:bottom w:val="nil"/>
              <w:right w:val="nil"/>
            </w:tcBorders>
          </w:tcPr>
          <w:p w14:paraId="0EBF66C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213" w:type="dxa"/>
            <w:tcBorders>
              <w:top w:val="nil"/>
              <w:left w:val="nil"/>
              <w:bottom w:val="nil"/>
              <w:right w:val="nil"/>
            </w:tcBorders>
          </w:tcPr>
          <w:p w14:paraId="5FD5C15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2072" w:type="dxa"/>
            <w:tcBorders>
              <w:top w:val="nil"/>
              <w:left w:val="nil"/>
              <w:bottom w:val="nil"/>
              <w:right w:val="nil"/>
            </w:tcBorders>
          </w:tcPr>
          <w:p w14:paraId="2668296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r>
      <w:tr w:rsidR="00B44672" w:rsidRPr="006B5978" w14:paraId="073406CF" w14:textId="77777777" w:rsidTr="004D2B7C">
        <w:trPr>
          <w:jc w:val="center"/>
        </w:trPr>
        <w:tc>
          <w:tcPr>
            <w:tcW w:w="2242" w:type="dxa"/>
            <w:tcBorders>
              <w:top w:val="nil"/>
              <w:left w:val="nil"/>
              <w:bottom w:val="nil"/>
              <w:right w:val="nil"/>
            </w:tcBorders>
          </w:tcPr>
          <w:p w14:paraId="331F4D15"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Observations</w:t>
            </w:r>
          </w:p>
        </w:tc>
        <w:tc>
          <w:tcPr>
            <w:tcW w:w="1320" w:type="dxa"/>
            <w:tcBorders>
              <w:top w:val="nil"/>
              <w:left w:val="nil"/>
              <w:bottom w:val="nil"/>
              <w:right w:val="nil"/>
            </w:tcBorders>
          </w:tcPr>
          <w:p w14:paraId="52DCE16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219,559</w:t>
            </w:r>
          </w:p>
        </w:tc>
        <w:tc>
          <w:tcPr>
            <w:tcW w:w="1320" w:type="dxa"/>
            <w:tcBorders>
              <w:top w:val="nil"/>
              <w:left w:val="nil"/>
              <w:bottom w:val="nil"/>
              <w:right w:val="nil"/>
            </w:tcBorders>
          </w:tcPr>
          <w:p w14:paraId="7EBF8D1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208,943</w:t>
            </w:r>
          </w:p>
        </w:tc>
        <w:tc>
          <w:tcPr>
            <w:tcW w:w="1481" w:type="dxa"/>
            <w:tcBorders>
              <w:top w:val="nil"/>
              <w:left w:val="nil"/>
              <w:bottom w:val="nil"/>
              <w:right w:val="nil"/>
            </w:tcBorders>
          </w:tcPr>
          <w:p w14:paraId="1594D4C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137,577</w:t>
            </w:r>
          </w:p>
        </w:tc>
        <w:tc>
          <w:tcPr>
            <w:tcW w:w="1213" w:type="dxa"/>
            <w:tcBorders>
              <w:top w:val="nil"/>
              <w:left w:val="nil"/>
              <w:bottom w:val="nil"/>
              <w:right w:val="nil"/>
            </w:tcBorders>
          </w:tcPr>
          <w:p w14:paraId="09B3579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118,309</w:t>
            </w:r>
          </w:p>
        </w:tc>
        <w:tc>
          <w:tcPr>
            <w:tcW w:w="2072" w:type="dxa"/>
            <w:tcBorders>
              <w:top w:val="nil"/>
              <w:left w:val="nil"/>
              <w:bottom w:val="nil"/>
              <w:right w:val="nil"/>
            </w:tcBorders>
          </w:tcPr>
          <w:p w14:paraId="403332E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81,139</w:t>
            </w:r>
          </w:p>
        </w:tc>
      </w:tr>
      <w:tr w:rsidR="00B44672" w:rsidRPr="006B5978" w14:paraId="0CA2FEF7" w14:textId="77777777" w:rsidTr="004D2B7C">
        <w:trPr>
          <w:jc w:val="center"/>
        </w:trPr>
        <w:tc>
          <w:tcPr>
            <w:tcW w:w="2242" w:type="dxa"/>
            <w:tcBorders>
              <w:top w:val="nil"/>
              <w:left w:val="nil"/>
              <w:bottom w:val="nil"/>
              <w:right w:val="nil"/>
            </w:tcBorders>
          </w:tcPr>
          <w:p w14:paraId="71F5EC97"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Number of Suburbs</w:t>
            </w:r>
          </w:p>
        </w:tc>
        <w:tc>
          <w:tcPr>
            <w:tcW w:w="1320" w:type="dxa"/>
            <w:tcBorders>
              <w:top w:val="nil"/>
              <w:left w:val="nil"/>
              <w:bottom w:val="nil"/>
              <w:right w:val="nil"/>
            </w:tcBorders>
          </w:tcPr>
          <w:p w14:paraId="0282624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3,799</w:t>
            </w:r>
          </w:p>
        </w:tc>
        <w:tc>
          <w:tcPr>
            <w:tcW w:w="1320" w:type="dxa"/>
            <w:tcBorders>
              <w:top w:val="nil"/>
              <w:left w:val="nil"/>
              <w:bottom w:val="nil"/>
              <w:right w:val="nil"/>
            </w:tcBorders>
          </w:tcPr>
          <w:p w14:paraId="5F02112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3,781</w:t>
            </w:r>
          </w:p>
        </w:tc>
        <w:tc>
          <w:tcPr>
            <w:tcW w:w="1481" w:type="dxa"/>
            <w:tcBorders>
              <w:top w:val="nil"/>
              <w:left w:val="nil"/>
              <w:bottom w:val="nil"/>
              <w:right w:val="nil"/>
            </w:tcBorders>
          </w:tcPr>
          <w:p w14:paraId="6D5884D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2,112</w:t>
            </w:r>
          </w:p>
        </w:tc>
        <w:tc>
          <w:tcPr>
            <w:tcW w:w="1213" w:type="dxa"/>
            <w:tcBorders>
              <w:top w:val="nil"/>
              <w:left w:val="nil"/>
              <w:bottom w:val="nil"/>
              <w:right w:val="nil"/>
            </w:tcBorders>
          </w:tcPr>
          <w:p w14:paraId="77EE33F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1,980</w:t>
            </w:r>
          </w:p>
        </w:tc>
        <w:tc>
          <w:tcPr>
            <w:tcW w:w="2072" w:type="dxa"/>
            <w:tcBorders>
              <w:top w:val="nil"/>
              <w:left w:val="nil"/>
              <w:bottom w:val="nil"/>
              <w:right w:val="nil"/>
            </w:tcBorders>
          </w:tcPr>
          <w:p w14:paraId="084CFD6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1,135</w:t>
            </w:r>
          </w:p>
        </w:tc>
      </w:tr>
      <w:tr w:rsidR="00B44672" w:rsidRPr="006B5978" w14:paraId="2F0A14BD" w14:textId="77777777" w:rsidTr="004D2B7C">
        <w:trPr>
          <w:jc w:val="center"/>
        </w:trPr>
        <w:tc>
          <w:tcPr>
            <w:tcW w:w="2242" w:type="dxa"/>
            <w:tcBorders>
              <w:top w:val="nil"/>
              <w:left w:val="nil"/>
              <w:bottom w:val="nil"/>
              <w:right w:val="nil"/>
            </w:tcBorders>
          </w:tcPr>
          <w:p w14:paraId="641BFE54"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Adj. R-squared</w:t>
            </w:r>
          </w:p>
        </w:tc>
        <w:tc>
          <w:tcPr>
            <w:tcW w:w="1320" w:type="dxa"/>
            <w:tcBorders>
              <w:top w:val="nil"/>
              <w:left w:val="nil"/>
              <w:bottom w:val="nil"/>
              <w:right w:val="nil"/>
            </w:tcBorders>
          </w:tcPr>
          <w:p w14:paraId="20F8C9F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0.76</w:t>
            </w:r>
          </w:p>
        </w:tc>
        <w:tc>
          <w:tcPr>
            <w:tcW w:w="1320" w:type="dxa"/>
            <w:tcBorders>
              <w:top w:val="nil"/>
              <w:left w:val="nil"/>
              <w:bottom w:val="nil"/>
              <w:right w:val="nil"/>
            </w:tcBorders>
          </w:tcPr>
          <w:p w14:paraId="0369B0D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0.77</w:t>
            </w:r>
          </w:p>
        </w:tc>
        <w:tc>
          <w:tcPr>
            <w:tcW w:w="1481" w:type="dxa"/>
            <w:tcBorders>
              <w:top w:val="nil"/>
              <w:left w:val="nil"/>
              <w:bottom w:val="nil"/>
              <w:right w:val="nil"/>
            </w:tcBorders>
          </w:tcPr>
          <w:p w14:paraId="08B248A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0.77</w:t>
            </w:r>
          </w:p>
        </w:tc>
        <w:tc>
          <w:tcPr>
            <w:tcW w:w="1213" w:type="dxa"/>
            <w:tcBorders>
              <w:top w:val="nil"/>
              <w:left w:val="nil"/>
              <w:bottom w:val="nil"/>
              <w:right w:val="nil"/>
            </w:tcBorders>
          </w:tcPr>
          <w:p w14:paraId="3A9AF88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0.80</w:t>
            </w:r>
          </w:p>
        </w:tc>
        <w:tc>
          <w:tcPr>
            <w:tcW w:w="2072" w:type="dxa"/>
            <w:tcBorders>
              <w:top w:val="nil"/>
              <w:left w:val="nil"/>
              <w:bottom w:val="nil"/>
              <w:right w:val="nil"/>
            </w:tcBorders>
          </w:tcPr>
          <w:p w14:paraId="663C36A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0.78</w:t>
            </w:r>
          </w:p>
        </w:tc>
      </w:tr>
      <w:tr w:rsidR="00B44672" w:rsidRPr="006B5978" w14:paraId="188702E5" w14:textId="77777777" w:rsidTr="004D2B7C">
        <w:trPr>
          <w:jc w:val="center"/>
        </w:trPr>
        <w:tc>
          <w:tcPr>
            <w:tcW w:w="2242" w:type="dxa"/>
            <w:tcBorders>
              <w:top w:val="nil"/>
              <w:left w:val="nil"/>
              <w:bottom w:val="single" w:sz="6" w:space="0" w:color="auto"/>
              <w:right w:val="nil"/>
            </w:tcBorders>
          </w:tcPr>
          <w:p w14:paraId="30CA6F9A"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Max in Cor. Matrix</w:t>
            </w:r>
          </w:p>
        </w:tc>
        <w:tc>
          <w:tcPr>
            <w:tcW w:w="1320" w:type="dxa"/>
            <w:tcBorders>
              <w:top w:val="nil"/>
              <w:left w:val="nil"/>
              <w:bottom w:val="single" w:sz="6" w:space="0" w:color="auto"/>
              <w:right w:val="nil"/>
            </w:tcBorders>
          </w:tcPr>
          <w:p w14:paraId="612831B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
        </w:tc>
        <w:tc>
          <w:tcPr>
            <w:tcW w:w="1320" w:type="dxa"/>
            <w:tcBorders>
              <w:top w:val="nil"/>
              <w:left w:val="nil"/>
              <w:bottom w:val="single" w:sz="6" w:space="0" w:color="auto"/>
              <w:right w:val="nil"/>
            </w:tcBorders>
          </w:tcPr>
          <w:p w14:paraId="5E086AA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0.34</w:t>
            </w:r>
          </w:p>
        </w:tc>
        <w:tc>
          <w:tcPr>
            <w:tcW w:w="1481" w:type="dxa"/>
            <w:tcBorders>
              <w:top w:val="nil"/>
              <w:left w:val="nil"/>
              <w:bottom w:val="single" w:sz="6" w:space="0" w:color="auto"/>
              <w:right w:val="nil"/>
            </w:tcBorders>
          </w:tcPr>
          <w:p w14:paraId="03F1ABA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0.35</w:t>
            </w:r>
          </w:p>
        </w:tc>
        <w:tc>
          <w:tcPr>
            <w:tcW w:w="1213" w:type="dxa"/>
            <w:tcBorders>
              <w:top w:val="nil"/>
              <w:left w:val="nil"/>
              <w:bottom w:val="single" w:sz="6" w:space="0" w:color="auto"/>
              <w:right w:val="nil"/>
            </w:tcBorders>
          </w:tcPr>
          <w:p w14:paraId="69538EC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0.70</w:t>
            </w:r>
          </w:p>
        </w:tc>
        <w:tc>
          <w:tcPr>
            <w:tcW w:w="2072" w:type="dxa"/>
            <w:tcBorders>
              <w:top w:val="nil"/>
              <w:left w:val="nil"/>
              <w:bottom w:val="single" w:sz="6" w:space="0" w:color="auto"/>
              <w:right w:val="nil"/>
            </w:tcBorders>
          </w:tcPr>
          <w:p w14:paraId="4598F8A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0.70</w:t>
            </w:r>
          </w:p>
        </w:tc>
      </w:tr>
    </w:tbl>
    <w:p w14:paraId="0E86CCD5" w14:textId="77777777" w:rsidR="00B44672" w:rsidRPr="006B5978" w:rsidRDefault="00B44672" w:rsidP="005D290D">
      <w:pPr>
        <w:widowControl w:val="0"/>
        <w:autoSpaceDE w:val="0"/>
        <w:autoSpaceDN w:val="0"/>
        <w:adjustRightInd w:val="0"/>
        <w:spacing w:before="79" w:after="79"/>
        <w:jc w:val="center"/>
        <w:rPr>
          <w:rFonts w:cstheme="minorHAnsi"/>
          <w:sz w:val="22"/>
        </w:rPr>
      </w:pPr>
      <w:r w:rsidRPr="006B5978">
        <w:rPr>
          <w:rFonts w:cstheme="minorHAnsi"/>
          <w:sz w:val="22"/>
        </w:rPr>
        <w:t xml:space="preserve">* </w:t>
      </w:r>
      <w:r w:rsidRPr="006B5978">
        <w:rPr>
          <w:rFonts w:cstheme="minorHAnsi"/>
          <w:i/>
          <w:iCs/>
          <w:sz w:val="22"/>
        </w:rPr>
        <w:t>p</w:t>
      </w:r>
      <w:r w:rsidRPr="006B5978">
        <w:rPr>
          <w:rFonts w:cstheme="minorHAnsi"/>
          <w:sz w:val="22"/>
        </w:rPr>
        <w:t xml:space="preserve">&lt;0.05; ** </w:t>
      </w:r>
      <w:r w:rsidRPr="006B5978">
        <w:rPr>
          <w:rFonts w:cstheme="minorHAnsi"/>
          <w:i/>
          <w:iCs/>
          <w:sz w:val="22"/>
        </w:rPr>
        <w:t>p</w:t>
      </w:r>
      <w:r w:rsidRPr="006B5978">
        <w:rPr>
          <w:rFonts w:cstheme="minorHAnsi"/>
          <w:sz w:val="22"/>
        </w:rPr>
        <w:t>&lt;0.01</w:t>
      </w:r>
    </w:p>
    <w:p w14:paraId="646CBF59" w14:textId="77777777" w:rsidR="00B44672" w:rsidRDefault="00B44672" w:rsidP="005D290D">
      <w:pPr>
        <w:widowControl w:val="0"/>
        <w:autoSpaceDE w:val="0"/>
        <w:autoSpaceDN w:val="0"/>
        <w:adjustRightInd w:val="0"/>
        <w:spacing w:after="0"/>
        <w:rPr>
          <w:rFonts w:ascii="Times New Roman" w:hAnsi="Times New Roman" w:cs="Times New Roman"/>
        </w:rPr>
      </w:pPr>
    </w:p>
    <w:p w14:paraId="3AF5AD79" w14:textId="77777777" w:rsidR="00B44672" w:rsidRDefault="00B44672" w:rsidP="00565753">
      <w:pPr>
        <w:pStyle w:val="BodyText"/>
      </w:pPr>
      <w:r>
        <w:t xml:space="preserve">The next two tables present the results on trends in the overall value of the house and unit markets. They are a one to one replication from the main report, for completion to have all results in one place. </w:t>
      </w:r>
    </w:p>
    <w:p w14:paraId="7E0CC342" w14:textId="3514AF70" w:rsidR="00B44672" w:rsidRPr="00712B72" w:rsidRDefault="00B44672" w:rsidP="00712B72">
      <w:pPr>
        <w:pStyle w:val="Caption"/>
        <w:keepNext/>
        <w:rPr>
          <w:b/>
          <w:bCs/>
          <w:i w:val="0"/>
          <w:iCs/>
          <w:color w:val="365F91" w:themeColor="accent1" w:themeShade="BF"/>
        </w:rPr>
      </w:pPr>
      <w:bookmarkStart w:id="148" w:name="_Toc33121088"/>
      <w:r w:rsidRPr="00712B72">
        <w:rPr>
          <w:b/>
          <w:bCs/>
          <w:color w:val="365F91" w:themeColor="accent1" w:themeShade="BF"/>
        </w:rPr>
        <w:t xml:space="preserve">Table </w:t>
      </w:r>
      <w:r w:rsidRPr="00712B72">
        <w:rPr>
          <w:b/>
          <w:bCs/>
          <w:i w:val="0"/>
          <w:iCs/>
          <w:color w:val="365F91" w:themeColor="accent1" w:themeShade="BF"/>
        </w:rPr>
        <w:fldChar w:fldCharType="begin"/>
      </w:r>
      <w:r w:rsidRPr="00712B72">
        <w:rPr>
          <w:b/>
          <w:bCs/>
          <w:color w:val="365F91" w:themeColor="accent1" w:themeShade="BF"/>
        </w:rPr>
        <w:instrText xml:space="preserve"> SEQ Table \* ARABIC </w:instrText>
      </w:r>
      <w:r w:rsidRPr="00712B72">
        <w:rPr>
          <w:b/>
          <w:bCs/>
          <w:i w:val="0"/>
          <w:iCs/>
          <w:color w:val="365F91" w:themeColor="accent1" w:themeShade="BF"/>
        </w:rPr>
        <w:fldChar w:fldCharType="separate"/>
      </w:r>
      <w:r w:rsidR="00A763B6">
        <w:rPr>
          <w:b/>
          <w:bCs/>
          <w:noProof/>
          <w:color w:val="365F91" w:themeColor="accent1" w:themeShade="BF"/>
        </w:rPr>
        <w:t>26</w:t>
      </w:r>
      <w:r w:rsidRPr="00712B72">
        <w:rPr>
          <w:b/>
          <w:bCs/>
          <w:i w:val="0"/>
          <w:iCs/>
          <w:color w:val="365F91" w:themeColor="accent1" w:themeShade="BF"/>
        </w:rPr>
        <w:fldChar w:fldCharType="end"/>
      </w:r>
      <w:r w:rsidRPr="00712B72">
        <w:rPr>
          <w:b/>
          <w:bCs/>
          <w:color w:val="365F91" w:themeColor="accent1" w:themeShade="BF"/>
        </w:rPr>
        <w:t xml:space="preserve"> </w:t>
      </w:r>
      <w:r>
        <w:rPr>
          <w:b/>
          <w:bCs/>
          <w:color w:val="365F91" w:themeColor="accent1" w:themeShade="BF"/>
        </w:rPr>
        <w:t>(from main report)</w:t>
      </w:r>
      <w:r w:rsidRPr="00712B72">
        <w:rPr>
          <w:b/>
          <w:bCs/>
          <w:color w:val="365F91" w:themeColor="accent1" w:themeShade="BF"/>
        </w:rPr>
        <w:t>- Trend in the effect of the tax reform on the housing market - estimations in logs</w:t>
      </w:r>
      <w:bookmarkEnd w:id="148"/>
    </w:p>
    <w:tbl>
      <w:tblPr>
        <w:tblW w:w="0" w:type="auto"/>
        <w:jc w:val="center"/>
        <w:tblCellMar>
          <w:left w:w="144" w:type="dxa"/>
          <w:right w:w="144" w:type="dxa"/>
        </w:tblCellMar>
        <w:tblLook w:val="0000" w:firstRow="0" w:lastRow="0" w:firstColumn="0" w:lastColumn="0" w:noHBand="0" w:noVBand="0"/>
      </w:tblPr>
      <w:tblGrid>
        <w:gridCol w:w="2052"/>
        <w:gridCol w:w="1144"/>
        <w:gridCol w:w="1198"/>
        <w:gridCol w:w="1144"/>
        <w:gridCol w:w="1144"/>
        <w:gridCol w:w="1192"/>
        <w:gridCol w:w="1152"/>
      </w:tblGrid>
      <w:tr w:rsidR="00B44672" w:rsidRPr="006B5978" w14:paraId="71AAAC07" w14:textId="77777777" w:rsidTr="004D2B7C">
        <w:trPr>
          <w:jc w:val="center"/>
        </w:trPr>
        <w:tc>
          <w:tcPr>
            <w:tcW w:w="2554" w:type="dxa"/>
            <w:tcBorders>
              <w:top w:val="single" w:sz="6" w:space="0" w:color="auto"/>
              <w:left w:val="nil"/>
              <w:bottom w:val="nil"/>
              <w:right w:val="nil"/>
            </w:tcBorders>
          </w:tcPr>
          <w:p w14:paraId="4AABC60B" w14:textId="77777777" w:rsidR="00B44672" w:rsidRPr="006B5978" w:rsidRDefault="00B44672" w:rsidP="004D2B7C">
            <w:pPr>
              <w:widowControl w:val="0"/>
              <w:autoSpaceDE w:val="0"/>
              <w:autoSpaceDN w:val="0"/>
              <w:adjustRightInd w:val="0"/>
              <w:spacing w:before="79" w:after="0"/>
              <w:rPr>
                <w:rFonts w:cstheme="minorHAnsi"/>
                <w:sz w:val="22"/>
              </w:rPr>
            </w:pPr>
            <w:proofErr w:type="gramStart"/>
            <w:r w:rsidRPr="006B5978">
              <w:rPr>
                <w:rFonts w:cstheme="minorHAnsi"/>
                <w:sz w:val="22"/>
              </w:rPr>
              <w:t>Log(</w:t>
            </w:r>
            <w:proofErr w:type="gramEnd"/>
            <w:r w:rsidRPr="006B5978">
              <w:rPr>
                <w:rFonts w:cstheme="minorHAnsi"/>
                <w:sz w:val="22"/>
              </w:rPr>
              <w:t>Sales Volume)</w:t>
            </w:r>
          </w:p>
        </w:tc>
        <w:tc>
          <w:tcPr>
            <w:tcW w:w="1134" w:type="dxa"/>
            <w:tcBorders>
              <w:top w:val="single" w:sz="6" w:space="0" w:color="auto"/>
              <w:left w:val="nil"/>
              <w:bottom w:val="nil"/>
              <w:right w:val="nil"/>
            </w:tcBorders>
          </w:tcPr>
          <w:p w14:paraId="3AD972A2"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(1)</w:t>
            </w:r>
          </w:p>
        </w:tc>
        <w:tc>
          <w:tcPr>
            <w:tcW w:w="1276" w:type="dxa"/>
            <w:tcBorders>
              <w:top w:val="single" w:sz="6" w:space="0" w:color="auto"/>
              <w:left w:val="nil"/>
              <w:bottom w:val="nil"/>
              <w:right w:val="nil"/>
            </w:tcBorders>
          </w:tcPr>
          <w:p w14:paraId="430F7423"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(2)</w:t>
            </w:r>
          </w:p>
        </w:tc>
        <w:tc>
          <w:tcPr>
            <w:tcW w:w="1134" w:type="dxa"/>
            <w:tcBorders>
              <w:top w:val="single" w:sz="6" w:space="0" w:color="auto"/>
              <w:left w:val="nil"/>
              <w:bottom w:val="nil"/>
              <w:right w:val="nil"/>
            </w:tcBorders>
          </w:tcPr>
          <w:p w14:paraId="42E740E6"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(3)</w:t>
            </w:r>
          </w:p>
        </w:tc>
        <w:tc>
          <w:tcPr>
            <w:tcW w:w="1123" w:type="dxa"/>
            <w:tcBorders>
              <w:top w:val="single" w:sz="6" w:space="0" w:color="auto"/>
              <w:left w:val="nil"/>
              <w:bottom w:val="nil"/>
              <w:right w:val="nil"/>
            </w:tcBorders>
          </w:tcPr>
          <w:p w14:paraId="3CB19DC2"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(4)</w:t>
            </w:r>
          </w:p>
        </w:tc>
        <w:tc>
          <w:tcPr>
            <w:tcW w:w="1263" w:type="dxa"/>
            <w:tcBorders>
              <w:top w:val="single" w:sz="6" w:space="0" w:color="auto"/>
              <w:left w:val="nil"/>
              <w:bottom w:val="nil"/>
              <w:right w:val="nil"/>
            </w:tcBorders>
          </w:tcPr>
          <w:p w14:paraId="04FDEC07"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(5)</w:t>
            </w:r>
          </w:p>
        </w:tc>
        <w:tc>
          <w:tcPr>
            <w:tcW w:w="1164" w:type="dxa"/>
            <w:tcBorders>
              <w:top w:val="single" w:sz="6" w:space="0" w:color="auto"/>
              <w:left w:val="nil"/>
              <w:bottom w:val="nil"/>
              <w:right w:val="nil"/>
            </w:tcBorders>
          </w:tcPr>
          <w:p w14:paraId="1C548623"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(6)</w:t>
            </w:r>
          </w:p>
        </w:tc>
      </w:tr>
      <w:tr w:rsidR="00B44672" w:rsidRPr="006B5978" w14:paraId="0AE1AF4D" w14:textId="77777777" w:rsidTr="004D2B7C">
        <w:trPr>
          <w:jc w:val="center"/>
        </w:trPr>
        <w:tc>
          <w:tcPr>
            <w:tcW w:w="2554" w:type="dxa"/>
            <w:tcBorders>
              <w:top w:val="nil"/>
              <w:left w:val="nil"/>
              <w:bottom w:val="nil"/>
              <w:right w:val="nil"/>
            </w:tcBorders>
          </w:tcPr>
          <w:p w14:paraId="3B96750A" w14:textId="77777777" w:rsidR="00B44672" w:rsidRPr="006B5978" w:rsidRDefault="00B44672" w:rsidP="004D2B7C">
            <w:pPr>
              <w:widowControl w:val="0"/>
              <w:autoSpaceDE w:val="0"/>
              <w:autoSpaceDN w:val="0"/>
              <w:adjustRightInd w:val="0"/>
              <w:spacing w:after="79"/>
              <w:rPr>
                <w:rFonts w:cstheme="minorHAnsi"/>
                <w:sz w:val="22"/>
              </w:rPr>
            </w:pPr>
          </w:p>
        </w:tc>
        <w:tc>
          <w:tcPr>
            <w:tcW w:w="1134" w:type="dxa"/>
            <w:tcBorders>
              <w:top w:val="nil"/>
              <w:left w:val="nil"/>
              <w:bottom w:val="nil"/>
              <w:right w:val="nil"/>
            </w:tcBorders>
          </w:tcPr>
          <w:p w14:paraId="1614DB13"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Reform Trend</w:t>
            </w:r>
          </w:p>
        </w:tc>
        <w:tc>
          <w:tcPr>
            <w:tcW w:w="1276" w:type="dxa"/>
            <w:tcBorders>
              <w:top w:val="nil"/>
              <w:left w:val="nil"/>
              <w:bottom w:val="nil"/>
              <w:right w:val="nil"/>
            </w:tcBorders>
          </w:tcPr>
          <w:p w14:paraId="39252498"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Trend &amp; Controls</w:t>
            </w:r>
          </w:p>
        </w:tc>
        <w:tc>
          <w:tcPr>
            <w:tcW w:w="1134" w:type="dxa"/>
            <w:tcBorders>
              <w:top w:val="nil"/>
              <w:left w:val="nil"/>
              <w:bottom w:val="nil"/>
              <w:right w:val="nil"/>
            </w:tcBorders>
          </w:tcPr>
          <w:p w14:paraId="60F9BA00"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Trend &amp; Capital Cities</w:t>
            </w:r>
          </w:p>
        </w:tc>
        <w:tc>
          <w:tcPr>
            <w:tcW w:w="1123" w:type="dxa"/>
            <w:tcBorders>
              <w:top w:val="nil"/>
              <w:left w:val="nil"/>
              <w:bottom w:val="nil"/>
              <w:right w:val="nil"/>
            </w:tcBorders>
          </w:tcPr>
          <w:p w14:paraId="67618995"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Sample till 2015</w:t>
            </w:r>
          </w:p>
        </w:tc>
        <w:tc>
          <w:tcPr>
            <w:tcW w:w="1263" w:type="dxa"/>
            <w:tcBorders>
              <w:top w:val="nil"/>
              <w:left w:val="nil"/>
              <w:bottom w:val="nil"/>
              <w:right w:val="nil"/>
            </w:tcBorders>
          </w:tcPr>
          <w:p w14:paraId="23E81570"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Sample till 2017</w:t>
            </w:r>
          </w:p>
        </w:tc>
        <w:tc>
          <w:tcPr>
            <w:tcW w:w="1164" w:type="dxa"/>
            <w:tcBorders>
              <w:top w:val="nil"/>
              <w:left w:val="nil"/>
              <w:bottom w:val="nil"/>
              <w:right w:val="nil"/>
            </w:tcBorders>
          </w:tcPr>
          <w:p w14:paraId="198B2A47"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r>
      <w:tr w:rsidR="00B44672" w:rsidRPr="006B5978" w14:paraId="3DEE2954" w14:textId="77777777" w:rsidTr="004D2B7C">
        <w:trPr>
          <w:jc w:val="center"/>
        </w:trPr>
        <w:tc>
          <w:tcPr>
            <w:tcW w:w="2554" w:type="dxa"/>
            <w:tcBorders>
              <w:top w:val="single" w:sz="6" w:space="0" w:color="auto"/>
              <w:left w:val="nil"/>
              <w:bottom w:val="nil"/>
              <w:right w:val="nil"/>
            </w:tcBorders>
          </w:tcPr>
          <w:p w14:paraId="0F0ED7B8"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lastRenderedPageBreak/>
              <w:t>Reform Dummy</w:t>
            </w:r>
          </w:p>
        </w:tc>
        <w:tc>
          <w:tcPr>
            <w:tcW w:w="1134" w:type="dxa"/>
            <w:tcBorders>
              <w:top w:val="single" w:sz="6" w:space="0" w:color="auto"/>
              <w:left w:val="nil"/>
              <w:bottom w:val="nil"/>
              <w:right w:val="nil"/>
            </w:tcBorders>
          </w:tcPr>
          <w:p w14:paraId="477670E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-0.125</w:t>
            </w:r>
          </w:p>
        </w:tc>
        <w:tc>
          <w:tcPr>
            <w:tcW w:w="1276" w:type="dxa"/>
            <w:tcBorders>
              <w:top w:val="single" w:sz="6" w:space="0" w:color="auto"/>
              <w:left w:val="nil"/>
              <w:bottom w:val="nil"/>
              <w:right w:val="nil"/>
            </w:tcBorders>
          </w:tcPr>
          <w:p w14:paraId="25D63D9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-0.013</w:t>
            </w:r>
          </w:p>
        </w:tc>
        <w:tc>
          <w:tcPr>
            <w:tcW w:w="1134" w:type="dxa"/>
            <w:tcBorders>
              <w:top w:val="single" w:sz="6" w:space="0" w:color="auto"/>
              <w:left w:val="nil"/>
              <w:bottom w:val="nil"/>
              <w:right w:val="nil"/>
            </w:tcBorders>
          </w:tcPr>
          <w:p w14:paraId="2704898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-0.078</w:t>
            </w:r>
          </w:p>
        </w:tc>
        <w:tc>
          <w:tcPr>
            <w:tcW w:w="1123" w:type="dxa"/>
            <w:tcBorders>
              <w:top w:val="single" w:sz="6" w:space="0" w:color="auto"/>
              <w:left w:val="nil"/>
              <w:bottom w:val="nil"/>
              <w:right w:val="nil"/>
            </w:tcBorders>
          </w:tcPr>
          <w:p w14:paraId="741C5C6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0.013</w:t>
            </w:r>
          </w:p>
        </w:tc>
        <w:tc>
          <w:tcPr>
            <w:tcW w:w="1263" w:type="dxa"/>
            <w:tcBorders>
              <w:top w:val="single" w:sz="6" w:space="0" w:color="auto"/>
              <w:left w:val="nil"/>
              <w:bottom w:val="nil"/>
              <w:right w:val="nil"/>
            </w:tcBorders>
          </w:tcPr>
          <w:p w14:paraId="7F10BD6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0.019</w:t>
            </w:r>
          </w:p>
        </w:tc>
        <w:tc>
          <w:tcPr>
            <w:tcW w:w="1164" w:type="dxa"/>
            <w:tcBorders>
              <w:top w:val="single" w:sz="6" w:space="0" w:color="auto"/>
              <w:left w:val="nil"/>
              <w:bottom w:val="nil"/>
              <w:right w:val="nil"/>
            </w:tcBorders>
          </w:tcPr>
          <w:p w14:paraId="403EA28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0.031</w:t>
            </w:r>
          </w:p>
        </w:tc>
      </w:tr>
      <w:tr w:rsidR="00B44672" w:rsidRPr="006B5978" w14:paraId="10411DC6" w14:textId="77777777" w:rsidTr="004D2B7C">
        <w:trPr>
          <w:jc w:val="center"/>
        </w:trPr>
        <w:tc>
          <w:tcPr>
            <w:tcW w:w="2554" w:type="dxa"/>
            <w:tcBorders>
              <w:top w:val="nil"/>
              <w:left w:val="nil"/>
              <w:bottom w:val="nil"/>
              <w:right w:val="nil"/>
            </w:tcBorders>
          </w:tcPr>
          <w:p w14:paraId="74B440E5"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134" w:type="dxa"/>
            <w:tcBorders>
              <w:top w:val="nil"/>
              <w:left w:val="nil"/>
              <w:bottom w:val="nil"/>
              <w:right w:val="nil"/>
            </w:tcBorders>
          </w:tcPr>
          <w:p w14:paraId="422A990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0.025]*</w:t>
            </w:r>
            <w:proofErr w:type="gramEnd"/>
            <w:r w:rsidRPr="006B5978">
              <w:rPr>
                <w:rFonts w:cstheme="minorHAnsi"/>
                <w:sz w:val="22"/>
              </w:rPr>
              <w:t>*</w:t>
            </w:r>
          </w:p>
        </w:tc>
        <w:tc>
          <w:tcPr>
            <w:tcW w:w="1276" w:type="dxa"/>
            <w:tcBorders>
              <w:top w:val="nil"/>
              <w:left w:val="nil"/>
              <w:bottom w:val="nil"/>
              <w:right w:val="nil"/>
            </w:tcBorders>
          </w:tcPr>
          <w:p w14:paraId="773DD43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[0.025]</w:t>
            </w:r>
          </w:p>
        </w:tc>
        <w:tc>
          <w:tcPr>
            <w:tcW w:w="1134" w:type="dxa"/>
            <w:tcBorders>
              <w:top w:val="nil"/>
              <w:left w:val="nil"/>
              <w:bottom w:val="nil"/>
              <w:right w:val="nil"/>
            </w:tcBorders>
          </w:tcPr>
          <w:p w14:paraId="1A0456E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0.026]*</w:t>
            </w:r>
            <w:proofErr w:type="gramEnd"/>
            <w:r w:rsidRPr="006B5978">
              <w:rPr>
                <w:rFonts w:cstheme="minorHAnsi"/>
                <w:sz w:val="22"/>
              </w:rPr>
              <w:t>*</w:t>
            </w:r>
          </w:p>
        </w:tc>
        <w:tc>
          <w:tcPr>
            <w:tcW w:w="1123" w:type="dxa"/>
            <w:tcBorders>
              <w:top w:val="nil"/>
              <w:left w:val="nil"/>
              <w:bottom w:val="nil"/>
              <w:right w:val="nil"/>
            </w:tcBorders>
          </w:tcPr>
          <w:p w14:paraId="3386592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[0.020]</w:t>
            </w:r>
          </w:p>
        </w:tc>
        <w:tc>
          <w:tcPr>
            <w:tcW w:w="1263" w:type="dxa"/>
            <w:tcBorders>
              <w:top w:val="nil"/>
              <w:left w:val="nil"/>
              <w:bottom w:val="nil"/>
              <w:right w:val="nil"/>
            </w:tcBorders>
          </w:tcPr>
          <w:p w14:paraId="4416C4F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[0.021]</w:t>
            </w:r>
          </w:p>
        </w:tc>
        <w:tc>
          <w:tcPr>
            <w:tcW w:w="1164" w:type="dxa"/>
            <w:tcBorders>
              <w:top w:val="nil"/>
              <w:left w:val="nil"/>
              <w:bottom w:val="nil"/>
              <w:right w:val="nil"/>
            </w:tcBorders>
          </w:tcPr>
          <w:p w14:paraId="38903B5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[0.022]</w:t>
            </w:r>
          </w:p>
        </w:tc>
      </w:tr>
      <w:tr w:rsidR="00B44672" w:rsidRPr="006B5978" w14:paraId="5536C23F" w14:textId="77777777" w:rsidTr="004D2B7C">
        <w:trPr>
          <w:jc w:val="center"/>
        </w:trPr>
        <w:tc>
          <w:tcPr>
            <w:tcW w:w="2554" w:type="dxa"/>
            <w:tcBorders>
              <w:top w:val="nil"/>
              <w:left w:val="nil"/>
              <w:bottom w:val="nil"/>
              <w:right w:val="nil"/>
            </w:tcBorders>
          </w:tcPr>
          <w:p w14:paraId="2D1FEC01"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Reform Trend</w:t>
            </w:r>
          </w:p>
        </w:tc>
        <w:tc>
          <w:tcPr>
            <w:tcW w:w="1134" w:type="dxa"/>
            <w:tcBorders>
              <w:top w:val="nil"/>
              <w:left w:val="nil"/>
              <w:bottom w:val="nil"/>
              <w:right w:val="nil"/>
            </w:tcBorders>
          </w:tcPr>
          <w:p w14:paraId="3CADA93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0.005</w:t>
            </w:r>
          </w:p>
        </w:tc>
        <w:tc>
          <w:tcPr>
            <w:tcW w:w="1276" w:type="dxa"/>
            <w:tcBorders>
              <w:top w:val="nil"/>
              <w:left w:val="nil"/>
              <w:bottom w:val="nil"/>
              <w:right w:val="nil"/>
            </w:tcBorders>
          </w:tcPr>
          <w:p w14:paraId="6D42A94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0.010*</w:t>
            </w:r>
          </w:p>
        </w:tc>
        <w:tc>
          <w:tcPr>
            <w:tcW w:w="1134" w:type="dxa"/>
            <w:tcBorders>
              <w:top w:val="nil"/>
              <w:left w:val="nil"/>
              <w:bottom w:val="nil"/>
              <w:right w:val="nil"/>
            </w:tcBorders>
          </w:tcPr>
          <w:p w14:paraId="31650F5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0.005</w:t>
            </w:r>
          </w:p>
        </w:tc>
        <w:tc>
          <w:tcPr>
            <w:tcW w:w="1123" w:type="dxa"/>
            <w:tcBorders>
              <w:top w:val="nil"/>
              <w:left w:val="nil"/>
              <w:bottom w:val="nil"/>
              <w:right w:val="nil"/>
            </w:tcBorders>
          </w:tcPr>
          <w:p w14:paraId="0D0B4552"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263" w:type="dxa"/>
            <w:tcBorders>
              <w:top w:val="nil"/>
              <w:left w:val="nil"/>
              <w:bottom w:val="nil"/>
              <w:right w:val="nil"/>
            </w:tcBorders>
          </w:tcPr>
          <w:p w14:paraId="046F08CD"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164" w:type="dxa"/>
            <w:tcBorders>
              <w:top w:val="nil"/>
              <w:left w:val="nil"/>
              <w:bottom w:val="nil"/>
              <w:right w:val="nil"/>
            </w:tcBorders>
          </w:tcPr>
          <w:p w14:paraId="32B141D1" w14:textId="77777777" w:rsidR="00B44672" w:rsidRPr="006B5978" w:rsidRDefault="00B44672" w:rsidP="004D2B7C">
            <w:pPr>
              <w:widowControl w:val="0"/>
              <w:autoSpaceDE w:val="0"/>
              <w:autoSpaceDN w:val="0"/>
              <w:adjustRightInd w:val="0"/>
              <w:spacing w:after="0"/>
              <w:jc w:val="center"/>
              <w:rPr>
                <w:rFonts w:cstheme="minorHAnsi"/>
                <w:sz w:val="22"/>
              </w:rPr>
            </w:pPr>
          </w:p>
        </w:tc>
      </w:tr>
      <w:tr w:rsidR="00B44672" w:rsidRPr="006B5978" w14:paraId="7F764F46" w14:textId="77777777" w:rsidTr="004D2B7C">
        <w:trPr>
          <w:jc w:val="center"/>
        </w:trPr>
        <w:tc>
          <w:tcPr>
            <w:tcW w:w="2554" w:type="dxa"/>
            <w:tcBorders>
              <w:top w:val="nil"/>
              <w:left w:val="nil"/>
              <w:bottom w:val="nil"/>
              <w:right w:val="nil"/>
            </w:tcBorders>
          </w:tcPr>
          <w:p w14:paraId="30C6C421"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134" w:type="dxa"/>
            <w:tcBorders>
              <w:top w:val="nil"/>
              <w:left w:val="nil"/>
              <w:bottom w:val="nil"/>
              <w:right w:val="nil"/>
            </w:tcBorders>
          </w:tcPr>
          <w:p w14:paraId="545EE64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[0.006]</w:t>
            </w:r>
          </w:p>
        </w:tc>
        <w:tc>
          <w:tcPr>
            <w:tcW w:w="1276" w:type="dxa"/>
            <w:tcBorders>
              <w:top w:val="nil"/>
              <w:left w:val="nil"/>
              <w:bottom w:val="nil"/>
              <w:right w:val="nil"/>
            </w:tcBorders>
          </w:tcPr>
          <w:p w14:paraId="57B505C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[0.006]</w:t>
            </w:r>
          </w:p>
        </w:tc>
        <w:tc>
          <w:tcPr>
            <w:tcW w:w="1134" w:type="dxa"/>
            <w:tcBorders>
              <w:top w:val="nil"/>
              <w:left w:val="nil"/>
              <w:bottom w:val="nil"/>
              <w:right w:val="nil"/>
            </w:tcBorders>
          </w:tcPr>
          <w:p w14:paraId="56ABE19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[0.006]</w:t>
            </w:r>
          </w:p>
        </w:tc>
        <w:tc>
          <w:tcPr>
            <w:tcW w:w="1123" w:type="dxa"/>
            <w:tcBorders>
              <w:top w:val="nil"/>
              <w:left w:val="nil"/>
              <w:bottom w:val="nil"/>
              <w:right w:val="nil"/>
            </w:tcBorders>
          </w:tcPr>
          <w:p w14:paraId="1AFB059A"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263" w:type="dxa"/>
            <w:tcBorders>
              <w:top w:val="nil"/>
              <w:left w:val="nil"/>
              <w:bottom w:val="nil"/>
              <w:right w:val="nil"/>
            </w:tcBorders>
          </w:tcPr>
          <w:p w14:paraId="2B1295F3"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164" w:type="dxa"/>
            <w:tcBorders>
              <w:top w:val="nil"/>
              <w:left w:val="nil"/>
              <w:bottom w:val="nil"/>
              <w:right w:val="nil"/>
            </w:tcBorders>
          </w:tcPr>
          <w:p w14:paraId="030F5D2E" w14:textId="77777777" w:rsidR="00B44672" w:rsidRPr="006B5978" w:rsidRDefault="00B44672" w:rsidP="004D2B7C">
            <w:pPr>
              <w:widowControl w:val="0"/>
              <w:autoSpaceDE w:val="0"/>
              <w:autoSpaceDN w:val="0"/>
              <w:adjustRightInd w:val="0"/>
              <w:spacing w:after="0"/>
              <w:jc w:val="center"/>
              <w:rPr>
                <w:rFonts w:cstheme="minorHAnsi"/>
                <w:sz w:val="22"/>
              </w:rPr>
            </w:pPr>
          </w:p>
        </w:tc>
      </w:tr>
      <w:tr w:rsidR="00B44672" w:rsidRPr="006B5978" w14:paraId="36BC8C42" w14:textId="77777777" w:rsidTr="004D2B7C">
        <w:trPr>
          <w:jc w:val="center"/>
        </w:trPr>
        <w:tc>
          <w:tcPr>
            <w:tcW w:w="2554" w:type="dxa"/>
            <w:tcBorders>
              <w:top w:val="nil"/>
              <w:left w:val="nil"/>
              <w:bottom w:val="nil"/>
              <w:right w:val="nil"/>
            </w:tcBorders>
          </w:tcPr>
          <w:p w14:paraId="78CC3F04"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Income)</w:t>
            </w:r>
          </w:p>
        </w:tc>
        <w:tc>
          <w:tcPr>
            <w:tcW w:w="1134" w:type="dxa"/>
            <w:tcBorders>
              <w:top w:val="nil"/>
              <w:left w:val="nil"/>
              <w:bottom w:val="nil"/>
              <w:right w:val="nil"/>
            </w:tcBorders>
          </w:tcPr>
          <w:p w14:paraId="4E9A86B2"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276" w:type="dxa"/>
            <w:tcBorders>
              <w:top w:val="nil"/>
              <w:left w:val="nil"/>
              <w:bottom w:val="nil"/>
              <w:right w:val="nil"/>
            </w:tcBorders>
          </w:tcPr>
          <w:p w14:paraId="192E397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3.108</w:t>
            </w:r>
          </w:p>
        </w:tc>
        <w:tc>
          <w:tcPr>
            <w:tcW w:w="1134" w:type="dxa"/>
            <w:tcBorders>
              <w:top w:val="nil"/>
              <w:left w:val="nil"/>
              <w:bottom w:val="nil"/>
              <w:right w:val="nil"/>
            </w:tcBorders>
          </w:tcPr>
          <w:p w14:paraId="1D5EC20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3.059</w:t>
            </w:r>
          </w:p>
        </w:tc>
        <w:tc>
          <w:tcPr>
            <w:tcW w:w="1123" w:type="dxa"/>
            <w:tcBorders>
              <w:top w:val="nil"/>
              <w:left w:val="nil"/>
              <w:bottom w:val="nil"/>
              <w:right w:val="nil"/>
            </w:tcBorders>
          </w:tcPr>
          <w:p w14:paraId="57454FF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2.606</w:t>
            </w:r>
          </w:p>
        </w:tc>
        <w:tc>
          <w:tcPr>
            <w:tcW w:w="1263" w:type="dxa"/>
            <w:tcBorders>
              <w:top w:val="nil"/>
              <w:left w:val="nil"/>
              <w:bottom w:val="nil"/>
              <w:right w:val="nil"/>
            </w:tcBorders>
          </w:tcPr>
          <w:p w14:paraId="1918B78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2.928</w:t>
            </w:r>
          </w:p>
        </w:tc>
        <w:tc>
          <w:tcPr>
            <w:tcW w:w="1164" w:type="dxa"/>
            <w:tcBorders>
              <w:top w:val="nil"/>
              <w:left w:val="nil"/>
              <w:bottom w:val="nil"/>
              <w:right w:val="nil"/>
            </w:tcBorders>
          </w:tcPr>
          <w:p w14:paraId="6444995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3.102</w:t>
            </w:r>
          </w:p>
        </w:tc>
      </w:tr>
      <w:tr w:rsidR="00B44672" w:rsidRPr="006B5978" w14:paraId="1FD7C77C" w14:textId="77777777" w:rsidTr="004D2B7C">
        <w:trPr>
          <w:jc w:val="center"/>
        </w:trPr>
        <w:tc>
          <w:tcPr>
            <w:tcW w:w="2554" w:type="dxa"/>
            <w:tcBorders>
              <w:top w:val="nil"/>
              <w:left w:val="nil"/>
              <w:bottom w:val="nil"/>
              <w:right w:val="nil"/>
            </w:tcBorders>
          </w:tcPr>
          <w:p w14:paraId="7A5D8309"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134" w:type="dxa"/>
            <w:tcBorders>
              <w:top w:val="nil"/>
              <w:left w:val="nil"/>
              <w:bottom w:val="nil"/>
              <w:right w:val="nil"/>
            </w:tcBorders>
          </w:tcPr>
          <w:p w14:paraId="7078DFE9"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276" w:type="dxa"/>
            <w:tcBorders>
              <w:top w:val="nil"/>
              <w:left w:val="nil"/>
              <w:bottom w:val="nil"/>
              <w:right w:val="nil"/>
            </w:tcBorders>
          </w:tcPr>
          <w:p w14:paraId="6832E05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0.080]*</w:t>
            </w:r>
            <w:proofErr w:type="gramEnd"/>
            <w:r w:rsidRPr="006B5978">
              <w:rPr>
                <w:rFonts w:cstheme="minorHAnsi"/>
                <w:sz w:val="22"/>
              </w:rPr>
              <w:t>*</w:t>
            </w:r>
          </w:p>
        </w:tc>
        <w:tc>
          <w:tcPr>
            <w:tcW w:w="1134" w:type="dxa"/>
            <w:tcBorders>
              <w:top w:val="nil"/>
              <w:left w:val="nil"/>
              <w:bottom w:val="nil"/>
              <w:right w:val="nil"/>
            </w:tcBorders>
          </w:tcPr>
          <w:p w14:paraId="02D606D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0.108]*</w:t>
            </w:r>
            <w:proofErr w:type="gramEnd"/>
            <w:r w:rsidRPr="006B5978">
              <w:rPr>
                <w:rFonts w:cstheme="minorHAnsi"/>
                <w:sz w:val="22"/>
              </w:rPr>
              <w:t>*</w:t>
            </w:r>
          </w:p>
        </w:tc>
        <w:tc>
          <w:tcPr>
            <w:tcW w:w="1123" w:type="dxa"/>
            <w:tcBorders>
              <w:top w:val="nil"/>
              <w:left w:val="nil"/>
              <w:bottom w:val="nil"/>
              <w:right w:val="nil"/>
            </w:tcBorders>
          </w:tcPr>
          <w:p w14:paraId="67D1ECC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0.081]*</w:t>
            </w:r>
            <w:proofErr w:type="gramEnd"/>
            <w:r w:rsidRPr="006B5978">
              <w:rPr>
                <w:rFonts w:cstheme="minorHAnsi"/>
                <w:sz w:val="22"/>
              </w:rPr>
              <w:t>*</w:t>
            </w:r>
          </w:p>
        </w:tc>
        <w:tc>
          <w:tcPr>
            <w:tcW w:w="1263" w:type="dxa"/>
            <w:tcBorders>
              <w:top w:val="nil"/>
              <w:left w:val="nil"/>
              <w:bottom w:val="nil"/>
              <w:right w:val="nil"/>
            </w:tcBorders>
          </w:tcPr>
          <w:p w14:paraId="7B766E3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0.080]*</w:t>
            </w:r>
            <w:proofErr w:type="gramEnd"/>
            <w:r w:rsidRPr="006B5978">
              <w:rPr>
                <w:rFonts w:cstheme="minorHAnsi"/>
                <w:sz w:val="22"/>
              </w:rPr>
              <w:t>*</w:t>
            </w:r>
          </w:p>
        </w:tc>
        <w:tc>
          <w:tcPr>
            <w:tcW w:w="1164" w:type="dxa"/>
            <w:tcBorders>
              <w:top w:val="nil"/>
              <w:left w:val="nil"/>
              <w:bottom w:val="nil"/>
              <w:right w:val="nil"/>
            </w:tcBorders>
          </w:tcPr>
          <w:p w14:paraId="096FC4A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0.080]*</w:t>
            </w:r>
            <w:proofErr w:type="gramEnd"/>
            <w:r w:rsidRPr="006B5978">
              <w:rPr>
                <w:rFonts w:cstheme="minorHAnsi"/>
                <w:sz w:val="22"/>
              </w:rPr>
              <w:t>*</w:t>
            </w:r>
          </w:p>
        </w:tc>
      </w:tr>
      <w:tr w:rsidR="00B44672" w:rsidRPr="006B5978" w14:paraId="2CF165CC" w14:textId="77777777" w:rsidTr="004D2B7C">
        <w:trPr>
          <w:jc w:val="center"/>
        </w:trPr>
        <w:tc>
          <w:tcPr>
            <w:tcW w:w="2554" w:type="dxa"/>
            <w:tcBorders>
              <w:top w:val="nil"/>
              <w:left w:val="nil"/>
              <w:bottom w:val="nil"/>
              <w:right w:val="nil"/>
            </w:tcBorders>
          </w:tcPr>
          <w:p w14:paraId="340C95D9"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Population)</w:t>
            </w:r>
          </w:p>
        </w:tc>
        <w:tc>
          <w:tcPr>
            <w:tcW w:w="1134" w:type="dxa"/>
            <w:tcBorders>
              <w:top w:val="nil"/>
              <w:left w:val="nil"/>
              <w:bottom w:val="nil"/>
              <w:right w:val="nil"/>
            </w:tcBorders>
          </w:tcPr>
          <w:p w14:paraId="61DD6957"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276" w:type="dxa"/>
            <w:tcBorders>
              <w:top w:val="nil"/>
              <w:left w:val="nil"/>
              <w:bottom w:val="nil"/>
              <w:right w:val="nil"/>
            </w:tcBorders>
          </w:tcPr>
          <w:p w14:paraId="061F21B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3.115</w:t>
            </w:r>
          </w:p>
        </w:tc>
        <w:tc>
          <w:tcPr>
            <w:tcW w:w="1134" w:type="dxa"/>
            <w:tcBorders>
              <w:top w:val="nil"/>
              <w:left w:val="nil"/>
              <w:bottom w:val="nil"/>
              <w:right w:val="nil"/>
            </w:tcBorders>
          </w:tcPr>
          <w:p w14:paraId="735C838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3.945</w:t>
            </w:r>
          </w:p>
        </w:tc>
        <w:tc>
          <w:tcPr>
            <w:tcW w:w="1123" w:type="dxa"/>
            <w:tcBorders>
              <w:top w:val="nil"/>
              <w:left w:val="nil"/>
              <w:bottom w:val="nil"/>
              <w:right w:val="nil"/>
            </w:tcBorders>
          </w:tcPr>
          <w:p w14:paraId="3F2DBD8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1.022</w:t>
            </w:r>
          </w:p>
        </w:tc>
        <w:tc>
          <w:tcPr>
            <w:tcW w:w="1263" w:type="dxa"/>
            <w:tcBorders>
              <w:top w:val="nil"/>
              <w:left w:val="nil"/>
              <w:bottom w:val="nil"/>
              <w:right w:val="nil"/>
            </w:tcBorders>
          </w:tcPr>
          <w:p w14:paraId="58CD0A4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2.878</w:t>
            </w:r>
          </w:p>
        </w:tc>
        <w:tc>
          <w:tcPr>
            <w:tcW w:w="1164" w:type="dxa"/>
            <w:tcBorders>
              <w:top w:val="nil"/>
              <w:left w:val="nil"/>
              <w:bottom w:val="nil"/>
              <w:right w:val="nil"/>
            </w:tcBorders>
          </w:tcPr>
          <w:p w14:paraId="4D1154D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3.129</w:t>
            </w:r>
          </w:p>
        </w:tc>
      </w:tr>
      <w:tr w:rsidR="00B44672" w:rsidRPr="006B5978" w14:paraId="1DA154F3" w14:textId="77777777" w:rsidTr="004D2B7C">
        <w:trPr>
          <w:jc w:val="center"/>
        </w:trPr>
        <w:tc>
          <w:tcPr>
            <w:tcW w:w="2554" w:type="dxa"/>
            <w:tcBorders>
              <w:top w:val="nil"/>
              <w:left w:val="nil"/>
              <w:bottom w:val="nil"/>
              <w:right w:val="nil"/>
            </w:tcBorders>
          </w:tcPr>
          <w:p w14:paraId="43DB0FD6"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134" w:type="dxa"/>
            <w:tcBorders>
              <w:top w:val="nil"/>
              <w:left w:val="nil"/>
              <w:bottom w:val="nil"/>
              <w:right w:val="nil"/>
            </w:tcBorders>
          </w:tcPr>
          <w:p w14:paraId="45FB5E95"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276" w:type="dxa"/>
            <w:tcBorders>
              <w:top w:val="nil"/>
              <w:left w:val="nil"/>
              <w:bottom w:val="nil"/>
              <w:right w:val="nil"/>
            </w:tcBorders>
          </w:tcPr>
          <w:p w14:paraId="57684BC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0.129]*</w:t>
            </w:r>
            <w:proofErr w:type="gramEnd"/>
            <w:r w:rsidRPr="006B5978">
              <w:rPr>
                <w:rFonts w:cstheme="minorHAnsi"/>
                <w:sz w:val="22"/>
              </w:rPr>
              <w:t>*</w:t>
            </w:r>
          </w:p>
        </w:tc>
        <w:tc>
          <w:tcPr>
            <w:tcW w:w="1134" w:type="dxa"/>
            <w:tcBorders>
              <w:top w:val="nil"/>
              <w:left w:val="nil"/>
              <w:bottom w:val="nil"/>
              <w:right w:val="nil"/>
            </w:tcBorders>
          </w:tcPr>
          <w:p w14:paraId="5730D0D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0.185]*</w:t>
            </w:r>
            <w:proofErr w:type="gramEnd"/>
            <w:r w:rsidRPr="006B5978">
              <w:rPr>
                <w:rFonts w:cstheme="minorHAnsi"/>
                <w:sz w:val="22"/>
              </w:rPr>
              <w:t>*</w:t>
            </w:r>
          </w:p>
        </w:tc>
        <w:tc>
          <w:tcPr>
            <w:tcW w:w="1123" w:type="dxa"/>
            <w:tcBorders>
              <w:top w:val="nil"/>
              <w:left w:val="nil"/>
              <w:bottom w:val="nil"/>
              <w:right w:val="nil"/>
            </w:tcBorders>
          </w:tcPr>
          <w:p w14:paraId="06C97C8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0.174]*</w:t>
            </w:r>
            <w:proofErr w:type="gramEnd"/>
            <w:r w:rsidRPr="006B5978">
              <w:rPr>
                <w:rFonts w:cstheme="minorHAnsi"/>
                <w:sz w:val="22"/>
              </w:rPr>
              <w:t>*</w:t>
            </w:r>
          </w:p>
        </w:tc>
        <w:tc>
          <w:tcPr>
            <w:tcW w:w="1263" w:type="dxa"/>
            <w:tcBorders>
              <w:top w:val="nil"/>
              <w:left w:val="nil"/>
              <w:bottom w:val="nil"/>
              <w:right w:val="nil"/>
            </w:tcBorders>
          </w:tcPr>
          <w:p w14:paraId="7ABA795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0.140]*</w:t>
            </w:r>
            <w:proofErr w:type="gramEnd"/>
            <w:r w:rsidRPr="006B5978">
              <w:rPr>
                <w:rFonts w:cstheme="minorHAnsi"/>
                <w:sz w:val="22"/>
              </w:rPr>
              <w:t>*</w:t>
            </w:r>
          </w:p>
        </w:tc>
        <w:tc>
          <w:tcPr>
            <w:tcW w:w="1164" w:type="dxa"/>
            <w:tcBorders>
              <w:top w:val="nil"/>
              <w:left w:val="nil"/>
              <w:bottom w:val="nil"/>
              <w:right w:val="nil"/>
            </w:tcBorders>
          </w:tcPr>
          <w:p w14:paraId="5ECDF0F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0.128]*</w:t>
            </w:r>
            <w:proofErr w:type="gramEnd"/>
            <w:r w:rsidRPr="006B5978">
              <w:rPr>
                <w:rFonts w:cstheme="minorHAnsi"/>
                <w:sz w:val="22"/>
              </w:rPr>
              <w:t>*</w:t>
            </w:r>
          </w:p>
        </w:tc>
      </w:tr>
      <w:tr w:rsidR="00B44672" w:rsidRPr="006B5978" w14:paraId="3406AF65" w14:textId="77777777" w:rsidTr="004D2B7C">
        <w:trPr>
          <w:jc w:val="center"/>
        </w:trPr>
        <w:tc>
          <w:tcPr>
            <w:tcW w:w="2554" w:type="dxa"/>
            <w:tcBorders>
              <w:top w:val="nil"/>
              <w:left w:val="nil"/>
              <w:bottom w:val="nil"/>
              <w:right w:val="nil"/>
            </w:tcBorders>
          </w:tcPr>
          <w:p w14:paraId="5144AA5E"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Time &amp; Suburb FE</w:t>
            </w:r>
          </w:p>
        </w:tc>
        <w:tc>
          <w:tcPr>
            <w:tcW w:w="1134" w:type="dxa"/>
            <w:tcBorders>
              <w:top w:val="nil"/>
              <w:left w:val="nil"/>
              <w:bottom w:val="nil"/>
              <w:right w:val="nil"/>
            </w:tcBorders>
          </w:tcPr>
          <w:p w14:paraId="5248CBE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276" w:type="dxa"/>
            <w:tcBorders>
              <w:top w:val="nil"/>
              <w:left w:val="nil"/>
              <w:bottom w:val="nil"/>
              <w:right w:val="nil"/>
            </w:tcBorders>
          </w:tcPr>
          <w:p w14:paraId="4DC39BD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134" w:type="dxa"/>
            <w:tcBorders>
              <w:top w:val="nil"/>
              <w:left w:val="nil"/>
              <w:bottom w:val="nil"/>
              <w:right w:val="nil"/>
            </w:tcBorders>
          </w:tcPr>
          <w:p w14:paraId="643E33B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123" w:type="dxa"/>
            <w:tcBorders>
              <w:top w:val="nil"/>
              <w:left w:val="nil"/>
              <w:bottom w:val="nil"/>
              <w:right w:val="nil"/>
            </w:tcBorders>
          </w:tcPr>
          <w:p w14:paraId="4151C3B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263" w:type="dxa"/>
            <w:tcBorders>
              <w:top w:val="nil"/>
              <w:left w:val="nil"/>
              <w:bottom w:val="nil"/>
              <w:right w:val="nil"/>
            </w:tcBorders>
          </w:tcPr>
          <w:p w14:paraId="78CD7EE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164" w:type="dxa"/>
            <w:tcBorders>
              <w:top w:val="nil"/>
              <w:left w:val="nil"/>
              <w:bottom w:val="nil"/>
              <w:right w:val="nil"/>
            </w:tcBorders>
          </w:tcPr>
          <w:p w14:paraId="7E8AF5D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r>
      <w:tr w:rsidR="00B44672" w:rsidRPr="006B5978" w14:paraId="422A3297" w14:textId="77777777" w:rsidTr="004D2B7C">
        <w:trPr>
          <w:jc w:val="center"/>
        </w:trPr>
        <w:tc>
          <w:tcPr>
            <w:tcW w:w="2554" w:type="dxa"/>
            <w:tcBorders>
              <w:top w:val="nil"/>
              <w:left w:val="nil"/>
              <w:bottom w:val="nil"/>
              <w:right w:val="nil"/>
            </w:tcBorders>
          </w:tcPr>
          <w:p w14:paraId="7F8391A0"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Observations</w:t>
            </w:r>
          </w:p>
        </w:tc>
        <w:tc>
          <w:tcPr>
            <w:tcW w:w="1134" w:type="dxa"/>
            <w:tcBorders>
              <w:top w:val="nil"/>
              <w:left w:val="nil"/>
              <w:bottom w:val="nil"/>
              <w:right w:val="nil"/>
            </w:tcBorders>
          </w:tcPr>
          <w:p w14:paraId="7576A27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543,443</w:t>
            </w:r>
          </w:p>
        </w:tc>
        <w:tc>
          <w:tcPr>
            <w:tcW w:w="1276" w:type="dxa"/>
            <w:tcBorders>
              <w:top w:val="nil"/>
              <w:left w:val="nil"/>
              <w:bottom w:val="nil"/>
              <w:right w:val="nil"/>
            </w:tcBorders>
          </w:tcPr>
          <w:p w14:paraId="63433BB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515,524</w:t>
            </w:r>
          </w:p>
        </w:tc>
        <w:tc>
          <w:tcPr>
            <w:tcW w:w="1134" w:type="dxa"/>
            <w:tcBorders>
              <w:top w:val="nil"/>
              <w:left w:val="nil"/>
              <w:bottom w:val="nil"/>
              <w:right w:val="nil"/>
            </w:tcBorders>
          </w:tcPr>
          <w:p w14:paraId="2557CEC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234,695</w:t>
            </w:r>
          </w:p>
        </w:tc>
        <w:tc>
          <w:tcPr>
            <w:tcW w:w="1123" w:type="dxa"/>
            <w:tcBorders>
              <w:top w:val="nil"/>
              <w:left w:val="nil"/>
              <w:bottom w:val="nil"/>
              <w:right w:val="nil"/>
            </w:tcBorders>
          </w:tcPr>
          <w:p w14:paraId="34A376B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339,387</w:t>
            </w:r>
          </w:p>
        </w:tc>
        <w:tc>
          <w:tcPr>
            <w:tcW w:w="1263" w:type="dxa"/>
            <w:tcBorders>
              <w:top w:val="nil"/>
              <w:left w:val="nil"/>
              <w:bottom w:val="nil"/>
              <w:right w:val="nil"/>
            </w:tcBorders>
          </w:tcPr>
          <w:p w14:paraId="7E0E119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457,063</w:t>
            </w:r>
          </w:p>
        </w:tc>
        <w:tc>
          <w:tcPr>
            <w:tcW w:w="1164" w:type="dxa"/>
            <w:tcBorders>
              <w:top w:val="nil"/>
              <w:left w:val="nil"/>
              <w:bottom w:val="nil"/>
              <w:right w:val="nil"/>
            </w:tcBorders>
          </w:tcPr>
          <w:p w14:paraId="7CC58FC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515,524</w:t>
            </w:r>
          </w:p>
        </w:tc>
      </w:tr>
      <w:tr w:rsidR="00B44672" w:rsidRPr="006B5978" w14:paraId="30ABF714" w14:textId="77777777" w:rsidTr="004D2B7C">
        <w:trPr>
          <w:jc w:val="center"/>
        </w:trPr>
        <w:tc>
          <w:tcPr>
            <w:tcW w:w="2554" w:type="dxa"/>
            <w:tcBorders>
              <w:top w:val="nil"/>
              <w:left w:val="nil"/>
              <w:bottom w:val="nil"/>
              <w:right w:val="nil"/>
            </w:tcBorders>
          </w:tcPr>
          <w:p w14:paraId="67E3AE95"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Number of Suburbs</w:t>
            </w:r>
          </w:p>
        </w:tc>
        <w:tc>
          <w:tcPr>
            <w:tcW w:w="1134" w:type="dxa"/>
            <w:tcBorders>
              <w:top w:val="nil"/>
              <w:left w:val="nil"/>
              <w:bottom w:val="nil"/>
              <w:right w:val="nil"/>
            </w:tcBorders>
          </w:tcPr>
          <w:p w14:paraId="24AD814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10,116</w:t>
            </w:r>
          </w:p>
        </w:tc>
        <w:tc>
          <w:tcPr>
            <w:tcW w:w="1276" w:type="dxa"/>
            <w:tcBorders>
              <w:top w:val="nil"/>
              <w:left w:val="nil"/>
              <w:bottom w:val="nil"/>
              <w:right w:val="nil"/>
            </w:tcBorders>
          </w:tcPr>
          <w:p w14:paraId="2F44E03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10,045</w:t>
            </w:r>
          </w:p>
        </w:tc>
        <w:tc>
          <w:tcPr>
            <w:tcW w:w="1134" w:type="dxa"/>
            <w:tcBorders>
              <w:top w:val="nil"/>
              <w:left w:val="nil"/>
              <w:bottom w:val="nil"/>
              <w:right w:val="nil"/>
            </w:tcBorders>
          </w:tcPr>
          <w:p w14:paraId="0059DDD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2,806</w:t>
            </w:r>
          </w:p>
        </w:tc>
        <w:tc>
          <w:tcPr>
            <w:tcW w:w="1123" w:type="dxa"/>
            <w:tcBorders>
              <w:top w:val="nil"/>
              <w:left w:val="nil"/>
              <w:bottom w:val="nil"/>
              <w:right w:val="nil"/>
            </w:tcBorders>
          </w:tcPr>
          <w:p w14:paraId="12A06EB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9,343</w:t>
            </w:r>
          </w:p>
        </w:tc>
        <w:tc>
          <w:tcPr>
            <w:tcW w:w="1263" w:type="dxa"/>
            <w:tcBorders>
              <w:top w:val="nil"/>
              <w:left w:val="nil"/>
              <w:bottom w:val="nil"/>
              <w:right w:val="nil"/>
            </w:tcBorders>
          </w:tcPr>
          <w:p w14:paraId="2FC4A57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9,848</w:t>
            </w:r>
          </w:p>
        </w:tc>
        <w:tc>
          <w:tcPr>
            <w:tcW w:w="1164" w:type="dxa"/>
            <w:tcBorders>
              <w:top w:val="nil"/>
              <w:left w:val="nil"/>
              <w:bottom w:val="nil"/>
              <w:right w:val="nil"/>
            </w:tcBorders>
          </w:tcPr>
          <w:p w14:paraId="260BE06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10,045</w:t>
            </w:r>
          </w:p>
        </w:tc>
      </w:tr>
      <w:tr w:rsidR="00B44672" w:rsidRPr="006B5978" w14:paraId="4074573C" w14:textId="77777777" w:rsidTr="004D2B7C">
        <w:trPr>
          <w:jc w:val="center"/>
        </w:trPr>
        <w:tc>
          <w:tcPr>
            <w:tcW w:w="2554" w:type="dxa"/>
            <w:tcBorders>
              <w:top w:val="nil"/>
              <w:left w:val="nil"/>
              <w:bottom w:val="nil"/>
              <w:right w:val="nil"/>
            </w:tcBorders>
          </w:tcPr>
          <w:p w14:paraId="50328E2F"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Adj. R-squared</w:t>
            </w:r>
          </w:p>
        </w:tc>
        <w:tc>
          <w:tcPr>
            <w:tcW w:w="1134" w:type="dxa"/>
            <w:tcBorders>
              <w:top w:val="nil"/>
              <w:left w:val="nil"/>
              <w:bottom w:val="nil"/>
              <w:right w:val="nil"/>
            </w:tcBorders>
          </w:tcPr>
          <w:p w14:paraId="3E858BB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0.78</w:t>
            </w:r>
          </w:p>
        </w:tc>
        <w:tc>
          <w:tcPr>
            <w:tcW w:w="1276" w:type="dxa"/>
            <w:tcBorders>
              <w:top w:val="nil"/>
              <w:left w:val="nil"/>
              <w:bottom w:val="nil"/>
              <w:right w:val="nil"/>
            </w:tcBorders>
          </w:tcPr>
          <w:p w14:paraId="244D17B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0.79</w:t>
            </w:r>
          </w:p>
        </w:tc>
        <w:tc>
          <w:tcPr>
            <w:tcW w:w="1134" w:type="dxa"/>
            <w:tcBorders>
              <w:top w:val="nil"/>
              <w:left w:val="nil"/>
              <w:bottom w:val="nil"/>
              <w:right w:val="nil"/>
            </w:tcBorders>
          </w:tcPr>
          <w:p w14:paraId="3C93781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0.74</w:t>
            </w:r>
          </w:p>
        </w:tc>
        <w:tc>
          <w:tcPr>
            <w:tcW w:w="1123" w:type="dxa"/>
            <w:tcBorders>
              <w:top w:val="nil"/>
              <w:left w:val="nil"/>
              <w:bottom w:val="nil"/>
              <w:right w:val="nil"/>
            </w:tcBorders>
          </w:tcPr>
          <w:p w14:paraId="00739F9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0.79</w:t>
            </w:r>
          </w:p>
        </w:tc>
        <w:tc>
          <w:tcPr>
            <w:tcW w:w="1263" w:type="dxa"/>
            <w:tcBorders>
              <w:top w:val="nil"/>
              <w:left w:val="nil"/>
              <w:bottom w:val="nil"/>
              <w:right w:val="nil"/>
            </w:tcBorders>
          </w:tcPr>
          <w:p w14:paraId="6EBE406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0.79</w:t>
            </w:r>
          </w:p>
        </w:tc>
        <w:tc>
          <w:tcPr>
            <w:tcW w:w="1164" w:type="dxa"/>
            <w:tcBorders>
              <w:top w:val="nil"/>
              <w:left w:val="nil"/>
              <w:bottom w:val="nil"/>
              <w:right w:val="nil"/>
            </w:tcBorders>
          </w:tcPr>
          <w:p w14:paraId="13B922A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0.79</w:t>
            </w:r>
          </w:p>
        </w:tc>
      </w:tr>
      <w:tr w:rsidR="00B44672" w:rsidRPr="006B5978" w14:paraId="68054FEE" w14:textId="77777777" w:rsidTr="004D2B7C">
        <w:trPr>
          <w:jc w:val="center"/>
        </w:trPr>
        <w:tc>
          <w:tcPr>
            <w:tcW w:w="2554" w:type="dxa"/>
            <w:tcBorders>
              <w:top w:val="nil"/>
              <w:left w:val="nil"/>
              <w:bottom w:val="single" w:sz="6" w:space="0" w:color="auto"/>
              <w:right w:val="nil"/>
            </w:tcBorders>
          </w:tcPr>
          <w:p w14:paraId="4A437376"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Max in Cor. Matrix</w:t>
            </w:r>
          </w:p>
        </w:tc>
        <w:tc>
          <w:tcPr>
            <w:tcW w:w="1134" w:type="dxa"/>
            <w:tcBorders>
              <w:top w:val="nil"/>
              <w:left w:val="nil"/>
              <w:bottom w:val="single" w:sz="6" w:space="0" w:color="auto"/>
              <w:right w:val="nil"/>
            </w:tcBorders>
          </w:tcPr>
          <w:p w14:paraId="18B1477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0.64</w:t>
            </w:r>
          </w:p>
        </w:tc>
        <w:tc>
          <w:tcPr>
            <w:tcW w:w="1276" w:type="dxa"/>
            <w:tcBorders>
              <w:top w:val="nil"/>
              <w:left w:val="nil"/>
              <w:bottom w:val="single" w:sz="6" w:space="0" w:color="auto"/>
              <w:right w:val="nil"/>
            </w:tcBorders>
          </w:tcPr>
          <w:p w14:paraId="640F72A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0.63</w:t>
            </w:r>
          </w:p>
        </w:tc>
        <w:tc>
          <w:tcPr>
            <w:tcW w:w="1134" w:type="dxa"/>
            <w:tcBorders>
              <w:top w:val="nil"/>
              <w:left w:val="nil"/>
              <w:bottom w:val="single" w:sz="6" w:space="0" w:color="auto"/>
              <w:right w:val="nil"/>
            </w:tcBorders>
          </w:tcPr>
          <w:p w14:paraId="3FAE430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0.63</w:t>
            </w:r>
          </w:p>
        </w:tc>
        <w:tc>
          <w:tcPr>
            <w:tcW w:w="1123" w:type="dxa"/>
            <w:tcBorders>
              <w:top w:val="nil"/>
              <w:left w:val="nil"/>
              <w:bottom w:val="single" w:sz="6" w:space="0" w:color="auto"/>
              <w:right w:val="nil"/>
            </w:tcBorders>
          </w:tcPr>
          <w:p w14:paraId="1B4DBBD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0.41</w:t>
            </w:r>
          </w:p>
        </w:tc>
        <w:tc>
          <w:tcPr>
            <w:tcW w:w="1263" w:type="dxa"/>
            <w:tcBorders>
              <w:top w:val="nil"/>
              <w:left w:val="nil"/>
              <w:bottom w:val="single" w:sz="6" w:space="0" w:color="auto"/>
              <w:right w:val="nil"/>
            </w:tcBorders>
          </w:tcPr>
          <w:p w14:paraId="102BA9E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0.26</w:t>
            </w:r>
          </w:p>
        </w:tc>
        <w:tc>
          <w:tcPr>
            <w:tcW w:w="1164" w:type="dxa"/>
            <w:tcBorders>
              <w:top w:val="nil"/>
              <w:left w:val="nil"/>
              <w:bottom w:val="single" w:sz="6" w:space="0" w:color="auto"/>
              <w:right w:val="nil"/>
            </w:tcBorders>
          </w:tcPr>
          <w:p w14:paraId="7620EBD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0.25</w:t>
            </w:r>
          </w:p>
        </w:tc>
      </w:tr>
    </w:tbl>
    <w:p w14:paraId="2ED844CA" w14:textId="77777777" w:rsidR="00B44672" w:rsidRPr="006B5978" w:rsidRDefault="00B44672" w:rsidP="00FE09A5">
      <w:pPr>
        <w:widowControl w:val="0"/>
        <w:autoSpaceDE w:val="0"/>
        <w:autoSpaceDN w:val="0"/>
        <w:adjustRightInd w:val="0"/>
        <w:spacing w:before="79" w:after="79"/>
        <w:jc w:val="center"/>
        <w:rPr>
          <w:rFonts w:cstheme="minorHAnsi"/>
          <w:sz w:val="22"/>
        </w:rPr>
      </w:pPr>
      <w:r w:rsidRPr="006B5978">
        <w:rPr>
          <w:rFonts w:cstheme="minorHAnsi"/>
          <w:sz w:val="22"/>
        </w:rPr>
        <w:t xml:space="preserve">* </w:t>
      </w:r>
      <w:r w:rsidRPr="006B5978">
        <w:rPr>
          <w:rFonts w:cstheme="minorHAnsi"/>
          <w:i/>
          <w:iCs/>
          <w:sz w:val="22"/>
        </w:rPr>
        <w:t>p</w:t>
      </w:r>
      <w:r w:rsidRPr="006B5978">
        <w:rPr>
          <w:rFonts w:cstheme="minorHAnsi"/>
          <w:sz w:val="22"/>
        </w:rPr>
        <w:t xml:space="preserve">&lt;0.05; ** </w:t>
      </w:r>
      <w:r w:rsidRPr="006B5978">
        <w:rPr>
          <w:rFonts w:cstheme="minorHAnsi"/>
          <w:i/>
          <w:iCs/>
          <w:sz w:val="22"/>
        </w:rPr>
        <w:t>p</w:t>
      </w:r>
      <w:r w:rsidRPr="006B5978">
        <w:rPr>
          <w:rFonts w:cstheme="minorHAnsi"/>
          <w:sz w:val="22"/>
        </w:rPr>
        <w:t>&lt;0.01</w:t>
      </w:r>
    </w:p>
    <w:p w14:paraId="39D3BF5E" w14:textId="77777777" w:rsidR="00B44672" w:rsidRPr="006B5978" w:rsidRDefault="00B44672" w:rsidP="0029189E">
      <w:pPr>
        <w:rPr>
          <w:rFonts w:cstheme="minorHAnsi"/>
          <w:sz w:val="22"/>
        </w:rPr>
      </w:pPr>
    </w:p>
    <w:p w14:paraId="0B6145A7" w14:textId="37D8D9B4" w:rsidR="00B44672" w:rsidRPr="00712B72" w:rsidRDefault="00B44672" w:rsidP="00712B72">
      <w:pPr>
        <w:pStyle w:val="Caption"/>
        <w:rPr>
          <w:rFonts w:ascii="Times New Roman" w:hAnsi="Times New Roman" w:cs="Times New Roman"/>
          <w:b/>
          <w:bCs/>
          <w:i w:val="0"/>
          <w:iCs/>
          <w:color w:val="365F91" w:themeColor="accent1" w:themeShade="BF"/>
        </w:rPr>
      </w:pPr>
      <w:bookmarkStart w:id="149" w:name="_Toc33121089"/>
      <w:r w:rsidRPr="00712B72">
        <w:rPr>
          <w:b/>
          <w:bCs/>
          <w:color w:val="365F91" w:themeColor="accent1" w:themeShade="BF"/>
        </w:rPr>
        <w:t xml:space="preserve">Table </w:t>
      </w:r>
      <w:r w:rsidRPr="00712B72">
        <w:rPr>
          <w:b/>
          <w:bCs/>
          <w:i w:val="0"/>
          <w:iCs/>
          <w:color w:val="365F91" w:themeColor="accent1" w:themeShade="BF"/>
        </w:rPr>
        <w:fldChar w:fldCharType="begin"/>
      </w:r>
      <w:r w:rsidRPr="00712B72">
        <w:rPr>
          <w:b/>
          <w:bCs/>
          <w:color w:val="365F91" w:themeColor="accent1" w:themeShade="BF"/>
        </w:rPr>
        <w:instrText xml:space="preserve"> SEQ Table \* ARABIC </w:instrText>
      </w:r>
      <w:r w:rsidRPr="00712B72">
        <w:rPr>
          <w:b/>
          <w:bCs/>
          <w:i w:val="0"/>
          <w:iCs/>
          <w:color w:val="365F91" w:themeColor="accent1" w:themeShade="BF"/>
        </w:rPr>
        <w:fldChar w:fldCharType="separate"/>
      </w:r>
      <w:r w:rsidR="00A763B6">
        <w:rPr>
          <w:b/>
          <w:bCs/>
          <w:noProof/>
          <w:color w:val="365F91" w:themeColor="accent1" w:themeShade="BF"/>
        </w:rPr>
        <w:t>27</w:t>
      </w:r>
      <w:r w:rsidRPr="00712B72">
        <w:rPr>
          <w:b/>
          <w:bCs/>
          <w:i w:val="0"/>
          <w:iCs/>
          <w:color w:val="365F91" w:themeColor="accent1" w:themeShade="BF"/>
        </w:rPr>
        <w:fldChar w:fldCharType="end"/>
      </w:r>
      <w:r>
        <w:rPr>
          <w:b/>
          <w:bCs/>
          <w:color w:val="365F91" w:themeColor="accent1" w:themeShade="BF"/>
        </w:rPr>
        <w:t xml:space="preserve"> (from main report) -</w:t>
      </w:r>
      <w:r w:rsidRPr="00712B72">
        <w:rPr>
          <w:b/>
          <w:bCs/>
          <w:color w:val="365F91" w:themeColor="accent1" w:themeShade="BF"/>
        </w:rPr>
        <w:t xml:space="preserve"> Trend in the effect of the tax reform on the unit market - estimations in logs</w:t>
      </w:r>
      <w:bookmarkEnd w:id="149"/>
    </w:p>
    <w:tbl>
      <w:tblPr>
        <w:tblW w:w="0" w:type="auto"/>
        <w:jc w:val="center"/>
        <w:tblCellMar>
          <w:left w:w="144" w:type="dxa"/>
          <w:right w:w="144" w:type="dxa"/>
        </w:tblCellMar>
        <w:tblLook w:val="0000" w:firstRow="0" w:lastRow="0" w:firstColumn="0" w:lastColumn="0" w:noHBand="0" w:noVBand="0"/>
      </w:tblPr>
      <w:tblGrid>
        <w:gridCol w:w="2162"/>
        <w:gridCol w:w="1144"/>
        <w:gridCol w:w="1144"/>
        <w:gridCol w:w="1144"/>
        <w:gridCol w:w="1144"/>
        <w:gridCol w:w="1144"/>
        <w:gridCol w:w="1144"/>
      </w:tblGrid>
      <w:tr w:rsidR="00B44672" w:rsidRPr="006B5978" w14:paraId="40A2A587" w14:textId="77777777" w:rsidTr="004D2B7C">
        <w:trPr>
          <w:jc w:val="center"/>
        </w:trPr>
        <w:tc>
          <w:tcPr>
            <w:tcW w:w="2487" w:type="dxa"/>
            <w:tcBorders>
              <w:top w:val="single" w:sz="6" w:space="0" w:color="auto"/>
              <w:left w:val="nil"/>
              <w:bottom w:val="nil"/>
              <w:right w:val="nil"/>
            </w:tcBorders>
          </w:tcPr>
          <w:p w14:paraId="2DB9DC9A" w14:textId="77777777" w:rsidR="00B44672" w:rsidRPr="006B5978" w:rsidRDefault="00B44672" w:rsidP="004D2B7C">
            <w:pPr>
              <w:widowControl w:val="0"/>
              <w:autoSpaceDE w:val="0"/>
              <w:autoSpaceDN w:val="0"/>
              <w:adjustRightInd w:val="0"/>
              <w:spacing w:before="79" w:after="0"/>
              <w:rPr>
                <w:rFonts w:cstheme="minorHAnsi"/>
                <w:sz w:val="22"/>
              </w:rPr>
            </w:pPr>
            <w:proofErr w:type="gramStart"/>
            <w:r w:rsidRPr="006B5978">
              <w:rPr>
                <w:rFonts w:cstheme="minorHAnsi"/>
                <w:sz w:val="22"/>
              </w:rPr>
              <w:t>Log(</w:t>
            </w:r>
            <w:proofErr w:type="gramEnd"/>
            <w:r w:rsidRPr="006B5978">
              <w:rPr>
                <w:rFonts w:cstheme="minorHAnsi"/>
                <w:sz w:val="22"/>
              </w:rPr>
              <w:t>Sales Volume)</w:t>
            </w:r>
          </w:p>
        </w:tc>
        <w:tc>
          <w:tcPr>
            <w:tcW w:w="547" w:type="dxa"/>
            <w:tcBorders>
              <w:top w:val="single" w:sz="6" w:space="0" w:color="auto"/>
              <w:left w:val="nil"/>
              <w:bottom w:val="nil"/>
              <w:right w:val="nil"/>
            </w:tcBorders>
          </w:tcPr>
          <w:p w14:paraId="4E50DDFB"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(1)</w:t>
            </w:r>
          </w:p>
        </w:tc>
        <w:tc>
          <w:tcPr>
            <w:tcW w:w="1137" w:type="dxa"/>
            <w:tcBorders>
              <w:top w:val="single" w:sz="6" w:space="0" w:color="auto"/>
              <w:left w:val="nil"/>
              <w:bottom w:val="nil"/>
              <w:right w:val="nil"/>
            </w:tcBorders>
          </w:tcPr>
          <w:p w14:paraId="0F60BE74"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(2)</w:t>
            </w:r>
          </w:p>
        </w:tc>
        <w:tc>
          <w:tcPr>
            <w:tcW w:w="1109" w:type="dxa"/>
            <w:tcBorders>
              <w:top w:val="single" w:sz="6" w:space="0" w:color="auto"/>
              <w:left w:val="nil"/>
              <w:bottom w:val="nil"/>
              <w:right w:val="nil"/>
            </w:tcBorders>
          </w:tcPr>
          <w:p w14:paraId="0D771A92"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(3)</w:t>
            </w:r>
          </w:p>
        </w:tc>
        <w:tc>
          <w:tcPr>
            <w:tcW w:w="1095" w:type="dxa"/>
            <w:tcBorders>
              <w:top w:val="single" w:sz="6" w:space="0" w:color="auto"/>
              <w:left w:val="nil"/>
              <w:bottom w:val="nil"/>
              <w:right w:val="nil"/>
            </w:tcBorders>
          </w:tcPr>
          <w:p w14:paraId="2D430FE2"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(4)</w:t>
            </w:r>
          </w:p>
        </w:tc>
        <w:tc>
          <w:tcPr>
            <w:tcW w:w="1095" w:type="dxa"/>
            <w:tcBorders>
              <w:top w:val="single" w:sz="6" w:space="0" w:color="auto"/>
              <w:left w:val="nil"/>
              <w:bottom w:val="nil"/>
              <w:right w:val="nil"/>
            </w:tcBorders>
          </w:tcPr>
          <w:p w14:paraId="00C51777"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(5)</w:t>
            </w:r>
          </w:p>
        </w:tc>
        <w:tc>
          <w:tcPr>
            <w:tcW w:w="1083" w:type="dxa"/>
            <w:tcBorders>
              <w:top w:val="single" w:sz="6" w:space="0" w:color="auto"/>
              <w:left w:val="nil"/>
              <w:bottom w:val="nil"/>
              <w:right w:val="nil"/>
            </w:tcBorders>
          </w:tcPr>
          <w:p w14:paraId="2421D2D9"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(6)</w:t>
            </w:r>
          </w:p>
        </w:tc>
      </w:tr>
      <w:tr w:rsidR="00B44672" w:rsidRPr="006B5978" w14:paraId="4F9214B5" w14:textId="77777777" w:rsidTr="004D2B7C">
        <w:trPr>
          <w:jc w:val="center"/>
        </w:trPr>
        <w:tc>
          <w:tcPr>
            <w:tcW w:w="2487" w:type="dxa"/>
            <w:tcBorders>
              <w:top w:val="nil"/>
              <w:left w:val="nil"/>
              <w:bottom w:val="nil"/>
              <w:right w:val="nil"/>
            </w:tcBorders>
          </w:tcPr>
          <w:p w14:paraId="3AB4F117" w14:textId="77777777" w:rsidR="00B44672" w:rsidRPr="006B5978" w:rsidRDefault="00B44672" w:rsidP="004D2B7C">
            <w:pPr>
              <w:widowControl w:val="0"/>
              <w:autoSpaceDE w:val="0"/>
              <w:autoSpaceDN w:val="0"/>
              <w:adjustRightInd w:val="0"/>
              <w:spacing w:after="79"/>
              <w:rPr>
                <w:rFonts w:cstheme="minorHAnsi"/>
                <w:sz w:val="22"/>
              </w:rPr>
            </w:pPr>
          </w:p>
        </w:tc>
        <w:tc>
          <w:tcPr>
            <w:tcW w:w="547" w:type="dxa"/>
            <w:tcBorders>
              <w:top w:val="nil"/>
              <w:left w:val="nil"/>
              <w:bottom w:val="nil"/>
              <w:right w:val="nil"/>
            </w:tcBorders>
          </w:tcPr>
          <w:p w14:paraId="4A91D4A0"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Reform Trend</w:t>
            </w:r>
          </w:p>
        </w:tc>
        <w:tc>
          <w:tcPr>
            <w:tcW w:w="1137" w:type="dxa"/>
            <w:tcBorders>
              <w:top w:val="nil"/>
              <w:left w:val="nil"/>
              <w:bottom w:val="nil"/>
              <w:right w:val="nil"/>
            </w:tcBorders>
          </w:tcPr>
          <w:p w14:paraId="5796CCB9"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Trend &amp; Controls</w:t>
            </w:r>
          </w:p>
        </w:tc>
        <w:tc>
          <w:tcPr>
            <w:tcW w:w="1109" w:type="dxa"/>
            <w:tcBorders>
              <w:top w:val="nil"/>
              <w:left w:val="nil"/>
              <w:bottom w:val="nil"/>
              <w:right w:val="nil"/>
            </w:tcBorders>
          </w:tcPr>
          <w:p w14:paraId="4F38C3CD"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Trend &amp; Capital Cities</w:t>
            </w:r>
          </w:p>
        </w:tc>
        <w:tc>
          <w:tcPr>
            <w:tcW w:w="1095" w:type="dxa"/>
            <w:tcBorders>
              <w:top w:val="nil"/>
              <w:left w:val="nil"/>
              <w:bottom w:val="nil"/>
              <w:right w:val="nil"/>
            </w:tcBorders>
          </w:tcPr>
          <w:p w14:paraId="4FBC6D35"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Sample till 2015</w:t>
            </w:r>
          </w:p>
        </w:tc>
        <w:tc>
          <w:tcPr>
            <w:tcW w:w="1095" w:type="dxa"/>
            <w:tcBorders>
              <w:top w:val="nil"/>
              <w:left w:val="nil"/>
              <w:bottom w:val="nil"/>
              <w:right w:val="nil"/>
            </w:tcBorders>
          </w:tcPr>
          <w:p w14:paraId="0AB66D03"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Sample till 2017</w:t>
            </w:r>
          </w:p>
        </w:tc>
        <w:tc>
          <w:tcPr>
            <w:tcW w:w="1083" w:type="dxa"/>
            <w:tcBorders>
              <w:top w:val="nil"/>
              <w:left w:val="nil"/>
              <w:bottom w:val="nil"/>
              <w:right w:val="nil"/>
            </w:tcBorders>
          </w:tcPr>
          <w:p w14:paraId="1380CF01"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r>
      <w:tr w:rsidR="00B44672" w:rsidRPr="006B5978" w14:paraId="19A8C9AF" w14:textId="77777777" w:rsidTr="004D2B7C">
        <w:trPr>
          <w:jc w:val="center"/>
        </w:trPr>
        <w:tc>
          <w:tcPr>
            <w:tcW w:w="2487" w:type="dxa"/>
            <w:tcBorders>
              <w:top w:val="single" w:sz="6" w:space="0" w:color="auto"/>
              <w:left w:val="nil"/>
              <w:bottom w:val="nil"/>
              <w:right w:val="nil"/>
            </w:tcBorders>
          </w:tcPr>
          <w:p w14:paraId="32313833"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Reform Dummy</w:t>
            </w:r>
          </w:p>
        </w:tc>
        <w:tc>
          <w:tcPr>
            <w:tcW w:w="547" w:type="dxa"/>
            <w:tcBorders>
              <w:top w:val="single" w:sz="6" w:space="0" w:color="auto"/>
              <w:left w:val="nil"/>
              <w:bottom w:val="nil"/>
              <w:right w:val="nil"/>
            </w:tcBorders>
          </w:tcPr>
          <w:p w14:paraId="2545CB3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-0.333</w:t>
            </w:r>
          </w:p>
        </w:tc>
        <w:tc>
          <w:tcPr>
            <w:tcW w:w="1137" w:type="dxa"/>
            <w:tcBorders>
              <w:top w:val="single" w:sz="6" w:space="0" w:color="auto"/>
              <w:left w:val="nil"/>
              <w:bottom w:val="nil"/>
              <w:right w:val="nil"/>
            </w:tcBorders>
          </w:tcPr>
          <w:p w14:paraId="0191591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-0.174</w:t>
            </w:r>
          </w:p>
        </w:tc>
        <w:tc>
          <w:tcPr>
            <w:tcW w:w="1109" w:type="dxa"/>
            <w:tcBorders>
              <w:top w:val="single" w:sz="6" w:space="0" w:color="auto"/>
              <w:left w:val="nil"/>
              <w:bottom w:val="nil"/>
              <w:right w:val="nil"/>
            </w:tcBorders>
          </w:tcPr>
          <w:p w14:paraId="4013A0F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-0.245</w:t>
            </w:r>
          </w:p>
        </w:tc>
        <w:tc>
          <w:tcPr>
            <w:tcW w:w="1095" w:type="dxa"/>
            <w:tcBorders>
              <w:top w:val="single" w:sz="6" w:space="0" w:color="auto"/>
              <w:left w:val="nil"/>
              <w:bottom w:val="nil"/>
              <w:right w:val="nil"/>
            </w:tcBorders>
          </w:tcPr>
          <w:p w14:paraId="4C132D3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-0.269</w:t>
            </w:r>
          </w:p>
        </w:tc>
        <w:tc>
          <w:tcPr>
            <w:tcW w:w="1095" w:type="dxa"/>
            <w:tcBorders>
              <w:top w:val="single" w:sz="6" w:space="0" w:color="auto"/>
              <w:left w:val="nil"/>
              <w:bottom w:val="nil"/>
              <w:right w:val="nil"/>
            </w:tcBorders>
          </w:tcPr>
          <w:p w14:paraId="16BAD4E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-0.270</w:t>
            </w:r>
          </w:p>
        </w:tc>
        <w:tc>
          <w:tcPr>
            <w:tcW w:w="1083" w:type="dxa"/>
            <w:tcBorders>
              <w:top w:val="single" w:sz="6" w:space="0" w:color="auto"/>
              <w:left w:val="nil"/>
              <w:bottom w:val="nil"/>
              <w:right w:val="nil"/>
            </w:tcBorders>
          </w:tcPr>
          <w:p w14:paraId="18874D2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-0.222</w:t>
            </w:r>
          </w:p>
        </w:tc>
      </w:tr>
      <w:tr w:rsidR="00B44672" w:rsidRPr="006B5978" w14:paraId="25E56153" w14:textId="77777777" w:rsidTr="004D2B7C">
        <w:trPr>
          <w:jc w:val="center"/>
        </w:trPr>
        <w:tc>
          <w:tcPr>
            <w:tcW w:w="2487" w:type="dxa"/>
            <w:tcBorders>
              <w:top w:val="nil"/>
              <w:left w:val="nil"/>
              <w:bottom w:val="nil"/>
              <w:right w:val="nil"/>
            </w:tcBorders>
          </w:tcPr>
          <w:p w14:paraId="7B4E0E98"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547" w:type="dxa"/>
            <w:tcBorders>
              <w:top w:val="nil"/>
              <w:left w:val="nil"/>
              <w:bottom w:val="nil"/>
              <w:right w:val="nil"/>
            </w:tcBorders>
          </w:tcPr>
          <w:p w14:paraId="7C92DD1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0.049]*</w:t>
            </w:r>
            <w:proofErr w:type="gramEnd"/>
            <w:r w:rsidRPr="006B5978">
              <w:rPr>
                <w:rFonts w:cstheme="minorHAnsi"/>
                <w:sz w:val="22"/>
              </w:rPr>
              <w:t>*</w:t>
            </w:r>
          </w:p>
        </w:tc>
        <w:tc>
          <w:tcPr>
            <w:tcW w:w="1137" w:type="dxa"/>
            <w:tcBorders>
              <w:top w:val="nil"/>
              <w:left w:val="nil"/>
              <w:bottom w:val="nil"/>
              <w:right w:val="nil"/>
            </w:tcBorders>
          </w:tcPr>
          <w:p w14:paraId="2939CA8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0.050]*</w:t>
            </w:r>
            <w:proofErr w:type="gramEnd"/>
            <w:r w:rsidRPr="006B5978">
              <w:rPr>
                <w:rFonts w:cstheme="minorHAnsi"/>
                <w:sz w:val="22"/>
              </w:rPr>
              <w:t>*</w:t>
            </w:r>
          </w:p>
        </w:tc>
        <w:tc>
          <w:tcPr>
            <w:tcW w:w="1109" w:type="dxa"/>
            <w:tcBorders>
              <w:top w:val="nil"/>
              <w:left w:val="nil"/>
              <w:bottom w:val="nil"/>
              <w:right w:val="nil"/>
            </w:tcBorders>
          </w:tcPr>
          <w:p w14:paraId="291A5B0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0.050]*</w:t>
            </w:r>
            <w:proofErr w:type="gramEnd"/>
            <w:r w:rsidRPr="006B5978">
              <w:rPr>
                <w:rFonts w:cstheme="minorHAnsi"/>
                <w:sz w:val="22"/>
              </w:rPr>
              <w:t>*</w:t>
            </w:r>
          </w:p>
        </w:tc>
        <w:tc>
          <w:tcPr>
            <w:tcW w:w="1095" w:type="dxa"/>
            <w:tcBorders>
              <w:top w:val="nil"/>
              <w:left w:val="nil"/>
              <w:bottom w:val="nil"/>
              <w:right w:val="nil"/>
            </w:tcBorders>
          </w:tcPr>
          <w:p w14:paraId="7323F7A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0.036]*</w:t>
            </w:r>
            <w:proofErr w:type="gramEnd"/>
            <w:r w:rsidRPr="006B5978">
              <w:rPr>
                <w:rFonts w:cstheme="minorHAnsi"/>
                <w:sz w:val="22"/>
              </w:rPr>
              <w:t>*</w:t>
            </w:r>
          </w:p>
        </w:tc>
        <w:tc>
          <w:tcPr>
            <w:tcW w:w="1095" w:type="dxa"/>
            <w:tcBorders>
              <w:top w:val="nil"/>
              <w:left w:val="nil"/>
              <w:bottom w:val="nil"/>
              <w:right w:val="nil"/>
            </w:tcBorders>
          </w:tcPr>
          <w:p w14:paraId="45E0E47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0.031]*</w:t>
            </w:r>
            <w:proofErr w:type="gramEnd"/>
            <w:r w:rsidRPr="006B5978">
              <w:rPr>
                <w:rFonts w:cstheme="minorHAnsi"/>
                <w:sz w:val="22"/>
              </w:rPr>
              <w:t>*</w:t>
            </w:r>
          </w:p>
        </w:tc>
        <w:tc>
          <w:tcPr>
            <w:tcW w:w="1083" w:type="dxa"/>
            <w:tcBorders>
              <w:top w:val="nil"/>
              <w:left w:val="nil"/>
              <w:bottom w:val="nil"/>
              <w:right w:val="nil"/>
            </w:tcBorders>
          </w:tcPr>
          <w:p w14:paraId="5FAA5E0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0.031]*</w:t>
            </w:r>
            <w:proofErr w:type="gramEnd"/>
            <w:r w:rsidRPr="006B5978">
              <w:rPr>
                <w:rFonts w:cstheme="minorHAnsi"/>
                <w:sz w:val="22"/>
              </w:rPr>
              <w:t>*</w:t>
            </w:r>
          </w:p>
        </w:tc>
      </w:tr>
      <w:tr w:rsidR="00B44672" w:rsidRPr="006B5978" w14:paraId="44DAD951" w14:textId="77777777" w:rsidTr="004D2B7C">
        <w:trPr>
          <w:jc w:val="center"/>
        </w:trPr>
        <w:tc>
          <w:tcPr>
            <w:tcW w:w="2487" w:type="dxa"/>
            <w:tcBorders>
              <w:top w:val="nil"/>
              <w:left w:val="nil"/>
              <w:bottom w:val="nil"/>
              <w:right w:val="nil"/>
            </w:tcBorders>
          </w:tcPr>
          <w:p w14:paraId="6BD36486"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Reform Trend</w:t>
            </w:r>
          </w:p>
        </w:tc>
        <w:tc>
          <w:tcPr>
            <w:tcW w:w="547" w:type="dxa"/>
            <w:tcBorders>
              <w:top w:val="nil"/>
              <w:left w:val="nil"/>
              <w:bottom w:val="nil"/>
              <w:right w:val="nil"/>
            </w:tcBorders>
          </w:tcPr>
          <w:p w14:paraId="27C44B7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-0.014</w:t>
            </w:r>
          </w:p>
        </w:tc>
        <w:tc>
          <w:tcPr>
            <w:tcW w:w="1137" w:type="dxa"/>
            <w:tcBorders>
              <w:top w:val="nil"/>
              <w:left w:val="nil"/>
              <w:bottom w:val="nil"/>
              <w:right w:val="nil"/>
            </w:tcBorders>
          </w:tcPr>
          <w:p w14:paraId="308ECAC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-0.012</w:t>
            </w:r>
          </w:p>
        </w:tc>
        <w:tc>
          <w:tcPr>
            <w:tcW w:w="1109" w:type="dxa"/>
            <w:tcBorders>
              <w:top w:val="nil"/>
              <w:left w:val="nil"/>
              <w:bottom w:val="nil"/>
              <w:right w:val="nil"/>
            </w:tcBorders>
          </w:tcPr>
          <w:p w14:paraId="7104F10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-0.007</w:t>
            </w:r>
          </w:p>
        </w:tc>
        <w:tc>
          <w:tcPr>
            <w:tcW w:w="1095" w:type="dxa"/>
            <w:tcBorders>
              <w:top w:val="nil"/>
              <w:left w:val="nil"/>
              <w:bottom w:val="nil"/>
              <w:right w:val="nil"/>
            </w:tcBorders>
          </w:tcPr>
          <w:p w14:paraId="659F8C1B"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095" w:type="dxa"/>
            <w:tcBorders>
              <w:top w:val="nil"/>
              <w:left w:val="nil"/>
              <w:bottom w:val="nil"/>
              <w:right w:val="nil"/>
            </w:tcBorders>
          </w:tcPr>
          <w:p w14:paraId="34CEDDAC"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083" w:type="dxa"/>
            <w:tcBorders>
              <w:top w:val="nil"/>
              <w:left w:val="nil"/>
              <w:bottom w:val="nil"/>
              <w:right w:val="nil"/>
            </w:tcBorders>
          </w:tcPr>
          <w:p w14:paraId="7F1ADE9B" w14:textId="77777777" w:rsidR="00B44672" w:rsidRPr="006B5978" w:rsidRDefault="00B44672" w:rsidP="004D2B7C">
            <w:pPr>
              <w:widowControl w:val="0"/>
              <w:autoSpaceDE w:val="0"/>
              <w:autoSpaceDN w:val="0"/>
              <w:adjustRightInd w:val="0"/>
              <w:spacing w:after="0"/>
              <w:jc w:val="center"/>
              <w:rPr>
                <w:rFonts w:cstheme="minorHAnsi"/>
                <w:sz w:val="22"/>
              </w:rPr>
            </w:pPr>
          </w:p>
        </w:tc>
      </w:tr>
      <w:tr w:rsidR="00B44672" w:rsidRPr="006B5978" w14:paraId="7BE4FF24" w14:textId="77777777" w:rsidTr="004D2B7C">
        <w:trPr>
          <w:jc w:val="center"/>
        </w:trPr>
        <w:tc>
          <w:tcPr>
            <w:tcW w:w="2487" w:type="dxa"/>
            <w:tcBorders>
              <w:top w:val="nil"/>
              <w:left w:val="nil"/>
              <w:bottom w:val="nil"/>
              <w:right w:val="nil"/>
            </w:tcBorders>
          </w:tcPr>
          <w:p w14:paraId="1ACFDFC1"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547" w:type="dxa"/>
            <w:tcBorders>
              <w:top w:val="nil"/>
              <w:left w:val="nil"/>
              <w:bottom w:val="nil"/>
              <w:right w:val="nil"/>
            </w:tcBorders>
          </w:tcPr>
          <w:p w14:paraId="33C7B51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[0.008]</w:t>
            </w:r>
          </w:p>
        </w:tc>
        <w:tc>
          <w:tcPr>
            <w:tcW w:w="1137" w:type="dxa"/>
            <w:tcBorders>
              <w:top w:val="nil"/>
              <w:left w:val="nil"/>
              <w:bottom w:val="nil"/>
              <w:right w:val="nil"/>
            </w:tcBorders>
          </w:tcPr>
          <w:p w14:paraId="0F7B4C9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[0.009]</w:t>
            </w:r>
          </w:p>
        </w:tc>
        <w:tc>
          <w:tcPr>
            <w:tcW w:w="1109" w:type="dxa"/>
            <w:tcBorders>
              <w:top w:val="nil"/>
              <w:left w:val="nil"/>
              <w:bottom w:val="nil"/>
              <w:right w:val="nil"/>
            </w:tcBorders>
          </w:tcPr>
          <w:p w14:paraId="0835DB6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[0.009]</w:t>
            </w:r>
          </w:p>
        </w:tc>
        <w:tc>
          <w:tcPr>
            <w:tcW w:w="1095" w:type="dxa"/>
            <w:tcBorders>
              <w:top w:val="nil"/>
              <w:left w:val="nil"/>
              <w:bottom w:val="nil"/>
              <w:right w:val="nil"/>
            </w:tcBorders>
          </w:tcPr>
          <w:p w14:paraId="152FC2A3"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095" w:type="dxa"/>
            <w:tcBorders>
              <w:top w:val="nil"/>
              <w:left w:val="nil"/>
              <w:bottom w:val="nil"/>
              <w:right w:val="nil"/>
            </w:tcBorders>
          </w:tcPr>
          <w:p w14:paraId="644A991D"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083" w:type="dxa"/>
            <w:tcBorders>
              <w:top w:val="nil"/>
              <w:left w:val="nil"/>
              <w:bottom w:val="nil"/>
              <w:right w:val="nil"/>
            </w:tcBorders>
          </w:tcPr>
          <w:p w14:paraId="1CE0ECB1" w14:textId="77777777" w:rsidR="00B44672" w:rsidRPr="006B5978" w:rsidRDefault="00B44672" w:rsidP="004D2B7C">
            <w:pPr>
              <w:widowControl w:val="0"/>
              <w:autoSpaceDE w:val="0"/>
              <w:autoSpaceDN w:val="0"/>
              <w:adjustRightInd w:val="0"/>
              <w:spacing w:after="0"/>
              <w:jc w:val="center"/>
              <w:rPr>
                <w:rFonts w:cstheme="minorHAnsi"/>
                <w:sz w:val="22"/>
              </w:rPr>
            </w:pPr>
          </w:p>
        </w:tc>
      </w:tr>
      <w:tr w:rsidR="00B44672" w:rsidRPr="006B5978" w14:paraId="74093375" w14:textId="77777777" w:rsidTr="004D2B7C">
        <w:trPr>
          <w:jc w:val="center"/>
        </w:trPr>
        <w:tc>
          <w:tcPr>
            <w:tcW w:w="2487" w:type="dxa"/>
            <w:tcBorders>
              <w:top w:val="nil"/>
              <w:left w:val="nil"/>
              <w:bottom w:val="nil"/>
              <w:right w:val="nil"/>
            </w:tcBorders>
          </w:tcPr>
          <w:p w14:paraId="1B1CF4CD"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Income)</w:t>
            </w:r>
          </w:p>
        </w:tc>
        <w:tc>
          <w:tcPr>
            <w:tcW w:w="547" w:type="dxa"/>
            <w:tcBorders>
              <w:top w:val="nil"/>
              <w:left w:val="nil"/>
              <w:bottom w:val="nil"/>
              <w:right w:val="nil"/>
            </w:tcBorders>
          </w:tcPr>
          <w:p w14:paraId="40E82587"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137" w:type="dxa"/>
            <w:tcBorders>
              <w:top w:val="nil"/>
              <w:left w:val="nil"/>
              <w:bottom w:val="nil"/>
              <w:right w:val="nil"/>
            </w:tcBorders>
          </w:tcPr>
          <w:p w14:paraId="24F489B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3.399</w:t>
            </w:r>
          </w:p>
        </w:tc>
        <w:tc>
          <w:tcPr>
            <w:tcW w:w="1109" w:type="dxa"/>
            <w:tcBorders>
              <w:top w:val="nil"/>
              <w:left w:val="nil"/>
              <w:bottom w:val="nil"/>
              <w:right w:val="nil"/>
            </w:tcBorders>
          </w:tcPr>
          <w:p w14:paraId="54539A2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3.337</w:t>
            </w:r>
          </w:p>
        </w:tc>
        <w:tc>
          <w:tcPr>
            <w:tcW w:w="1095" w:type="dxa"/>
            <w:tcBorders>
              <w:top w:val="nil"/>
              <w:left w:val="nil"/>
              <w:bottom w:val="nil"/>
              <w:right w:val="nil"/>
            </w:tcBorders>
          </w:tcPr>
          <w:p w14:paraId="264E9DB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2.369</w:t>
            </w:r>
          </w:p>
        </w:tc>
        <w:tc>
          <w:tcPr>
            <w:tcW w:w="1095" w:type="dxa"/>
            <w:tcBorders>
              <w:top w:val="nil"/>
              <w:left w:val="nil"/>
              <w:bottom w:val="nil"/>
              <w:right w:val="nil"/>
            </w:tcBorders>
          </w:tcPr>
          <w:p w14:paraId="3106635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3.181</w:t>
            </w:r>
          </w:p>
        </w:tc>
        <w:tc>
          <w:tcPr>
            <w:tcW w:w="1083" w:type="dxa"/>
            <w:tcBorders>
              <w:top w:val="nil"/>
              <w:left w:val="nil"/>
              <w:bottom w:val="nil"/>
              <w:right w:val="nil"/>
            </w:tcBorders>
          </w:tcPr>
          <w:p w14:paraId="5D1E720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3.414</w:t>
            </w:r>
          </w:p>
        </w:tc>
      </w:tr>
      <w:tr w:rsidR="00B44672" w:rsidRPr="006B5978" w14:paraId="64FD12B4" w14:textId="77777777" w:rsidTr="004D2B7C">
        <w:trPr>
          <w:jc w:val="center"/>
        </w:trPr>
        <w:tc>
          <w:tcPr>
            <w:tcW w:w="2487" w:type="dxa"/>
            <w:tcBorders>
              <w:top w:val="nil"/>
              <w:left w:val="nil"/>
              <w:bottom w:val="nil"/>
              <w:right w:val="nil"/>
            </w:tcBorders>
          </w:tcPr>
          <w:p w14:paraId="20080332"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547" w:type="dxa"/>
            <w:tcBorders>
              <w:top w:val="nil"/>
              <w:left w:val="nil"/>
              <w:bottom w:val="nil"/>
              <w:right w:val="nil"/>
            </w:tcBorders>
          </w:tcPr>
          <w:p w14:paraId="6E6F5A05"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137" w:type="dxa"/>
            <w:tcBorders>
              <w:top w:val="nil"/>
              <w:left w:val="nil"/>
              <w:bottom w:val="nil"/>
              <w:right w:val="nil"/>
            </w:tcBorders>
          </w:tcPr>
          <w:p w14:paraId="40DD6F3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0.161]*</w:t>
            </w:r>
            <w:proofErr w:type="gramEnd"/>
            <w:r w:rsidRPr="006B5978">
              <w:rPr>
                <w:rFonts w:cstheme="minorHAnsi"/>
                <w:sz w:val="22"/>
              </w:rPr>
              <w:t>*</w:t>
            </w:r>
          </w:p>
        </w:tc>
        <w:tc>
          <w:tcPr>
            <w:tcW w:w="1109" w:type="dxa"/>
            <w:tcBorders>
              <w:top w:val="nil"/>
              <w:left w:val="nil"/>
              <w:bottom w:val="nil"/>
              <w:right w:val="nil"/>
            </w:tcBorders>
          </w:tcPr>
          <w:p w14:paraId="0A01A06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0.187]*</w:t>
            </w:r>
            <w:proofErr w:type="gramEnd"/>
            <w:r w:rsidRPr="006B5978">
              <w:rPr>
                <w:rFonts w:cstheme="minorHAnsi"/>
                <w:sz w:val="22"/>
              </w:rPr>
              <w:t>*</w:t>
            </w:r>
          </w:p>
        </w:tc>
        <w:tc>
          <w:tcPr>
            <w:tcW w:w="1095" w:type="dxa"/>
            <w:tcBorders>
              <w:top w:val="nil"/>
              <w:left w:val="nil"/>
              <w:bottom w:val="nil"/>
              <w:right w:val="nil"/>
            </w:tcBorders>
          </w:tcPr>
          <w:p w14:paraId="7B74359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0.171]*</w:t>
            </w:r>
            <w:proofErr w:type="gramEnd"/>
            <w:r w:rsidRPr="006B5978">
              <w:rPr>
                <w:rFonts w:cstheme="minorHAnsi"/>
                <w:sz w:val="22"/>
              </w:rPr>
              <w:t>*</w:t>
            </w:r>
          </w:p>
        </w:tc>
        <w:tc>
          <w:tcPr>
            <w:tcW w:w="1095" w:type="dxa"/>
            <w:tcBorders>
              <w:top w:val="nil"/>
              <w:left w:val="nil"/>
              <w:bottom w:val="nil"/>
              <w:right w:val="nil"/>
            </w:tcBorders>
          </w:tcPr>
          <w:p w14:paraId="343899F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0.161]*</w:t>
            </w:r>
            <w:proofErr w:type="gramEnd"/>
            <w:r w:rsidRPr="006B5978">
              <w:rPr>
                <w:rFonts w:cstheme="minorHAnsi"/>
                <w:sz w:val="22"/>
              </w:rPr>
              <w:t>*</w:t>
            </w:r>
          </w:p>
        </w:tc>
        <w:tc>
          <w:tcPr>
            <w:tcW w:w="1083" w:type="dxa"/>
            <w:tcBorders>
              <w:top w:val="nil"/>
              <w:left w:val="nil"/>
              <w:bottom w:val="nil"/>
              <w:right w:val="nil"/>
            </w:tcBorders>
          </w:tcPr>
          <w:p w14:paraId="7A77E79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0.160]*</w:t>
            </w:r>
            <w:proofErr w:type="gramEnd"/>
            <w:r w:rsidRPr="006B5978">
              <w:rPr>
                <w:rFonts w:cstheme="minorHAnsi"/>
                <w:sz w:val="22"/>
              </w:rPr>
              <w:t>*</w:t>
            </w:r>
          </w:p>
        </w:tc>
      </w:tr>
      <w:tr w:rsidR="00B44672" w:rsidRPr="006B5978" w14:paraId="13FC6BEE" w14:textId="77777777" w:rsidTr="004D2B7C">
        <w:trPr>
          <w:jc w:val="center"/>
        </w:trPr>
        <w:tc>
          <w:tcPr>
            <w:tcW w:w="2487" w:type="dxa"/>
            <w:tcBorders>
              <w:top w:val="nil"/>
              <w:left w:val="nil"/>
              <w:bottom w:val="nil"/>
              <w:right w:val="nil"/>
            </w:tcBorders>
          </w:tcPr>
          <w:p w14:paraId="5BC364B9"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Population)</w:t>
            </w:r>
          </w:p>
        </w:tc>
        <w:tc>
          <w:tcPr>
            <w:tcW w:w="547" w:type="dxa"/>
            <w:tcBorders>
              <w:top w:val="nil"/>
              <w:left w:val="nil"/>
              <w:bottom w:val="nil"/>
              <w:right w:val="nil"/>
            </w:tcBorders>
          </w:tcPr>
          <w:p w14:paraId="71FBE52C"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137" w:type="dxa"/>
            <w:tcBorders>
              <w:top w:val="nil"/>
              <w:left w:val="nil"/>
              <w:bottom w:val="nil"/>
              <w:right w:val="nil"/>
            </w:tcBorders>
          </w:tcPr>
          <w:p w14:paraId="6793AC4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2.504</w:t>
            </w:r>
          </w:p>
        </w:tc>
        <w:tc>
          <w:tcPr>
            <w:tcW w:w="1109" w:type="dxa"/>
            <w:tcBorders>
              <w:top w:val="nil"/>
              <w:left w:val="nil"/>
              <w:bottom w:val="nil"/>
              <w:right w:val="nil"/>
            </w:tcBorders>
          </w:tcPr>
          <w:p w14:paraId="27447A1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3.238</w:t>
            </w:r>
          </w:p>
        </w:tc>
        <w:tc>
          <w:tcPr>
            <w:tcW w:w="1095" w:type="dxa"/>
            <w:tcBorders>
              <w:top w:val="nil"/>
              <w:left w:val="nil"/>
              <w:bottom w:val="nil"/>
              <w:right w:val="nil"/>
            </w:tcBorders>
          </w:tcPr>
          <w:p w14:paraId="090D29A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2.252</w:t>
            </w:r>
          </w:p>
        </w:tc>
        <w:tc>
          <w:tcPr>
            <w:tcW w:w="1095" w:type="dxa"/>
            <w:tcBorders>
              <w:top w:val="nil"/>
              <w:left w:val="nil"/>
              <w:bottom w:val="nil"/>
              <w:right w:val="nil"/>
            </w:tcBorders>
          </w:tcPr>
          <w:p w14:paraId="5903252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3.673</w:t>
            </w:r>
          </w:p>
        </w:tc>
        <w:tc>
          <w:tcPr>
            <w:tcW w:w="1083" w:type="dxa"/>
            <w:tcBorders>
              <w:top w:val="nil"/>
              <w:left w:val="nil"/>
              <w:bottom w:val="nil"/>
              <w:right w:val="nil"/>
            </w:tcBorders>
          </w:tcPr>
          <w:p w14:paraId="68B572A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2.479</w:t>
            </w:r>
          </w:p>
        </w:tc>
      </w:tr>
      <w:tr w:rsidR="00B44672" w:rsidRPr="006B5978" w14:paraId="75A089E2" w14:textId="77777777" w:rsidTr="004D2B7C">
        <w:trPr>
          <w:jc w:val="center"/>
        </w:trPr>
        <w:tc>
          <w:tcPr>
            <w:tcW w:w="2487" w:type="dxa"/>
            <w:tcBorders>
              <w:top w:val="nil"/>
              <w:left w:val="nil"/>
              <w:bottom w:val="nil"/>
              <w:right w:val="nil"/>
            </w:tcBorders>
          </w:tcPr>
          <w:p w14:paraId="55C53538"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547" w:type="dxa"/>
            <w:tcBorders>
              <w:top w:val="nil"/>
              <w:left w:val="nil"/>
              <w:bottom w:val="nil"/>
              <w:right w:val="nil"/>
            </w:tcBorders>
          </w:tcPr>
          <w:p w14:paraId="0997822F"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137" w:type="dxa"/>
            <w:tcBorders>
              <w:top w:val="nil"/>
              <w:left w:val="nil"/>
              <w:bottom w:val="nil"/>
              <w:right w:val="nil"/>
            </w:tcBorders>
          </w:tcPr>
          <w:p w14:paraId="1469FA9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0.223]*</w:t>
            </w:r>
            <w:proofErr w:type="gramEnd"/>
            <w:r w:rsidRPr="006B5978">
              <w:rPr>
                <w:rFonts w:cstheme="minorHAnsi"/>
                <w:sz w:val="22"/>
              </w:rPr>
              <w:t>*</w:t>
            </w:r>
          </w:p>
        </w:tc>
        <w:tc>
          <w:tcPr>
            <w:tcW w:w="1109" w:type="dxa"/>
            <w:tcBorders>
              <w:top w:val="nil"/>
              <w:left w:val="nil"/>
              <w:bottom w:val="nil"/>
              <w:right w:val="nil"/>
            </w:tcBorders>
          </w:tcPr>
          <w:p w14:paraId="40BEA76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0.278]*</w:t>
            </w:r>
            <w:proofErr w:type="gramEnd"/>
            <w:r w:rsidRPr="006B5978">
              <w:rPr>
                <w:rFonts w:cstheme="minorHAnsi"/>
                <w:sz w:val="22"/>
              </w:rPr>
              <w:t>*</w:t>
            </w:r>
          </w:p>
        </w:tc>
        <w:tc>
          <w:tcPr>
            <w:tcW w:w="1095" w:type="dxa"/>
            <w:tcBorders>
              <w:top w:val="nil"/>
              <w:left w:val="nil"/>
              <w:bottom w:val="nil"/>
              <w:right w:val="nil"/>
            </w:tcBorders>
          </w:tcPr>
          <w:p w14:paraId="6D28F7A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0.343]*</w:t>
            </w:r>
            <w:proofErr w:type="gramEnd"/>
            <w:r w:rsidRPr="006B5978">
              <w:rPr>
                <w:rFonts w:cstheme="minorHAnsi"/>
                <w:sz w:val="22"/>
              </w:rPr>
              <w:t>*</w:t>
            </w:r>
          </w:p>
        </w:tc>
        <w:tc>
          <w:tcPr>
            <w:tcW w:w="1095" w:type="dxa"/>
            <w:tcBorders>
              <w:top w:val="nil"/>
              <w:left w:val="nil"/>
              <w:bottom w:val="nil"/>
              <w:right w:val="nil"/>
            </w:tcBorders>
          </w:tcPr>
          <w:p w14:paraId="57B0B3D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0.258]*</w:t>
            </w:r>
            <w:proofErr w:type="gramEnd"/>
            <w:r w:rsidRPr="006B5978">
              <w:rPr>
                <w:rFonts w:cstheme="minorHAnsi"/>
                <w:sz w:val="22"/>
              </w:rPr>
              <w:t>*</w:t>
            </w:r>
          </w:p>
        </w:tc>
        <w:tc>
          <w:tcPr>
            <w:tcW w:w="1083" w:type="dxa"/>
            <w:tcBorders>
              <w:top w:val="nil"/>
              <w:left w:val="nil"/>
              <w:bottom w:val="nil"/>
              <w:right w:val="nil"/>
            </w:tcBorders>
          </w:tcPr>
          <w:p w14:paraId="30EFABD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0.222]*</w:t>
            </w:r>
            <w:proofErr w:type="gramEnd"/>
            <w:r w:rsidRPr="006B5978">
              <w:rPr>
                <w:rFonts w:cstheme="minorHAnsi"/>
                <w:sz w:val="22"/>
              </w:rPr>
              <w:t>*</w:t>
            </w:r>
          </w:p>
        </w:tc>
      </w:tr>
      <w:tr w:rsidR="00B44672" w:rsidRPr="006B5978" w14:paraId="5509FECC" w14:textId="77777777" w:rsidTr="004D2B7C">
        <w:trPr>
          <w:jc w:val="center"/>
        </w:trPr>
        <w:tc>
          <w:tcPr>
            <w:tcW w:w="2487" w:type="dxa"/>
            <w:tcBorders>
              <w:top w:val="nil"/>
              <w:left w:val="nil"/>
              <w:bottom w:val="nil"/>
              <w:right w:val="nil"/>
            </w:tcBorders>
          </w:tcPr>
          <w:p w14:paraId="2AD68C14"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Time &amp; Suburb FE</w:t>
            </w:r>
          </w:p>
        </w:tc>
        <w:tc>
          <w:tcPr>
            <w:tcW w:w="547" w:type="dxa"/>
            <w:tcBorders>
              <w:top w:val="nil"/>
              <w:left w:val="nil"/>
              <w:bottom w:val="nil"/>
              <w:right w:val="nil"/>
            </w:tcBorders>
          </w:tcPr>
          <w:p w14:paraId="03C8A12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137" w:type="dxa"/>
            <w:tcBorders>
              <w:top w:val="nil"/>
              <w:left w:val="nil"/>
              <w:bottom w:val="nil"/>
              <w:right w:val="nil"/>
            </w:tcBorders>
          </w:tcPr>
          <w:p w14:paraId="42DC00E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109" w:type="dxa"/>
            <w:tcBorders>
              <w:top w:val="nil"/>
              <w:left w:val="nil"/>
              <w:bottom w:val="nil"/>
              <w:right w:val="nil"/>
            </w:tcBorders>
          </w:tcPr>
          <w:p w14:paraId="0D1AA72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095" w:type="dxa"/>
            <w:tcBorders>
              <w:top w:val="nil"/>
              <w:left w:val="nil"/>
              <w:bottom w:val="nil"/>
              <w:right w:val="nil"/>
            </w:tcBorders>
          </w:tcPr>
          <w:p w14:paraId="528B873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095" w:type="dxa"/>
            <w:tcBorders>
              <w:top w:val="nil"/>
              <w:left w:val="nil"/>
              <w:bottom w:val="nil"/>
              <w:right w:val="nil"/>
            </w:tcBorders>
          </w:tcPr>
          <w:p w14:paraId="4DCE3E9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083" w:type="dxa"/>
            <w:tcBorders>
              <w:top w:val="nil"/>
              <w:left w:val="nil"/>
              <w:bottom w:val="nil"/>
              <w:right w:val="nil"/>
            </w:tcBorders>
          </w:tcPr>
          <w:p w14:paraId="7C43EDE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
        </w:tc>
      </w:tr>
      <w:tr w:rsidR="00B44672" w:rsidRPr="006B5978" w14:paraId="24DB7326" w14:textId="77777777" w:rsidTr="004D2B7C">
        <w:trPr>
          <w:jc w:val="center"/>
        </w:trPr>
        <w:tc>
          <w:tcPr>
            <w:tcW w:w="2487" w:type="dxa"/>
            <w:tcBorders>
              <w:top w:val="nil"/>
              <w:left w:val="nil"/>
              <w:bottom w:val="nil"/>
              <w:right w:val="nil"/>
            </w:tcBorders>
          </w:tcPr>
          <w:p w14:paraId="7B80B026"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Observations</w:t>
            </w:r>
          </w:p>
        </w:tc>
        <w:tc>
          <w:tcPr>
            <w:tcW w:w="547" w:type="dxa"/>
            <w:tcBorders>
              <w:top w:val="nil"/>
              <w:left w:val="nil"/>
              <w:bottom w:val="nil"/>
              <w:right w:val="nil"/>
            </w:tcBorders>
          </w:tcPr>
          <w:p w14:paraId="12F28C0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219,559</w:t>
            </w:r>
          </w:p>
        </w:tc>
        <w:tc>
          <w:tcPr>
            <w:tcW w:w="1137" w:type="dxa"/>
            <w:tcBorders>
              <w:top w:val="nil"/>
              <w:left w:val="nil"/>
              <w:bottom w:val="nil"/>
              <w:right w:val="nil"/>
            </w:tcBorders>
          </w:tcPr>
          <w:p w14:paraId="7DF3BE7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208,943</w:t>
            </w:r>
          </w:p>
        </w:tc>
        <w:tc>
          <w:tcPr>
            <w:tcW w:w="1109" w:type="dxa"/>
            <w:tcBorders>
              <w:top w:val="nil"/>
              <w:left w:val="nil"/>
              <w:bottom w:val="nil"/>
              <w:right w:val="nil"/>
            </w:tcBorders>
          </w:tcPr>
          <w:p w14:paraId="0ADDC83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137,577</w:t>
            </w:r>
          </w:p>
        </w:tc>
        <w:tc>
          <w:tcPr>
            <w:tcW w:w="1095" w:type="dxa"/>
            <w:tcBorders>
              <w:top w:val="nil"/>
              <w:left w:val="nil"/>
              <w:bottom w:val="nil"/>
              <w:right w:val="nil"/>
            </w:tcBorders>
          </w:tcPr>
          <w:p w14:paraId="7956FE2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139,698</w:t>
            </w:r>
          </w:p>
        </w:tc>
        <w:tc>
          <w:tcPr>
            <w:tcW w:w="1095" w:type="dxa"/>
            <w:tcBorders>
              <w:top w:val="nil"/>
              <w:left w:val="nil"/>
              <w:bottom w:val="nil"/>
              <w:right w:val="nil"/>
            </w:tcBorders>
          </w:tcPr>
          <w:p w14:paraId="1961415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186,907</w:t>
            </w:r>
          </w:p>
        </w:tc>
        <w:tc>
          <w:tcPr>
            <w:tcW w:w="1083" w:type="dxa"/>
            <w:tcBorders>
              <w:top w:val="nil"/>
              <w:left w:val="nil"/>
              <w:bottom w:val="nil"/>
              <w:right w:val="nil"/>
            </w:tcBorders>
          </w:tcPr>
          <w:p w14:paraId="431557F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208,943</w:t>
            </w:r>
          </w:p>
        </w:tc>
      </w:tr>
      <w:tr w:rsidR="00B44672" w:rsidRPr="006B5978" w14:paraId="37B8BAFD" w14:textId="77777777" w:rsidTr="004D2B7C">
        <w:trPr>
          <w:jc w:val="center"/>
        </w:trPr>
        <w:tc>
          <w:tcPr>
            <w:tcW w:w="2487" w:type="dxa"/>
            <w:tcBorders>
              <w:top w:val="nil"/>
              <w:left w:val="nil"/>
              <w:bottom w:val="nil"/>
              <w:right w:val="nil"/>
            </w:tcBorders>
          </w:tcPr>
          <w:p w14:paraId="11DD2DEF"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Number of Suburbs</w:t>
            </w:r>
          </w:p>
        </w:tc>
        <w:tc>
          <w:tcPr>
            <w:tcW w:w="547" w:type="dxa"/>
            <w:tcBorders>
              <w:top w:val="nil"/>
              <w:left w:val="nil"/>
              <w:bottom w:val="nil"/>
              <w:right w:val="nil"/>
            </w:tcBorders>
          </w:tcPr>
          <w:p w14:paraId="6D37D4F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3,799</w:t>
            </w:r>
          </w:p>
        </w:tc>
        <w:tc>
          <w:tcPr>
            <w:tcW w:w="1137" w:type="dxa"/>
            <w:tcBorders>
              <w:top w:val="nil"/>
              <w:left w:val="nil"/>
              <w:bottom w:val="nil"/>
              <w:right w:val="nil"/>
            </w:tcBorders>
          </w:tcPr>
          <w:p w14:paraId="11F2930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3,781</w:t>
            </w:r>
          </w:p>
        </w:tc>
        <w:tc>
          <w:tcPr>
            <w:tcW w:w="1109" w:type="dxa"/>
            <w:tcBorders>
              <w:top w:val="nil"/>
              <w:left w:val="nil"/>
              <w:bottom w:val="nil"/>
              <w:right w:val="nil"/>
            </w:tcBorders>
          </w:tcPr>
          <w:p w14:paraId="21FE3D8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2,112</w:t>
            </w:r>
          </w:p>
        </w:tc>
        <w:tc>
          <w:tcPr>
            <w:tcW w:w="1095" w:type="dxa"/>
            <w:tcBorders>
              <w:top w:val="nil"/>
              <w:left w:val="nil"/>
              <w:bottom w:val="nil"/>
              <w:right w:val="nil"/>
            </w:tcBorders>
          </w:tcPr>
          <w:p w14:paraId="318BCF7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3,601</w:t>
            </w:r>
          </w:p>
        </w:tc>
        <w:tc>
          <w:tcPr>
            <w:tcW w:w="1095" w:type="dxa"/>
            <w:tcBorders>
              <w:top w:val="nil"/>
              <w:left w:val="nil"/>
              <w:bottom w:val="nil"/>
              <w:right w:val="nil"/>
            </w:tcBorders>
          </w:tcPr>
          <w:p w14:paraId="5BA2FD7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3,740</w:t>
            </w:r>
          </w:p>
        </w:tc>
        <w:tc>
          <w:tcPr>
            <w:tcW w:w="1083" w:type="dxa"/>
            <w:tcBorders>
              <w:top w:val="nil"/>
              <w:left w:val="nil"/>
              <w:bottom w:val="nil"/>
              <w:right w:val="nil"/>
            </w:tcBorders>
          </w:tcPr>
          <w:p w14:paraId="16E3AEE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3,781</w:t>
            </w:r>
          </w:p>
        </w:tc>
      </w:tr>
      <w:tr w:rsidR="00B44672" w:rsidRPr="006B5978" w14:paraId="33225A78" w14:textId="77777777" w:rsidTr="004D2B7C">
        <w:trPr>
          <w:jc w:val="center"/>
        </w:trPr>
        <w:tc>
          <w:tcPr>
            <w:tcW w:w="2487" w:type="dxa"/>
            <w:tcBorders>
              <w:top w:val="nil"/>
              <w:left w:val="nil"/>
              <w:bottom w:val="nil"/>
              <w:right w:val="nil"/>
            </w:tcBorders>
          </w:tcPr>
          <w:p w14:paraId="44EA602A"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Adj. R-squared</w:t>
            </w:r>
          </w:p>
        </w:tc>
        <w:tc>
          <w:tcPr>
            <w:tcW w:w="547" w:type="dxa"/>
            <w:tcBorders>
              <w:top w:val="nil"/>
              <w:left w:val="nil"/>
              <w:bottom w:val="nil"/>
              <w:right w:val="nil"/>
            </w:tcBorders>
          </w:tcPr>
          <w:p w14:paraId="6E78067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0.76</w:t>
            </w:r>
          </w:p>
        </w:tc>
        <w:tc>
          <w:tcPr>
            <w:tcW w:w="1137" w:type="dxa"/>
            <w:tcBorders>
              <w:top w:val="nil"/>
              <w:left w:val="nil"/>
              <w:bottom w:val="nil"/>
              <w:right w:val="nil"/>
            </w:tcBorders>
          </w:tcPr>
          <w:p w14:paraId="0D9C1F6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0.77</w:t>
            </w:r>
          </w:p>
        </w:tc>
        <w:tc>
          <w:tcPr>
            <w:tcW w:w="1109" w:type="dxa"/>
            <w:tcBorders>
              <w:top w:val="nil"/>
              <w:left w:val="nil"/>
              <w:bottom w:val="nil"/>
              <w:right w:val="nil"/>
            </w:tcBorders>
          </w:tcPr>
          <w:p w14:paraId="396E748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0.77</w:t>
            </w:r>
          </w:p>
        </w:tc>
        <w:tc>
          <w:tcPr>
            <w:tcW w:w="1095" w:type="dxa"/>
            <w:tcBorders>
              <w:top w:val="nil"/>
              <w:left w:val="nil"/>
              <w:bottom w:val="nil"/>
              <w:right w:val="nil"/>
            </w:tcBorders>
          </w:tcPr>
          <w:p w14:paraId="5D7980B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0.77</w:t>
            </w:r>
          </w:p>
        </w:tc>
        <w:tc>
          <w:tcPr>
            <w:tcW w:w="1095" w:type="dxa"/>
            <w:tcBorders>
              <w:top w:val="nil"/>
              <w:left w:val="nil"/>
              <w:bottom w:val="nil"/>
              <w:right w:val="nil"/>
            </w:tcBorders>
          </w:tcPr>
          <w:p w14:paraId="194CABC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0.77</w:t>
            </w:r>
          </w:p>
        </w:tc>
        <w:tc>
          <w:tcPr>
            <w:tcW w:w="1083" w:type="dxa"/>
            <w:tcBorders>
              <w:top w:val="nil"/>
              <w:left w:val="nil"/>
              <w:bottom w:val="nil"/>
              <w:right w:val="nil"/>
            </w:tcBorders>
          </w:tcPr>
          <w:p w14:paraId="2D65BD7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0.77</w:t>
            </w:r>
          </w:p>
        </w:tc>
      </w:tr>
      <w:tr w:rsidR="00B44672" w:rsidRPr="006B5978" w14:paraId="27430DB6" w14:textId="77777777" w:rsidTr="004D2B7C">
        <w:trPr>
          <w:jc w:val="center"/>
        </w:trPr>
        <w:tc>
          <w:tcPr>
            <w:tcW w:w="2487" w:type="dxa"/>
            <w:tcBorders>
              <w:top w:val="nil"/>
              <w:left w:val="nil"/>
              <w:bottom w:val="single" w:sz="6" w:space="0" w:color="auto"/>
              <w:right w:val="nil"/>
            </w:tcBorders>
          </w:tcPr>
          <w:p w14:paraId="47F57813"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Max in Cor. Matrix</w:t>
            </w:r>
          </w:p>
        </w:tc>
        <w:tc>
          <w:tcPr>
            <w:tcW w:w="547" w:type="dxa"/>
            <w:tcBorders>
              <w:top w:val="nil"/>
              <w:left w:val="nil"/>
              <w:bottom w:val="single" w:sz="6" w:space="0" w:color="auto"/>
              <w:right w:val="nil"/>
            </w:tcBorders>
          </w:tcPr>
          <w:p w14:paraId="2F0C398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0.81</w:t>
            </w:r>
          </w:p>
        </w:tc>
        <w:tc>
          <w:tcPr>
            <w:tcW w:w="1137" w:type="dxa"/>
            <w:tcBorders>
              <w:top w:val="nil"/>
              <w:left w:val="nil"/>
              <w:bottom w:val="single" w:sz="6" w:space="0" w:color="auto"/>
              <w:right w:val="nil"/>
            </w:tcBorders>
          </w:tcPr>
          <w:p w14:paraId="03070A7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0.78</w:t>
            </w:r>
          </w:p>
        </w:tc>
        <w:tc>
          <w:tcPr>
            <w:tcW w:w="1109" w:type="dxa"/>
            <w:tcBorders>
              <w:top w:val="nil"/>
              <w:left w:val="nil"/>
              <w:bottom w:val="single" w:sz="6" w:space="0" w:color="auto"/>
              <w:right w:val="nil"/>
            </w:tcBorders>
          </w:tcPr>
          <w:p w14:paraId="40285F3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0.77</w:t>
            </w:r>
          </w:p>
        </w:tc>
        <w:tc>
          <w:tcPr>
            <w:tcW w:w="1095" w:type="dxa"/>
            <w:tcBorders>
              <w:top w:val="nil"/>
              <w:left w:val="nil"/>
              <w:bottom w:val="single" w:sz="6" w:space="0" w:color="auto"/>
              <w:right w:val="nil"/>
            </w:tcBorders>
          </w:tcPr>
          <w:p w14:paraId="67D912A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0.41</w:t>
            </w:r>
          </w:p>
        </w:tc>
        <w:tc>
          <w:tcPr>
            <w:tcW w:w="1095" w:type="dxa"/>
            <w:tcBorders>
              <w:top w:val="nil"/>
              <w:left w:val="nil"/>
              <w:bottom w:val="single" w:sz="6" w:space="0" w:color="auto"/>
              <w:right w:val="nil"/>
            </w:tcBorders>
          </w:tcPr>
          <w:p w14:paraId="0DAE5DF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0.33</w:t>
            </w:r>
          </w:p>
        </w:tc>
        <w:tc>
          <w:tcPr>
            <w:tcW w:w="1083" w:type="dxa"/>
            <w:tcBorders>
              <w:top w:val="nil"/>
              <w:left w:val="nil"/>
              <w:bottom w:val="single" w:sz="6" w:space="0" w:color="auto"/>
              <w:right w:val="nil"/>
            </w:tcBorders>
          </w:tcPr>
          <w:p w14:paraId="75570AB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0.34</w:t>
            </w:r>
          </w:p>
        </w:tc>
      </w:tr>
    </w:tbl>
    <w:p w14:paraId="5271C314" w14:textId="77777777" w:rsidR="00B44672" w:rsidRPr="006B5978" w:rsidRDefault="00B44672" w:rsidP="00FE09A5">
      <w:pPr>
        <w:widowControl w:val="0"/>
        <w:autoSpaceDE w:val="0"/>
        <w:autoSpaceDN w:val="0"/>
        <w:adjustRightInd w:val="0"/>
        <w:spacing w:before="79" w:after="79"/>
        <w:jc w:val="center"/>
        <w:rPr>
          <w:rFonts w:cstheme="minorHAnsi"/>
          <w:sz w:val="22"/>
        </w:rPr>
      </w:pPr>
      <w:r w:rsidRPr="006B5978">
        <w:rPr>
          <w:rFonts w:cstheme="minorHAnsi"/>
          <w:sz w:val="22"/>
        </w:rPr>
        <w:t xml:space="preserve">* </w:t>
      </w:r>
      <w:r w:rsidRPr="006B5978">
        <w:rPr>
          <w:rFonts w:cstheme="minorHAnsi"/>
          <w:i/>
          <w:iCs/>
          <w:sz w:val="22"/>
        </w:rPr>
        <w:t>p</w:t>
      </w:r>
      <w:r w:rsidRPr="006B5978">
        <w:rPr>
          <w:rFonts w:cstheme="minorHAnsi"/>
          <w:sz w:val="22"/>
        </w:rPr>
        <w:t xml:space="preserve">&lt;0.05; ** </w:t>
      </w:r>
      <w:r w:rsidRPr="006B5978">
        <w:rPr>
          <w:rFonts w:cstheme="minorHAnsi"/>
          <w:i/>
          <w:iCs/>
          <w:sz w:val="22"/>
        </w:rPr>
        <w:t>p</w:t>
      </w:r>
      <w:r w:rsidRPr="006B5978">
        <w:rPr>
          <w:rFonts w:cstheme="minorHAnsi"/>
          <w:sz w:val="22"/>
        </w:rPr>
        <w:t>&lt;0.01</w:t>
      </w:r>
    </w:p>
    <w:p w14:paraId="7155A670" w14:textId="77777777" w:rsidR="00B44672" w:rsidRDefault="00B44672" w:rsidP="0029189E"/>
    <w:p w14:paraId="7DDEFE29" w14:textId="77777777" w:rsidR="00B44672" w:rsidRDefault="00B44672" w:rsidP="0029189E">
      <w:r>
        <w:t>The next two tables present the results on the reform effect on prices in the house and unit markets.</w:t>
      </w:r>
    </w:p>
    <w:p w14:paraId="6EC96540" w14:textId="502BF14C" w:rsidR="00B44672" w:rsidRPr="00712B72" w:rsidRDefault="00B44672" w:rsidP="00712B72">
      <w:pPr>
        <w:pStyle w:val="Caption"/>
        <w:rPr>
          <w:rFonts w:ascii="Times New Roman" w:hAnsi="Times New Roman" w:cs="Times New Roman"/>
          <w:b/>
          <w:bCs/>
          <w:i w:val="0"/>
          <w:iCs/>
          <w:color w:val="365F91" w:themeColor="accent1" w:themeShade="BF"/>
        </w:rPr>
      </w:pPr>
      <w:bookmarkStart w:id="150" w:name="_Toc33121090"/>
      <w:r w:rsidRPr="00712B72">
        <w:rPr>
          <w:b/>
          <w:bCs/>
          <w:color w:val="365F91" w:themeColor="accent1" w:themeShade="BF"/>
        </w:rPr>
        <w:t xml:space="preserve">Table </w:t>
      </w:r>
      <w:r w:rsidRPr="00712B72">
        <w:rPr>
          <w:b/>
          <w:bCs/>
          <w:i w:val="0"/>
          <w:iCs/>
          <w:color w:val="365F91" w:themeColor="accent1" w:themeShade="BF"/>
        </w:rPr>
        <w:fldChar w:fldCharType="begin"/>
      </w:r>
      <w:r w:rsidRPr="00712B72">
        <w:rPr>
          <w:b/>
          <w:bCs/>
          <w:color w:val="365F91" w:themeColor="accent1" w:themeShade="BF"/>
        </w:rPr>
        <w:instrText xml:space="preserve"> SEQ Table \* ARABIC </w:instrText>
      </w:r>
      <w:r w:rsidRPr="00712B72">
        <w:rPr>
          <w:b/>
          <w:bCs/>
          <w:i w:val="0"/>
          <w:iCs/>
          <w:color w:val="365F91" w:themeColor="accent1" w:themeShade="BF"/>
        </w:rPr>
        <w:fldChar w:fldCharType="separate"/>
      </w:r>
      <w:r w:rsidR="00A763B6">
        <w:rPr>
          <w:b/>
          <w:bCs/>
          <w:noProof/>
          <w:color w:val="365F91" w:themeColor="accent1" w:themeShade="BF"/>
        </w:rPr>
        <w:t>28</w:t>
      </w:r>
      <w:r w:rsidRPr="00712B72">
        <w:rPr>
          <w:b/>
          <w:bCs/>
          <w:i w:val="0"/>
          <w:iCs/>
          <w:color w:val="365F91" w:themeColor="accent1" w:themeShade="BF"/>
        </w:rPr>
        <w:fldChar w:fldCharType="end"/>
      </w:r>
      <w:r>
        <w:rPr>
          <w:b/>
          <w:bCs/>
          <w:color w:val="365F91" w:themeColor="accent1" w:themeShade="BF"/>
        </w:rPr>
        <w:t xml:space="preserve"> (from main report)</w:t>
      </w:r>
      <w:r w:rsidRPr="00712B72">
        <w:rPr>
          <w:b/>
          <w:bCs/>
          <w:color w:val="365F91" w:themeColor="accent1" w:themeShade="BF"/>
        </w:rPr>
        <w:t xml:space="preserve"> - Effect of the tax reform on house prices - estimations in logs</w:t>
      </w:r>
      <w:bookmarkEnd w:id="150"/>
    </w:p>
    <w:tbl>
      <w:tblPr>
        <w:tblW w:w="0" w:type="auto"/>
        <w:jc w:val="center"/>
        <w:tblCellMar>
          <w:left w:w="144" w:type="dxa"/>
          <w:right w:w="144" w:type="dxa"/>
        </w:tblCellMar>
        <w:tblLook w:val="0000" w:firstRow="0" w:lastRow="0" w:firstColumn="0" w:lastColumn="0" w:noHBand="0" w:noVBand="0"/>
      </w:tblPr>
      <w:tblGrid>
        <w:gridCol w:w="2224"/>
        <w:gridCol w:w="1222"/>
        <w:gridCol w:w="1259"/>
        <w:gridCol w:w="1368"/>
        <w:gridCol w:w="1186"/>
        <w:gridCol w:w="1767"/>
      </w:tblGrid>
      <w:tr w:rsidR="00B44672" w:rsidRPr="006B5978" w14:paraId="0AB70098" w14:textId="77777777" w:rsidTr="004D2B7C">
        <w:trPr>
          <w:jc w:val="center"/>
        </w:trPr>
        <w:tc>
          <w:tcPr>
            <w:tcW w:w="2411" w:type="dxa"/>
            <w:tcBorders>
              <w:top w:val="single" w:sz="6" w:space="0" w:color="auto"/>
              <w:left w:val="nil"/>
              <w:bottom w:val="nil"/>
              <w:right w:val="nil"/>
            </w:tcBorders>
          </w:tcPr>
          <w:p w14:paraId="3F3E39EB" w14:textId="77777777" w:rsidR="00B44672" w:rsidRPr="006B5978" w:rsidRDefault="00B44672" w:rsidP="004D2B7C">
            <w:pPr>
              <w:widowControl w:val="0"/>
              <w:autoSpaceDE w:val="0"/>
              <w:autoSpaceDN w:val="0"/>
              <w:adjustRightInd w:val="0"/>
              <w:spacing w:before="79" w:after="0"/>
              <w:rPr>
                <w:rFonts w:cstheme="minorHAnsi"/>
                <w:sz w:val="22"/>
              </w:rPr>
            </w:pPr>
            <w:proofErr w:type="gramStart"/>
            <w:r w:rsidRPr="006B5978">
              <w:rPr>
                <w:rFonts w:cstheme="minorHAnsi"/>
                <w:sz w:val="22"/>
              </w:rPr>
              <w:t>Log(</w:t>
            </w:r>
            <w:proofErr w:type="gramEnd"/>
            <w:r w:rsidRPr="006B5978">
              <w:rPr>
                <w:rFonts w:cstheme="minorHAnsi"/>
                <w:sz w:val="22"/>
              </w:rPr>
              <w:t>House Price)</w:t>
            </w:r>
          </w:p>
        </w:tc>
        <w:tc>
          <w:tcPr>
            <w:tcW w:w="1297" w:type="dxa"/>
            <w:tcBorders>
              <w:top w:val="single" w:sz="6" w:space="0" w:color="auto"/>
              <w:left w:val="nil"/>
              <w:bottom w:val="nil"/>
              <w:right w:val="nil"/>
            </w:tcBorders>
          </w:tcPr>
          <w:p w14:paraId="5140B4FA"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(1)</w:t>
            </w:r>
          </w:p>
        </w:tc>
        <w:tc>
          <w:tcPr>
            <w:tcW w:w="1300" w:type="dxa"/>
            <w:tcBorders>
              <w:top w:val="single" w:sz="6" w:space="0" w:color="auto"/>
              <w:left w:val="nil"/>
              <w:bottom w:val="nil"/>
              <w:right w:val="nil"/>
            </w:tcBorders>
          </w:tcPr>
          <w:p w14:paraId="3A6BB509"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(2)</w:t>
            </w:r>
          </w:p>
        </w:tc>
        <w:tc>
          <w:tcPr>
            <w:tcW w:w="1448" w:type="dxa"/>
            <w:tcBorders>
              <w:top w:val="single" w:sz="6" w:space="0" w:color="auto"/>
              <w:left w:val="nil"/>
              <w:bottom w:val="nil"/>
              <w:right w:val="nil"/>
            </w:tcBorders>
          </w:tcPr>
          <w:p w14:paraId="510CE86B"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(3)</w:t>
            </w:r>
          </w:p>
        </w:tc>
        <w:tc>
          <w:tcPr>
            <w:tcW w:w="1201" w:type="dxa"/>
            <w:tcBorders>
              <w:top w:val="single" w:sz="6" w:space="0" w:color="auto"/>
              <w:left w:val="nil"/>
              <w:bottom w:val="nil"/>
              <w:right w:val="nil"/>
            </w:tcBorders>
          </w:tcPr>
          <w:p w14:paraId="773D3C04"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(4)</w:t>
            </w:r>
          </w:p>
        </w:tc>
        <w:tc>
          <w:tcPr>
            <w:tcW w:w="1991" w:type="dxa"/>
            <w:tcBorders>
              <w:top w:val="single" w:sz="6" w:space="0" w:color="auto"/>
              <w:left w:val="nil"/>
              <w:bottom w:val="nil"/>
              <w:right w:val="nil"/>
            </w:tcBorders>
          </w:tcPr>
          <w:p w14:paraId="03345BEB"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(5)</w:t>
            </w:r>
          </w:p>
        </w:tc>
      </w:tr>
      <w:tr w:rsidR="00B44672" w:rsidRPr="006B5978" w14:paraId="0BD2EC07" w14:textId="77777777" w:rsidTr="004D2B7C">
        <w:trPr>
          <w:jc w:val="center"/>
        </w:trPr>
        <w:tc>
          <w:tcPr>
            <w:tcW w:w="2411" w:type="dxa"/>
            <w:tcBorders>
              <w:top w:val="nil"/>
              <w:left w:val="nil"/>
              <w:bottom w:val="nil"/>
              <w:right w:val="nil"/>
            </w:tcBorders>
          </w:tcPr>
          <w:p w14:paraId="299E7FDE" w14:textId="77777777" w:rsidR="00B44672" w:rsidRPr="006B5978" w:rsidRDefault="00B44672" w:rsidP="004D2B7C">
            <w:pPr>
              <w:widowControl w:val="0"/>
              <w:autoSpaceDE w:val="0"/>
              <w:autoSpaceDN w:val="0"/>
              <w:adjustRightInd w:val="0"/>
              <w:spacing w:after="79"/>
              <w:rPr>
                <w:rFonts w:cstheme="minorHAnsi"/>
                <w:sz w:val="22"/>
              </w:rPr>
            </w:pPr>
          </w:p>
        </w:tc>
        <w:tc>
          <w:tcPr>
            <w:tcW w:w="1297" w:type="dxa"/>
            <w:tcBorders>
              <w:top w:val="nil"/>
              <w:left w:val="nil"/>
              <w:bottom w:val="nil"/>
              <w:right w:val="nil"/>
            </w:tcBorders>
          </w:tcPr>
          <w:p w14:paraId="409C3E68"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300" w:type="dxa"/>
            <w:tcBorders>
              <w:top w:val="nil"/>
              <w:left w:val="nil"/>
              <w:bottom w:val="nil"/>
              <w:right w:val="nil"/>
            </w:tcBorders>
          </w:tcPr>
          <w:p w14:paraId="4512F369"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448" w:type="dxa"/>
            <w:tcBorders>
              <w:top w:val="nil"/>
              <w:left w:val="nil"/>
              <w:bottom w:val="nil"/>
              <w:right w:val="nil"/>
            </w:tcBorders>
          </w:tcPr>
          <w:p w14:paraId="0310DA37"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w:t>
            </w:r>
          </w:p>
        </w:tc>
        <w:tc>
          <w:tcPr>
            <w:tcW w:w="1201" w:type="dxa"/>
            <w:tcBorders>
              <w:top w:val="nil"/>
              <w:left w:val="nil"/>
              <w:bottom w:val="nil"/>
              <w:right w:val="nil"/>
            </w:tcBorders>
          </w:tcPr>
          <w:p w14:paraId="38902601"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NSW &amp; VIC</w:t>
            </w:r>
          </w:p>
        </w:tc>
        <w:tc>
          <w:tcPr>
            <w:tcW w:w="1991" w:type="dxa"/>
            <w:tcBorders>
              <w:top w:val="nil"/>
              <w:left w:val="nil"/>
              <w:bottom w:val="nil"/>
              <w:right w:val="nil"/>
            </w:tcBorders>
          </w:tcPr>
          <w:p w14:paraId="0D0ECCC9"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 NSW &amp; VIC</w:t>
            </w:r>
          </w:p>
        </w:tc>
      </w:tr>
      <w:tr w:rsidR="00B44672" w:rsidRPr="006B5978" w14:paraId="2FDE7825" w14:textId="77777777" w:rsidTr="004D2B7C">
        <w:trPr>
          <w:jc w:val="center"/>
        </w:trPr>
        <w:tc>
          <w:tcPr>
            <w:tcW w:w="2411" w:type="dxa"/>
            <w:tcBorders>
              <w:top w:val="single" w:sz="6" w:space="0" w:color="auto"/>
              <w:left w:val="nil"/>
              <w:bottom w:val="nil"/>
              <w:right w:val="nil"/>
            </w:tcBorders>
          </w:tcPr>
          <w:p w14:paraId="35B57414"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Reform Dummy</w:t>
            </w:r>
          </w:p>
        </w:tc>
        <w:tc>
          <w:tcPr>
            <w:tcW w:w="1297" w:type="dxa"/>
            <w:tcBorders>
              <w:top w:val="single" w:sz="6" w:space="0" w:color="auto"/>
              <w:left w:val="nil"/>
              <w:bottom w:val="nil"/>
              <w:right w:val="nil"/>
            </w:tcBorders>
          </w:tcPr>
          <w:p w14:paraId="0D32EB3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-0.008</w:t>
            </w:r>
          </w:p>
        </w:tc>
        <w:tc>
          <w:tcPr>
            <w:tcW w:w="1300" w:type="dxa"/>
            <w:tcBorders>
              <w:top w:val="single" w:sz="6" w:space="0" w:color="auto"/>
              <w:left w:val="nil"/>
              <w:bottom w:val="nil"/>
              <w:right w:val="nil"/>
            </w:tcBorders>
          </w:tcPr>
          <w:p w14:paraId="7575C56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0.094</w:t>
            </w:r>
          </w:p>
        </w:tc>
        <w:tc>
          <w:tcPr>
            <w:tcW w:w="1448" w:type="dxa"/>
            <w:tcBorders>
              <w:top w:val="single" w:sz="6" w:space="0" w:color="auto"/>
              <w:left w:val="nil"/>
              <w:bottom w:val="nil"/>
              <w:right w:val="nil"/>
            </w:tcBorders>
          </w:tcPr>
          <w:p w14:paraId="42225A3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0.021</w:t>
            </w:r>
          </w:p>
        </w:tc>
        <w:tc>
          <w:tcPr>
            <w:tcW w:w="1201" w:type="dxa"/>
            <w:tcBorders>
              <w:top w:val="single" w:sz="6" w:space="0" w:color="auto"/>
              <w:left w:val="nil"/>
              <w:bottom w:val="nil"/>
              <w:right w:val="nil"/>
            </w:tcBorders>
          </w:tcPr>
          <w:p w14:paraId="3AEB64D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0.045</w:t>
            </w:r>
          </w:p>
        </w:tc>
        <w:tc>
          <w:tcPr>
            <w:tcW w:w="1991" w:type="dxa"/>
            <w:tcBorders>
              <w:top w:val="single" w:sz="6" w:space="0" w:color="auto"/>
              <w:left w:val="nil"/>
              <w:bottom w:val="nil"/>
              <w:right w:val="nil"/>
            </w:tcBorders>
          </w:tcPr>
          <w:p w14:paraId="73877D4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0.048</w:t>
            </w:r>
          </w:p>
        </w:tc>
      </w:tr>
      <w:tr w:rsidR="00B44672" w:rsidRPr="006B5978" w14:paraId="684E9F84" w14:textId="77777777" w:rsidTr="004D2B7C">
        <w:trPr>
          <w:jc w:val="center"/>
        </w:trPr>
        <w:tc>
          <w:tcPr>
            <w:tcW w:w="2411" w:type="dxa"/>
            <w:tcBorders>
              <w:top w:val="nil"/>
              <w:left w:val="nil"/>
              <w:bottom w:val="nil"/>
              <w:right w:val="nil"/>
            </w:tcBorders>
          </w:tcPr>
          <w:p w14:paraId="04B3EB74"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297" w:type="dxa"/>
            <w:tcBorders>
              <w:top w:val="nil"/>
              <w:left w:val="nil"/>
              <w:bottom w:val="nil"/>
              <w:right w:val="nil"/>
            </w:tcBorders>
          </w:tcPr>
          <w:p w14:paraId="055C639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[0.013]</w:t>
            </w:r>
          </w:p>
        </w:tc>
        <w:tc>
          <w:tcPr>
            <w:tcW w:w="1300" w:type="dxa"/>
            <w:tcBorders>
              <w:top w:val="nil"/>
              <w:left w:val="nil"/>
              <w:bottom w:val="nil"/>
              <w:right w:val="nil"/>
            </w:tcBorders>
          </w:tcPr>
          <w:p w14:paraId="4466206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0.013]*</w:t>
            </w:r>
            <w:proofErr w:type="gramEnd"/>
            <w:r w:rsidRPr="006B5978">
              <w:rPr>
                <w:rFonts w:cstheme="minorHAnsi"/>
                <w:sz w:val="22"/>
              </w:rPr>
              <w:t>*</w:t>
            </w:r>
          </w:p>
        </w:tc>
        <w:tc>
          <w:tcPr>
            <w:tcW w:w="1448" w:type="dxa"/>
            <w:tcBorders>
              <w:top w:val="nil"/>
              <w:left w:val="nil"/>
              <w:bottom w:val="nil"/>
              <w:right w:val="nil"/>
            </w:tcBorders>
          </w:tcPr>
          <w:p w14:paraId="1CF6DDC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[0.013]</w:t>
            </w:r>
          </w:p>
        </w:tc>
        <w:tc>
          <w:tcPr>
            <w:tcW w:w="1201" w:type="dxa"/>
            <w:tcBorders>
              <w:top w:val="nil"/>
              <w:left w:val="nil"/>
              <w:bottom w:val="nil"/>
              <w:right w:val="nil"/>
            </w:tcBorders>
          </w:tcPr>
          <w:p w14:paraId="45A5D4A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0.013]*</w:t>
            </w:r>
            <w:proofErr w:type="gramEnd"/>
            <w:r w:rsidRPr="006B5978">
              <w:rPr>
                <w:rFonts w:cstheme="minorHAnsi"/>
                <w:sz w:val="22"/>
              </w:rPr>
              <w:t>*</w:t>
            </w:r>
          </w:p>
        </w:tc>
        <w:tc>
          <w:tcPr>
            <w:tcW w:w="1991" w:type="dxa"/>
            <w:tcBorders>
              <w:top w:val="nil"/>
              <w:left w:val="nil"/>
              <w:bottom w:val="nil"/>
              <w:right w:val="nil"/>
            </w:tcBorders>
          </w:tcPr>
          <w:p w14:paraId="05DC1CE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0.013]*</w:t>
            </w:r>
            <w:proofErr w:type="gramEnd"/>
            <w:r w:rsidRPr="006B5978">
              <w:rPr>
                <w:rFonts w:cstheme="minorHAnsi"/>
                <w:sz w:val="22"/>
              </w:rPr>
              <w:t>*</w:t>
            </w:r>
          </w:p>
        </w:tc>
      </w:tr>
      <w:tr w:rsidR="00B44672" w:rsidRPr="006B5978" w14:paraId="7E9517F2" w14:textId="77777777" w:rsidTr="004D2B7C">
        <w:trPr>
          <w:jc w:val="center"/>
        </w:trPr>
        <w:tc>
          <w:tcPr>
            <w:tcW w:w="2411" w:type="dxa"/>
            <w:tcBorders>
              <w:top w:val="nil"/>
              <w:left w:val="nil"/>
              <w:bottom w:val="nil"/>
              <w:right w:val="nil"/>
            </w:tcBorders>
          </w:tcPr>
          <w:p w14:paraId="2B4A689D"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Population)</w:t>
            </w:r>
          </w:p>
        </w:tc>
        <w:tc>
          <w:tcPr>
            <w:tcW w:w="1297" w:type="dxa"/>
            <w:tcBorders>
              <w:top w:val="nil"/>
              <w:left w:val="nil"/>
              <w:bottom w:val="nil"/>
              <w:right w:val="nil"/>
            </w:tcBorders>
          </w:tcPr>
          <w:p w14:paraId="609C2AD2"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00" w:type="dxa"/>
            <w:tcBorders>
              <w:top w:val="nil"/>
              <w:left w:val="nil"/>
              <w:bottom w:val="nil"/>
              <w:right w:val="nil"/>
            </w:tcBorders>
          </w:tcPr>
          <w:p w14:paraId="6223A7A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1.910</w:t>
            </w:r>
          </w:p>
        </w:tc>
        <w:tc>
          <w:tcPr>
            <w:tcW w:w="1448" w:type="dxa"/>
            <w:tcBorders>
              <w:top w:val="nil"/>
              <w:left w:val="nil"/>
              <w:bottom w:val="nil"/>
              <w:right w:val="nil"/>
            </w:tcBorders>
          </w:tcPr>
          <w:p w14:paraId="0CE4C5E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2.568</w:t>
            </w:r>
          </w:p>
        </w:tc>
        <w:tc>
          <w:tcPr>
            <w:tcW w:w="1201" w:type="dxa"/>
            <w:tcBorders>
              <w:top w:val="nil"/>
              <w:left w:val="nil"/>
              <w:bottom w:val="nil"/>
              <w:right w:val="nil"/>
            </w:tcBorders>
          </w:tcPr>
          <w:p w14:paraId="3F892D3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-0.885</w:t>
            </w:r>
          </w:p>
        </w:tc>
        <w:tc>
          <w:tcPr>
            <w:tcW w:w="1991" w:type="dxa"/>
            <w:tcBorders>
              <w:top w:val="nil"/>
              <w:left w:val="nil"/>
              <w:bottom w:val="nil"/>
              <w:right w:val="nil"/>
            </w:tcBorders>
          </w:tcPr>
          <w:p w14:paraId="0C99AD2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-1.724</w:t>
            </w:r>
          </w:p>
        </w:tc>
      </w:tr>
      <w:tr w:rsidR="00B44672" w:rsidRPr="006B5978" w14:paraId="349909D6" w14:textId="77777777" w:rsidTr="004D2B7C">
        <w:trPr>
          <w:jc w:val="center"/>
        </w:trPr>
        <w:tc>
          <w:tcPr>
            <w:tcW w:w="2411" w:type="dxa"/>
            <w:tcBorders>
              <w:top w:val="nil"/>
              <w:left w:val="nil"/>
              <w:bottom w:val="nil"/>
              <w:right w:val="nil"/>
            </w:tcBorders>
          </w:tcPr>
          <w:p w14:paraId="38C48A23"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lastRenderedPageBreak/>
              <w:t>Standard error</w:t>
            </w:r>
          </w:p>
        </w:tc>
        <w:tc>
          <w:tcPr>
            <w:tcW w:w="1297" w:type="dxa"/>
            <w:tcBorders>
              <w:top w:val="nil"/>
              <w:left w:val="nil"/>
              <w:bottom w:val="nil"/>
              <w:right w:val="nil"/>
            </w:tcBorders>
          </w:tcPr>
          <w:p w14:paraId="66F437DB"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00" w:type="dxa"/>
            <w:tcBorders>
              <w:top w:val="nil"/>
              <w:left w:val="nil"/>
              <w:bottom w:val="nil"/>
              <w:right w:val="nil"/>
            </w:tcBorders>
          </w:tcPr>
          <w:p w14:paraId="420FAFE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0.067]*</w:t>
            </w:r>
            <w:proofErr w:type="gramEnd"/>
            <w:r w:rsidRPr="006B5978">
              <w:rPr>
                <w:rFonts w:cstheme="minorHAnsi"/>
                <w:sz w:val="22"/>
              </w:rPr>
              <w:t>*</w:t>
            </w:r>
          </w:p>
        </w:tc>
        <w:tc>
          <w:tcPr>
            <w:tcW w:w="1448" w:type="dxa"/>
            <w:tcBorders>
              <w:top w:val="nil"/>
              <w:left w:val="nil"/>
              <w:bottom w:val="nil"/>
              <w:right w:val="nil"/>
            </w:tcBorders>
          </w:tcPr>
          <w:p w14:paraId="6EDC784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0.086]*</w:t>
            </w:r>
            <w:proofErr w:type="gramEnd"/>
            <w:r w:rsidRPr="006B5978">
              <w:rPr>
                <w:rFonts w:cstheme="minorHAnsi"/>
                <w:sz w:val="22"/>
              </w:rPr>
              <w:t>*</w:t>
            </w:r>
          </w:p>
        </w:tc>
        <w:tc>
          <w:tcPr>
            <w:tcW w:w="1201" w:type="dxa"/>
            <w:tcBorders>
              <w:top w:val="nil"/>
              <w:left w:val="nil"/>
              <w:bottom w:val="nil"/>
              <w:right w:val="nil"/>
            </w:tcBorders>
          </w:tcPr>
          <w:p w14:paraId="1B00091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0.144]*</w:t>
            </w:r>
            <w:proofErr w:type="gramEnd"/>
            <w:r w:rsidRPr="006B5978">
              <w:rPr>
                <w:rFonts w:cstheme="minorHAnsi"/>
                <w:sz w:val="22"/>
              </w:rPr>
              <w:t>*</w:t>
            </w:r>
          </w:p>
        </w:tc>
        <w:tc>
          <w:tcPr>
            <w:tcW w:w="1991" w:type="dxa"/>
            <w:tcBorders>
              <w:top w:val="nil"/>
              <w:left w:val="nil"/>
              <w:bottom w:val="nil"/>
              <w:right w:val="nil"/>
            </w:tcBorders>
          </w:tcPr>
          <w:p w14:paraId="6B68F55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0.141]*</w:t>
            </w:r>
            <w:proofErr w:type="gramEnd"/>
            <w:r w:rsidRPr="006B5978">
              <w:rPr>
                <w:rFonts w:cstheme="minorHAnsi"/>
                <w:sz w:val="22"/>
              </w:rPr>
              <w:t>*</w:t>
            </w:r>
          </w:p>
        </w:tc>
      </w:tr>
      <w:tr w:rsidR="00B44672" w:rsidRPr="006B5978" w14:paraId="26F6384E" w14:textId="77777777" w:rsidTr="004D2B7C">
        <w:trPr>
          <w:jc w:val="center"/>
        </w:trPr>
        <w:tc>
          <w:tcPr>
            <w:tcW w:w="2411" w:type="dxa"/>
            <w:tcBorders>
              <w:top w:val="nil"/>
              <w:left w:val="nil"/>
              <w:bottom w:val="nil"/>
              <w:right w:val="nil"/>
            </w:tcBorders>
          </w:tcPr>
          <w:p w14:paraId="6E1B1AB3"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Income)</w:t>
            </w:r>
          </w:p>
        </w:tc>
        <w:tc>
          <w:tcPr>
            <w:tcW w:w="1297" w:type="dxa"/>
            <w:tcBorders>
              <w:top w:val="nil"/>
              <w:left w:val="nil"/>
              <w:bottom w:val="nil"/>
              <w:right w:val="nil"/>
            </w:tcBorders>
          </w:tcPr>
          <w:p w14:paraId="20DC3B91"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00" w:type="dxa"/>
            <w:tcBorders>
              <w:top w:val="nil"/>
              <w:left w:val="nil"/>
              <w:bottom w:val="nil"/>
              <w:right w:val="nil"/>
            </w:tcBorders>
          </w:tcPr>
          <w:p w14:paraId="3BE5EAF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2.267</w:t>
            </w:r>
          </w:p>
        </w:tc>
        <w:tc>
          <w:tcPr>
            <w:tcW w:w="1448" w:type="dxa"/>
            <w:tcBorders>
              <w:top w:val="nil"/>
              <w:left w:val="nil"/>
              <w:bottom w:val="nil"/>
              <w:right w:val="nil"/>
            </w:tcBorders>
          </w:tcPr>
          <w:p w14:paraId="7E72DB0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2.324</w:t>
            </w:r>
          </w:p>
        </w:tc>
        <w:tc>
          <w:tcPr>
            <w:tcW w:w="1201" w:type="dxa"/>
            <w:tcBorders>
              <w:top w:val="nil"/>
              <w:left w:val="nil"/>
              <w:bottom w:val="nil"/>
              <w:right w:val="nil"/>
            </w:tcBorders>
          </w:tcPr>
          <w:p w14:paraId="174A176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1.774</w:t>
            </w:r>
          </w:p>
        </w:tc>
        <w:tc>
          <w:tcPr>
            <w:tcW w:w="1991" w:type="dxa"/>
            <w:tcBorders>
              <w:top w:val="nil"/>
              <w:left w:val="nil"/>
              <w:bottom w:val="nil"/>
              <w:right w:val="nil"/>
            </w:tcBorders>
          </w:tcPr>
          <w:p w14:paraId="106FAAC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2.800</w:t>
            </w:r>
          </w:p>
        </w:tc>
      </w:tr>
      <w:tr w:rsidR="00B44672" w:rsidRPr="006B5978" w14:paraId="0009770A" w14:textId="77777777" w:rsidTr="004D2B7C">
        <w:trPr>
          <w:jc w:val="center"/>
        </w:trPr>
        <w:tc>
          <w:tcPr>
            <w:tcW w:w="2411" w:type="dxa"/>
            <w:tcBorders>
              <w:top w:val="nil"/>
              <w:left w:val="nil"/>
              <w:bottom w:val="nil"/>
              <w:right w:val="nil"/>
            </w:tcBorders>
          </w:tcPr>
          <w:p w14:paraId="4EDAD6C9"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297" w:type="dxa"/>
            <w:tcBorders>
              <w:top w:val="nil"/>
              <w:left w:val="nil"/>
              <w:bottom w:val="nil"/>
              <w:right w:val="nil"/>
            </w:tcBorders>
          </w:tcPr>
          <w:p w14:paraId="3C6EBDAD"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00" w:type="dxa"/>
            <w:tcBorders>
              <w:top w:val="nil"/>
              <w:left w:val="nil"/>
              <w:bottom w:val="nil"/>
              <w:right w:val="nil"/>
            </w:tcBorders>
          </w:tcPr>
          <w:p w14:paraId="7F6F7BD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0.050]*</w:t>
            </w:r>
            <w:proofErr w:type="gramEnd"/>
            <w:r w:rsidRPr="006B5978">
              <w:rPr>
                <w:rFonts w:cstheme="minorHAnsi"/>
                <w:sz w:val="22"/>
              </w:rPr>
              <w:t>*</w:t>
            </w:r>
          </w:p>
        </w:tc>
        <w:tc>
          <w:tcPr>
            <w:tcW w:w="1448" w:type="dxa"/>
            <w:tcBorders>
              <w:top w:val="nil"/>
              <w:left w:val="nil"/>
              <w:bottom w:val="nil"/>
              <w:right w:val="nil"/>
            </w:tcBorders>
          </w:tcPr>
          <w:p w14:paraId="72EE2FA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0.047]*</w:t>
            </w:r>
            <w:proofErr w:type="gramEnd"/>
            <w:r w:rsidRPr="006B5978">
              <w:rPr>
                <w:rFonts w:cstheme="minorHAnsi"/>
                <w:sz w:val="22"/>
              </w:rPr>
              <w:t>*</w:t>
            </w:r>
          </w:p>
        </w:tc>
        <w:tc>
          <w:tcPr>
            <w:tcW w:w="1201" w:type="dxa"/>
            <w:tcBorders>
              <w:top w:val="nil"/>
              <w:left w:val="nil"/>
              <w:bottom w:val="nil"/>
              <w:right w:val="nil"/>
            </w:tcBorders>
          </w:tcPr>
          <w:p w14:paraId="36A7305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0.161]*</w:t>
            </w:r>
            <w:proofErr w:type="gramEnd"/>
            <w:r w:rsidRPr="006B5978">
              <w:rPr>
                <w:rFonts w:cstheme="minorHAnsi"/>
                <w:sz w:val="22"/>
              </w:rPr>
              <w:t>*</w:t>
            </w:r>
          </w:p>
        </w:tc>
        <w:tc>
          <w:tcPr>
            <w:tcW w:w="1991" w:type="dxa"/>
            <w:tcBorders>
              <w:top w:val="nil"/>
              <w:left w:val="nil"/>
              <w:bottom w:val="nil"/>
              <w:right w:val="nil"/>
            </w:tcBorders>
          </w:tcPr>
          <w:p w14:paraId="46F6AAF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0.166]*</w:t>
            </w:r>
            <w:proofErr w:type="gramEnd"/>
            <w:r w:rsidRPr="006B5978">
              <w:rPr>
                <w:rFonts w:cstheme="minorHAnsi"/>
                <w:sz w:val="22"/>
              </w:rPr>
              <w:t>*</w:t>
            </w:r>
          </w:p>
        </w:tc>
      </w:tr>
      <w:tr w:rsidR="00B44672" w:rsidRPr="006B5978" w14:paraId="350BE1AD" w14:textId="77777777" w:rsidTr="004D2B7C">
        <w:trPr>
          <w:jc w:val="center"/>
        </w:trPr>
        <w:tc>
          <w:tcPr>
            <w:tcW w:w="2411" w:type="dxa"/>
            <w:tcBorders>
              <w:top w:val="nil"/>
              <w:left w:val="nil"/>
              <w:bottom w:val="nil"/>
              <w:right w:val="nil"/>
            </w:tcBorders>
          </w:tcPr>
          <w:p w14:paraId="06285BAE"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Time &amp; Suburb FE</w:t>
            </w:r>
          </w:p>
        </w:tc>
        <w:tc>
          <w:tcPr>
            <w:tcW w:w="1297" w:type="dxa"/>
            <w:tcBorders>
              <w:top w:val="nil"/>
              <w:left w:val="nil"/>
              <w:bottom w:val="nil"/>
              <w:right w:val="nil"/>
            </w:tcBorders>
          </w:tcPr>
          <w:p w14:paraId="5551D9A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300" w:type="dxa"/>
            <w:tcBorders>
              <w:top w:val="nil"/>
              <w:left w:val="nil"/>
              <w:bottom w:val="nil"/>
              <w:right w:val="nil"/>
            </w:tcBorders>
          </w:tcPr>
          <w:p w14:paraId="4017F96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48" w:type="dxa"/>
            <w:tcBorders>
              <w:top w:val="nil"/>
              <w:left w:val="nil"/>
              <w:bottom w:val="nil"/>
              <w:right w:val="nil"/>
            </w:tcBorders>
          </w:tcPr>
          <w:p w14:paraId="72C810A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201" w:type="dxa"/>
            <w:tcBorders>
              <w:top w:val="nil"/>
              <w:left w:val="nil"/>
              <w:bottom w:val="nil"/>
              <w:right w:val="nil"/>
            </w:tcBorders>
          </w:tcPr>
          <w:p w14:paraId="0034AD6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991" w:type="dxa"/>
            <w:tcBorders>
              <w:top w:val="nil"/>
              <w:left w:val="nil"/>
              <w:bottom w:val="nil"/>
              <w:right w:val="nil"/>
            </w:tcBorders>
          </w:tcPr>
          <w:p w14:paraId="7FECA89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r>
      <w:tr w:rsidR="00B44672" w:rsidRPr="006B5978" w14:paraId="5EB65259" w14:textId="77777777" w:rsidTr="004D2B7C">
        <w:trPr>
          <w:jc w:val="center"/>
        </w:trPr>
        <w:tc>
          <w:tcPr>
            <w:tcW w:w="2411" w:type="dxa"/>
            <w:tcBorders>
              <w:top w:val="nil"/>
              <w:left w:val="nil"/>
              <w:bottom w:val="nil"/>
              <w:right w:val="nil"/>
            </w:tcBorders>
          </w:tcPr>
          <w:p w14:paraId="23DD7CA5"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Observations</w:t>
            </w:r>
          </w:p>
        </w:tc>
        <w:tc>
          <w:tcPr>
            <w:tcW w:w="1297" w:type="dxa"/>
            <w:tcBorders>
              <w:top w:val="nil"/>
              <w:left w:val="nil"/>
              <w:bottom w:val="nil"/>
              <w:right w:val="nil"/>
            </w:tcBorders>
          </w:tcPr>
          <w:p w14:paraId="030394C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543,443</w:t>
            </w:r>
          </w:p>
        </w:tc>
        <w:tc>
          <w:tcPr>
            <w:tcW w:w="1300" w:type="dxa"/>
            <w:tcBorders>
              <w:top w:val="nil"/>
              <w:left w:val="nil"/>
              <w:bottom w:val="nil"/>
              <w:right w:val="nil"/>
            </w:tcBorders>
          </w:tcPr>
          <w:p w14:paraId="3B6F005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515,524</w:t>
            </w:r>
          </w:p>
        </w:tc>
        <w:tc>
          <w:tcPr>
            <w:tcW w:w="1448" w:type="dxa"/>
            <w:tcBorders>
              <w:top w:val="nil"/>
              <w:left w:val="nil"/>
              <w:bottom w:val="nil"/>
              <w:right w:val="nil"/>
            </w:tcBorders>
          </w:tcPr>
          <w:p w14:paraId="2C6CDAF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234,695</w:t>
            </w:r>
          </w:p>
        </w:tc>
        <w:tc>
          <w:tcPr>
            <w:tcW w:w="1201" w:type="dxa"/>
            <w:tcBorders>
              <w:top w:val="nil"/>
              <w:left w:val="nil"/>
              <w:bottom w:val="nil"/>
              <w:right w:val="nil"/>
            </w:tcBorders>
          </w:tcPr>
          <w:p w14:paraId="6719A3B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261,777</w:t>
            </w:r>
          </w:p>
        </w:tc>
        <w:tc>
          <w:tcPr>
            <w:tcW w:w="1991" w:type="dxa"/>
            <w:tcBorders>
              <w:top w:val="nil"/>
              <w:left w:val="nil"/>
              <w:bottom w:val="nil"/>
              <w:right w:val="nil"/>
            </w:tcBorders>
          </w:tcPr>
          <w:p w14:paraId="5DAA060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120,366</w:t>
            </w:r>
          </w:p>
        </w:tc>
      </w:tr>
      <w:tr w:rsidR="00B44672" w:rsidRPr="006B5978" w14:paraId="1F6070F2" w14:textId="77777777" w:rsidTr="004D2B7C">
        <w:trPr>
          <w:jc w:val="center"/>
        </w:trPr>
        <w:tc>
          <w:tcPr>
            <w:tcW w:w="2411" w:type="dxa"/>
            <w:tcBorders>
              <w:top w:val="nil"/>
              <w:left w:val="nil"/>
              <w:bottom w:val="nil"/>
              <w:right w:val="nil"/>
            </w:tcBorders>
          </w:tcPr>
          <w:p w14:paraId="1381FA53"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Number of Suburbs</w:t>
            </w:r>
          </w:p>
        </w:tc>
        <w:tc>
          <w:tcPr>
            <w:tcW w:w="1297" w:type="dxa"/>
            <w:tcBorders>
              <w:top w:val="nil"/>
              <w:left w:val="nil"/>
              <w:bottom w:val="nil"/>
              <w:right w:val="nil"/>
            </w:tcBorders>
          </w:tcPr>
          <w:p w14:paraId="7C6CFB6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10,116</w:t>
            </w:r>
          </w:p>
        </w:tc>
        <w:tc>
          <w:tcPr>
            <w:tcW w:w="1300" w:type="dxa"/>
            <w:tcBorders>
              <w:top w:val="nil"/>
              <w:left w:val="nil"/>
              <w:bottom w:val="nil"/>
              <w:right w:val="nil"/>
            </w:tcBorders>
          </w:tcPr>
          <w:p w14:paraId="7BF5493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10,045</w:t>
            </w:r>
          </w:p>
        </w:tc>
        <w:tc>
          <w:tcPr>
            <w:tcW w:w="1448" w:type="dxa"/>
            <w:tcBorders>
              <w:top w:val="nil"/>
              <w:left w:val="nil"/>
              <w:bottom w:val="nil"/>
              <w:right w:val="nil"/>
            </w:tcBorders>
          </w:tcPr>
          <w:p w14:paraId="0C061EF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2,806</w:t>
            </w:r>
          </w:p>
        </w:tc>
        <w:tc>
          <w:tcPr>
            <w:tcW w:w="1201" w:type="dxa"/>
            <w:tcBorders>
              <w:top w:val="nil"/>
              <w:left w:val="nil"/>
              <w:bottom w:val="nil"/>
              <w:right w:val="nil"/>
            </w:tcBorders>
          </w:tcPr>
          <w:p w14:paraId="61DDCF4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5,069</w:t>
            </w:r>
          </w:p>
        </w:tc>
        <w:tc>
          <w:tcPr>
            <w:tcW w:w="1991" w:type="dxa"/>
            <w:tcBorders>
              <w:top w:val="nil"/>
              <w:left w:val="nil"/>
              <w:bottom w:val="nil"/>
              <w:right w:val="nil"/>
            </w:tcBorders>
          </w:tcPr>
          <w:p w14:paraId="1566AF5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1,455</w:t>
            </w:r>
          </w:p>
        </w:tc>
      </w:tr>
      <w:tr w:rsidR="00B44672" w:rsidRPr="006B5978" w14:paraId="2FC8A534" w14:textId="77777777" w:rsidTr="004D2B7C">
        <w:trPr>
          <w:jc w:val="center"/>
        </w:trPr>
        <w:tc>
          <w:tcPr>
            <w:tcW w:w="2411" w:type="dxa"/>
            <w:tcBorders>
              <w:top w:val="nil"/>
              <w:left w:val="nil"/>
              <w:bottom w:val="nil"/>
              <w:right w:val="nil"/>
            </w:tcBorders>
          </w:tcPr>
          <w:p w14:paraId="51D9C86F"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Adj. R-squared</w:t>
            </w:r>
          </w:p>
        </w:tc>
        <w:tc>
          <w:tcPr>
            <w:tcW w:w="1297" w:type="dxa"/>
            <w:tcBorders>
              <w:top w:val="nil"/>
              <w:left w:val="nil"/>
              <w:bottom w:val="nil"/>
              <w:right w:val="nil"/>
            </w:tcBorders>
          </w:tcPr>
          <w:p w14:paraId="2AEB1FF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0.75</w:t>
            </w:r>
          </w:p>
        </w:tc>
        <w:tc>
          <w:tcPr>
            <w:tcW w:w="1300" w:type="dxa"/>
            <w:tcBorders>
              <w:top w:val="nil"/>
              <w:left w:val="nil"/>
              <w:bottom w:val="nil"/>
              <w:right w:val="nil"/>
            </w:tcBorders>
          </w:tcPr>
          <w:p w14:paraId="1936382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0.76</w:t>
            </w:r>
          </w:p>
        </w:tc>
        <w:tc>
          <w:tcPr>
            <w:tcW w:w="1448" w:type="dxa"/>
            <w:tcBorders>
              <w:top w:val="nil"/>
              <w:left w:val="nil"/>
              <w:bottom w:val="nil"/>
              <w:right w:val="nil"/>
            </w:tcBorders>
          </w:tcPr>
          <w:p w14:paraId="5015C9F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0.81</w:t>
            </w:r>
          </w:p>
        </w:tc>
        <w:tc>
          <w:tcPr>
            <w:tcW w:w="1201" w:type="dxa"/>
            <w:tcBorders>
              <w:top w:val="nil"/>
              <w:left w:val="nil"/>
              <w:bottom w:val="nil"/>
              <w:right w:val="nil"/>
            </w:tcBorders>
          </w:tcPr>
          <w:p w14:paraId="6EF2351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0.77</w:t>
            </w:r>
          </w:p>
        </w:tc>
        <w:tc>
          <w:tcPr>
            <w:tcW w:w="1991" w:type="dxa"/>
            <w:tcBorders>
              <w:top w:val="nil"/>
              <w:left w:val="nil"/>
              <w:bottom w:val="nil"/>
              <w:right w:val="nil"/>
            </w:tcBorders>
          </w:tcPr>
          <w:p w14:paraId="5CEA9E5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0.81</w:t>
            </w:r>
          </w:p>
        </w:tc>
      </w:tr>
      <w:tr w:rsidR="00B44672" w:rsidRPr="006B5978" w14:paraId="27EA7A0F" w14:textId="77777777" w:rsidTr="004D2B7C">
        <w:trPr>
          <w:jc w:val="center"/>
        </w:trPr>
        <w:tc>
          <w:tcPr>
            <w:tcW w:w="2411" w:type="dxa"/>
            <w:tcBorders>
              <w:top w:val="nil"/>
              <w:left w:val="nil"/>
              <w:bottom w:val="single" w:sz="6" w:space="0" w:color="auto"/>
              <w:right w:val="nil"/>
            </w:tcBorders>
          </w:tcPr>
          <w:p w14:paraId="3F768792"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Max in Cor. Matrix</w:t>
            </w:r>
          </w:p>
        </w:tc>
        <w:tc>
          <w:tcPr>
            <w:tcW w:w="1297" w:type="dxa"/>
            <w:tcBorders>
              <w:top w:val="nil"/>
              <w:left w:val="nil"/>
              <w:bottom w:val="single" w:sz="6" w:space="0" w:color="auto"/>
              <w:right w:val="nil"/>
            </w:tcBorders>
          </w:tcPr>
          <w:p w14:paraId="413BB10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
        </w:tc>
        <w:tc>
          <w:tcPr>
            <w:tcW w:w="1300" w:type="dxa"/>
            <w:tcBorders>
              <w:top w:val="nil"/>
              <w:left w:val="nil"/>
              <w:bottom w:val="single" w:sz="6" w:space="0" w:color="auto"/>
              <w:right w:val="nil"/>
            </w:tcBorders>
          </w:tcPr>
          <w:p w14:paraId="2A03FE5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0.21</w:t>
            </w:r>
          </w:p>
        </w:tc>
        <w:tc>
          <w:tcPr>
            <w:tcW w:w="1448" w:type="dxa"/>
            <w:tcBorders>
              <w:top w:val="nil"/>
              <w:left w:val="nil"/>
              <w:bottom w:val="single" w:sz="6" w:space="0" w:color="auto"/>
              <w:right w:val="nil"/>
            </w:tcBorders>
          </w:tcPr>
          <w:p w14:paraId="764209E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0.11</w:t>
            </w:r>
          </w:p>
        </w:tc>
        <w:tc>
          <w:tcPr>
            <w:tcW w:w="1201" w:type="dxa"/>
            <w:tcBorders>
              <w:top w:val="nil"/>
              <w:left w:val="nil"/>
              <w:bottom w:val="single" w:sz="6" w:space="0" w:color="auto"/>
              <w:right w:val="nil"/>
            </w:tcBorders>
          </w:tcPr>
          <w:p w14:paraId="5E83C8A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0.46</w:t>
            </w:r>
          </w:p>
        </w:tc>
        <w:tc>
          <w:tcPr>
            <w:tcW w:w="1991" w:type="dxa"/>
            <w:tcBorders>
              <w:top w:val="nil"/>
              <w:left w:val="nil"/>
              <w:bottom w:val="single" w:sz="6" w:space="0" w:color="auto"/>
              <w:right w:val="nil"/>
            </w:tcBorders>
          </w:tcPr>
          <w:p w14:paraId="00B481F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0.47</w:t>
            </w:r>
          </w:p>
        </w:tc>
      </w:tr>
    </w:tbl>
    <w:p w14:paraId="6959540F" w14:textId="77777777" w:rsidR="00B44672" w:rsidRPr="006B5978" w:rsidRDefault="00B44672" w:rsidP="009924BF">
      <w:pPr>
        <w:widowControl w:val="0"/>
        <w:autoSpaceDE w:val="0"/>
        <w:autoSpaceDN w:val="0"/>
        <w:adjustRightInd w:val="0"/>
        <w:spacing w:before="79" w:after="79"/>
        <w:jc w:val="center"/>
        <w:rPr>
          <w:rFonts w:cstheme="minorHAnsi"/>
          <w:sz w:val="22"/>
        </w:rPr>
      </w:pPr>
      <w:r w:rsidRPr="006B5978">
        <w:rPr>
          <w:rFonts w:cstheme="minorHAnsi"/>
          <w:sz w:val="22"/>
        </w:rPr>
        <w:t xml:space="preserve">* </w:t>
      </w:r>
      <w:r w:rsidRPr="006B5978">
        <w:rPr>
          <w:rFonts w:cstheme="minorHAnsi"/>
          <w:i/>
          <w:iCs/>
          <w:sz w:val="22"/>
        </w:rPr>
        <w:t>p</w:t>
      </w:r>
      <w:r w:rsidRPr="006B5978">
        <w:rPr>
          <w:rFonts w:cstheme="minorHAnsi"/>
          <w:sz w:val="22"/>
        </w:rPr>
        <w:t xml:space="preserve">&lt;0.05; ** </w:t>
      </w:r>
      <w:r w:rsidRPr="006B5978">
        <w:rPr>
          <w:rFonts w:cstheme="minorHAnsi"/>
          <w:i/>
          <w:iCs/>
          <w:sz w:val="22"/>
        </w:rPr>
        <w:t>p</w:t>
      </w:r>
      <w:r w:rsidRPr="006B5978">
        <w:rPr>
          <w:rFonts w:cstheme="minorHAnsi"/>
          <w:sz w:val="22"/>
        </w:rPr>
        <w:t>&lt;0.01</w:t>
      </w:r>
    </w:p>
    <w:p w14:paraId="22FABB26" w14:textId="77777777" w:rsidR="00B44672" w:rsidRPr="006B5978" w:rsidRDefault="00B44672" w:rsidP="009924BF">
      <w:pPr>
        <w:widowControl w:val="0"/>
        <w:autoSpaceDE w:val="0"/>
        <w:autoSpaceDN w:val="0"/>
        <w:adjustRightInd w:val="0"/>
        <w:spacing w:before="79" w:after="79"/>
        <w:jc w:val="center"/>
        <w:rPr>
          <w:rFonts w:cstheme="minorHAnsi"/>
          <w:sz w:val="22"/>
        </w:rPr>
      </w:pPr>
    </w:p>
    <w:p w14:paraId="07EA6DFC" w14:textId="11C0954C" w:rsidR="00B44672" w:rsidRPr="00712B72" w:rsidRDefault="00B44672" w:rsidP="00712B72">
      <w:pPr>
        <w:pStyle w:val="Caption"/>
        <w:rPr>
          <w:rFonts w:ascii="Times New Roman" w:hAnsi="Times New Roman" w:cs="Times New Roman"/>
          <w:b/>
          <w:bCs/>
          <w:i w:val="0"/>
          <w:iCs/>
          <w:color w:val="365F91" w:themeColor="accent1" w:themeShade="BF"/>
        </w:rPr>
      </w:pPr>
      <w:r w:rsidRPr="00712B72">
        <w:rPr>
          <w:b/>
          <w:bCs/>
          <w:color w:val="365F91" w:themeColor="accent1" w:themeShade="BF"/>
        </w:rPr>
        <w:t xml:space="preserve">Table </w:t>
      </w:r>
      <w:r w:rsidRPr="00712B72">
        <w:rPr>
          <w:b/>
          <w:bCs/>
          <w:i w:val="0"/>
          <w:iCs/>
          <w:color w:val="365F91" w:themeColor="accent1" w:themeShade="BF"/>
        </w:rPr>
        <w:fldChar w:fldCharType="begin"/>
      </w:r>
      <w:r w:rsidRPr="00712B72">
        <w:rPr>
          <w:b/>
          <w:bCs/>
          <w:color w:val="365F91" w:themeColor="accent1" w:themeShade="BF"/>
        </w:rPr>
        <w:instrText xml:space="preserve"> SEQ Table \* ARABIC </w:instrText>
      </w:r>
      <w:r w:rsidRPr="00712B72">
        <w:rPr>
          <w:b/>
          <w:bCs/>
          <w:i w:val="0"/>
          <w:iCs/>
          <w:color w:val="365F91" w:themeColor="accent1" w:themeShade="BF"/>
        </w:rPr>
        <w:fldChar w:fldCharType="separate"/>
      </w:r>
      <w:r w:rsidR="00A763B6">
        <w:rPr>
          <w:b/>
          <w:bCs/>
          <w:noProof/>
          <w:color w:val="365F91" w:themeColor="accent1" w:themeShade="BF"/>
        </w:rPr>
        <w:t>29</w:t>
      </w:r>
      <w:r w:rsidRPr="00712B72">
        <w:rPr>
          <w:b/>
          <w:bCs/>
          <w:i w:val="0"/>
          <w:iCs/>
          <w:color w:val="365F91" w:themeColor="accent1" w:themeShade="BF"/>
        </w:rPr>
        <w:fldChar w:fldCharType="end"/>
      </w:r>
      <w:r>
        <w:rPr>
          <w:b/>
          <w:bCs/>
          <w:color w:val="365F91" w:themeColor="accent1" w:themeShade="BF"/>
        </w:rPr>
        <w:t>b</w:t>
      </w:r>
      <w:r w:rsidRPr="00712B72">
        <w:rPr>
          <w:b/>
          <w:bCs/>
          <w:color w:val="365F91" w:themeColor="accent1" w:themeShade="BF"/>
        </w:rPr>
        <w:t xml:space="preserve"> </w:t>
      </w:r>
      <w:r>
        <w:rPr>
          <w:b/>
          <w:bCs/>
          <w:color w:val="365F91" w:themeColor="accent1" w:themeShade="BF"/>
        </w:rPr>
        <w:t xml:space="preserve">(not in main report) </w:t>
      </w:r>
      <w:r w:rsidRPr="00712B72">
        <w:rPr>
          <w:b/>
          <w:bCs/>
          <w:color w:val="365F91" w:themeColor="accent1" w:themeShade="BF"/>
        </w:rPr>
        <w:t>- Effect of the tax reform on unit prices - estimations in logs</w:t>
      </w:r>
    </w:p>
    <w:tbl>
      <w:tblPr>
        <w:tblW w:w="0" w:type="auto"/>
        <w:jc w:val="center"/>
        <w:tblCellMar>
          <w:left w:w="144" w:type="dxa"/>
          <w:right w:w="144" w:type="dxa"/>
        </w:tblCellMar>
        <w:tblLook w:val="0000" w:firstRow="0" w:lastRow="0" w:firstColumn="0" w:lastColumn="0" w:noHBand="0" w:noVBand="0"/>
      </w:tblPr>
      <w:tblGrid>
        <w:gridCol w:w="2213"/>
        <w:gridCol w:w="1256"/>
        <w:gridCol w:w="1256"/>
        <w:gridCol w:w="1363"/>
        <w:gridCol w:w="1185"/>
        <w:gridCol w:w="1753"/>
      </w:tblGrid>
      <w:tr w:rsidR="00B44672" w:rsidRPr="006B5978" w14:paraId="0E2BFFF1" w14:textId="77777777" w:rsidTr="004D2B7C">
        <w:trPr>
          <w:jc w:val="center"/>
        </w:trPr>
        <w:tc>
          <w:tcPr>
            <w:tcW w:w="2409" w:type="dxa"/>
            <w:tcBorders>
              <w:top w:val="single" w:sz="6" w:space="0" w:color="auto"/>
              <w:left w:val="nil"/>
              <w:bottom w:val="nil"/>
              <w:right w:val="nil"/>
            </w:tcBorders>
          </w:tcPr>
          <w:p w14:paraId="478A1378" w14:textId="77777777" w:rsidR="00B44672" w:rsidRPr="006B5978" w:rsidRDefault="00B44672" w:rsidP="004D2B7C">
            <w:pPr>
              <w:widowControl w:val="0"/>
              <w:autoSpaceDE w:val="0"/>
              <w:autoSpaceDN w:val="0"/>
              <w:adjustRightInd w:val="0"/>
              <w:spacing w:before="79" w:after="0"/>
              <w:rPr>
                <w:rFonts w:cstheme="minorHAnsi"/>
                <w:sz w:val="22"/>
              </w:rPr>
            </w:pPr>
          </w:p>
        </w:tc>
        <w:tc>
          <w:tcPr>
            <w:tcW w:w="1300" w:type="dxa"/>
            <w:tcBorders>
              <w:top w:val="single" w:sz="6" w:space="0" w:color="auto"/>
              <w:left w:val="nil"/>
              <w:bottom w:val="nil"/>
              <w:right w:val="nil"/>
            </w:tcBorders>
          </w:tcPr>
          <w:p w14:paraId="1719C1E8"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(1)</w:t>
            </w:r>
          </w:p>
        </w:tc>
        <w:tc>
          <w:tcPr>
            <w:tcW w:w="1300" w:type="dxa"/>
            <w:tcBorders>
              <w:top w:val="single" w:sz="6" w:space="0" w:color="auto"/>
              <w:left w:val="nil"/>
              <w:bottom w:val="nil"/>
              <w:right w:val="nil"/>
            </w:tcBorders>
          </w:tcPr>
          <w:p w14:paraId="5230968E"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(2)</w:t>
            </w:r>
          </w:p>
        </w:tc>
        <w:tc>
          <w:tcPr>
            <w:tcW w:w="1448" w:type="dxa"/>
            <w:tcBorders>
              <w:top w:val="single" w:sz="6" w:space="0" w:color="auto"/>
              <w:left w:val="nil"/>
              <w:bottom w:val="nil"/>
              <w:right w:val="nil"/>
            </w:tcBorders>
          </w:tcPr>
          <w:p w14:paraId="2D0CA50C"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(3)</w:t>
            </w:r>
          </w:p>
        </w:tc>
        <w:tc>
          <w:tcPr>
            <w:tcW w:w="1201" w:type="dxa"/>
            <w:tcBorders>
              <w:top w:val="single" w:sz="6" w:space="0" w:color="auto"/>
              <w:left w:val="nil"/>
              <w:bottom w:val="nil"/>
              <w:right w:val="nil"/>
            </w:tcBorders>
          </w:tcPr>
          <w:p w14:paraId="59248092"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(4)</w:t>
            </w:r>
          </w:p>
        </w:tc>
        <w:tc>
          <w:tcPr>
            <w:tcW w:w="1990" w:type="dxa"/>
            <w:tcBorders>
              <w:top w:val="single" w:sz="6" w:space="0" w:color="auto"/>
              <w:left w:val="nil"/>
              <w:bottom w:val="nil"/>
              <w:right w:val="nil"/>
            </w:tcBorders>
          </w:tcPr>
          <w:p w14:paraId="68653841"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(5)</w:t>
            </w:r>
          </w:p>
        </w:tc>
      </w:tr>
      <w:tr w:rsidR="00B44672" w:rsidRPr="006B5978" w14:paraId="61E83901" w14:textId="77777777" w:rsidTr="004D2B7C">
        <w:trPr>
          <w:jc w:val="center"/>
        </w:trPr>
        <w:tc>
          <w:tcPr>
            <w:tcW w:w="2409" w:type="dxa"/>
            <w:tcBorders>
              <w:top w:val="nil"/>
              <w:left w:val="nil"/>
              <w:bottom w:val="nil"/>
              <w:right w:val="nil"/>
            </w:tcBorders>
          </w:tcPr>
          <w:p w14:paraId="49066A5C" w14:textId="77777777" w:rsidR="00B44672" w:rsidRPr="006B5978" w:rsidRDefault="00B44672" w:rsidP="004D2B7C">
            <w:pPr>
              <w:widowControl w:val="0"/>
              <w:autoSpaceDE w:val="0"/>
              <w:autoSpaceDN w:val="0"/>
              <w:adjustRightInd w:val="0"/>
              <w:spacing w:after="79"/>
              <w:rPr>
                <w:rFonts w:cstheme="minorHAnsi"/>
                <w:sz w:val="22"/>
              </w:rPr>
            </w:pPr>
          </w:p>
        </w:tc>
        <w:tc>
          <w:tcPr>
            <w:tcW w:w="1300" w:type="dxa"/>
            <w:tcBorders>
              <w:top w:val="nil"/>
              <w:left w:val="nil"/>
              <w:bottom w:val="nil"/>
              <w:right w:val="nil"/>
            </w:tcBorders>
          </w:tcPr>
          <w:p w14:paraId="162B32E7"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300" w:type="dxa"/>
            <w:tcBorders>
              <w:top w:val="nil"/>
              <w:left w:val="nil"/>
              <w:bottom w:val="nil"/>
              <w:right w:val="nil"/>
            </w:tcBorders>
          </w:tcPr>
          <w:p w14:paraId="124C757A"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448" w:type="dxa"/>
            <w:tcBorders>
              <w:top w:val="nil"/>
              <w:left w:val="nil"/>
              <w:bottom w:val="nil"/>
              <w:right w:val="nil"/>
            </w:tcBorders>
          </w:tcPr>
          <w:p w14:paraId="1A438D95"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w:t>
            </w:r>
          </w:p>
        </w:tc>
        <w:tc>
          <w:tcPr>
            <w:tcW w:w="1201" w:type="dxa"/>
            <w:tcBorders>
              <w:top w:val="nil"/>
              <w:left w:val="nil"/>
              <w:bottom w:val="nil"/>
              <w:right w:val="nil"/>
            </w:tcBorders>
          </w:tcPr>
          <w:p w14:paraId="2C9B52D0"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NSW &amp; VIC</w:t>
            </w:r>
          </w:p>
        </w:tc>
        <w:tc>
          <w:tcPr>
            <w:tcW w:w="1990" w:type="dxa"/>
            <w:tcBorders>
              <w:top w:val="nil"/>
              <w:left w:val="nil"/>
              <w:bottom w:val="nil"/>
              <w:right w:val="nil"/>
            </w:tcBorders>
          </w:tcPr>
          <w:p w14:paraId="5DC4CC8E"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 NSW &amp; VIC</w:t>
            </w:r>
          </w:p>
        </w:tc>
      </w:tr>
      <w:tr w:rsidR="00B44672" w:rsidRPr="006B5978" w14:paraId="6BD4FFE2" w14:textId="77777777" w:rsidTr="004D2B7C">
        <w:trPr>
          <w:jc w:val="center"/>
        </w:trPr>
        <w:tc>
          <w:tcPr>
            <w:tcW w:w="2409" w:type="dxa"/>
            <w:tcBorders>
              <w:top w:val="single" w:sz="6" w:space="0" w:color="auto"/>
              <w:left w:val="nil"/>
              <w:bottom w:val="nil"/>
              <w:right w:val="nil"/>
            </w:tcBorders>
          </w:tcPr>
          <w:p w14:paraId="24DFB7E7"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Reform Dummy</w:t>
            </w:r>
          </w:p>
        </w:tc>
        <w:tc>
          <w:tcPr>
            <w:tcW w:w="1300" w:type="dxa"/>
            <w:tcBorders>
              <w:top w:val="single" w:sz="6" w:space="0" w:color="auto"/>
              <w:left w:val="nil"/>
              <w:bottom w:val="nil"/>
              <w:right w:val="nil"/>
            </w:tcBorders>
          </w:tcPr>
          <w:p w14:paraId="359ED8E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-0.110</w:t>
            </w:r>
          </w:p>
        </w:tc>
        <w:tc>
          <w:tcPr>
            <w:tcW w:w="1300" w:type="dxa"/>
            <w:tcBorders>
              <w:top w:val="single" w:sz="6" w:space="0" w:color="auto"/>
              <w:left w:val="nil"/>
              <w:bottom w:val="nil"/>
              <w:right w:val="nil"/>
            </w:tcBorders>
          </w:tcPr>
          <w:p w14:paraId="29F41AC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0.044</w:t>
            </w:r>
          </w:p>
        </w:tc>
        <w:tc>
          <w:tcPr>
            <w:tcW w:w="1448" w:type="dxa"/>
            <w:tcBorders>
              <w:top w:val="single" w:sz="6" w:space="0" w:color="auto"/>
              <w:left w:val="nil"/>
              <w:bottom w:val="nil"/>
              <w:right w:val="nil"/>
            </w:tcBorders>
          </w:tcPr>
          <w:p w14:paraId="14B3ACE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0.002</w:t>
            </w:r>
          </w:p>
        </w:tc>
        <w:tc>
          <w:tcPr>
            <w:tcW w:w="1201" w:type="dxa"/>
            <w:tcBorders>
              <w:top w:val="single" w:sz="6" w:space="0" w:color="auto"/>
              <w:left w:val="nil"/>
              <w:bottom w:val="nil"/>
              <w:right w:val="nil"/>
            </w:tcBorders>
          </w:tcPr>
          <w:p w14:paraId="4BFD736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0.001</w:t>
            </w:r>
          </w:p>
        </w:tc>
        <w:tc>
          <w:tcPr>
            <w:tcW w:w="1990" w:type="dxa"/>
            <w:tcBorders>
              <w:top w:val="single" w:sz="6" w:space="0" w:color="auto"/>
              <w:left w:val="nil"/>
              <w:bottom w:val="nil"/>
              <w:right w:val="nil"/>
            </w:tcBorders>
          </w:tcPr>
          <w:p w14:paraId="55424EC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0.017</w:t>
            </w:r>
          </w:p>
        </w:tc>
      </w:tr>
      <w:tr w:rsidR="00B44672" w:rsidRPr="006B5978" w14:paraId="253B9481" w14:textId="77777777" w:rsidTr="004D2B7C">
        <w:trPr>
          <w:jc w:val="center"/>
        </w:trPr>
        <w:tc>
          <w:tcPr>
            <w:tcW w:w="2409" w:type="dxa"/>
            <w:tcBorders>
              <w:top w:val="nil"/>
              <w:left w:val="nil"/>
              <w:bottom w:val="nil"/>
              <w:right w:val="nil"/>
            </w:tcBorders>
          </w:tcPr>
          <w:p w14:paraId="656967E7"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00" w:type="dxa"/>
            <w:tcBorders>
              <w:top w:val="nil"/>
              <w:left w:val="nil"/>
              <w:bottom w:val="nil"/>
              <w:right w:val="nil"/>
            </w:tcBorders>
          </w:tcPr>
          <w:p w14:paraId="17C3EAD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0.008]*</w:t>
            </w:r>
            <w:proofErr w:type="gramEnd"/>
            <w:r w:rsidRPr="006B5978">
              <w:rPr>
                <w:rFonts w:cstheme="minorHAnsi"/>
                <w:sz w:val="22"/>
              </w:rPr>
              <w:t>*</w:t>
            </w:r>
          </w:p>
        </w:tc>
        <w:tc>
          <w:tcPr>
            <w:tcW w:w="1300" w:type="dxa"/>
            <w:tcBorders>
              <w:top w:val="nil"/>
              <w:left w:val="nil"/>
              <w:bottom w:val="nil"/>
              <w:right w:val="nil"/>
            </w:tcBorders>
          </w:tcPr>
          <w:p w14:paraId="5215702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0.010]*</w:t>
            </w:r>
            <w:proofErr w:type="gramEnd"/>
            <w:r w:rsidRPr="006B5978">
              <w:rPr>
                <w:rFonts w:cstheme="minorHAnsi"/>
                <w:sz w:val="22"/>
              </w:rPr>
              <w:t>*</w:t>
            </w:r>
          </w:p>
        </w:tc>
        <w:tc>
          <w:tcPr>
            <w:tcW w:w="1448" w:type="dxa"/>
            <w:tcBorders>
              <w:top w:val="nil"/>
              <w:left w:val="nil"/>
              <w:bottom w:val="nil"/>
              <w:right w:val="nil"/>
            </w:tcBorders>
          </w:tcPr>
          <w:p w14:paraId="1B7D7D6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[0.009]</w:t>
            </w:r>
          </w:p>
        </w:tc>
        <w:tc>
          <w:tcPr>
            <w:tcW w:w="1201" w:type="dxa"/>
            <w:tcBorders>
              <w:top w:val="nil"/>
              <w:left w:val="nil"/>
              <w:bottom w:val="nil"/>
              <w:right w:val="nil"/>
            </w:tcBorders>
          </w:tcPr>
          <w:p w14:paraId="38400F4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[0.011]</w:t>
            </w:r>
          </w:p>
        </w:tc>
        <w:tc>
          <w:tcPr>
            <w:tcW w:w="1990" w:type="dxa"/>
            <w:tcBorders>
              <w:top w:val="nil"/>
              <w:left w:val="nil"/>
              <w:bottom w:val="nil"/>
              <w:right w:val="nil"/>
            </w:tcBorders>
          </w:tcPr>
          <w:p w14:paraId="0C9758F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[0.011]</w:t>
            </w:r>
          </w:p>
        </w:tc>
      </w:tr>
      <w:tr w:rsidR="00B44672" w:rsidRPr="006B5978" w14:paraId="737450E2" w14:textId="77777777" w:rsidTr="004D2B7C">
        <w:trPr>
          <w:jc w:val="center"/>
        </w:trPr>
        <w:tc>
          <w:tcPr>
            <w:tcW w:w="2409" w:type="dxa"/>
            <w:tcBorders>
              <w:top w:val="nil"/>
              <w:left w:val="nil"/>
              <w:bottom w:val="nil"/>
              <w:right w:val="nil"/>
            </w:tcBorders>
          </w:tcPr>
          <w:p w14:paraId="79BCDDDE"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Population)</w:t>
            </w:r>
          </w:p>
        </w:tc>
        <w:tc>
          <w:tcPr>
            <w:tcW w:w="1300" w:type="dxa"/>
            <w:tcBorders>
              <w:top w:val="nil"/>
              <w:left w:val="nil"/>
              <w:bottom w:val="nil"/>
              <w:right w:val="nil"/>
            </w:tcBorders>
          </w:tcPr>
          <w:p w14:paraId="5D989903"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00" w:type="dxa"/>
            <w:tcBorders>
              <w:top w:val="nil"/>
              <w:left w:val="nil"/>
              <w:bottom w:val="nil"/>
              <w:right w:val="nil"/>
            </w:tcBorders>
          </w:tcPr>
          <w:p w14:paraId="4233029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0.965</w:t>
            </w:r>
          </w:p>
        </w:tc>
        <w:tc>
          <w:tcPr>
            <w:tcW w:w="1448" w:type="dxa"/>
            <w:tcBorders>
              <w:top w:val="nil"/>
              <w:left w:val="nil"/>
              <w:bottom w:val="nil"/>
              <w:right w:val="nil"/>
            </w:tcBorders>
          </w:tcPr>
          <w:p w14:paraId="39F780B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1.041</w:t>
            </w:r>
          </w:p>
        </w:tc>
        <w:tc>
          <w:tcPr>
            <w:tcW w:w="1201" w:type="dxa"/>
            <w:tcBorders>
              <w:top w:val="nil"/>
              <w:left w:val="nil"/>
              <w:bottom w:val="nil"/>
              <w:right w:val="nil"/>
            </w:tcBorders>
          </w:tcPr>
          <w:p w14:paraId="6712FF1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-3.124</w:t>
            </w:r>
          </w:p>
        </w:tc>
        <w:tc>
          <w:tcPr>
            <w:tcW w:w="1990" w:type="dxa"/>
            <w:tcBorders>
              <w:top w:val="nil"/>
              <w:left w:val="nil"/>
              <w:bottom w:val="nil"/>
              <w:right w:val="nil"/>
            </w:tcBorders>
          </w:tcPr>
          <w:p w14:paraId="5ED02DA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-3.960</w:t>
            </w:r>
          </w:p>
        </w:tc>
      </w:tr>
      <w:tr w:rsidR="00B44672" w:rsidRPr="006B5978" w14:paraId="4F1F48F7" w14:textId="77777777" w:rsidTr="004D2B7C">
        <w:trPr>
          <w:jc w:val="center"/>
        </w:trPr>
        <w:tc>
          <w:tcPr>
            <w:tcW w:w="2409" w:type="dxa"/>
            <w:tcBorders>
              <w:top w:val="nil"/>
              <w:left w:val="nil"/>
              <w:bottom w:val="nil"/>
              <w:right w:val="nil"/>
            </w:tcBorders>
          </w:tcPr>
          <w:p w14:paraId="504FD98C"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00" w:type="dxa"/>
            <w:tcBorders>
              <w:top w:val="nil"/>
              <w:left w:val="nil"/>
              <w:bottom w:val="nil"/>
              <w:right w:val="nil"/>
            </w:tcBorders>
          </w:tcPr>
          <w:p w14:paraId="2259BBFC"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00" w:type="dxa"/>
            <w:tcBorders>
              <w:top w:val="nil"/>
              <w:left w:val="nil"/>
              <w:bottom w:val="nil"/>
              <w:right w:val="nil"/>
            </w:tcBorders>
          </w:tcPr>
          <w:p w14:paraId="678D6A2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0.112]*</w:t>
            </w:r>
            <w:proofErr w:type="gramEnd"/>
            <w:r w:rsidRPr="006B5978">
              <w:rPr>
                <w:rFonts w:cstheme="minorHAnsi"/>
                <w:sz w:val="22"/>
              </w:rPr>
              <w:t>*</w:t>
            </w:r>
          </w:p>
        </w:tc>
        <w:tc>
          <w:tcPr>
            <w:tcW w:w="1448" w:type="dxa"/>
            <w:tcBorders>
              <w:top w:val="nil"/>
              <w:left w:val="nil"/>
              <w:bottom w:val="nil"/>
              <w:right w:val="nil"/>
            </w:tcBorders>
          </w:tcPr>
          <w:p w14:paraId="372DDEB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0.143]*</w:t>
            </w:r>
            <w:proofErr w:type="gramEnd"/>
            <w:r w:rsidRPr="006B5978">
              <w:rPr>
                <w:rFonts w:cstheme="minorHAnsi"/>
                <w:sz w:val="22"/>
              </w:rPr>
              <w:t>*</w:t>
            </w:r>
          </w:p>
        </w:tc>
        <w:tc>
          <w:tcPr>
            <w:tcW w:w="1201" w:type="dxa"/>
            <w:tcBorders>
              <w:top w:val="nil"/>
              <w:left w:val="nil"/>
              <w:bottom w:val="nil"/>
              <w:right w:val="nil"/>
            </w:tcBorders>
          </w:tcPr>
          <w:p w14:paraId="75C6D59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0.180]*</w:t>
            </w:r>
            <w:proofErr w:type="gramEnd"/>
            <w:r w:rsidRPr="006B5978">
              <w:rPr>
                <w:rFonts w:cstheme="minorHAnsi"/>
                <w:sz w:val="22"/>
              </w:rPr>
              <w:t>*</w:t>
            </w:r>
          </w:p>
        </w:tc>
        <w:tc>
          <w:tcPr>
            <w:tcW w:w="1990" w:type="dxa"/>
            <w:tcBorders>
              <w:top w:val="nil"/>
              <w:left w:val="nil"/>
              <w:bottom w:val="nil"/>
              <w:right w:val="nil"/>
            </w:tcBorders>
          </w:tcPr>
          <w:p w14:paraId="67FC24D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0.189]*</w:t>
            </w:r>
            <w:proofErr w:type="gramEnd"/>
            <w:r w:rsidRPr="006B5978">
              <w:rPr>
                <w:rFonts w:cstheme="minorHAnsi"/>
                <w:sz w:val="22"/>
              </w:rPr>
              <w:t>*</w:t>
            </w:r>
          </w:p>
        </w:tc>
      </w:tr>
      <w:tr w:rsidR="00B44672" w:rsidRPr="006B5978" w14:paraId="389360F6" w14:textId="77777777" w:rsidTr="004D2B7C">
        <w:trPr>
          <w:jc w:val="center"/>
        </w:trPr>
        <w:tc>
          <w:tcPr>
            <w:tcW w:w="2409" w:type="dxa"/>
            <w:tcBorders>
              <w:top w:val="nil"/>
              <w:left w:val="nil"/>
              <w:bottom w:val="nil"/>
              <w:right w:val="nil"/>
            </w:tcBorders>
          </w:tcPr>
          <w:p w14:paraId="7E3F1048"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Income)</w:t>
            </w:r>
          </w:p>
        </w:tc>
        <w:tc>
          <w:tcPr>
            <w:tcW w:w="1300" w:type="dxa"/>
            <w:tcBorders>
              <w:top w:val="nil"/>
              <w:left w:val="nil"/>
              <w:bottom w:val="nil"/>
              <w:right w:val="nil"/>
            </w:tcBorders>
          </w:tcPr>
          <w:p w14:paraId="54609137"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00" w:type="dxa"/>
            <w:tcBorders>
              <w:top w:val="nil"/>
              <w:left w:val="nil"/>
              <w:bottom w:val="nil"/>
              <w:right w:val="nil"/>
            </w:tcBorders>
          </w:tcPr>
          <w:p w14:paraId="17AFDCF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2.608</w:t>
            </w:r>
          </w:p>
        </w:tc>
        <w:tc>
          <w:tcPr>
            <w:tcW w:w="1448" w:type="dxa"/>
            <w:tcBorders>
              <w:top w:val="nil"/>
              <w:left w:val="nil"/>
              <w:bottom w:val="nil"/>
              <w:right w:val="nil"/>
            </w:tcBorders>
          </w:tcPr>
          <w:p w14:paraId="50BC145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2.508</w:t>
            </w:r>
          </w:p>
        </w:tc>
        <w:tc>
          <w:tcPr>
            <w:tcW w:w="1201" w:type="dxa"/>
            <w:tcBorders>
              <w:top w:val="nil"/>
              <w:left w:val="nil"/>
              <w:bottom w:val="nil"/>
              <w:right w:val="nil"/>
            </w:tcBorders>
          </w:tcPr>
          <w:p w14:paraId="5A64508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2.175</w:t>
            </w:r>
          </w:p>
        </w:tc>
        <w:tc>
          <w:tcPr>
            <w:tcW w:w="1990" w:type="dxa"/>
            <w:tcBorders>
              <w:top w:val="nil"/>
              <w:left w:val="nil"/>
              <w:bottom w:val="nil"/>
              <w:right w:val="nil"/>
            </w:tcBorders>
          </w:tcPr>
          <w:p w14:paraId="557304F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2.808</w:t>
            </w:r>
          </w:p>
        </w:tc>
      </w:tr>
      <w:tr w:rsidR="00B44672" w:rsidRPr="006B5978" w14:paraId="3E2BEDC1" w14:textId="77777777" w:rsidTr="004D2B7C">
        <w:trPr>
          <w:jc w:val="center"/>
        </w:trPr>
        <w:tc>
          <w:tcPr>
            <w:tcW w:w="2409" w:type="dxa"/>
            <w:tcBorders>
              <w:top w:val="nil"/>
              <w:left w:val="nil"/>
              <w:bottom w:val="nil"/>
              <w:right w:val="nil"/>
            </w:tcBorders>
          </w:tcPr>
          <w:p w14:paraId="08FB8B4C"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00" w:type="dxa"/>
            <w:tcBorders>
              <w:top w:val="nil"/>
              <w:left w:val="nil"/>
              <w:bottom w:val="nil"/>
              <w:right w:val="nil"/>
            </w:tcBorders>
          </w:tcPr>
          <w:p w14:paraId="351B927D"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00" w:type="dxa"/>
            <w:tcBorders>
              <w:top w:val="nil"/>
              <w:left w:val="nil"/>
              <w:bottom w:val="nil"/>
              <w:right w:val="nil"/>
            </w:tcBorders>
          </w:tcPr>
          <w:p w14:paraId="7DCFA1D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0.092]*</w:t>
            </w:r>
            <w:proofErr w:type="gramEnd"/>
            <w:r w:rsidRPr="006B5978">
              <w:rPr>
                <w:rFonts w:cstheme="minorHAnsi"/>
                <w:sz w:val="22"/>
              </w:rPr>
              <w:t>*</w:t>
            </w:r>
          </w:p>
        </w:tc>
        <w:tc>
          <w:tcPr>
            <w:tcW w:w="1448" w:type="dxa"/>
            <w:tcBorders>
              <w:top w:val="nil"/>
              <w:left w:val="nil"/>
              <w:bottom w:val="nil"/>
              <w:right w:val="nil"/>
            </w:tcBorders>
          </w:tcPr>
          <w:p w14:paraId="2181C76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0.076]*</w:t>
            </w:r>
            <w:proofErr w:type="gramEnd"/>
            <w:r w:rsidRPr="006B5978">
              <w:rPr>
                <w:rFonts w:cstheme="minorHAnsi"/>
                <w:sz w:val="22"/>
              </w:rPr>
              <w:t>*</w:t>
            </w:r>
          </w:p>
        </w:tc>
        <w:tc>
          <w:tcPr>
            <w:tcW w:w="1201" w:type="dxa"/>
            <w:tcBorders>
              <w:top w:val="nil"/>
              <w:left w:val="nil"/>
              <w:bottom w:val="nil"/>
              <w:right w:val="nil"/>
            </w:tcBorders>
          </w:tcPr>
          <w:p w14:paraId="0ACB506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0.118]*</w:t>
            </w:r>
            <w:proofErr w:type="gramEnd"/>
            <w:r w:rsidRPr="006B5978">
              <w:rPr>
                <w:rFonts w:cstheme="minorHAnsi"/>
                <w:sz w:val="22"/>
              </w:rPr>
              <w:t>*</w:t>
            </w:r>
          </w:p>
        </w:tc>
        <w:tc>
          <w:tcPr>
            <w:tcW w:w="1990" w:type="dxa"/>
            <w:tcBorders>
              <w:top w:val="nil"/>
              <w:left w:val="nil"/>
              <w:bottom w:val="nil"/>
              <w:right w:val="nil"/>
            </w:tcBorders>
          </w:tcPr>
          <w:p w14:paraId="34D72ED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0.119]*</w:t>
            </w:r>
            <w:proofErr w:type="gramEnd"/>
            <w:r w:rsidRPr="006B5978">
              <w:rPr>
                <w:rFonts w:cstheme="minorHAnsi"/>
                <w:sz w:val="22"/>
              </w:rPr>
              <w:t>*</w:t>
            </w:r>
          </w:p>
        </w:tc>
      </w:tr>
      <w:tr w:rsidR="00B44672" w:rsidRPr="006B5978" w14:paraId="2E01422F" w14:textId="77777777" w:rsidTr="004D2B7C">
        <w:trPr>
          <w:jc w:val="center"/>
        </w:trPr>
        <w:tc>
          <w:tcPr>
            <w:tcW w:w="2409" w:type="dxa"/>
            <w:tcBorders>
              <w:top w:val="nil"/>
              <w:left w:val="nil"/>
              <w:bottom w:val="nil"/>
              <w:right w:val="nil"/>
            </w:tcBorders>
          </w:tcPr>
          <w:p w14:paraId="364CD92F"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Time &amp; Suburb FE</w:t>
            </w:r>
          </w:p>
        </w:tc>
        <w:tc>
          <w:tcPr>
            <w:tcW w:w="1300" w:type="dxa"/>
            <w:tcBorders>
              <w:top w:val="nil"/>
              <w:left w:val="nil"/>
              <w:bottom w:val="nil"/>
              <w:right w:val="nil"/>
            </w:tcBorders>
          </w:tcPr>
          <w:p w14:paraId="3D34B24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300" w:type="dxa"/>
            <w:tcBorders>
              <w:top w:val="nil"/>
              <w:left w:val="nil"/>
              <w:bottom w:val="nil"/>
              <w:right w:val="nil"/>
            </w:tcBorders>
          </w:tcPr>
          <w:p w14:paraId="29A7E4D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48" w:type="dxa"/>
            <w:tcBorders>
              <w:top w:val="nil"/>
              <w:left w:val="nil"/>
              <w:bottom w:val="nil"/>
              <w:right w:val="nil"/>
            </w:tcBorders>
          </w:tcPr>
          <w:p w14:paraId="290416C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201" w:type="dxa"/>
            <w:tcBorders>
              <w:top w:val="nil"/>
              <w:left w:val="nil"/>
              <w:bottom w:val="nil"/>
              <w:right w:val="nil"/>
            </w:tcBorders>
          </w:tcPr>
          <w:p w14:paraId="1CE9B87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990" w:type="dxa"/>
            <w:tcBorders>
              <w:top w:val="nil"/>
              <w:left w:val="nil"/>
              <w:bottom w:val="nil"/>
              <w:right w:val="nil"/>
            </w:tcBorders>
          </w:tcPr>
          <w:p w14:paraId="4D576D1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r>
      <w:tr w:rsidR="00B44672" w:rsidRPr="006B5978" w14:paraId="1AFCC535" w14:textId="77777777" w:rsidTr="004D2B7C">
        <w:trPr>
          <w:jc w:val="center"/>
        </w:trPr>
        <w:tc>
          <w:tcPr>
            <w:tcW w:w="2409" w:type="dxa"/>
            <w:tcBorders>
              <w:top w:val="nil"/>
              <w:left w:val="nil"/>
              <w:bottom w:val="nil"/>
              <w:right w:val="nil"/>
            </w:tcBorders>
          </w:tcPr>
          <w:p w14:paraId="0154C059"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Observations</w:t>
            </w:r>
          </w:p>
        </w:tc>
        <w:tc>
          <w:tcPr>
            <w:tcW w:w="1300" w:type="dxa"/>
            <w:tcBorders>
              <w:top w:val="nil"/>
              <w:left w:val="nil"/>
              <w:bottom w:val="nil"/>
              <w:right w:val="nil"/>
            </w:tcBorders>
          </w:tcPr>
          <w:p w14:paraId="2B63BD7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219,559</w:t>
            </w:r>
          </w:p>
        </w:tc>
        <w:tc>
          <w:tcPr>
            <w:tcW w:w="1300" w:type="dxa"/>
            <w:tcBorders>
              <w:top w:val="nil"/>
              <w:left w:val="nil"/>
              <w:bottom w:val="nil"/>
              <w:right w:val="nil"/>
            </w:tcBorders>
          </w:tcPr>
          <w:p w14:paraId="2C67913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208,943</w:t>
            </w:r>
          </w:p>
        </w:tc>
        <w:tc>
          <w:tcPr>
            <w:tcW w:w="1448" w:type="dxa"/>
            <w:tcBorders>
              <w:top w:val="nil"/>
              <w:left w:val="nil"/>
              <w:bottom w:val="nil"/>
              <w:right w:val="nil"/>
            </w:tcBorders>
          </w:tcPr>
          <w:p w14:paraId="1C3A9EF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137,577</w:t>
            </w:r>
          </w:p>
        </w:tc>
        <w:tc>
          <w:tcPr>
            <w:tcW w:w="1201" w:type="dxa"/>
            <w:tcBorders>
              <w:top w:val="nil"/>
              <w:left w:val="nil"/>
              <w:bottom w:val="nil"/>
              <w:right w:val="nil"/>
            </w:tcBorders>
          </w:tcPr>
          <w:p w14:paraId="0FF06F5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118,309</w:t>
            </w:r>
          </w:p>
        </w:tc>
        <w:tc>
          <w:tcPr>
            <w:tcW w:w="1990" w:type="dxa"/>
            <w:tcBorders>
              <w:top w:val="nil"/>
              <w:left w:val="nil"/>
              <w:bottom w:val="nil"/>
              <w:right w:val="nil"/>
            </w:tcBorders>
          </w:tcPr>
          <w:p w14:paraId="15EC080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81,139</w:t>
            </w:r>
          </w:p>
        </w:tc>
      </w:tr>
      <w:tr w:rsidR="00B44672" w:rsidRPr="006B5978" w14:paraId="564E5D6B" w14:textId="77777777" w:rsidTr="004D2B7C">
        <w:trPr>
          <w:jc w:val="center"/>
        </w:trPr>
        <w:tc>
          <w:tcPr>
            <w:tcW w:w="2409" w:type="dxa"/>
            <w:tcBorders>
              <w:top w:val="nil"/>
              <w:left w:val="nil"/>
              <w:bottom w:val="nil"/>
              <w:right w:val="nil"/>
            </w:tcBorders>
          </w:tcPr>
          <w:p w14:paraId="6E26371D"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Number of Suburbs</w:t>
            </w:r>
          </w:p>
        </w:tc>
        <w:tc>
          <w:tcPr>
            <w:tcW w:w="1300" w:type="dxa"/>
            <w:tcBorders>
              <w:top w:val="nil"/>
              <w:left w:val="nil"/>
              <w:bottom w:val="nil"/>
              <w:right w:val="nil"/>
            </w:tcBorders>
          </w:tcPr>
          <w:p w14:paraId="4B1D463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3,799</w:t>
            </w:r>
          </w:p>
        </w:tc>
        <w:tc>
          <w:tcPr>
            <w:tcW w:w="1300" w:type="dxa"/>
            <w:tcBorders>
              <w:top w:val="nil"/>
              <w:left w:val="nil"/>
              <w:bottom w:val="nil"/>
              <w:right w:val="nil"/>
            </w:tcBorders>
          </w:tcPr>
          <w:p w14:paraId="3D1B72C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3,781</w:t>
            </w:r>
          </w:p>
        </w:tc>
        <w:tc>
          <w:tcPr>
            <w:tcW w:w="1448" w:type="dxa"/>
            <w:tcBorders>
              <w:top w:val="nil"/>
              <w:left w:val="nil"/>
              <w:bottom w:val="nil"/>
              <w:right w:val="nil"/>
            </w:tcBorders>
          </w:tcPr>
          <w:p w14:paraId="610F7BC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2,112</w:t>
            </w:r>
          </w:p>
        </w:tc>
        <w:tc>
          <w:tcPr>
            <w:tcW w:w="1201" w:type="dxa"/>
            <w:tcBorders>
              <w:top w:val="nil"/>
              <w:left w:val="nil"/>
              <w:bottom w:val="nil"/>
              <w:right w:val="nil"/>
            </w:tcBorders>
          </w:tcPr>
          <w:p w14:paraId="2A0D988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1,980</w:t>
            </w:r>
          </w:p>
        </w:tc>
        <w:tc>
          <w:tcPr>
            <w:tcW w:w="1990" w:type="dxa"/>
            <w:tcBorders>
              <w:top w:val="nil"/>
              <w:left w:val="nil"/>
              <w:bottom w:val="nil"/>
              <w:right w:val="nil"/>
            </w:tcBorders>
          </w:tcPr>
          <w:p w14:paraId="66A1553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1,135</w:t>
            </w:r>
          </w:p>
        </w:tc>
      </w:tr>
      <w:tr w:rsidR="00B44672" w:rsidRPr="006B5978" w14:paraId="297ADC02" w14:textId="77777777" w:rsidTr="004D2B7C">
        <w:trPr>
          <w:jc w:val="center"/>
        </w:trPr>
        <w:tc>
          <w:tcPr>
            <w:tcW w:w="2409" w:type="dxa"/>
            <w:tcBorders>
              <w:top w:val="nil"/>
              <w:left w:val="nil"/>
              <w:bottom w:val="nil"/>
              <w:right w:val="nil"/>
            </w:tcBorders>
          </w:tcPr>
          <w:p w14:paraId="1762AE30"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Adj. R-squared</w:t>
            </w:r>
          </w:p>
        </w:tc>
        <w:tc>
          <w:tcPr>
            <w:tcW w:w="1300" w:type="dxa"/>
            <w:tcBorders>
              <w:top w:val="nil"/>
              <w:left w:val="nil"/>
              <w:bottom w:val="nil"/>
              <w:right w:val="nil"/>
            </w:tcBorders>
          </w:tcPr>
          <w:p w14:paraId="3FC1128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0.67</w:t>
            </w:r>
          </w:p>
        </w:tc>
        <w:tc>
          <w:tcPr>
            <w:tcW w:w="1300" w:type="dxa"/>
            <w:tcBorders>
              <w:top w:val="nil"/>
              <w:left w:val="nil"/>
              <w:bottom w:val="nil"/>
              <w:right w:val="nil"/>
            </w:tcBorders>
          </w:tcPr>
          <w:p w14:paraId="6CF0632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0.68</w:t>
            </w:r>
          </w:p>
        </w:tc>
        <w:tc>
          <w:tcPr>
            <w:tcW w:w="1448" w:type="dxa"/>
            <w:tcBorders>
              <w:top w:val="nil"/>
              <w:left w:val="nil"/>
              <w:bottom w:val="nil"/>
              <w:right w:val="nil"/>
            </w:tcBorders>
          </w:tcPr>
          <w:p w14:paraId="5D191CD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0.69</w:t>
            </w:r>
          </w:p>
        </w:tc>
        <w:tc>
          <w:tcPr>
            <w:tcW w:w="1201" w:type="dxa"/>
            <w:tcBorders>
              <w:top w:val="nil"/>
              <w:left w:val="nil"/>
              <w:bottom w:val="nil"/>
              <w:right w:val="nil"/>
            </w:tcBorders>
          </w:tcPr>
          <w:p w14:paraId="27747B8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0.74</w:t>
            </w:r>
          </w:p>
        </w:tc>
        <w:tc>
          <w:tcPr>
            <w:tcW w:w="1990" w:type="dxa"/>
            <w:tcBorders>
              <w:top w:val="nil"/>
              <w:left w:val="nil"/>
              <w:bottom w:val="nil"/>
              <w:right w:val="nil"/>
            </w:tcBorders>
          </w:tcPr>
          <w:p w14:paraId="3AB4144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0.70</w:t>
            </w:r>
          </w:p>
        </w:tc>
      </w:tr>
      <w:tr w:rsidR="00B44672" w:rsidRPr="006B5978" w14:paraId="1B50D2A1" w14:textId="77777777" w:rsidTr="004D2B7C">
        <w:trPr>
          <w:jc w:val="center"/>
        </w:trPr>
        <w:tc>
          <w:tcPr>
            <w:tcW w:w="2409" w:type="dxa"/>
            <w:tcBorders>
              <w:top w:val="nil"/>
              <w:left w:val="nil"/>
              <w:bottom w:val="single" w:sz="6" w:space="0" w:color="auto"/>
              <w:right w:val="nil"/>
            </w:tcBorders>
          </w:tcPr>
          <w:p w14:paraId="69570800"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Max in Cor. Matrix</w:t>
            </w:r>
          </w:p>
        </w:tc>
        <w:tc>
          <w:tcPr>
            <w:tcW w:w="1300" w:type="dxa"/>
            <w:tcBorders>
              <w:top w:val="nil"/>
              <w:left w:val="nil"/>
              <w:bottom w:val="single" w:sz="6" w:space="0" w:color="auto"/>
              <w:right w:val="nil"/>
            </w:tcBorders>
          </w:tcPr>
          <w:p w14:paraId="4ADAC89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
        </w:tc>
        <w:tc>
          <w:tcPr>
            <w:tcW w:w="1300" w:type="dxa"/>
            <w:tcBorders>
              <w:top w:val="nil"/>
              <w:left w:val="nil"/>
              <w:bottom w:val="single" w:sz="6" w:space="0" w:color="auto"/>
              <w:right w:val="nil"/>
            </w:tcBorders>
          </w:tcPr>
          <w:p w14:paraId="464DDB2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0.19</w:t>
            </w:r>
          </w:p>
        </w:tc>
        <w:tc>
          <w:tcPr>
            <w:tcW w:w="1448" w:type="dxa"/>
            <w:tcBorders>
              <w:top w:val="nil"/>
              <w:left w:val="nil"/>
              <w:bottom w:val="single" w:sz="6" w:space="0" w:color="auto"/>
              <w:right w:val="nil"/>
            </w:tcBorders>
          </w:tcPr>
          <w:p w14:paraId="33DCB3D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0.44</w:t>
            </w:r>
          </w:p>
        </w:tc>
        <w:tc>
          <w:tcPr>
            <w:tcW w:w="1201" w:type="dxa"/>
            <w:tcBorders>
              <w:top w:val="nil"/>
              <w:left w:val="nil"/>
              <w:bottom w:val="single" w:sz="6" w:space="0" w:color="auto"/>
              <w:right w:val="nil"/>
            </w:tcBorders>
          </w:tcPr>
          <w:p w14:paraId="34EC2F0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0.69</w:t>
            </w:r>
          </w:p>
        </w:tc>
        <w:tc>
          <w:tcPr>
            <w:tcW w:w="1990" w:type="dxa"/>
            <w:tcBorders>
              <w:top w:val="nil"/>
              <w:left w:val="nil"/>
              <w:bottom w:val="single" w:sz="6" w:space="0" w:color="auto"/>
              <w:right w:val="nil"/>
            </w:tcBorders>
          </w:tcPr>
          <w:p w14:paraId="63D5C76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0.69</w:t>
            </w:r>
          </w:p>
        </w:tc>
      </w:tr>
    </w:tbl>
    <w:p w14:paraId="06AD3426" w14:textId="77777777" w:rsidR="00B44672" w:rsidRPr="006B5978" w:rsidRDefault="00B44672" w:rsidP="009924BF">
      <w:pPr>
        <w:widowControl w:val="0"/>
        <w:autoSpaceDE w:val="0"/>
        <w:autoSpaceDN w:val="0"/>
        <w:adjustRightInd w:val="0"/>
        <w:spacing w:before="79" w:after="79"/>
        <w:jc w:val="center"/>
        <w:rPr>
          <w:rFonts w:cstheme="minorHAnsi"/>
          <w:sz w:val="22"/>
        </w:rPr>
      </w:pPr>
      <w:r w:rsidRPr="006B5978">
        <w:rPr>
          <w:rFonts w:cstheme="minorHAnsi"/>
          <w:sz w:val="22"/>
        </w:rPr>
        <w:t xml:space="preserve">* </w:t>
      </w:r>
      <w:r w:rsidRPr="006B5978">
        <w:rPr>
          <w:rFonts w:cstheme="minorHAnsi"/>
          <w:i/>
          <w:iCs/>
          <w:sz w:val="22"/>
        </w:rPr>
        <w:t>p</w:t>
      </w:r>
      <w:r w:rsidRPr="006B5978">
        <w:rPr>
          <w:rFonts w:cstheme="minorHAnsi"/>
          <w:sz w:val="22"/>
        </w:rPr>
        <w:t xml:space="preserve">&lt;0.05; ** </w:t>
      </w:r>
      <w:r w:rsidRPr="006B5978">
        <w:rPr>
          <w:rFonts w:cstheme="minorHAnsi"/>
          <w:i/>
          <w:iCs/>
          <w:sz w:val="22"/>
        </w:rPr>
        <w:t>p</w:t>
      </w:r>
      <w:r w:rsidRPr="006B5978">
        <w:rPr>
          <w:rFonts w:cstheme="minorHAnsi"/>
          <w:sz w:val="22"/>
        </w:rPr>
        <w:t>&lt;0.01</w:t>
      </w:r>
    </w:p>
    <w:p w14:paraId="3DB6381F" w14:textId="77777777" w:rsidR="00B44672" w:rsidRDefault="00B44672" w:rsidP="00494C7C">
      <w:pPr>
        <w:pStyle w:val="BodyText"/>
      </w:pPr>
      <w:r>
        <w:t xml:space="preserve">As the </w:t>
      </w:r>
      <w:r w:rsidRPr="009E769F">
        <w:t>introduction of the Barrier Free Model</w:t>
      </w:r>
      <w:r>
        <w:t xml:space="preserve"> in 2017 led</w:t>
      </w:r>
      <w:r w:rsidRPr="009E769F">
        <w:t xml:space="preserve"> to deferred recordings of sales for off-the-plan and land only purchases</w:t>
      </w:r>
      <w:r>
        <w:t>, this engendered</w:t>
      </w:r>
      <w:r w:rsidRPr="009E769F">
        <w:t xml:space="preserve"> an artificial overall redu</w:t>
      </w:r>
      <w:r>
        <w:t>ction in recorded sales numbers. As a result, we might be concerned about the last two years of our sample driving the results</w:t>
      </w:r>
      <w:proofErr w:type="gramStart"/>
      <w:r>
        <w:t>, in particular, for</w:t>
      </w:r>
      <w:proofErr w:type="gramEnd"/>
      <w:r>
        <w:t xml:space="preserve"> the unit market. W</w:t>
      </w:r>
      <w:r w:rsidRPr="00D67DFC">
        <w:t xml:space="preserve">hile the CoreLogic data does not seem to exhibit the reduction </w:t>
      </w:r>
      <w:r>
        <w:t xml:space="preserve">in </w:t>
      </w:r>
      <w:r w:rsidRPr="00D67DFC">
        <w:t>property sales in 2017-18 and 2018-19 years</w:t>
      </w:r>
      <w:r>
        <w:t xml:space="preserve"> (see comparison above)</w:t>
      </w:r>
      <w:r w:rsidRPr="00D67DFC">
        <w:t xml:space="preserve">, </w:t>
      </w:r>
      <w:r>
        <w:t>we</w:t>
      </w:r>
      <w:r w:rsidRPr="00D67DFC">
        <w:t xml:space="preserve"> have checked that our results are not sensitive to excluding those </w:t>
      </w:r>
      <w:r>
        <w:t xml:space="preserve">two </w:t>
      </w:r>
      <w:r w:rsidRPr="00D67DFC">
        <w:t>years</w:t>
      </w:r>
      <w:r>
        <w:t xml:space="preserve"> by re-estimating the model for a subsample of the data excluding the last two years. The results are reported in Table 14b and are nearly identical to the full sample results. </w:t>
      </w:r>
    </w:p>
    <w:p w14:paraId="1293DE72" w14:textId="77777777" w:rsidR="00B44672" w:rsidRDefault="00B44672" w:rsidP="00494C7C">
      <w:pPr>
        <w:pStyle w:val="BodyText"/>
      </w:pPr>
    </w:p>
    <w:p w14:paraId="4DC98571" w14:textId="77777777" w:rsidR="00B44672" w:rsidRPr="00D84479" w:rsidRDefault="00B44672" w:rsidP="00D84479">
      <w:pPr>
        <w:widowControl w:val="0"/>
        <w:autoSpaceDE w:val="0"/>
        <w:autoSpaceDN w:val="0"/>
        <w:adjustRightInd w:val="0"/>
        <w:spacing w:before="79" w:after="0"/>
        <w:jc w:val="center"/>
        <w:rPr>
          <w:rFonts w:cstheme="minorHAnsi"/>
          <w:b/>
          <w:bCs/>
          <w:i/>
          <w:iCs/>
          <w:color w:val="365F91" w:themeColor="accent1" w:themeShade="BF"/>
        </w:rPr>
      </w:pPr>
      <w:r w:rsidRPr="00D84479">
        <w:rPr>
          <w:rFonts w:cstheme="minorHAnsi"/>
          <w:b/>
          <w:bCs/>
          <w:i/>
          <w:iCs/>
          <w:color w:val="365F91" w:themeColor="accent1" w:themeShade="BF"/>
        </w:rPr>
        <w:t xml:space="preserve">Table </w:t>
      </w:r>
      <w:r>
        <w:rPr>
          <w:rFonts w:cstheme="minorHAnsi"/>
          <w:b/>
          <w:bCs/>
          <w:i/>
          <w:iCs/>
          <w:color w:val="365F91" w:themeColor="accent1" w:themeShade="BF"/>
        </w:rPr>
        <w:t>14c</w:t>
      </w:r>
      <w:r w:rsidRPr="00D84479">
        <w:rPr>
          <w:rFonts w:cstheme="minorHAnsi"/>
          <w:b/>
          <w:bCs/>
          <w:i/>
          <w:iCs/>
          <w:color w:val="365F91" w:themeColor="accent1" w:themeShade="BF"/>
        </w:rPr>
        <w:t xml:space="preserve"> (not in main report) - Effect of the </w:t>
      </w:r>
      <w:r>
        <w:rPr>
          <w:rFonts w:cstheme="minorHAnsi"/>
          <w:b/>
          <w:bCs/>
          <w:i/>
          <w:iCs/>
          <w:color w:val="365F91" w:themeColor="accent1" w:themeShade="BF"/>
        </w:rPr>
        <w:t>t</w:t>
      </w:r>
      <w:r w:rsidRPr="00D84479">
        <w:rPr>
          <w:rFonts w:cstheme="minorHAnsi"/>
          <w:b/>
          <w:bCs/>
          <w:i/>
          <w:iCs/>
          <w:color w:val="365F91" w:themeColor="accent1" w:themeShade="BF"/>
        </w:rPr>
        <w:t xml:space="preserve">ax </w:t>
      </w:r>
      <w:r>
        <w:rPr>
          <w:rFonts w:cstheme="minorHAnsi"/>
          <w:b/>
          <w:bCs/>
          <w:i/>
          <w:iCs/>
          <w:color w:val="365F91" w:themeColor="accent1" w:themeShade="BF"/>
        </w:rPr>
        <w:t>r</w:t>
      </w:r>
      <w:r w:rsidRPr="00D84479">
        <w:rPr>
          <w:rFonts w:cstheme="minorHAnsi"/>
          <w:b/>
          <w:bCs/>
          <w:i/>
          <w:iCs/>
          <w:color w:val="365F91" w:themeColor="accent1" w:themeShade="BF"/>
        </w:rPr>
        <w:t xml:space="preserve">eform on </w:t>
      </w:r>
      <w:r>
        <w:rPr>
          <w:rFonts w:cstheme="minorHAnsi"/>
          <w:b/>
          <w:bCs/>
          <w:i/>
          <w:iCs/>
          <w:color w:val="365F91" w:themeColor="accent1" w:themeShade="BF"/>
        </w:rPr>
        <w:t>u</w:t>
      </w:r>
      <w:r w:rsidRPr="00D84479">
        <w:rPr>
          <w:rFonts w:cstheme="minorHAnsi"/>
          <w:b/>
          <w:bCs/>
          <w:i/>
          <w:iCs/>
          <w:color w:val="365F91" w:themeColor="accent1" w:themeShade="BF"/>
        </w:rPr>
        <w:t xml:space="preserve">nit </w:t>
      </w:r>
      <w:r>
        <w:rPr>
          <w:rFonts w:cstheme="minorHAnsi"/>
          <w:b/>
          <w:bCs/>
          <w:i/>
          <w:iCs/>
          <w:color w:val="365F91" w:themeColor="accent1" w:themeShade="BF"/>
        </w:rPr>
        <w:t>p</w:t>
      </w:r>
      <w:r w:rsidRPr="00D84479">
        <w:rPr>
          <w:rFonts w:cstheme="minorHAnsi"/>
          <w:b/>
          <w:bCs/>
          <w:i/>
          <w:iCs/>
          <w:color w:val="365F91" w:themeColor="accent1" w:themeShade="BF"/>
        </w:rPr>
        <w:t xml:space="preserve">rices- </w:t>
      </w:r>
      <w:r>
        <w:rPr>
          <w:rFonts w:cstheme="minorHAnsi"/>
          <w:b/>
          <w:bCs/>
          <w:i/>
          <w:iCs/>
          <w:color w:val="365F91" w:themeColor="accent1" w:themeShade="BF"/>
        </w:rPr>
        <w:t>e</w:t>
      </w:r>
      <w:r w:rsidRPr="00D84479">
        <w:rPr>
          <w:rFonts w:cstheme="minorHAnsi"/>
          <w:b/>
          <w:bCs/>
          <w:i/>
          <w:iCs/>
          <w:color w:val="365F91" w:themeColor="accent1" w:themeShade="BF"/>
        </w:rPr>
        <w:t xml:space="preserve">stimations in </w:t>
      </w:r>
      <w:r>
        <w:rPr>
          <w:rFonts w:cstheme="minorHAnsi"/>
          <w:b/>
          <w:bCs/>
          <w:i/>
          <w:iCs/>
          <w:color w:val="365F91" w:themeColor="accent1" w:themeShade="BF"/>
        </w:rPr>
        <w:t>l</w:t>
      </w:r>
      <w:r w:rsidRPr="00D84479">
        <w:rPr>
          <w:rFonts w:cstheme="minorHAnsi"/>
          <w:b/>
          <w:bCs/>
          <w:i/>
          <w:iCs/>
          <w:color w:val="365F91" w:themeColor="accent1" w:themeShade="BF"/>
        </w:rPr>
        <w:t>ogs</w:t>
      </w:r>
      <w:r>
        <w:rPr>
          <w:rFonts w:cstheme="minorHAnsi"/>
          <w:b/>
          <w:bCs/>
          <w:i/>
          <w:iCs/>
          <w:color w:val="365F91" w:themeColor="accent1" w:themeShade="BF"/>
        </w:rPr>
        <w:t xml:space="preserve"> </w:t>
      </w:r>
      <w:r w:rsidRPr="00D84479">
        <w:rPr>
          <w:rFonts w:cstheme="minorHAnsi"/>
          <w:b/>
          <w:bCs/>
          <w:i/>
          <w:iCs/>
          <w:color w:val="365F91" w:themeColor="accent1" w:themeShade="BF"/>
        </w:rPr>
        <w:t>2009-2017</w:t>
      </w:r>
    </w:p>
    <w:tbl>
      <w:tblPr>
        <w:tblW w:w="0" w:type="auto"/>
        <w:jc w:val="center"/>
        <w:tblCellMar>
          <w:left w:w="144" w:type="dxa"/>
          <w:right w:w="144" w:type="dxa"/>
        </w:tblCellMar>
        <w:tblLook w:val="0000" w:firstRow="0" w:lastRow="0" w:firstColumn="0" w:lastColumn="0" w:noHBand="0" w:noVBand="0"/>
      </w:tblPr>
      <w:tblGrid>
        <w:gridCol w:w="2382"/>
        <w:gridCol w:w="1144"/>
        <w:gridCol w:w="1249"/>
        <w:gridCol w:w="1350"/>
        <w:gridCol w:w="1182"/>
        <w:gridCol w:w="1719"/>
      </w:tblGrid>
      <w:tr w:rsidR="00B44672" w:rsidRPr="006B5978" w14:paraId="1F69442B" w14:textId="77777777" w:rsidTr="00D123F1">
        <w:trPr>
          <w:jc w:val="center"/>
        </w:trPr>
        <w:tc>
          <w:tcPr>
            <w:tcW w:w="2676" w:type="dxa"/>
            <w:tcBorders>
              <w:top w:val="single" w:sz="6" w:space="0" w:color="auto"/>
              <w:left w:val="nil"/>
              <w:bottom w:val="nil"/>
              <w:right w:val="nil"/>
            </w:tcBorders>
          </w:tcPr>
          <w:p w14:paraId="47112B93" w14:textId="77777777" w:rsidR="00B44672" w:rsidRPr="006B5978" w:rsidRDefault="00B44672" w:rsidP="00D123F1">
            <w:pPr>
              <w:widowControl w:val="0"/>
              <w:autoSpaceDE w:val="0"/>
              <w:autoSpaceDN w:val="0"/>
              <w:adjustRightInd w:val="0"/>
              <w:spacing w:before="79" w:after="0"/>
              <w:rPr>
                <w:rFonts w:cstheme="minorHAnsi"/>
                <w:sz w:val="22"/>
              </w:rPr>
            </w:pPr>
            <w:proofErr w:type="gramStart"/>
            <w:r w:rsidRPr="006B5978">
              <w:rPr>
                <w:rFonts w:cstheme="minorHAnsi"/>
                <w:sz w:val="22"/>
              </w:rPr>
              <w:t>Log(</w:t>
            </w:r>
            <w:proofErr w:type="gramEnd"/>
            <w:r w:rsidRPr="006B5978">
              <w:rPr>
                <w:rFonts w:cstheme="minorHAnsi"/>
                <w:sz w:val="22"/>
              </w:rPr>
              <w:t>Number Sold)</w:t>
            </w:r>
          </w:p>
        </w:tc>
        <w:tc>
          <w:tcPr>
            <w:tcW w:w="1072" w:type="dxa"/>
            <w:tcBorders>
              <w:top w:val="single" w:sz="6" w:space="0" w:color="auto"/>
              <w:left w:val="nil"/>
              <w:bottom w:val="nil"/>
              <w:right w:val="nil"/>
            </w:tcBorders>
          </w:tcPr>
          <w:p w14:paraId="78C172FA" w14:textId="77777777" w:rsidR="00B44672" w:rsidRPr="006B5978" w:rsidRDefault="00B44672" w:rsidP="00D123F1">
            <w:pPr>
              <w:widowControl w:val="0"/>
              <w:autoSpaceDE w:val="0"/>
              <w:autoSpaceDN w:val="0"/>
              <w:adjustRightInd w:val="0"/>
              <w:spacing w:before="79" w:after="0"/>
              <w:jc w:val="center"/>
              <w:rPr>
                <w:rFonts w:cstheme="minorHAnsi"/>
                <w:sz w:val="22"/>
              </w:rPr>
            </w:pPr>
            <w:r w:rsidRPr="006B5978">
              <w:rPr>
                <w:rFonts w:cstheme="minorHAnsi"/>
                <w:sz w:val="22"/>
              </w:rPr>
              <w:t>(1)</w:t>
            </w:r>
          </w:p>
        </w:tc>
        <w:tc>
          <w:tcPr>
            <w:tcW w:w="1295" w:type="dxa"/>
            <w:tcBorders>
              <w:top w:val="single" w:sz="6" w:space="0" w:color="auto"/>
              <w:left w:val="nil"/>
              <w:bottom w:val="nil"/>
              <w:right w:val="nil"/>
            </w:tcBorders>
          </w:tcPr>
          <w:p w14:paraId="3064D316" w14:textId="77777777" w:rsidR="00B44672" w:rsidRPr="006B5978" w:rsidRDefault="00B44672" w:rsidP="00D123F1">
            <w:pPr>
              <w:widowControl w:val="0"/>
              <w:autoSpaceDE w:val="0"/>
              <w:autoSpaceDN w:val="0"/>
              <w:adjustRightInd w:val="0"/>
              <w:spacing w:before="79" w:after="0"/>
              <w:jc w:val="center"/>
              <w:rPr>
                <w:rFonts w:cstheme="minorHAnsi"/>
                <w:sz w:val="22"/>
              </w:rPr>
            </w:pPr>
            <w:r w:rsidRPr="006B5978">
              <w:rPr>
                <w:rFonts w:cstheme="minorHAnsi"/>
                <w:sz w:val="22"/>
              </w:rPr>
              <w:t>(2)</w:t>
            </w:r>
          </w:p>
        </w:tc>
        <w:tc>
          <w:tcPr>
            <w:tcW w:w="1439" w:type="dxa"/>
            <w:tcBorders>
              <w:top w:val="single" w:sz="6" w:space="0" w:color="auto"/>
              <w:left w:val="nil"/>
              <w:bottom w:val="nil"/>
              <w:right w:val="nil"/>
            </w:tcBorders>
          </w:tcPr>
          <w:p w14:paraId="2702CCFC" w14:textId="77777777" w:rsidR="00B44672" w:rsidRPr="006B5978" w:rsidRDefault="00B44672" w:rsidP="00D123F1">
            <w:pPr>
              <w:widowControl w:val="0"/>
              <w:autoSpaceDE w:val="0"/>
              <w:autoSpaceDN w:val="0"/>
              <w:adjustRightInd w:val="0"/>
              <w:spacing w:before="79" w:after="0"/>
              <w:jc w:val="center"/>
              <w:rPr>
                <w:rFonts w:cstheme="minorHAnsi"/>
                <w:sz w:val="22"/>
              </w:rPr>
            </w:pPr>
            <w:r w:rsidRPr="006B5978">
              <w:rPr>
                <w:rFonts w:cstheme="minorHAnsi"/>
                <w:sz w:val="22"/>
              </w:rPr>
              <w:t>(3)</w:t>
            </w:r>
          </w:p>
        </w:tc>
        <w:tc>
          <w:tcPr>
            <w:tcW w:w="1198" w:type="dxa"/>
            <w:tcBorders>
              <w:top w:val="single" w:sz="6" w:space="0" w:color="auto"/>
              <w:left w:val="nil"/>
              <w:bottom w:val="nil"/>
              <w:right w:val="nil"/>
            </w:tcBorders>
          </w:tcPr>
          <w:p w14:paraId="317E98CB" w14:textId="77777777" w:rsidR="00B44672" w:rsidRPr="006B5978" w:rsidRDefault="00B44672" w:rsidP="00D123F1">
            <w:pPr>
              <w:widowControl w:val="0"/>
              <w:autoSpaceDE w:val="0"/>
              <w:autoSpaceDN w:val="0"/>
              <w:adjustRightInd w:val="0"/>
              <w:spacing w:before="79" w:after="0"/>
              <w:jc w:val="center"/>
              <w:rPr>
                <w:rFonts w:cstheme="minorHAnsi"/>
                <w:sz w:val="22"/>
              </w:rPr>
            </w:pPr>
            <w:r w:rsidRPr="006B5978">
              <w:rPr>
                <w:rFonts w:cstheme="minorHAnsi"/>
                <w:sz w:val="22"/>
              </w:rPr>
              <w:t>(4)</w:t>
            </w:r>
          </w:p>
        </w:tc>
        <w:tc>
          <w:tcPr>
            <w:tcW w:w="1968" w:type="dxa"/>
            <w:tcBorders>
              <w:top w:val="single" w:sz="6" w:space="0" w:color="auto"/>
              <w:left w:val="nil"/>
              <w:bottom w:val="nil"/>
              <w:right w:val="nil"/>
            </w:tcBorders>
          </w:tcPr>
          <w:p w14:paraId="60B874E4" w14:textId="77777777" w:rsidR="00B44672" w:rsidRPr="006B5978" w:rsidRDefault="00B44672" w:rsidP="00D123F1">
            <w:pPr>
              <w:widowControl w:val="0"/>
              <w:autoSpaceDE w:val="0"/>
              <w:autoSpaceDN w:val="0"/>
              <w:adjustRightInd w:val="0"/>
              <w:spacing w:before="79" w:after="0"/>
              <w:jc w:val="center"/>
              <w:rPr>
                <w:rFonts w:cstheme="minorHAnsi"/>
                <w:sz w:val="22"/>
              </w:rPr>
            </w:pPr>
            <w:r w:rsidRPr="006B5978">
              <w:rPr>
                <w:rFonts w:cstheme="minorHAnsi"/>
                <w:sz w:val="22"/>
              </w:rPr>
              <w:t>(5)</w:t>
            </w:r>
          </w:p>
        </w:tc>
      </w:tr>
      <w:tr w:rsidR="00B44672" w:rsidRPr="006B5978" w14:paraId="35162F37" w14:textId="77777777" w:rsidTr="00D123F1">
        <w:trPr>
          <w:jc w:val="center"/>
        </w:trPr>
        <w:tc>
          <w:tcPr>
            <w:tcW w:w="2676" w:type="dxa"/>
            <w:tcBorders>
              <w:top w:val="nil"/>
              <w:left w:val="nil"/>
              <w:bottom w:val="nil"/>
              <w:right w:val="nil"/>
            </w:tcBorders>
          </w:tcPr>
          <w:p w14:paraId="2468EA55" w14:textId="77777777" w:rsidR="00B44672" w:rsidRPr="006B5978" w:rsidRDefault="00B44672" w:rsidP="00D123F1">
            <w:pPr>
              <w:widowControl w:val="0"/>
              <w:autoSpaceDE w:val="0"/>
              <w:autoSpaceDN w:val="0"/>
              <w:adjustRightInd w:val="0"/>
              <w:spacing w:after="79"/>
              <w:rPr>
                <w:rFonts w:cstheme="minorHAnsi"/>
                <w:sz w:val="22"/>
              </w:rPr>
            </w:pPr>
          </w:p>
        </w:tc>
        <w:tc>
          <w:tcPr>
            <w:tcW w:w="1072" w:type="dxa"/>
            <w:tcBorders>
              <w:top w:val="nil"/>
              <w:left w:val="nil"/>
              <w:bottom w:val="nil"/>
              <w:right w:val="nil"/>
            </w:tcBorders>
          </w:tcPr>
          <w:p w14:paraId="67F28802" w14:textId="77777777" w:rsidR="00B44672" w:rsidRPr="006B5978" w:rsidRDefault="00B44672" w:rsidP="009E769F">
            <w:pPr>
              <w:widowControl w:val="0"/>
              <w:autoSpaceDE w:val="0"/>
              <w:autoSpaceDN w:val="0"/>
              <w:adjustRightInd w:val="0"/>
              <w:spacing w:after="79"/>
              <w:jc w:val="center"/>
              <w:rPr>
                <w:rFonts w:cstheme="minorHAnsi"/>
                <w:sz w:val="22"/>
              </w:rPr>
            </w:pPr>
            <w:proofErr w:type="gramStart"/>
            <w:r w:rsidRPr="006B5978">
              <w:rPr>
                <w:rFonts w:cstheme="minorHAnsi"/>
                <w:sz w:val="22"/>
              </w:rPr>
              <w:t>All  Suburbs</w:t>
            </w:r>
            <w:proofErr w:type="gramEnd"/>
          </w:p>
        </w:tc>
        <w:tc>
          <w:tcPr>
            <w:tcW w:w="1295" w:type="dxa"/>
            <w:tcBorders>
              <w:top w:val="nil"/>
              <w:left w:val="nil"/>
              <w:bottom w:val="nil"/>
              <w:right w:val="nil"/>
            </w:tcBorders>
          </w:tcPr>
          <w:p w14:paraId="5E58995B" w14:textId="77777777" w:rsidR="00B44672" w:rsidRPr="006B5978" w:rsidRDefault="00B44672" w:rsidP="00D123F1">
            <w:pPr>
              <w:widowControl w:val="0"/>
              <w:autoSpaceDE w:val="0"/>
              <w:autoSpaceDN w:val="0"/>
              <w:adjustRightInd w:val="0"/>
              <w:spacing w:after="79"/>
              <w:jc w:val="center"/>
              <w:rPr>
                <w:rFonts w:cstheme="minorHAnsi"/>
                <w:sz w:val="22"/>
              </w:rPr>
            </w:pPr>
            <w:proofErr w:type="gramStart"/>
            <w:r w:rsidRPr="006B5978">
              <w:rPr>
                <w:rFonts w:cstheme="minorHAnsi"/>
                <w:sz w:val="22"/>
              </w:rPr>
              <w:t>All  Suburbs</w:t>
            </w:r>
            <w:proofErr w:type="gramEnd"/>
          </w:p>
        </w:tc>
        <w:tc>
          <w:tcPr>
            <w:tcW w:w="1439" w:type="dxa"/>
            <w:tcBorders>
              <w:top w:val="nil"/>
              <w:left w:val="nil"/>
              <w:bottom w:val="nil"/>
              <w:right w:val="nil"/>
            </w:tcBorders>
          </w:tcPr>
          <w:p w14:paraId="08000FBA" w14:textId="77777777" w:rsidR="00B44672" w:rsidRPr="006B5978" w:rsidRDefault="00B44672" w:rsidP="00D123F1">
            <w:pPr>
              <w:widowControl w:val="0"/>
              <w:autoSpaceDE w:val="0"/>
              <w:autoSpaceDN w:val="0"/>
              <w:adjustRightInd w:val="0"/>
              <w:spacing w:after="79"/>
              <w:jc w:val="center"/>
              <w:rPr>
                <w:rFonts w:cstheme="minorHAnsi"/>
                <w:sz w:val="22"/>
              </w:rPr>
            </w:pPr>
            <w:r w:rsidRPr="006B5978">
              <w:rPr>
                <w:rFonts w:cstheme="minorHAnsi"/>
                <w:sz w:val="22"/>
              </w:rPr>
              <w:t>Capital Cities</w:t>
            </w:r>
          </w:p>
        </w:tc>
        <w:tc>
          <w:tcPr>
            <w:tcW w:w="1198" w:type="dxa"/>
            <w:tcBorders>
              <w:top w:val="nil"/>
              <w:left w:val="nil"/>
              <w:bottom w:val="nil"/>
              <w:right w:val="nil"/>
            </w:tcBorders>
          </w:tcPr>
          <w:p w14:paraId="056819FB" w14:textId="77777777" w:rsidR="00B44672" w:rsidRPr="006B5978" w:rsidRDefault="00B44672" w:rsidP="00D123F1">
            <w:pPr>
              <w:widowControl w:val="0"/>
              <w:autoSpaceDE w:val="0"/>
              <w:autoSpaceDN w:val="0"/>
              <w:adjustRightInd w:val="0"/>
              <w:spacing w:after="79"/>
              <w:jc w:val="center"/>
              <w:rPr>
                <w:rFonts w:cstheme="minorHAnsi"/>
                <w:sz w:val="22"/>
              </w:rPr>
            </w:pPr>
            <w:r w:rsidRPr="006B5978">
              <w:rPr>
                <w:rFonts w:cstheme="minorHAnsi"/>
                <w:sz w:val="22"/>
              </w:rPr>
              <w:t>NSW &amp; VIC</w:t>
            </w:r>
          </w:p>
        </w:tc>
        <w:tc>
          <w:tcPr>
            <w:tcW w:w="1968" w:type="dxa"/>
            <w:tcBorders>
              <w:top w:val="nil"/>
              <w:left w:val="nil"/>
              <w:bottom w:val="nil"/>
              <w:right w:val="nil"/>
            </w:tcBorders>
          </w:tcPr>
          <w:p w14:paraId="05B969A2" w14:textId="77777777" w:rsidR="00B44672" w:rsidRPr="006B5978" w:rsidRDefault="00B44672" w:rsidP="00D123F1">
            <w:pPr>
              <w:widowControl w:val="0"/>
              <w:autoSpaceDE w:val="0"/>
              <w:autoSpaceDN w:val="0"/>
              <w:adjustRightInd w:val="0"/>
              <w:spacing w:after="79"/>
              <w:jc w:val="center"/>
              <w:rPr>
                <w:rFonts w:cstheme="minorHAnsi"/>
                <w:sz w:val="22"/>
              </w:rPr>
            </w:pPr>
            <w:r w:rsidRPr="006B5978">
              <w:rPr>
                <w:rFonts w:cstheme="minorHAnsi"/>
                <w:sz w:val="22"/>
              </w:rPr>
              <w:t>Capital Cities, NSW &amp; VIC</w:t>
            </w:r>
          </w:p>
        </w:tc>
      </w:tr>
      <w:tr w:rsidR="00B44672" w:rsidRPr="006B5978" w14:paraId="4F66DEFE" w14:textId="77777777" w:rsidTr="00D123F1">
        <w:trPr>
          <w:jc w:val="center"/>
        </w:trPr>
        <w:tc>
          <w:tcPr>
            <w:tcW w:w="2676" w:type="dxa"/>
            <w:tcBorders>
              <w:top w:val="single" w:sz="6" w:space="0" w:color="auto"/>
              <w:left w:val="nil"/>
              <w:bottom w:val="nil"/>
              <w:right w:val="nil"/>
            </w:tcBorders>
          </w:tcPr>
          <w:p w14:paraId="2F1E0FC6" w14:textId="77777777" w:rsidR="00B44672" w:rsidRPr="006B5978" w:rsidRDefault="00B44672" w:rsidP="00D123F1">
            <w:pPr>
              <w:widowControl w:val="0"/>
              <w:autoSpaceDE w:val="0"/>
              <w:autoSpaceDN w:val="0"/>
              <w:adjustRightInd w:val="0"/>
              <w:spacing w:after="0"/>
              <w:rPr>
                <w:rFonts w:cstheme="minorHAnsi"/>
                <w:sz w:val="22"/>
              </w:rPr>
            </w:pPr>
            <w:r w:rsidRPr="006B5978">
              <w:rPr>
                <w:rFonts w:cstheme="minorHAnsi"/>
                <w:sz w:val="22"/>
              </w:rPr>
              <w:t>Reform Dummy</w:t>
            </w:r>
          </w:p>
        </w:tc>
        <w:tc>
          <w:tcPr>
            <w:tcW w:w="1072" w:type="dxa"/>
            <w:tcBorders>
              <w:top w:val="single" w:sz="6" w:space="0" w:color="auto"/>
              <w:left w:val="nil"/>
              <w:bottom w:val="nil"/>
              <w:right w:val="nil"/>
            </w:tcBorders>
          </w:tcPr>
          <w:p w14:paraId="2F4FDAA6"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-0.092</w:t>
            </w:r>
          </w:p>
        </w:tc>
        <w:tc>
          <w:tcPr>
            <w:tcW w:w="1295" w:type="dxa"/>
            <w:tcBorders>
              <w:top w:val="single" w:sz="6" w:space="0" w:color="auto"/>
              <w:left w:val="nil"/>
              <w:bottom w:val="nil"/>
              <w:right w:val="nil"/>
            </w:tcBorders>
          </w:tcPr>
          <w:p w14:paraId="2583E33B"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0.051</w:t>
            </w:r>
          </w:p>
        </w:tc>
        <w:tc>
          <w:tcPr>
            <w:tcW w:w="1439" w:type="dxa"/>
            <w:tcBorders>
              <w:top w:val="single" w:sz="6" w:space="0" w:color="auto"/>
              <w:left w:val="nil"/>
              <w:bottom w:val="nil"/>
              <w:right w:val="nil"/>
            </w:tcBorders>
          </w:tcPr>
          <w:p w14:paraId="4FB10881"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0.021</w:t>
            </w:r>
          </w:p>
        </w:tc>
        <w:tc>
          <w:tcPr>
            <w:tcW w:w="1198" w:type="dxa"/>
            <w:tcBorders>
              <w:top w:val="single" w:sz="6" w:space="0" w:color="auto"/>
              <w:left w:val="nil"/>
              <w:bottom w:val="nil"/>
              <w:right w:val="nil"/>
            </w:tcBorders>
          </w:tcPr>
          <w:p w14:paraId="55A00DEF"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0.012</w:t>
            </w:r>
          </w:p>
        </w:tc>
        <w:tc>
          <w:tcPr>
            <w:tcW w:w="1968" w:type="dxa"/>
            <w:tcBorders>
              <w:top w:val="single" w:sz="6" w:space="0" w:color="auto"/>
              <w:left w:val="nil"/>
              <w:bottom w:val="nil"/>
              <w:right w:val="nil"/>
            </w:tcBorders>
          </w:tcPr>
          <w:p w14:paraId="78437831"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0.026</w:t>
            </w:r>
          </w:p>
        </w:tc>
      </w:tr>
      <w:tr w:rsidR="00B44672" w:rsidRPr="006B5978" w14:paraId="3F582726" w14:textId="77777777" w:rsidTr="00D123F1">
        <w:trPr>
          <w:jc w:val="center"/>
        </w:trPr>
        <w:tc>
          <w:tcPr>
            <w:tcW w:w="2676" w:type="dxa"/>
            <w:tcBorders>
              <w:top w:val="nil"/>
              <w:left w:val="nil"/>
              <w:bottom w:val="nil"/>
              <w:right w:val="nil"/>
            </w:tcBorders>
          </w:tcPr>
          <w:p w14:paraId="3885A565" w14:textId="77777777" w:rsidR="00B44672" w:rsidRPr="006B5978" w:rsidRDefault="00B44672" w:rsidP="00D123F1">
            <w:pPr>
              <w:widowControl w:val="0"/>
              <w:autoSpaceDE w:val="0"/>
              <w:autoSpaceDN w:val="0"/>
              <w:adjustRightInd w:val="0"/>
              <w:spacing w:after="0"/>
              <w:rPr>
                <w:rFonts w:cstheme="minorHAnsi"/>
                <w:sz w:val="22"/>
              </w:rPr>
            </w:pPr>
            <w:r>
              <w:rPr>
                <w:rFonts w:cstheme="minorHAnsi"/>
                <w:sz w:val="22"/>
              </w:rPr>
              <w:t>Standard error</w:t>
            </w:r>
          </w:p>
        </w:tc>
        <w:tc>
          <w:tcPr>
            <w:tcW w:w="1072" w:type="dxa"/>
            <w:tcBorders>
              <w:top w:val="nil"/>
              <w:left w:val="nil"/>
              <w:bottom w:val="nil"/>
              <w:right w:val="nil"/>
            </w:tcBorders>
          </w:tcPr>
          <w:p w14:paraId="7A26D57A"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0.008]*</w:t>
            </w:r>
            <w:proofErr w:type="gramEnd"/>
            <w:r w:rsidRPr="006B5978">
              <w:rPr>
                <w:rFonts w:cstheme="minorHAnsi"/>
                <w:sz w:val="22"/>
              </w:rPr>
              <w:t>*</w:t>
            </w:r>
          </w:p>
        </w:tc>
        <w:tc>
          <w:tcPr>
            <w:tcW w:w="1295" w:type="dxa"/>
            <w:tcBorders>
              <w:top w:val="nil"/>
              <w:left w:val="nil"/>
              <w:bottom w:val="nil"/>
              <w:right w:val="nil"/>
            </w:tcBorders>
          </w:tcPr>
          <w:p w14:paraId="3ED89598"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0.010]*</w:t>
            </w:r>
            <w:proofErr w:type="gramEnd"/>
            <w:r w:rsidRPr="006B5978">
              <w:rPr>
                <w:rFonts w:cstheme="minorHAnsi"/>
                <w:sz w:val="22"/>
              </w:rPr>
              <w:t>*</w:t>
            </w:r>
          </w:p>
        </w:tc>
        <w:tc>
          <w:tcPr>
            <w:tcW w:w="1439" w:type="dxa"/>
            <w:tcBorders>
              <w:top w:val="nil"/>
              <w:left w:val="nil"/>
              <w:bottom w:val="nil"/>
              <w:right w:val="nil"/>
            </w:tcBorders>
          </w:tcPr>
          <w:p w14:paraId="15EFADD4"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0.009]*</w:t>
            </w:r>
            <w:proofErr w:type="gramEnd"/>
          </w:p>
        </w:tc>
        <w:tc>
          <w:tcPr>
            <w:tcW w:w="1198" w:type="dxa"/>
            <w:tcBorders>
              <w:top w:val="nil"/>
              <w:left w:val="nil"/>
              <w:bottom w:val="nil"/>
              <w:right w:val="nil"/>
            </w:tcBorders>
          </w:tcPr>
          <w:p w14:paraId="26EC6E0A"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[0.010]</w:t>
            </w:r>
          </w:p>
        </w:tc>
        <w:tc>
          <w:tcPr>
            <w:tcW w:w="1968" w:type="dxa"/>
            <w:tcBorders>
              <w:top w:val="nil"/>
              <w:left w:val="nil"/>
              <w:bottom w:val="nil"/>
              <w:right w:val="nil"/>
            </w:tcBorders>
          </w:tcPr>
          <w:p w14:paraId="57464F2C"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0.010]*</w:t>
            </w:r>
            <w:proofErr w:type="gramEnd"/>
            <w:r w:rsidRPr="006B5978">
              <w:rPr>
                <w:rFonts w:cstheme="minorHAnsi"/>
                <w:sz w:val="22"/>
              </w:rPr>
              <w:t>*</w:t>
            </w:r>
          </w:p>
        </w:tc>
      </w:tr>
      <w:tr w:rsidR="00B44672" w:rsidRPr="006B5978" w14:paraId="0AEE4056" w14:textId="77777777" w:rsidTr="00D123F1">
        <w:trPr>
          <w:jc w:val="center"/>
        </w:trPr>
        <w:tc>
          <w:tcPr>
            <w:tcW w:w="2676" w:type="dxa"/>
            <w:tcBorders>
              <w:top w:val="nil"/>
              <w:left w:val="nil"/>
              <w:bottom w:val="nil"/>
              <w:right w:val="nil"/>
            </w:tcBorders>
          </w:tcPr>
          <w:p w14:paraId="33E2A051" w14:textId="77777777" w:rsidR="00B44672" w:rsidRPr="006B5978" w:rsidRDefault="00B44672" w:rsidP="00D123F1">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Population)</w:t>
            </w:r>
          </w:p>
        </w:tc>
        <w:tc>
          <w:tcPr>
            <w:tcW w:w="1072" w:type="dxa"/>
            <w:tcBorders>
              <w:top w:val="nil"/>
              <w:left w:val="nil"/>
              <w:bottom w:val="nil"/>
              <w:right w:val="nil"/>
            </w:tcBorders>
          </w:tcPr>
          <w:p w14:paraId="182D1028" w14:textId="77777777" w:rsidR="00B44672" w:rsidRPr="006B5978" w:rsidRDefault="00B44672" w:rsidP="00D123F1">
            <w:pPr>
              <w:widowControl w:val="0"/>
              <w:autoSpaceDE w:val="0"/>
              <w:autoSpaceDN w:val="0"/>
              <w:adjustRightInd w:val="0"/>
              <w:spacing w:after="0"/>
              <w:jc w:val="center"/>
              <w:rPr>
                <w:rFonts w:cstheme="minorHAnsi"/>
                <w:sz w:val="22"/>
              </w:rPr>
            </w:pPr>
          </w:p>
        </w:tc>
        <w:tc>
          <w:tcPr>
            <w:tcW w:w="1295" w:type="dxa"/>
            <w:tcBorders>
              <w:top w:val="nil"/>
              <w:left w:val="nil"/>
              <w:bottom w:val="nil"/>
              <w:right w:val="nil"/>
            </w:tcBorders>
          </w:tcPr>
          <w:p w14:paraId="13D18203"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0.015</w:t>
            </w:r>
          </w:p>
        </w:tc>
        <w:tc>
          <w:tcPr>
            <w:tcW w:w="1439" w:type="dxa"/>
            <w:tcBorders>
              <w:top w:val="nil"/>
              <w:left w:val="nil"/>
              <w:bottom w:val="nil"/>
              <w:right w:val="nil"/>
            </w:tcBorders>
          </w:tcPr>
          <w:p w14:paraId="67755865"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-0.013</w:t>
            </w:r>
          </w:p>
        </w:tc>
        <w:tc>
          <w:tcPr>
            <w:tcW w:w="1198" w:type="dxa"/>
            <w:tcBorders>
              <w:top w:val="nil"/>
              <w:left w:val="nil"/>
              <w:bottom w:val="nil"/>
              <w:right w:val="nil"/>
            </w:tcBorders>
          </w:tcPr>
          <w:p w14:paraId="1BCD1A72"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-4.004</w:t>
            </w:r>
          </w:p>
        </w:tc>
        <w:tc>
          <w:tcPr>
            <w:tcW w:w="1968" w:type="dxa"/>
            <w:tcBorders>
              <w:top w:val="nil"/>
              <w:left w:val="nil"/>
              <w:bottom w:val="nil"/>
              <w:right w:val="nil"/>
            </w:tcBorders>
          </w:tcPr>
          <w:p w14:paraId="267C55A4"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-5.475</w:t>
            </w:r>
          </w:p>
        </w:tc>
      </w:tr>
      <w:tr w:rsidR="00B44672" w:rsidRPr="006B5978" w14:paraId="7AE03519" w14:textId="77777777" w:rsidTr="00D123F1">
        <w:trPr>
          <w:jc w:val="center"/>
        </w:trPr>
        <w:tc>
          <w:tcPr>
            <w:tcW w:w="2676" w:type="dxa"/>
            <w:tcBorders>
              <w:top w:val="nil"/>
              <w:left w:val="nil"/>
              <w:bottom w:val="nil"/>
              <w:right w:val="nil"/>
            </w:tcBorders>
          </w:tcPr>
          <w:p w14:paraId="7126C8DB" w14:textId="77777777" w:rsidR="00B44672" w:rsidRPr="006B5978" w:rsidRDefault="00B44672" w:rsidP="00D123F1">
            <w:pPr>
              <w:widowControl w:val="0"/>
              <w:autoSpaceDE w:val="0"/>
              <w:autoSpaceDN w:val="0"/>
              <w:adjustRightInd w:val="0"/>
              <w:spacing w:after="0"/>
              <w:rPr>
                <w:rFonts w:cstheme="minorHAnsi"/>
                <w:sz w:val="22"/>
              </w:rPr>
            </w:pPr>
            <w:r>
              <w:rPr>
                <w:rFonts w:cstheme="minorHAnsi"/>
                <w:sz w:val="22"/>
              </w:rPr>
              <w:t>Standard error</w:t>
            </w:r>
          </w:p>
        </w:tc>
        <w:tc>
          <w:tcPr>
            <w:tcW w:w="1072" w:type="dxa"/>
            <w:tcBorders>
              <w:top w:val="nil"/>
              <w:left w:val="nil"/>
              <w:bottom w:val="nil"/>
              <w:right w:val="nil"/>
            </w:tcBorders>
          </w:tcPr>
          <w:p w14:paraId="77F45A70" w14:textId="77777777" w:rsidR="00B44672" w:rsidRPr="006B5978" w:rsidRDefault="00B44672" w:rsidP="00D123F1">
            <w:pPr>
              <w:widowControl w:val="0"/>
              <w:autoSpaceDE w:val="0"/>
              <w:autoSpaceDN w:val="0"/>
              <w:adjustRightInd w:val="0"/>
              <w:spacing w:after="0"/>
              <w:jc w:val="center"/>
              <w:rPr>
                <w:rFonts w:cstheme="minorHAnsi"/>
                <w:sz w:val="22"/>
              </w:rPr>
            </w:pPr>
          </w:p>
        </w:tc>
        <w:tc>
          <w:tcPr>
            <w:tcW w:w="1295" w:type="dxa"/>
            <w:tcBorders>
              <w:top w:val="nil"/>
              <w:left w:val="nil"/>
              <w:bottom w:val="nil"/>
              <w:right w:val="nil"/>
            </w:tcBorders>
          </w:tcPr>
          <w:p w14:paraId="743E75A4"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[0.117]</w:t>
            </w:r>
          </w:p>
        </w:tc>
        <w:tc>
          <w:tcPr>
            <w:tcW w:w="1439" w:type="dxa"/>
            <w:tcBorders>
              <w:top w:val="nil"/>
              <w:left w:val="nil"/>
              <w:bottom w:val="nil"/>
              <w:right w:val="nil"/>
            </w:tcBorders>
          </w:tcPr>
          <w:p w14:paraId="1B3417A1"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[0.151]</w:t>
            </w:r>
          </w:p>
        </w:tc>
        <w:tc>
          <w:tcPr>
            <w:tcW w:w="1198" w:type="dxa"/>
            <w:tcBorders>
              <w:top w:val="nil"/>
              <w:left w:val="nil"/>
              <w:bottom w:val="nil"/>
              <w:right w:val="nil"/>
            </w:tcBorders>
          </w:tcPr>
          <w:p w14:paraId="387B497D"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0.207]*</w:t>
            </w:r>
            <w:proofErr w:type="gramEnd"/>
            <w:r w:rsidRPr="006B5978">
              <w:rPr>
                <w:rFonts w:cstheme="minorHAnsi"/>
                <w:sz w:val="22"/>
              </w:rPr>
              <w:t>*</w:t>
            </w:r>
          </w:p>
        </w:tc>
        <w:tc>
          <w:tcPr>
            <w:tcW w:w="1968" w:type="dxa"/>
            <w:tcBorders>
              <w:top w:val="nil"/>
              <w:left w:val="nil"/>
              <w:bottom w:val="nil"/>
              <w:right w:val="nil"/>
            </w:tcBorders>
          </w:tcPr>
          <w:p w14:paraId="6CBF1D9E"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0.205]*</w:t>
            </w:r>
            <w:proofErr w:type="gramEnd"/>
            <w:r w:rsidRPr="006B5978">
              <w:rPr>
                <w:rFonts w:cstheme="minorHAnsi"/>
                <w:sz w:val="22"/>
              </w:rPr>
              <w:t>*</w:t>
            </w:r>
          </w:p>
        </w:tc>
      </w:tr>
      <w:tr w:rsidR="00B44672" w:rsidRPr="006B5978" w14:paraId="03084F0C" w14:textId="77777777" w:rsidTr="00D123F1">
        <w:trPr>
          <w:jc w:val="center"/>
        </w:trPr>
        <w:tc>
          <w:tcPr>
            <w:tcW w:w="2676" w:type="dxa"/>
            <w:tcBorders>
              <w:top w:val="nil"/>
              <w:left w:val="nil"/>
              <w:bottom w:val="nil"/>
              <w:right w:val="nil"/>
            </w:tcBorders>
          </w:tcPr>
          <w:p w14:paraId="06620648" w14:textId="77777777" w:rsidR="00B44672" w:rsidRPr="006B5978" w:rsidRDefault="00B44672" w:rsidP="00D123F1">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Income)</w:t>
            </w:r>
          </w:p>
        </w:tc>
        <w:tc>
          <w:tcPr>
            <w:tcW w:w="1072" w:type="dxa"/>
            <w:tcBorders>
              <w:top w:val="nil"/>
              <w:left w:val="nil"/>
              <w:bottom w:val="nil"/>
              <w:right w:val="nil"/>
            </w:tcBorders>
          </w:tcPr>
          <w:p w14:paraId="7997B7EB" w14:textId="77777777" w:rsidR="00B44672" w:rsidRPr="006B5978" w:rsidRDefault="00B44672" w:rsidP="00D123F1">
            <w:pPr>
              <w:widowControl w:val="0"/>
              <w:autoSpaceDE w:val="0"/>
              <w:autoSpaceDN w:val="0"/>
              <w:adjustRightInd w:val="0"/>
              <w:spacing w:after="0"/>
              <w:jc w:val="center"/>
              <w:rPr>
                <w:rFonts w:cstheme="minorHAnsi"/>
                <w:sz w:val="22"/>
              </w:rPr>
            </w:pPr>
          </w:p>
        </w:tc>
        <w:tc>
          <w:tcPr>
            <w:tcW w:w="1295" w:type="dxa"/>
            <w:tcBorders>
              <w:top w:val="nil"/>
              <w:left w:val="nil"/>
              <w:bottom w:val="nil"/>
              <w:right w:val="nil"/>
            </w:tcBorders>
          </w:tcPr>
          <w:p w14:paraId="4C77A250"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2.260</w:t>
            </w:r>
          </w:p>
        </w:tc>
        <w:tc>
          <w:tcPr>
            <w:tcW w:w="1439" w:type="dxa"/>
            <w:tcBorders>
              <w:top w:val="nil"/>
              <w:left w:val="nil"/>
              <w:bottom w:val="nil"/>
              <w:right w:val="nil"/>
            </w:tcBorders>
          </w:tcPr>
          <w:p w14:paraId="249ABF4A"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2.280</w:t>
            </w:r>
          </w:p>
        </w:tc>
        <w:tc>
          <w:tcPr>
            <w:tcW w:w="1198" w:type="dxa"/>
            <w:tcBorders>
              <w:top w:val="nil"/>
              <w:left w:val="nil"/>
              <w:bottom w:val="nil"/>
              <w:right w:val="nil"/>
            </w:tcBorders>
          </w:tcPr>
          <w:p w14:paraId="5FA946C2"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1.840</w:t>
            </w:r>
          </w:p>
        </w:tc>
        <w:tc>
          <w:tcPr>
            <w:tcW w:w="1968" w:type="dxa"/>
            <w:tcBorders>
              <w:top w:val="nil"/>
              <w:left w:val="nil"/>
              <w:bottom w:val="nil"/>
              <w:right w:val="nil"/>
            </w:tcBorders>
          </w:tcPr>
          <w:p w14:paraId="7C0C6840"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2.391</w:t>
            </w:r>
          </w:p>
        </w:tc>
      </w:tr>
      <w:tr w:rsidR="00B44672" w:rsidRPr="006B5978" w14:paraId="402EFD6A" w14:textId="77777777" w:rsidTr="00D123F1">
        <w:trPr>
          <w:jc w:val="center"/>
        </w:trPr>
        <w:tc>
          <w:tcPr>
            <w:tcW w:w="2676" w:type="dxa"/>
            <w:tcBorders>
              <w:top w:val="nil"/>
              <w:left w:val="nil"/>
              <w:bottom w:val="nil"/>
              <w:right w:val="nil"/>
            </w:tcBorders>
          </w:tcPr>
          <w:p w14:paraId="70CD3322" w14:textId="77777777" w:rsidR="00B44672" w:rsidRPr="006B5978" w:rsidRDefault="00B44672" w:rsidP="00D123F1">
            <w:pPr>
              <w:widowControl w:val="0"/>
              <w:autoSpaceDE w:val="0"/>
              <w:autoSpaceDN w:val="0"/>
              <w:adjustRightInd w:val="0"/>
              <w:spacing w:after="0"/>
              <w:rPr>
                <w:rFonts w:cstheme="minorHAnsi"/>
                <w:sz w:val="22"/>
              </w:rPr>
            </w:pPr>
            <w:r>
              <w:rPr>
                <w:rFonts w:cstheme="minorHAnsi"/>
                <w:sz w:val="22"/>
              </w:rPr>
              <w:lastRenderedPageBreak/>
              <w:t>Standard error</w:t>
            </w:r>
          </w:p>
        </w:tc>
        <w:tc>
          <w:tcPr>
            <w:tcW w:w="1072" w:type="dxa"/>
            <w:tcBorders>
              <w:top w:val="nil"/>
              <w:left w:val="nil"/>
              <w:bottom w:val="nil"/>
              <w:right w:val="nil"/>
            </w:tcBorders>
          </w:tcPr>
          <w:p w14:paraId="0B2F8CE7" w14:textId="77777777" w:rsidR="00B44672" w:rsidRPr="006B5978" w:rsidRDefault="00B44672" w:rsidP="00D123F1">
            <w:pPr>
              <w:widowControl w:val="0"/>
              <w:autoSpaceDE w:val="0"/>
              <w:autoSpaceDN w:val="0"/>
              <w:adjustRightInd w:val="0"/>
              <w:spacing w:after="0"/>
              <w:jc w:val="center"/>
              <w:rPr>
                <w:rFonts w:cstheme="minorHAnsi"/>
                <w:sz w:val="22"/>
              </w:rPr>
            </w:pPr>
          </w:p>
        </w:tc>
        <w:tc>
          <w:tcPr>
            <w:tcW w:w="1295" w:type="dxa"/>
            <w:tcBorders>
              <w:top w:val="nil"/>
              <w:left w:val="nil"/>
              <w:bottom w:val="nil"/>
              <w:right w:val="nil"/>
            </w:tcBorders>
          </w:tcPr>
          <w:p w14:paraId="3A3D338A"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0.085]*</w:t>
            </w:r>
            <w:proofErr w:type="gramEnd"/>
            <w:r w:rsidRPr="006B5978">
              <w:rPr>
                <w:rFonts w:cstheme="minorHAnsi"/>
                <w:sz w:val="22"/>
              </w:rPr>
              <w:t>*</w:t>
            </w:r>
          </w:p>
        </w:tc>
        <w:tc>
          <w:tcPr>
            <w:tcW w:w="1439" w:type="dxa"/>
            <w:tcBorders>
              <w:top w:val="nil"/>
              <w:left w:val="nil"/>
              <w:bottom w:val="nil"/>
              <w:right w:val="nil"/>
            </w:tcBorders>
          </w:tcPr>
          <w:p w14:paraId="58EF02C2"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0.074]*</w:t>
            </w:r>
            <w:proofErr w:type="gramEnd"/>
            <w:r w:rsidRPr="006B5978">
              <w:rPr>
                <w:rFonts w:cstheme="minorHAnsi"/>
                <w:sz w:val="22"/>
              </w:rPr>
              <w:t>*</w:t>
            </w:r>
          </w:p>
        </w:tc>
        <w:tc>
          <w:tcPr>
            <w:tcW w:w="1198" w:type="dxa"/>
            <w:tcBorders>
              <w:top w:val="nil"/>
              <w:left w:val="nil"/>
              <w:bottom w:val="nil"/>
              <w:right w:val="nil"/>
            </w:tcBorders>
          </w:tcPr>
          <w:p w14:paraId="6449AD35"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0.116]*</w:t>
            </w:r>
            <w:proofErr w:type="gramEnd"/>
            <w:r w:rsidRPr="006B5978">
              <w:rPr>
                <w:rFonts w:cstheme="minorHAnsi"/>
                <w:sz w:val="22"/>
              </w:rPr>
              <w:t>*</w:t>
            </w:r>
          </w:p>
        </w:tc>
        <w:tc>
          <w:tcPr>
            <w:tcW w:w="1968" w:type="dxa"/>
            <w:tcBorders>
              <w:top w:val="nil"/>
              <w:left w:val="nil"/>
              <w:bottom w:val="nil"/>
              <w:right w:val="nil"/>
            </w:tcBorders>
          </w:tcPr>
          <w:p w14:paraId="7986B732"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0.115]*</w:t>
            </w:r>
            <w:proofErr w:type="gramEnd"/>
            <w:r w:rsidRPr="006B5978">
              <w:rPr>
                <w:rFonts w:cstheme="minorHAnsi"/>
                <w:sz w:val="22"/>
              </w:rPr>
              <w:t>*</w:t>
            </w:r>
          </w:p>
        </w:tc>
      </w:tr>
      <w:tr w:rsidR="00B44672" w:rsidRPr="006B5978" w14:paraId="2A21E9A9" w14:textId="77777777" w:rsidTr="00D123F1">
        <w:trPr>
          <w:jc w:val="center"/>
        </w:trPr>
        <w:tc>
          <w:tcPr>
            <w:tcW w:w="2676" w:type="dxa"/>
            <w:tcBorders>
              <w:top w:val="nil"/>
              <w:left w:val="nil"/>
              <w:bottom w:val="nil"/>
              <w:right w:val="nil"/>
            </w:tcBorders>
          </w:tcPr>
          <w:p w14:paraId="65BC95E9" w14:textId="77777777" w:rsidR="00B44672" w:rsidRPr="006B5978" w:rsidRDefault="00B44672" w:rsidP="00D123F1">
            <w:pPr>
              <w:widowControl w:val="0"/>
              <w:autoSpaceDE w:val="0"/>
              <w:autoSpaceDN w:val="0"/>
              <w:adjustRightInd w:val="0"/>
              <w:spacing w:after="0"/>
              <w:rPr>
                <w:rFonts w:cstheme="minorHAnsi"/>
                <w:sz w:val="22"/>
              </w:rPr>
            </w:pPr>
            <w:r w:rsidRPr="006B5978">
              <w:rPr>
                <w:rFonts w:cstheme="minorHAnsi"/>
                <w:sz w:val="22"/>
              </w:rPr>
              <w:t>Time &amp; Suburb FE</w:t>
            </w:r>
          </w:p>
        </w:tc>
        <w:tc>
          <w:tcPr>
            <w:tcW w:w="1072" w:type="dxa"/>
            <w:tcBorders>
              <w:top w:val="nil"/>
              <w:left w:val="nil"/>
              <w:bottom w:val="nil"/>
              <w:right w:val="nil"/>
            </w:tcBorders>
          </w:tcPr>
          <w:p w14:paraId="0ECFF3A6"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YES</w:t>
            </w:r>
          </w:p>
        </w:tc>
        <w:tc>
          <w:tcPr>
            <w:tcW w:w="1295" w:type="dxa"/>
            <w:tcBorders>
              <w:top w:val="nil"/>
              <w:left w:val="nil"/>
              <w:bottom w:val="nil"/>
              <w:right w:val="nil"/>
            </w:tcBorders>
          </w:tcPr>
          <w:p w14:paraId="5AC2DF46"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YES</w:t>
            </w:r>
          </w:p>
        </w:tc>
        <w:tc>
          <w:tcPr>
            <w:tcW w:w="1439" w:type="dxa"/>
            <w:tcBorders>
              <w:top w:val="nil"/>
              <w:left w:val="nil"/>
              <w:bottom w:val="nil"/>
              <w:right w:val="nil"/>
            </w:tcBorders>
          </w:tcPr>
          <w:p w14:paraId="00FC7493"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YES</w:t>
            </w:r>
          </w:p>
        </w:tc>
        <w:tc>
          <w:tcPr>
            <w:tcW w:w="1198" w:type="dxa"/>
            <w:tcBorders>
              <w:top w:val="nil"/>
              <w:left w:val="nil"/>
              <w:bottom w:val="nil"/>
              <w:right w:val="nil"/>
            </w:tcBorders>
          </w:tcPr>
          <w:p w14:paraId="7010CD58"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YES</w:t>
            </w:r>
          </w:p>
        </w:tc>
        <w:tc>
          <w:tcPr>
            <w:tcW w:w="1968" w:type="dxa"/>
            <w:tcBorders>
              <w:top w:val="nil"/>
              <w:left w:val="nil"/>
              <w:bottom w:val="nil"/>
              <w:right w:val="nil"/>
            </w:tcBorders>
          </w:tcPr>
          <w:p w14:paraId="4FA28DAC"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YES</w:t>
            </w:r>
          </w:p>
        </w:tc>
      </w:tr>
      <w:tr w:rsidR="00B44672" w:rsidRPr="006B5978" w14:paraId="03CE8A9B" w14:textId="77777777" w:rsidTr="00D123F1">
        <w:trPr>
          <w:jc w:val="center"/>
        </w:trPr>
        <w:tc>
          <w:tcPr>
            <w:tcW w:w="2676" w:type="dxa"/>
            <w:tcBorders>
              <w:top w:val="nil"/>
              <w:left w:val="nil"/>
              <w:bottom w:val="nil"/>
              <w:right w:val="nil"/>
            </w:tcBorders>
          </w:tcPr>
          <w:p w14:paraId="720DBAA1" w14:textId="77777777" w:rsidR="00B44672" w:rsidRPr="006B5978" w:rsidRDefault="00B44672" w:rsidP="00D123F1">
            <w:pPr>
              <w:widowControl w:val="0"/>
              <w:autoSpaceDE w:val="0"/>
              <w:autoSpaceDN w:val="0"/>
              <w:adjustRightInd w:val="0"/>
              <w:spacing w:after="0"/>
              <w:rPr>
                <w:rFonts w:cstheme="minorHAnsi"/>
                <w:sz w:val="22"/>
              </w:rPr>
            </w:pPr>
            <w:r w:rsidRPr="006B5978">
              <w:rPr>
                <w:rFonts w:cstheme="minorHAnsi"/>
                <w:sz w:val="22"/>
              </w:rPr>
              <w:t>Observations</w:t>
            </w:r>
          </w:p>
        </w:tc>
        <w:tc>
          <w:tcPr>
            <w:tcW w:w="1072" w:type="dxa"/>
            <w:tcBorders>
              <w:top w:val="nil"/>
              <w:left w:val="nil"/>
              <w:bottom w:val="nil"/>
              <w:right w:val="nil"/>
            </w:tcBorders>
          </w:tcPr>
          <w:p w14:paraId="13BDA236"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175,288</w:t>
            </w:r>
          </w:p>
        </w:tc>
        <w:tc>
          <w:tcPr>
            <w:tcW w:w="1295" w:type="dxa"/>
            <w:tcBorders>
              <w:top w:val="nil"/>
              <w:left w:val="nil"/>
              <w:bottom w:val="nil"/>
              <w:right w:val="nil"/>
            </w:tcBorders>
          </w:tcPr>
          <w:p w14:paraId="6D049E7F"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175,288</w:t>
            </w:r>
          </w:p>
        </w:tc>
        <w:tc>
          <w:tcPr>
            <w:tcW w:w="1439" w:type="dxa"/>
            <w:tcBorders>
              <w:top w:val="nil"/>
              <w:left w:val="nil"/>
              <w:bottom w:val="nil"/>
              <w:right w:val="nil"/>
            </w:tcBorders>
          </w:tcPr>
          <w:p w14:paraId="654166C5"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115,643</w:t>
            </w:r>
          </w:p>
        </w:tc>
        <w:tc>
          <w:tcPr>
            <w:tcW w:w="1198" w:type="dxa"/>
            <w:tcBorders>
              <w:top w:val="nil"/>
              <w:left w:val="nil"/>
              <w:bottom w:val="nil"/>
              <w:right w:val="nil"/>
            </w:tcBorders>
          </w:tcPr>
          <w:p w14:paraId="19107E7E"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98,872</w:t>
            </w:r>
          </w:p>
        </w:tc>
        <w:tc>
          <w:tcPr>
            <w:tcW w:w="1968" w:type="dxa"/>
            <w:tcBorders>
              <w:top w:val="nil"/>
              <w:left w:val="nil"/>
              <w:bottom w:val="nil"/>
              <w:right w:val="nil"/>
            </w:tcBorders>
          </w:tcPr>
          <w:p w14:paraId="28D162F8"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68,080</w:t>
            </w:r>
          </w:p>
        </w:tc>
      </w:tr>
      <w:tr w:rsidR="00B44672" w:rsidRPr="006B5978" w14:paraId="05539CDB" w14:textId="77777777" w:rsidTr="00D123F1">
        <w:trPr>
          <w:jc w:val="center"/>
        </w:trPr>
        <w:tc>
          <w:tcPr>
            <w:tcW w:w="2676" w:type="dxa"/>
            <w:tcBorders>
              <w:top w:val="nil"/>
              <w:left w:val="nil"/>
              <w:bottom w:val="nil"/>
              <w:right w:val="nil"/>
            </w:tcBorders>
          </w:tcPr>
          <w:p w14:paraId="25A80CDD" w14:textId="77777777" w:rsidR="00B44672" w:rsidRPr="006B5978" w:rsidRDefault="00B44672" w:rsidP="00D123F1">
            <w:pPr>
              <w:widowControl w:val="0"/>
              <w:autoSpaceDE w:val="0"/>
              <w:autoSpaceDN w:val="0"/>
              <w:adjustRightInd w:val="0"/>
              <w:spacing w:after="0"/>
              <w:rPr>
                <w:rFonts w:cstheme="minorHAnsi"/>
                <w:sz w:val="22"/>
              </w:rPr>
            </w:pPr>
            <w:r w:rsidRPr="006B5978">
              <w:rPr>
                <w:rFonts w:cstheme="minorHAnsi"/>
                <w:sz w:val="22"/>
              </w:rPr>
              <w:t>Number of Suburbs</w:t>
            </w:r>
          </w:p>
        </w:tc>
        <w:tc>
          <w:tcPr>
            <w:tcW w:w="1072" w:type="dxa"/>
            <w:tcBorders>
              <w:top w:val="nil"/>
              <w:left w:val="nil"/>
              <w:bottom w:val="nil"/>
              <w:right w:val="nil"/>
            </w:tcBorders>
          </w:tcPr>
          <w:p w14:paraId="3B0248BC"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3,707</w:t>
            </w:r>
          </w:p>
        </w:tc>
        <w:tc>
          <w:tcPr>
            <w:tcW w:w="1295" w:type="dxa"/>
            <w:tcBorders>
              <w:top w:val="nil"/>
              <w:left w:val="nil"/>
              <w:bottom w:val="nil"/>
              <w:right w:val="nil"/>
            </w:tcBorders>
          </w:tcPr>
          <w:p w14:paraId="61AD34F4"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3,707</w:t>
            </w:r>
          </w:p>
        </w:tc>
        <w:tc>
          <w:tcPr>
            <w:tcW w:w="1439" w:type="dxa"/>
            <w:tcBorders>
              <w:top w:val="nil"/>
              <w:left w:val="nil"/>
              <w:bottom w:val="nil"/>
              <w:right w:val="nil"/>
            </w:tcBorders>
          </w:tcPr>
          <w:p w14:paraId="4CD55A9E"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2,086</w:t>
            </w:r>
          </w:p>
        </w:tc>
        <w:tc>
          <w:tcPr>
            <w:tcW w:w="1198" w:type="dxa"/>
            <w:tcBorders>
              <w:top w:val="nil"/>
              <w:left w:val="nil"/>
              <w:bottom w:val="nil"/>
              <w:right w:val="nil"/>
            </w:tcBorders>
          </w:tcPr>
          <w:p w14:paraId="30024168"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1,948</w:t>
            </w:r>
          </w:p>
        </w:tc>
        <w:tc>
          <w:tcPr>
            <w:tcW w:w="1968" w:type="dxa"/>
            <w:tcBorders>
              <w:top w:val="nil"/>
              <w:left w:val="nil"/>
              <w:bottom w:val="nil"/>
              <w:right w:val="nil"/>
            </w:tcBorders>
          </w:tcPr>
          <w:p w14:paraId="6193FCBC"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1,121</w:t>
            </w:r>
          </w:p>
        </w:tc>
      </w:tr>
      <w:tr w:rsidR="00B44672" w:rsidRPr="006B5978" w14:paraId="2E286F27" w14:textId="77777777" w:rsidTr="00D123F1">
        <w:trPr>
          <w:jc w:val="center"/>
        </w:trPr>
        <w:tc>
          <w:tcPr>
            <w:tcW w:w="2676" w:type="dxa"/>
            <w:tcBorders>
              <w:top w:val="nil"/>
              <w:left w:val="nil"/>
              <w:bottom w:val="nil"/>
              <w:right w:val="nil"/>
            </w:tcBorders>
          </w:tcPr>
          <w:p w14:paraId="73B527E4" w14:textId="77777777" w:rsidR="00B44672" w:rsidRPr="006B5978" w:rsidRDefault="00B44672" w:rsidP="00D123F1">
            <w:pPr>
              <w:widowControl w:val="0"/>
              <w:autoSpaceDE w:val="0"/>
              <w:autoSpaceDN w:val="0"/>
              <w:adjustRightInd w:val="0"/>
              <w:spacing w:after="0"/>
              <w:rPr>
                <w:rFonts w:cstheme="minorHAnsi"/>
                <w:sz w:val="22"/>
              </w:rPr>
            </w:pPr>
            <w:r w:rsidRPr="006B5978">
              <w:rPr>
                <w:rFonts w:cstheme="minorHAnsi"/>
                <w:sz w:val="22"/>
              </w:rPr>
              <w:t>Adj. R-squared</w:t>
            </w:r>
          </w:p>
        </w:tc>
        <w:tc>
          <w:tcPr>
            <w:tcW w:w="1072" w:type="dxa"/>
            <w:tcBorders>
              <w:top w:val="nil"/>
              <w:left w:val="nil"/>
              <w:bottom w:val="nil"/>
              <w:right w:val="nil"/>
            </w:tcBorders>
          </w:tcPr>
          <w:p w14:paraId="07C847B9"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0.67</w:t>
            </w:r>
          </w:p>
        </w:tc>
        <w:tc>
          <w:tcPr>
            <w:tcW w:w="1295" w:type="dxa"/>
            <w:tcBorders>
              <w:top w:val="nil"/>
              <w:left w:val="nil"/>
              <w:bottom w:val="nil"/>
              <w:right w:val="nil"/>
            </w:tcBorders>
          </w:tcPr>
          <w:p w14:paraId="29743B48"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0.68</w:t>
            </w:r>
          </w:p>
        </w:tc>
        <w:tc>
          <w:tcPr>
            <w:tcW w:w="1439" w:type="dxa"/>
            <w:tcBorders>
              <w:top w:val="nil"/>
              <w:left w:val="nil"/>
              <w:bottom w:val="nil"/>
              <w:right w:val="nil"/>
            </w:tcBorders>
          </w:tcPr>
          <w:p w14:paraId="6B130009"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0.69</w:t>
            </w:r>
          </w:p>
        </w:tc>
        <w:tc>
          <w:tcPr>
            <w:tcW w:w="1198" w:type="dxa"/>
            <w:tcBorders>
              <w:top w:val="nil"/>
              <w:left w:val="nil"/>
              <w:bottom w:val="nil"/>
              <w:right w:val="nil"/>
            </w:tcBorders>
          </w:tcPr>
          <w:p w14:paraId="52F55307"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0.74</w:t>
            </w:r>
          </w:p>
        </w:tc>
        <w:tc>
          <w:tcPr>
            <w:tcW w:w="1968" w:type="dxa"/>
            <w:tcBorders>
              <w:top w:val="nil"/>
              <w:left w:val="nil"/>
              <w:bottom w:val="nil"/>
              <w:right w:val="nil"/>
            </w:tcBorders>
          </w:tcPr>
          <w:p w14:paraId="287F13D4"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0.71</w:t>
            </w:r>
          </w:p>
        </w:tc>
      </w:tr>
      <w:tr w:rsidR="00B44672" w:rsidRPr="006B5978" w14:paraId="4D86F18A" w14:textId="77777777" w:rsidTr="00D123F1">
        <w:trPr>
          <w:jc w:val="center"/>
        </w:trPr>
        <w:tc>
          <w:tcPr>
            <w:tcW w:w="2676" w:type="dxa"/>
            <w:tcBorders>
              <w:top w:val="nil"/>
              <w:left w:val="nil"/>
              <w:bottom w:val="single" w:sz="6" w:space="0" w:color="auto"/>
              <w:right w:val="nil"/>
            </w:tcBorders>
          </w:tcPr>
          <w:p w14:paraId="603CFB6A" w14:textId="77777777" w:rsidR="00B44672" w:rsidRPr="006B5978" w:rsidRDefault="00B44672" w:rsidP="00D123F1">
            <w:pPr>
              <w:widowControl w:val="0"/>
              <w:autoSpaceDE w:val="0"/>
              <w:autoSpaceDN w:val="0"/>
              <w:adjustRightInd w:val="0"/>
              <w:spacing w:after="0"/>
              <w:rPr>
                <w:rFonts w:cstheme="minorHAnsi"/>
                <w:sz w:val="22"/>
              </w:rPr>
            </w:pPr>
            <w:r w:rsidRPr="006B5978">
              <w:rPr>
                <w:rFonts w:cstheme="minorHAnsi"/>
                <w:sz w:val="22"/>
              </w:rPr>
              <w:t>Max Correlation Matrix</w:t>
            </w:r>
          </w:p>
        </w:tc>
        <w:tc>
          <w:tcPr>
            <w:tcW w:w="1072" w:type="dxa"/>
            <w:tcBorders>
              <w:top w:val="nil"/>
              <w:left w:val="nil"/>
              <w:bottom w:val="single" w:sz="6" w:space="0" w:color="auto"/>
              <w:right w:val="nil"/>
            </w:tcBorders>
          </w:tcPr>
          <w:p w14:paraId="1E85FFF4"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
        </w:tc>
        <w:tc>
          <w:tcPr>
            <w:tcW w:w="1295" w:type="dxa"/>
            <w:tcBorders>
              <w:top w:val="nil"/>
              <w:left w:val="nil"/>
              <w:bottom w:val="single" w:sz="6" w:space="0" w:color="auto"/>
              <w:right w:val="nil"/>
            </w:tcBorders>
          </w:tcPr>
          <w:p w14:paraId="15B90371"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0.25</w:t>
            </w:r>
          </w:p>
        </w:tc>
        <w:tc>
          <w:tcPr>
            <w:tcW w:w="1439" w:type="dxa"/>
            <w:tcBorders>
              <w:top w:val="nil"/>
              <w:left w:val="nil"/>
              <w:bottom w:val="single" w:sz="6" w:space="0" w:color="auto"/>
              <w:right w:val="nil"/>
            </w:tcBorders>
          </w:tcPr>
          <w:p w14:paraId="75C5CAAF"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0.43</w:t>
            </w:r>
          </w:p>
        </w:tc>
        <w:tc>
          <w:tcPr>
            <w:tcW w:w="1198" w:type="dxa"/>
            <w:tcBorders>
              <w:top w:val="nil"/>
              <w:left w:val="nil"/>
              <w:bottom w:val="single" w:sz="6" w:space="0" w:color="auto"/>
              <w:right w:val="nil"/>
            </w:tcBorders>
          </w:tcPr>
          <w:p w14:paraId="3FFD8419"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0.62</w:t>
            </w:r>
          </w:p>
        </w:tc>
        <w:tc>
          <w:tcPr>
            <w:tcW w:w="1968" w:type="dxa"/>
            <w:tcBorders>
              <w:top w:val="nil"/>
              <w:left w:val="nil"/>
              <w:bottom w:val="single" w:sz="6" w:space="0" w:color="auto"/>
              <w:right w:val="nil"/>
            </w:tcBorders>
          </w:tcPr>
          <w:p w14:paraId="7BC19BE7"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0.61</w:t>
            </w:r>
          </w:p>
        </w:tc>
      </w:tr>
    </w:tbl>
    <w:p w14:paraId="4CED2874" w14:textId="77777777" w:rsidR="00B44672" w:rsidRPr="006B5978" w:rsidRDefault="00B44672" w:rsidP="009E769F">
      <w:pPr>
        <w:widowControl w:val="0"/>
        <w:autoSpaceDE w:val="0"/>
        <w:autoSpaceDN w:val="0"/>
        <w:adjustRightInd w:val="0"/>
        <w:spacing w:before="79" w:after="79"/>
        <w:jc w:val="center"/>
        <w:rPr>
          <w:rFonts w:cstheme="minorHAnsi"/>
          <w:sz w:val="22"/>
        </w:rPr>
      </w:pPr>
      <w:r w:rsidRPr="006B5978">
        <w:rPr>
          <w:rFonts w:cstheme="minorHAnsi"/>
          <w:sz w:val="22"/>
        </w:rPr>
        <w:t xml:space="preserve">* </w:t>
      </w:r>
      <w:r w:rsidRPr="006B5978">
        <w:rPr>
          <w:rFonts w:cstheme="minorHAnsi"/>
          <w:i/>
          <w:iCs/>
          <w:sz w:val="22"/>
        </w:rPr>
        <w:t>p</w:t>
      </w:r>
      <w:r w:rsidRPr="006B5978">
        <w:rPr>
          <w:rFonts w:cstheme="minorHAnsi"/>
          <w:sz w:val="22"/>
        </w:rPr>
        <w:t xml:space="preserve">&lt;0.05; ** </w:t>
      </w:r>
      <w:r w:rsidRPr="006B5978">
        <w:rPr>
          <w:rFonts w:cstheme="minorHAnsi"/>
          <w:i/>
          <w:iCs/>
          <w:sz w:val="22"/>
        </w:rPr>
        <w:t>p</w:t>
      </w:r>
      <w:r w:rsidRPr="006B5978">
        <w:rPr>
          <w:rFonts w:cstheme="minorHAnsi"/>
          <w:sz w:val="22"/>
        </w:rPr>
        <w:t>&lt;0.01</w:t>
      </w:r>
    </w:p>
    <w:p w14:paraId="4135C481" w14:textId="77777777" w:rsidR="00B44672" w:rsidRDefault="00B44672" w:rsidP="00494C7C">
      <w:pPr>
        <w:pStyle w:val="BodyText"/>
      </w:pPr>
    </w:p>
    <w:p w14:paraId="46C064F3" w14:textId="77777777" w:rsidR="00B44672" w:rsidRDefault="00B44672" w:rsidP="00494C7C">
      <w:pPr>
        <w:pStyle w:val="BodyText"/>
      </w:pPr>
      <w:r>
        <w:t xml:space="preserve">The next two tables present the results on the effects on the number of sales in the house and unit markets. </w:t>
      </w:r>
    </w:p>
    <w:p w14:paraId="5DEDA12E" w14:textId="161096BE" w:rsidR="00B44672" w:rsidRPr="00D213B1" w:rsidRDefault="00B44672" w:rsidP="00B77122">
      <w:pPr>
        <w:pStyle w:val="Caption"/>
        <w:keepNext/>
        <w:rPr>
          <w:b/>
          <w:bCs/>
          <w:i w:val="0"/>
          <w:iCs/>
          <w:color w:val="365F91" w:themeColor="accent1" w:themeShade="BF"/>
          <w:szCs w:val="22"/>
        </w:rPr>
      </w:pPr>
      <w:bookmarkStart w:id="151" w:name="_Toc33121091"/>
      <w:r w:rsidRPr="00D213B1">
        <w:rPr>
          <w:b/>
          <w:bCs/>
          <w:color w:val="365F91" w:themeColor="accent1" w:themeShade="BF"/>
          <w:szCs w:val="22"/>
        </w:rPr>
        <w:t xml:space="preserve">Table </w:t>
      </w:r>
      <w:r w:rsidRPr="00D213B1">
        <w:rPr>
          <w:b/>
          <w:bCs/>
          <w:i w:val="0"/>
          <w:iCs/>
          <w:color w:val="365F91" w:themeColor="accent1" w:themeShade="BF"/>
          <w:szCs w:val="22"/>
        </w:rPr>
        <w:fldChar w:fldCharType="begin"/>
      </w:r>
      <w:r w:rsidRPr="00D213B1">
        <w:rPr>
          <w:b/>
          <w:bCs/>
          <w:color w:val="365F91" w:themeColor="accent1" w:themeShade="BF"/>
          <w:szCs w:val="22"/>
        </w:rPr>
        <w:instrText xml:space="preserve"> SEQ Table \* ARABIC </w:instrText>
      </w:r>
      <w:r w:rsidRPr="00D213B1">
        <w:rPr>
          <w:b/>
          <w:bCs/>
          <w:i w:val="0"/>
          <w:iCs/>
          <w:color w:val="365F91" w:themeColor="accent1" w:themeShade="BF"/>
          <w:szCs w:val="22"/>
        </w:rPr>
        <w:fldChar w:fldCharType="separate"/>
      </w:r>
      <w:r w:rsidR="00A763B6">
        <w:rPr>
          <w:b/>
          <w:bCs/>
          <w:noProof/>
          <w:color w:val="365F91" w:themeColor="accent1" w:themeShade="BF"/>
          <w:szCs w:val="22"/>
        </w:rPr>
        <w:t>30</w:t>
      </w:r>
      <w:r w:rsidRPr="00D213B1">
        <w:rPr>
          <w:b/>
          <w:bCs/>
          <w:i w:val="0"/>
          <w:iCs/>
          <w:color w:val="365F91" w:themeColor="accent1" w:themeShade="BF"/>
          <w:szCs w:val="22"/>
        </w:rPr>
        <w:fldChar w:fldCharType="end"/>
      </w:r>
      <w:r>
        <w:rPr>
          <w:b/>
          <w:bCs/>
          <w:color w:val="365F91" w:themeColor="accent1" w:themeShade="BF"/>
          <w:szCs w:val="22"/>
        </w:rPr>
        <w:t xml:space="preserve"> (from main report)</w:t>
      </w:r>
      <w:r w:rsidRPr="00D213B1">
        <w:rPr>
          <w:b/>
          <w:bCs/>
          <w:color w:val="365F91" w:themeColor="accent1" w:themeShade="BF"/>
          <w:szCs w:val="22"/>
        </w:rPr>
        <w:t xml:space="preserve"> - Effect of the tax reform on the number of house sales - estimations in </w:t>
      </w:r>
      <w:bookmarkEnd w:id="151"/>
      <w:r>
        <w:rPr>
          <w:b/>
          <w:bCs/>
          <w:color w:val="365F91" w:themeColor="accent1" w:themeShade="BF"/>
          <w:szCs w:val="22"/>
        </w:rPr>
        <w:t>logs</w:t>
      </w:r>
    </w:p>
    <w:tbl>
      <w:tblPr>
        <w:tblW w:w="0" w:type="auto"/>
        <w:jc w:val="center"/>
        <w:tblCellMar>
          <w:left w:w="144" w:type="dxa"/>
          <w:right w:w="144" w:type="dxa"/>
        </w:tblCellMar>
        <w:tblLook w:val="0000" w:firstRow="0" w:lastRow="0" w:firstColumn="0" w:lastColumn="0" w:noHBand="0" w:noVBand="0"/>
      </w:tblPr>
      <w:tblGrid>
        <w:gridCol w:w="2091"/>
        <w:gridCol w:w="1271"/>
        <w:gridCol w:w="1271"/>
        <w:gridCol w:w="1387"/>
        <w:gridCol w:w="1194"/>
        <w:gridCol w:w="1812"/>
      </w:tblGrid>
      <w:tr w:rsidR="00B44672" w:rsidRPr="006B5978" w14:paraId="3106AC5E" w14:textId="77777777" w:rsidTr="004D2B7C">
        <w:trPr>
          <w:jc w:val="center"/>
        </w:trPr>
        <w:tc>
          <w:tcPr>
            <w:tcW w:w="2242" w:type="dxa"/>
            <w:tcBorders>
              <w:top w:val="single" w:sz="6" w:space="0" w:color="auto"/>
              <w:left w:val="nil"/>
              <w:bottom w:val="nil"/>
              <w:right w:val="nil"/>
            </w:tcBorders>
          </w:tcPr>
          <w:p w14:paraId="004D58ED" w14:textId="77777777" w:rsidR="00B44672" w:rsidRPr="006B5978" w:rsidRDefault="00B44672" w:rsidP="004D2B7C">
            <w:pPr>
              <w:widowControl w:val="0"/>
              <w:autoSpaceDE w:val="0"/>
              <w:autoSpaceDN w:val="0"/>
              <w:adjustRightInd w:val="0"/>
              <w:spacing w:before="79" w:after="0"/>
              <w:rPr>
                <w:rFonts w:cstheme="minorHAnsi"/>
                <w:sz w:val="22"/>
              </w:rPr>
            </w:pPr>
            <w:proofErr w:type="gramStart"/>
            <w:r w:rsidRPr="006B5978">
              <w:rPr>
                <w:rFonts w:cstheme="minorHAnsi"/>
                <w:sz w:val="22"/>
              </w:rPr>
              <w:t>Log(</w:t>
            </w:r>
            <w:proofErr w:type="gramEnd"/>
            <w:r w:rsidRPr="006B5978">
              <w:rPr>
                <w:rFonts w:cstheme="minorHAnsi"/>
                <w:sz w:val="22"/>
              </w:rPr>
              <w:t>Number Sold)</w:t>
            </w:r>
          </w:p>
        </w:tc>
        <w:tc>
          <w:tcPr>
            <w:tcW w:w="1320" w:type="dxa"/>
            <w:tcBorders>
              <w:top w:val="single" w:sz="6" w:space="0" w:color="auto"/>
              <w:left w:val="nil"/>
              <w:bottom w:val="nil"/>
              <w:right w:val="nil"/>
            </w:tcBorders>
          </w:tcPr>
          <w:p w14:paraId="32592F33"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(1)</w:t>
            </w:r>
          </w:p>
        </w:tc>
        <w:tc>
          <w:tcPr>
            <w:tcW w:w="1320" w:type="dxa"/>
            <w:tcBorders>
              <w:top w:val="single" w:sz="6" w:space="0" w:color="auto"/>
              <w:left w:val="nil"/>
              <w:bottom w:val="nil"/>
              <w:right w:val="nil"/>
            </w:tcBorders>
          </w:tcPr>
          <w:p w14:paraId="22748CB9"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(2)</w:t>
            </w:r>
          </w:p>
        </w:tc>
        <w:tc>
          <w:tcPr>
            <w:tcW w:w="1481" w:type="dxa"/>
            <w:tcBorders>
              <w:top w:val="single" w:sz="6" w:space="0" w:color="auto"/>
              <w:left w:val="nil"/>
              <w:bottom w:val="nil"/>
              <w:right w:val="nil"/>
            </w:tcBorders>
          </w:tcPr>
          <w:p w14:paraId="6C476B39"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(3)</w:t>
            </w:r>
          </w:p>
        </w:tc>
        <w:tc>
          <w:tcPr>
            <w:tcW w:w="1213" w:type="dxa"/>
            <w:tcBorders>
              <w:top w:val="single" w:sz="6" w:space="0" w:color="auto"/>
              <w:left w:val="nil"/>
              <w:bottom w:val="nil"/>
              <w:right w:val="nil"/>
            </w:tcBorders>
          </w:tcPr>
          <w:p w14:paraId="0AE957A1"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(4)</w:t>
            </w:r>
          </w:p>
        </w:tc>
        <w:tc>
          <w:tcPr>
            <w:tcW w:w="2072" w:type="dxa"/>
            <w:tcBorders>
              <w:top w:val="single" w:sz="6" w:space="0" w:color="auto"/>
              <w:left w:val="nil"/>
              <w:bottom w:val="nil"/>
              <w:right w:val="nil"/>
            </w:tcBorders>
          </w:tcPr>
          <w:p w14:paraId="34D380F3"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(5)</w:t>
            </w:r>
          </w:p>
        </w:tc>
      </w:tr>
      <w:tr w:rsidR="00B44672" w:rsidRPr="006B5978" w14:paraId="609A653E" w14:textId="77777777" w:rsidTr="004D2B7C">
        <w:trPr>
          <w:jc w:val="center"/>
        </w:trPr>
        <w:tc>
          <w:tcPr>
            <w:tcW w:w="2242" w:type="dxa"/>
            <w:tcBorders>
              <w:top w:val="nil"/>
              <w:left w:val="nil"/>
              <w:bottom w:val="nil"/>
              <w:right w:val="nil"/>
            </w:tcBorders>
          </w:tcPr>
          <w:p w14:paraId="680F4D91" w14:textId="77777777" w:rsidR="00B44672" w:rsidRPr="006B5978" w:rsidRDefault="00B44672" w:rsidP="004D2B7C">
            <w:pPr>
              <w:widowControl w:val="0"/>
              <w:autoSpaceDE w:val="0"/>
              <w:autoSpaceDN w:val="0"/>
              <w:adjustRightInd w:val="0"/>
              <w:spacing w:after="79"/>
              <w:rPr>
                <w:rFonts w:cstheme="minorHAnsi"/>
                <w:sz w:val="22"/>
              </w:rPr>
            </w:pPr>
          </w:p>
        </w:tc>
        <w:tc>
          <w:tcPr>
            <w:tcW w:w="1320" w:type="dxa"/>
            <w:tcBorders>
              <w:top w:val="nil"/>
              <w:left w:val="nil"/>
              <w:bottom w:val="nil"/>
              <w:right w:val="nil"/>
            </w:tcBorders>
          </w:tcPr>
          <w:p w14:paraId="2E1F8F17"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320" w:type="dxa"/>
            <w:tcBorders>
              <w:top w:val="nil"/>
              <w:left w:val="nil"/>
              <w:bottom w:val="nil"/>
              <w:right w:val="nil"/>
            </w:tcBorders>
          </w:tcPr>
          <w:p w14:paraId="0BC12FEA"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481" w:type="dxa"/>
            <w:tcBorders>
              <w:top w:val="nil"/>
              <w:left w:val="nil"/>
              <w:bottom w:val="nil"/>
              <w:right w:val="nil"/>
            </w:tcBorders>
          </w:tcPr>
          <w:p w14:paraId="0D57CD39"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w:t>
            </w:r>
          </w:p>
        </w:tc>
        <w:tc>
          <w:tcPr>
            <w:tcW w:w="1213" w:type="dxa"/>
            <w:tcBorders>
              <w:top w:val="nil"/>
              <w:left w:val="nil"/>
              <w:bottom w:val="nil"/>
              <w:right w:val="nil"/>
            </w:tcBorders>
          </w:tcPr>
          <w:p w14:paraId="7C68B36F"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NSW &amp; VIC</w:t>
            </w:r>
          </w:p>
        </w:tc>
        <w:tc>
          <w:tcPr>
            <w:tcW w:w="2072" w:type="dxa"/>
            <w:tcBorders>
              <w:top w:val="nil"/>
              <w:left w:val="nil"/>
              <w:bottom w:val="nil"/>
              <w:right w:val="nil"/>
            </w:tcBorders>
          </w:tcPr>
          <w:p w14:paraId="57B89E36"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 NSW &amp; VIC</w:t>
            </w:r>
          </w:p>
        </w:tc>
      </w:tr>
      <w:tr w:rsidR="00B44672" w:rsidRPr="006B5978" w14:paraId="52607E98" w14:textId="77777777" w:rsidTr="004D2B7C">
        <w:trPr>
          <w:jc w:val="center"/>
        </w:trPr>
        <w:tc>
          <w:tcPr>
            <w:tcW w:w="2242" w:type="dxa"/>
            <w:tcBorders>
              <w:top w:val="single" w:sz="6" w:space="0" w:color="auto"/>
              <w:left w:val="nil"/>
              <w:bottom w:val="nil"/>
              <w:right w:val="nil"/>
            </w:tcBorders>
          </w:tcPr>
          <w:p w14:paraId="1E2ADD62"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Reform Dummy</w:t>
            </w:r>
          </w:p>
        </w:tc>
        <w:tc>
          <w:tcPr>
            <w:tcW w:w="1320" w:type="dxa"/>
            <w:tcBorders>
              <w:top w:val="single" w:sz="6" w:space="0" w:color="auto"/>
              <w:left w:val="nil"/>
              <w:bottom w:val="nil"/>
              <w:right w:val="nil"/>
            </w:tcBorders>
          </w:tcPr>
          <w:p w14:paraId="6D7BB49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-0.096</w:t>
            </w:r>
          </w:p>
        </w:tc>
        <w:tc>
          <w:tcPr>
            <w:tcW w:w="1320" w:type="dxa"/>
            <w:tcBorders>
              <w:top w:val="single" w:sz="6" w:space="0" w:color="auto"/>
              <w:left w:val="nil"/>
              <w:bottom w:val="nil"/>
              <w:right w:val="nil"/>
            </w:tcBorders>
          </w:tcPr>
          <w:p w14:paraId="3DCCFE3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-0.062</w:t>
            </w:r>
          </w:p>
        </w:tc>
        <w:tc>
          <w:tcPr>
            <w:tcW w:w="1481" w:type="dxa"/>
            <w:tcBorders>
              <w:top w:val="single" w:sz="6" w:space="0" w:color="auto"/>
              <w:left w:val="nil"/>
              <w:bottom w:val="nil"/>
              <w:right w:val="nil"/>
            </w:tcBorders>
          </w:tcPr>
          <w:p w14:paraId="7C40941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-0.075</w:t>
            </w:r>
          </w:p>
        </w:tc>
        <w:tc>
          <w:tcPr>
            <w:tcW w:w="1213" w:type="dxa"/>
            <w:tcBorders>
              <w:top w:val="single" w:sz="6" w:space="0" w:color="auto"/>
              <w:left w:val="nil"/>
              <w:bottom w:val="nil"/>
              <w:right w:val="nil"/>
            </w:tcBorders>
          </w:tcPr>
          <w:p w14:paraId="547EEF1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-0.084</w:t>
            </w:r>
          </w:p>
        </w:tc>
        <w:tc>
          <w:tcPr>
            <w:tcW w:w="2072" w:type="dxa"/>
            <w:tcBorders>
              <w:top w:val="single" w:sz="6" w:space="0" w:color="auto"/>
              <w:left w:val="nil"/>
              <w:bottom w:val="nil"/>
              <w:right w:val="nil"/>
            </w:tcBorders>
          </w:tcPr>
          <w:p w14:paraId="24A7BF3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-0.117</w:t>
            </w:r>
          </w:p>
        </w:tc>
      </w:tr>
      <w:tr w:rsidR="00B44672" w:rsidRPr="006B5978" w14:paraId="2AF70A07" w14:textId="77777777" w:rsidTr="004D2B7C">
        <w:trPr>
          <w:jc w:val="center"/>
        </w:trPr>
        <w:tc>
          <w:tcPr>
            <w:tcW w:w="2242" w:type="dxa"/>
            <w:tcBorders>
              <w:top w:val="nil"/>
              <w:left w:val="nil"/>
              <w:bottom w:val="nil"/>
              <w:right w:val="nil"/>
            </w:tcBorders>
          </w:tcPr>
          <w:p w14:paraId="5AE57B96"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20" w:type="dxa"/>
            <w:tcBorders>
              <w:top w:val="nil"/>
              <w:left w:val="nil"/>
              <w:bottom w:val="nil"/>
              <w:right w:val="nil"/>
            </w:tcBorders>
          </w:tcPr>
          <w:p w14:paraId="30C318B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0.029]*</w:t>
            </w:r>
            <w:proofErr w:type="gramEnd"/>
            <w:r w:rsidRPr="006B5978">
              <w:rPr>
                <w:rFonts w:cstheme="minorHAnsi"/>
                <w:sz w:val="22"/>
              </w:rPr>
              <w:t>*</w:t>
            </w:r>
          </w:p>
        </w:tc>
        <w:tc>
          <w:tcPr>
            <w:tcW w:w="1320" w:type="dxa"/>
            <w:tcBorders>
              <w:top w:val="nil"/>
              <w:left w:val="nil"/>
              <w:bottom w:val="nil"/>
              <w:right w:val="nil"/>
            </w:tcBorders>
          </w:tcPr>
          <w:p w14:paraId="4796E0B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0.028]*</w:t>
            </w:r>
            <w:proofErr w:type="gramEnd"/>
          </w:p>
        </w:tc>
        <w:tc>
          <w:tcPr>
            <w:tcW w:w="1481" w:type="dxa"/>
            <w:tcBorders>
              <w:top w:val="nil"/>
              <w:left w:val="nil"/>
              <w:bottom w:val="nil"/>
              <w:right w:val="nil"/>
            </w:tcBorders>
          </w:tcPr>
          <w:p w14:paraId="0236CE7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0.028]*</w:t>
            </w:r>
            <w:proofErr w:type="gramEnd"/>
            <w:r w:rsidRPr="006B5978">
              <w:rPr>
                <w:rFonts w:cstheme="minorHAnsi"/>
                <w:sz w:val="22"/>
              </w:rPr>
              <w:t>*</w:t>
            </w:r>
          </w:p>
        </w:tc>
        <w:tc>
          <w:tcPr>
            <w:tcW w:w="1213" w:type="dxa"/>
            <w:tcBorders>
              <w:top w:val="nil"/>
              <w:left w:val="nil"/>
              <w:bottom w:val="nil"/>
              <w:right w:val="nil"/>
            </w:tcBorders>
          </w:tcPr>
          <w:p w14:paraId="0B9AFE0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0.023]*</w:t>
            </w:r>
            <w:proofErr w:type="gramEnd"/>
            <w:r w:rsidRPr="006B5978">
              <w:rPr>
                <w:rFonts w:cstheme="minorHAnsi"/>
                <w:sz w:val="22"/>
              </w:rPr>
              <w:t>*</w:t>
            </w:r>
          </w:p>
        </w:tc>
        <w:tc>
          <w:tcPr>
            <w:tcW w:w="2072" w:type="dxa"/>
            <w:tcBorders>
              <w:top w:val="nil"/>
              <w:left w:val="nil"/>
              <w:bottom w:val="nil"/>
              <w:right w:val="nil"/>
            </w:tcBorders>
          </w:tcPr>
          <w:p w14:paraId="5410FE4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0.023]*</w:t>
            </w:r>
            <w:proofErr w:type="gramEnd"/>
            <w:r w:rsidRPr="006B5978">
              <w:rPr>
                <w:rFonts w:cstheme="minorHAnsi"/>
                <w:sz w:val="22"/>
              </w:rPr>
              <w:t>*</w:t>
            </w:r>
          </w:p>
        </w:tc>
      </w:tr>
      <w:tr w:rsidR="00B44672" w:rsidRPr="006B5978" w14:paraId="6A6C4F7E" w14:textId="77777777" w:rsidTr="004D2B7C">
        <w:trPr>
          <w:jc w:val="center"/>
        </w:trPr>
        <w:tc>
          <w:tcPr>
            <w:tcW w:w="2242" w:type="dxa"/>
            <w:tcBorders>
              <w:top w:val="nil"/>
              <w:left w:val="nil"/>
              <w:bottom w:val="nil"/>
              <w:right w:val="nil"/>
            </w:tcBorders>
          </w:tcPr>
          <w:p w14:paraId="624873DA"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Population)</w:t>
            </w:r>
          </w:p>
        </w:tc>
        <w:tc>
          <w:tcPr>
            <w:tcW w:w="1320" w:type="dxa"/>
            <w:tcBorders>
              <w:top w:val="nil"/>
              <w:left w:val="nil"/>
              <w:bottom w:val="nil"/>
              <w:right w:val="nil"/>
            </w:tcBorders>
          </w:tcPr>
          <w:p w14:paraId="10914CB6"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3138A5C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1.225</w:t>
            </w:r>
          </w:p>
        </w:tc>
        <w:tc>
          <w:tcPr>
            <w:tcW w:w="1481" w:type="dxa"/>
            <w:tcBorders>
              <w:top w:val="nil"/>
              <w:left w:val="nil"/>
              <w:bottom w:val="nil"/>
              <w:right w:val="nil"/>
            </w:tcBorders>
          </w:tcPr>
          <w:p w14:paraId="653C9DF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1.414</w:t>
            </w:r>
          </w:p>
        </w:tc>
        <w:tc>
          <w:tcPr>
            <w:tcW w:w="1213" w:type="dxa"/>
            <w:tcBorders>
              <w:top w:val="nil"/>
              <w:left w:val="nil"/>
              <w:bottom w:val="nil"/>
              <w:right w:val="nil"/>
            </w:tcBorders>
          </w:tcPr>
          <w:p w14:paraId="6184919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3.000</w:t>
            </w:r>
          </w:p>
        </w:tc>
        <w:tc>
          <w:tcPr>
            <w:tcW w:w="2072" w:type="dxa"/>
            <w:tcBorders>
              <w:top w:val="nil"/>
              <w:left w:val="nil"/>
              <w:bottom w:val="nil"/>
              <w:right w:val="nil"/>
            </w:tcBorders>
          </w:tcPr>
          <w:p w14:paraId="35D2935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5.217</w:t>
            </w:r>
          </w:p>
        </w:tc>
      </w:tr>
      <w:tr w:rsidR="00B44672" w:rsidRPr="006B5978" w14:paraId="350BD6DA" w14:textId="77777777" w:rsidTr="004D2B7C">
        <w:trPr>
          <w:jc w:val="center"/>
        </w:trPr>
        <w:tc>
          <w:tcPr>
            <w:tcW w:w="2242" w:type="dxa"/>
            <w:tcBorders>
              <w:top w:val="nil"/>
              <w:left w:val="nil"/>
              <w:bottom w:val="nil"/>
              <w:right w:val="nil"/>
            </w:tcBorders>
          </w:tcPr>
          <w:p w14:paraId="58328683"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20" w:type="dxa"/>
            <w:tcBorders>
              <w:top w:val="nil"/>
              <w:left w:val="nil"/>
              <w:bottom w:val="nil"/>
              <w:right w:val="nil"/>
            </w:tcBorders>
          </w:tcPr>
          <w:p w14:paraId="255F4574"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52F8424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0.108]*</w:t>
            </w:r>
            <w:proofErr w:type="gramEnd"/>
            <w:r w:rsidRPr="006B5978">
              <w:rPr>
                <w:rFonts w:cstheme="minorHAnsi"/>
                <w:sz w:val="22"/>
              </w:rPr>
              <w:t>*</w:t>
            </w:r>
          </w:p>
        </w:tc>
        <w:tc>
          <w:tcPr>
            <w:tcW w:w="1481" w:type="dxa"/>
            <w:tcBorders>
              <w:top w:val="nil"/>
              <w:left w:val="nil"/>
              <w:bottom w:val="nil"/>
              <w:right w:val="nil"/>
            </w:tcBorders>
          </w:tcPr>
          <w:p w14:paraId="1912FD5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0.168]*</w:t>
            </w:r>
            <w:proofErr w:type="gramEnd"/>
            <w:r w:rsidRPr="006B5978">
              <w:rPr>
                <w:rFonts w:cstheme="minorHAnsi"/>
                <w:sz w:val="22"/>
              </w:rPr>
              <w:t>*</w:t>
            </w:r>
          </w:p>
        </w:tc>
        <w:tc>
          <w:tcPr>
            <w:tcW w:w="1213" w:type="dxa"/>
            <w:tcBorders>
              <w:top w:val="nil"/>
              <w:left w:val="nil"/>
              <w:bottom w:val="nil"/>
              <w:right w:val="nil"/>
            </w:tcBorders>
          </w:tcPr>
          <w:p w14:paraId="088E269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0.245]*</w:t>
            </w:r>
            <w:proofErr w:type="gramEnd"/>
            <w:r w:rsidRPr="006B5978">
              <w:rPr>
                <w:rFonts w:cstheme="minorHAnsi"/>
                <w:sz w:val="22"/>
              </w:rPr>
              <w:t>*</w:t>
            </w:r>
          </w:p>
        </w:tc>
        <w:tc>
          <w:tcPr>
            <w:tcW w:w="2072" w:type="dxa"/>
            <w:tcBorders>
              <w:top w:val="nil"/>
              <w:left w:val="nil"/>
              <w:bottom w:val="nil"/>
              <w:right w:val="nil"/>
            </w:tcBorders>
          </w:tcPr>
          <w:p w14:paraId="506B078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0.376]*</w:t>
            </w:r>
            <w:proofErr w:type="gramEnd"/>
            <w:r w:rsidRPr="006B5978">
              <w:rPr>
                <w:rFonts w:cstheme="minorHAnsi"/>
                <w:sz w:val="22"/>
              </w:rPr>
              <w:t>*</w:t>
            </w:r>
          </w:p>
        </w:tc>
      </w:tr>
      <w:tr w:rsidR="00B44672" w:rsidRPr="006B5978" w14:paraId="0F06B843" w14:textId="77777777" w:rsidTr="004D2B7C">
        <w:trPr>
          <w:jc w:val="center"/>
        </w:trPr>
        <w:tc>
          <w:tcPr>
            <w:tcW w:w="2242" w:type="dxa"/>
            <w:tcBorders>
              <w:top w:val="nil"/>
              <w:left w:val="nil"/>
              <w:bottom w:val="nil"/>
              <w:right w:val="nil"/>
            </w:tcBorders>
          </w:tcPr>
          <w:p w14:paraId="223E2DC2"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Income)</w:t>
            </w:r>
          </w:p>
        </w:tc>
        <w:tc>
          <w:tcPr>
            <w:tcW w:w="1320" w:type="dxa"/>
            <w:tcBorders>
              <w:top w:val="nil"/>
              <w:left w:val="nil"/>
              <w:bottom w:val="nil"/>
              <w:right w:val="nil"/>
            </w:tcBorders>
          </w:tcPr>
          <w:p w14:paraId="466E26AB"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0ACE5AF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0.854</w:t>
            </w:r>
          </w:p>
        </w:tc>
        <w:tc>
          <w:tcPr>
            <w:tcW w:w="1481" w:type="dxa"/>
            <w:tcBorders>
              <w:top w:val="nil"/>
              <w:left w:val="nil"/>
              <w:bottom w:val="nil"/>
              <w:right w:val="nil"/>
            </w:tcBorders>
          </w:tcPr>
          <w:p w14:paraId="2985993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0.769</w:t>
            </w:r>
          </w:p>
        </w:tc>
        <w:tc>
          <w:tcPr>
            <w:tcW w:w="1213" w:type="dxa"/>
            <w:tcBorders>
              <w:top w:val="nil"/>
              <w:left w:val="nil"/>
              <w:bottom w:val="nil"/>
              <w:right w:val="nil"/>
            </w:tcBorders>
          </w:tcPr>
          <w:p w14:paraId="0552BB4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0.598</w:t>
            </w:r>
          </w:p>
        </w:tc>
        <w:tc>
          <w:tcPr>
            <w:tcW w:w="2072" w:type="dxa"/>
            <w:tcBorders>
              <w:top w:val="nil"/>
              <w:left w:val="nil"/>
              <w:bottom w:val="nil"/>
              <w:right w:val="nil"/>
            </w:tcBorders>
          </w:tcPr>
          <w:p w14:paraId="51E666E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0.215</w:t>
            </w:r>
          </w:p>
        </w:tc>
      </w:tr>
      <w:tr w:rsidR="00B44672" w:rsidRPr="006B5978" w14:paraId="2B054A7E" w14:textId="77777777" w:rsidTr="004D2B7C">
        <w:trPr>
          <w:jc w:val="center"/>
        </w:trPr>
        <w:tc>
          <w:tcPr>
            <w:tcW w:w="2242" w:type="dxa"/>
            <w:tcBorders>
              <w:top w:val="nil"/>
              <w:left w:val="nil"/>
              <w:bottom w:val="nil"/>
              <w:right w:val="nil"/>
            </w:tcBorders>
          </w:tcPr>
          <w:p w14:paraId="0FD79DFC"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20" w:type="dxa"/>
            <w:tcBorders>
              <w:top w:val="nil"/>
              <w:left w:val="nil"/>
              <w:bottom w:val="nil"/>
              <w:right w:val="nil"/>
            </w:tcBorders>
          </w:tcPr>
          <w:p w14:paraId="5DD49680"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3F9E910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0.069]*</w:t>
            </w:r>
            <w:proofErr w:type="gramEnd"/>
            <w:r w:rsidRPr="006B5978">
              <w:rPr>
                <w:rFonts w:cstheme="minorHAnsi"/>
                <w:sz w:val="22"/>
              </w:rPr>
              <w:t>*</w:t>
            </w:r>
          </w:p>
        </w:tc>
        <w:tc>
          <w:tcPr>
            <w:tcW w:w="1481" w:type="dxa"/>
            <w:tcBorders>
              <w:top w:val="nil"/>
              <w:left w:val="nil"/>
              <w:bottom w:val="nil"/>
              <w:right w:val="nil"/>
            </w:tcBorders>
          </w:tcPr>
          <w:p w14:paraId="412F96C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0.105]*</w:t>
            </w:r>
            <w:proofErr w:type="gramEnd"/>
            <w:r w:rsidRPr="006B5978">
              <w:rPr>
                <w:rFonts w:cstheme="minorHAnsi"/>
                <w:sz w:val="22"/>
              </w:rPr>
              <w:t>*</w:t>
            </w:r>
          </w:p>
        </w:tc>
        <w:tc>
          <w:tcPr>
            <w:tcW w:w="1213" w:type="dxa"/>
            <w:tcBorders>
              <w:top w:val="nil"/>
              <w:left w:val="nil"/>
              <w:bottom w:val="nil"/>
              <w:right w:val="nil"/>
            </w:tcBorders>
          </w:tcPr>
          <w:p w14:paraId="59B8688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0.298]*</w:t>
            </w:r>
            <w:proofErr w:type="gramEnd"/>
          </w:p>
        </w:tc>
        <w:tc>
          <w:tcPr>
            <w:tcW w:w="2072" w:type="dxa"/>
            <w:tcBorders>
              <w:top w:val="nil"/>
              <w:left w:val="nil"/>
              <w:bottom w:val="nil"/>
              <w:right w:val="nil"/>
            </w:tcBorders>
          </w:tcPr>
          <w:p w14:paraId="128FA04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[0.328]</w:t>
            </w:r>
          </w:p>
        </w:tc>
      </w:tr>
      <w:tr w:rsidR="00B44672" w:rsidRPr="006B5978" w14:paraId="7F396F4A" w14:textId="77777777" w:rsidTr="004D2B7C">
        <w:trPr>
          <w:jc w:val="center"/>
        </w:trPr>
        <w:tc>
          <w:tcPr>
            <w:tcW w:w="2242" w:type="dxa"/>
            <w:tcBorders>
              <w:top w:val="nil"/>
              <w:left w:val="nil"/>
              <w:bottom w:val="nil"/>
              <w:right w:val="nil"/>
            </w:tcBorders>
          </w:tcPr>
          <w:p w14:paraId="0507972C"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Time &amp; Suburb FE</w:t>
            </w:r>
          </w:p>
        </w:tc>
        <w:tc>
          <w:tcPr>
            <w:tcW w:w="1320" w:type="dxa"/>
            <w:tcBorders>
              <w:top w:val="nil"/>
              <w:left w:val="nil"/>
              <w:bottom w:val="nil"/>
              <w:right w:val="nil"/>
            </w:tcBorders>
          </w:tcPr>
          <w:p w14:paraId="0F3F2CD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320" w:type="dxa"/>
            <w:tcBorders>
              <w:top w:val="nil"/>
              <w:left w:val="nil"/>
              <w:bottom w:val="nil"/>
              <w:right w:val="nil"/>
            </w:tcBorders>
          </w:tcPr>
          <w:p w14:paraId="05A7A38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81" w:type="dxa"/>
            <w:tcBorders>
              <w:top w:val="nil"/>
              <w:left w:val="nil"/>
              <w:bottom w:val="nil"/>
              <w:right w:val="nil"/>
            </w:tcBorders>
          </w:tcPr>
          <w:p w14:paraId="0B3A063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213" w:type="dxa"/>
            <w:tcBorders>
              <w:top w:val="nil"/>
              <w:left w:val="nil"/>
              <w:bottom w:val="nil"/>
              <w:right w:val="nil"/>
            </w:tcBorders>
          </w:tcPr>
          <w:p w14:paraId="4C0DCD2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2072" w:type="dxa"/>
            <w:tcBorders>
              <w:top w:val="nil"/>
              <w:left w:val="nil"/>
              <w:bottom w:val="nil"/>
              <w:right w:val="nil"/>
            </w:tcBorders>
          </w:tcPr>
          <w:p w14:paraId="4883B16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r>
      <w:tr w:rsidR="00B44672" w:rsidRPr="006B5978" w14:paraId="5AFD249E" w14:textId="77777777" w:rsidTr="004D2B7C">
        <w:trPr>
          <w:jc w:val="center"/>
        </w:trPr>
        <w:tc>
          <w:tcPr>
            <w:tcW w:w="2242" w:type="dxa"/>
            <w:tcBorders>
              <w:top w:val="nil"/>
              <w:left w:val="nil"/>
              <w:bottom w:val="nil"/>
              <w:right w:val="nil"/>
            </w:tcBorders>
          </w:tcPr>
          <w:p w14:paraId="596F76E6"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Observations</w:t>
            </w:r>
          </w:p>
        </w:tc>
        <w:tc>
          <w:tcPr>
            <w:tcW w:w="1320" w:type="dxa"/>
            <w:tcBorders>
              <w:top w:val="nil"/>
              <w:left w:val="nil"/>
              <w:bottom w:val="nil"/>
              <w:right w:val="nil"/>
            </w:tcBorders>
          </w:tcPr>
          <w:p w14:paraId="243129B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550,554</w:t>
            </w:r>
          </w:p>
        </w:tc>
        <w:tc>
          <w:tcPr>
            <w:tcW w:w="1320" w:type="dxa"/>
            <w:tcBorders>
              <w:top w:val="nil"/>
              <w:left w:val="nil"/>
              <w:bottom w:val="nil"/>
              <w:right w:val="nil"/>
            </w:tcBorders>
          </w:tcPr>
          <w:p w14:paraId="0D19913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522,180</w:t>
            </w:r>
          </w:p>
        </w:tc>
        <w:tc>
          <w:tcPr>
            <w:tcW w:w="1481" w:type="dxa"/>
            <w:tcBorders>
              <w:top w:val="nil"/>
              <w:left w:val="nil"/>
              <w:bottom w:val="nil"/>
              <w:right w:val="nil"/>
            </w:tcBorders>
          </w:tcPr>
          <w:p w14:paraId="28E3E47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241,061</w:t>
            </w:r>
          </w:p>
        </w:tc>
        <w:tc>
          <w:tcPr>
            <w:tcW w:w="1213" w:type="dxa"/>
            <w:tcBorders>
              <w:top w:val="nil"/>
              <w:left w:val="nil"/>
              <w:bottom w:val="nil"/>
              <w:right w:val="nil"/>
            </w:tcBorders>
          </w:tcPr>
          <w:p w14:paraId="49C1412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267,468</w:t>
            </w:r>
          </w:p>
        </w:tc>
        <w:tc>
          <w:tcPr>
            <w:tcW w:w="2072" w:type="dxa"/>
            <w:tcBorders>
              <w:top w:val="nil"/>
              <w:left w:val="nil"/>
              <w:bottom w:val="nil"/>
              <w:right w:val="nil"/>
            </w:tcBorders>
          </w:tcPr>
          <w:p w14:paraId="15EDB31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125,920</w:t>
            </w:r>
          </w:p>
        </w:tc>
      </w:tr>
      <w:tr w:rsidR="00B44672" w:rsidRPr="006B5978" w14:paraId="4D774674" w14:textId="77777777" w:rsidTr="004D2B7C">
        <w:trPr>
          <w:jc w:val="center"/>
        </w:trPr>
        <w:tc>
          <w:tcPr>
            <w:tcW w:w="2242" w:type="dxa"/>
            <w:tcBorders>
              <w:top w:val="nil"/>
              <w:left w:val="nil"/>
              <w:bottom w:val="nil"/>
              <w:right w:val="nil"/>
            </w:tcBorders>
          </w:tcPr>
          <w:p w14:paraId="3C72AD5F"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Number of Suburbs</w:t>
            </w:r>
          </w:p>
        </w:tc>
        <w:tc>
          <w:tcPr>
            <w:tcW w:w="1320" w:type="dxa"/>
            <w:tcBorders>
              <w:top w:val="nil"/>
              <w:left w:val="nil"/>
              <w:bottom w:val="nil"/>
              <w:right w:val="nil"/>
            </w:tcBorders>
          </w:tcPr>
          <w:p w14:paraId="1671E58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10,117</w:t>
            </w:r>
          </w:p>
        </w:tc>
        <w:tc>
          <w:tcPr>
            <w:tcW w:w="1320" w:type="dxa"/>
            <w:tcBorders>
              <w:top w:val="nil"/>
              <w:left w:val="nil"/>
              <w:bottom w:val="nil"/>
              <w:right w:val="nil"/>
            </w:tcBorders>
          </w:tcPr>
          <w:p w14:paraId="2A7F924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10,046</w:t>
            </w:r>
          </w:p>
        </w:tc>
        <w:tc>
          <w:tcPr>
            <w:tcW w:w="1481" w:type="dxa"/>
            <w:tcBorders>
              <w:top w:val="nil"/>
              <w:left w:val="nil"/>
              <w:bottom w:val="nil"/>
              <w:right w:val="nil"/>
            </w:tcBorders>
          </w:tcPr>
          <w:p w14:paraId="7B1CBCD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2,806</w:t>
            </w:r>
          </w:p>
        </w:tc>
        <w:tc>
          <w:tcPr>
            <w:tcW w:w="1213" w:type="dxa"/>
            <w:tcBorders>
              <w:top w:val="nil"/>
              <w:left w:val="nil"/>
              <w:bottom w:val="nil"/>
              <w:right w:val="nil"/>
            </w:tcBorders>
          </w:tcPr>
          <w:p w14:paraId="18862DC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5,070</w:t>
            </w:r>
          </w:p>
        </w:tc>
        <w:tc>
          <w:tcPr>
            <w:tcW w:w="2072" w:type="dxa"/>
            <w:tcBorders>
              <w:top w:val="nil"/>
              <w:left w:val="nil"/>
              <w:bottom w:val="nil"/>
              <w:right w:val="nil"/>
            </w:tcBorders>
          </w:tcPr>
          <w:p w14:paraId="6E97B7E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1,455</w:t>
            </w:r>
          </w:p>
        </w:tc>
      </w:tr>
      <w:tr w:rsidR="00B44672" w:rsidRPr="006B5978" w14:paraId="6D432729" w14:textId="77777777" w:rsidTr="004D2B7C">
        <w:trPr>
          <w:jc w:val="center"/>
        </w:trPr>
        <w:tc>
          <w:tcPr>
            <w:tcW w:w="2242" w:type="dxa"/>
            <w:tcBorders>
              <w:top w:val="nil"/>
              <w:left w:val="nil"/>
              <w:bottom w:val="nil"/>
              <w:right w:val="nil"/>
            </w:tcBorders>
          </w:tcPr>
          <w:p w14:paraId="73D69DB0"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Adj. R-squared</w:t>
            </w:r>
          </w:p>
        </w:tc>
        <w:tc>
          <w:tcPr>
            <w:tcW w:w="1320" w:type="dxa"/>
            <w:tcBorders>
              <w:top w:val="nil"/>
              <w:left w:val="nil"/>
              <w:bottom w:val="nil"/>
              <w:right w:val="nil"/>
            </w:tcBorders>
          </w:tcPr>
          <w:p w14:paraId="0B6C691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0.76</w:t>
            </w:r>
          </w:p>
        </w:tc>
        <w:tc>
          <w:tcPr>
            <w:tcW w:w="1320" w:type="dxa"/>
            <w:tcBorders>
              <w:top w:val="nil"/>
              <w:left w:val="nil"/>
              <w:bottom w:val="nil"/>
              <w:right w:val="nil"/>
            </w:tcBorders>
          </w:tcPr>
          <w:p w14:paraId="59077C0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0.77</w:t>
            </w:r>
          </w:p>
        </w:tc>
        <w:tc>
          <w:tcPr>
            <w:tcW w:w="1481" w:type="dxa"/>
            <w:tcBorders>
              <w:top w:val="nil"/>
              <w:left w:val="nil"/>
              <w:bottom w:val="nil"/>
              <w:right w:val="nil"/>
            </w:tcBorders>
          </w:tcPr>
          <w:p w14:paraId="0F2E03F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0.74</w:t>
            </w:r>
          </w:p>
        </w:tc>
        <w:tc>
          <w:tcPr>
            <w:tcW w:w="1213" w:type="dxa"/>
            <w:tcBorders>
              <w:top w:val="nil"/>
              <w:left w:val="nil"/>
              <w:bottom w:val="nil"/>
              <w:right w:val="nil"/>
            </w:tcBorders>
          </w:tcPr>
          <w:p w14:paraId="735BECE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0.78</w:t>
            </w:r>
          </w:p>
        </w:tc>
        <w:tc>
          <w:tcPr>
            <w:tcW w:w="2072" w:type="dxa"/>
            <w:tcBorders>
              <w:top w:val="nil"/>
              <w:left w:val="nil"/>
              <w:bottom w:val="nil"/>
              <w:right w:val="nil"/>
            </w:tcBorders>
          </w:tcPr>
          <w:p w14:paraId="289B6A2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0.76</w:t>
            </w:r>
          </w:p>
        </w:tc>
      </w:tr>
      <w:tr w:rsidR="00B44672" w:rsidRPr="006B5978" w14:paraId="26F73F0D" w14:textId="77777777" w:rsidTr="004D2B7C">
        <w:trPr>
          <w:jc w:val="center"/>
        </w:trPr>
        <w:tc>
          <w:tcPr>
            <w:tcW w:w="2242" w:type="dxa"/>
            <w:tcBorders>
              <w:top w:val="nil"/>
              <w:left w:val="nil"/>
              <w:bottom w:val="single" w:sz="6" w:space="0" w:color="auto"/>
              <w:right w:val="nil"/>
            </w:tcBorders>
          </w:tcPr>
          <w:p w14:paraId="4442526B"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Max in Cor. Matrix</w:t>
            </w:r>
          </w:p>
        </w:tc>
        <w:tc>
          <w:tcPr>
            <w:tcW w:w="1320" w:type="dxa"/>
            <w:tcBorders>
              <w:top w:val="nil"/>
              <w:left w:val="nil"/>
              <w:bottom w:val="single" w:sz="6" w:space="0" w:color="auto"/>
              <w:right w:val="nil"/>
            </w:tcBorders>
          </w:tcPr>
          <w:p w14:paraId="3F60BCE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
        </w:tc>
        <w:tc>
          <w:tcPr>
            <w:tcW w:w="1320" w:type="dxa"/>
            <w:tcBorders>
              <w:top w:val="nil"/>
              <w:left w:val="nil"/>
              <w:bottom w:val="single" w:sz="6" w:space="0" w:color="auto"/>
              <w:right w:val="nil"/>
            </w:tcBorders>
          </w:tcPr>
          <w:p w14:paraId="7D3B77D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0.11</w:t>
            </w:r>
          </w:p>
        </w:tc>
        <w:tc>
          <w:tcPr>
            <w:tcW w:w="1481" w:type="dxa"/>
            <w:tcBorders>
              <w:top w:val="nil"/>
              <w:left w:val="nil"/>
              <w:bottom w:val="single" w:sz="6" w:space="0" w:color="auto"/>
              <w:right w:val="nil"/>
            </w:tcBorders>
          </w:tcPr>
          <w:p w14:paraId="6D71DE2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0.15</w:t>
            </w:r>
          </w:p>
        </w:tc>
        <w:tc>
          <w:tcPr>
            <w:tcW w:w="1213" w:type="dxa"/>
            <w:tcBorders>
              <w:top w:val="nil"/>
              <w:left w:val="nil"/>
              <w:bottom w:val="single" w:sz="6" w:space="0" w:color="auto"/>
              <w:right w:val="nil"/>
            </w:tcBorders>
          </w:tcPr>
          <w:p w14:paraId="4464770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0.24</w:t>
            </w:r>
          </w:p>
        </w:tc>
        <w:tc>
          <w:tcPr>
            <w:tcW w:w="2072" w:type="dxa"/>
            <w:tcBorders>
              <w:top w:val="nil"/>
              <w:left w:val="nil"/>
              <w:bottom w:val="single" w:sz="6" w:space="0" w:color="auto"/>
              <w:right w:val="nil"/>
            </w:tcBorders>
          </w:tcPr>
          <w:p w14:paraId="5D3720E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0.30</w:t>
            </w:r>
          </w:p>
        </w:tc>
      </w:tr>
    </w:tbl>
    <w:p w14:paraId="763AA179" w14:textId="77777777" w:rsidR="00B44672" w:rsidRDefault="00B44672" w:rsidP="006F0367">
      <w:pPr>
        <w:widowControl w:val="0"/>
        <w:autoSpaceDE w:val="0"/>
        <w:autoSpaceDN w:val="0"/>
        <w:adjustRightInd w:val="0"/>
        <w:spacing w:before="79" w:after="79"/>
        <w:jc w:val="center"/>
        <w:rPr>
          <w:rFonts w:cstheme="minorHAnsi"/>
          <w:sz w:val="22"/>
        </w:rPr>
      </w:pPr>
      <w:r w:rsidRPr="006B5978">
        <w:rPr>
          <w:rFonts w:cstheme="minorHAnsi"/>
          <w:sz w:val="22"/>
        </w:rPr>
        <w:t xml:space="preserve">* </w:t>
      </w:r>
      <w:r w:rsidRPr="006B5978">
        <w:rPr>
          <w:rFonts w:cstheme="minorHAnsi"/>
          <w:i/>
          <w:iCs/>
          <w:sz w:val="22"/>
        </w:rPr>
        <w:t>p</w:t>
      </w:r>
      <w:r w:rsidRPr="006B5978">
        <w:rPr>
          <w:rFonts w:cstheme="minorHAnsi"/>
          <w:sz w:val="22"/>
        </w:rPr>
        <w:t xml:space="preserve">&lt;0.05; ** </w:t>
      </w:r>
      <w:r w:rsidRPr="006B5978">
        <w:rPr>
          <w:rFonts w:cstheme="minorHAnsi"/>
          <w:i/>
          <w:iCs/>
          <w:sz w:val="22"/>
        </w:rPr>
        <w:t>p</w:t>
      </w:r>
      <w:r w:rsidRPr="006B5978">
        <w:rPr>
          <w:rFonts w:cstheme="minorHAnsi"/>
          <w:sz w:val="22"/>
        </w:rPr>
        <w:t>&lt;0.01</w:t>
      </w:r>
    </w:p>
    <w:p w14:paraId="4251914C" w14:textId="77777777" w:rsidR="00B44672" w:rsidRDefault="00B44672" w:rsidP="006F0367">
      <w:pPr>
        <w:widowControl w:val="0"/>
        <w:autoSpaceDE w:val="0"/>
        <w:autoSpaceDN w:val="0"/>
        <w:adjustRightInd w:val="0"/>
        <w:spacing w:before="79" w:after="79"/>
        <w:jc w:val="center"/>
        <w:rPr>
          <w:rFonts w:cstheme="minorHAnsi"/>
          <w:sz w:val="22"/>
        </w:rPr>
      </w:pPr>
    </w:p>
    <w:p w14:paraId="4E3FF1A4" w14:textId="77777777" w:rsidR="00B44672" w:rsidRDefault="00B44672" w:rsidP="006F0367">
      <w:pPr>
        <w:widowControl w:val="0"/>
        <w:autoSpaceDE w:val="0"/>
        <w:autoSpaceDN w:val="0"/>
        <w:adjustRightInd w:val="0"/>
        <w:spacing w:before="79" w:after="79"/>
        <w:jc w:val="center"/>
        <w:rPr>
          <w:rFonts w:cstheme="minorHAnsi"/>
          <w:sz w:val="22"/>
        </w:rPr>
      </w:pPr>
    </w:p>
    <w:p w14:paraId="0626030A" w14:textId="77777777" w:rsidR="00B44672" w:rsidRDefault="00B44672" w:rsidP="006F0367">
      <w:pPr>
        <w:widowControl w:val="0"/>
        <w:autoSpaceDE w:val="0"/>
        <w:autoSpaceDN w:val="0"/>
        <w:adjustRightInd w:val="0"/>
        <w:spacing w:before="79" w:after="79"/>
        <w:jc w:val="center"/>
        <w:rPr>
          <w:rFonts w:cstheme="minorHAnsi"/>
          <w:sz w:val="22"/>
        </w:rPr>
      </w:pPr>
    </w:p>
    <w:p w14:paraId="7B4F3DAB" w14:textId="77777777" w:rsidR="00B44672" w:rsidRDefault="00B44672" w:rsidP="006F0367">
      <w:pPr>
        <w:widowControl w:val="0"/>
        <w:autoSpaceDE w:val="0"/>
        <w:autoSpaceDN w:val="0"/>
        <w:adjustRightInd w:val="0"/>
        <w:spacing w:before="79" w:after="79"/>
        <w:jc w:val="center"/>
        <w:rPr>
          <w:rFonts w:cstheme="minorHAnsi"/>
          <w:sz w:val="22"/>
        </w:rPr>
      </w:pPr>
    </w:p>
    <w:p w14:paraId="29FDBB50" w14:textId="77777777" w:rsidR="00B44672" w:rsidRDefault="00B44672" w:rsidP="006F0367">
      <w:pPr>
        <w:widowControl w:val="0"/>
        <w:autoSpaceDE w:val="0"/>
        <w:autoSpaceDN w:val="0"/>
        <w:adjustRightInd w:val="0"/>
        <w:spacing w:before="79" w:after="79"/>
        <w:jc w:val="center"/>
        <w:rPr>
          <w:rFonts w:cstheme="minorHAnsi"/>
          <w:sz w:val="22"/>
        </w:rPr>
      </w:pPr>
    </w:p>
    <w:p w14:paraId="0607BF03" w14:textId="77777777" w:rsidR="00B44672" w:rsidRDefault="00B44672" w:rsidP="006F0367">
      <w:pPr>
        <w:widowControl w:val="0"/>
        <w:autoSpaceDE w:val="0"/>
        <w:autoSpaceDN w:val="0"/>
        <w:adjustRightInd w:val="0"/>
        <w:spacing w:before="79" w:after="79"/>
        <w:jc w:val="center"/>
        <w:rPr>
          <w:rFonts w:cstheme="minorHAnsi"/>
          <w:sz w:val="22"/>
        </w:rPr>
      </w:pPr>
    </w:p>
    <w:p w14:paraId="72378C7C" w14:textId="77777777" w:rsidR="00B44672" w:rsidRPr="006B5978" w:rsidRDefault="00B44672" w:rsidP="006F0367">
      <w:pPr>
        <w:widowControl w:val="0"/>
        <w:autoSpaceDE w:val="0"/>
        <w:autoSpaceDN w:val="0"/>
        <w:adjustRightInd w:val="0"/>
        <w:spacing w:before="79" w:after="79"/>
        <w:jc w:val="center"/>
        <w:rPr>
          <w:rFonts w:cstheme="minorHAnsi"/>
          <w:sz w:val="22"/>
        </w:rPr>
      </w:pPr>
    </w:p>
    <w:p w14:paraId="58156C4E" w14:textId="744EF68B" w:rsidR="00B44672" w:rsidRPr="00D213B1" w:rsidRDefault="00B44672" w:rsidP="006F0367">
      <w:pPr>
        <w:widowControl w:val="0"/>
        <w:autoSpaceDE w:val="0"/>
        <w:autoSpaceDN w:val="0"/>
        <w:adjustRightInd w:val="0"/>
        <w:spacing w:before="79" w:after="79"/>
        <w:jc w:val="center"/>
        <w:rPr>
          <w:rFonts w:cstheme="minorHAnsi"/>
          <w:i/>
          <w:iCs/>
          <w:sz w:val="22"/>
        </w:rPr>
      </w:pPr>
      <w:r w:rsidRPr="00D213B1">
        <w:rPr>
          <w:b/>
          <w:bCs/>
          <w:i/>
          <w:iCs/>
          <w:color w:val="365F91" w:themeColor="accent1" w:themeShade="BF"/>
        </w:rPr>
        <w:t xml:space="preserve">Table </w:t>
      </w:r>
      <w:r w:rsidRPr="00D213B1">
        <w:rPr>
          <w:b/>
          <w:bCs/>
          <w:i/>
          <w:iCs/>
          <w:color w:val="365F91" w:themeColor="accent1" w:themeShade="BF"/>
        </w:rPr>
        <w:fldChar w:fldCharType="begin"/>
      </w:r>
      <w:r w:rsidRPr="00D213B1">
        <w:rPr>
          <w:b/>
          <w:bCs/>
          <w:i/>
          <w:iCs/>
          <w:color w:val="365F91" w:themeColor="accent1" w:themeShade="BF"/>
        </w:rPr>
        <w:instrText xml:space="preserve"> SEQ Table \* ARABIC </w:instrText>
      </w:r>
      <w:r w:rsidRPr="00D213B1">
        <w:rPr>
          <w:b/>
          <w:bCs/>
          <w:i/>
          <w:iCs/>
          <w:color w:val="365F91" w:themeColor="accent1" w:themeShade="BF"/>
        </w:rPr>
        <w:fldChar w:fldCharType="separate"/>
      </w:r>
      <w:r w:rsidR="00A763B6">
        <w:rPr>
          <w:b/>
          <w:bCs/>
          <w:i/>
          <w:iCs/>
          <w:noProof/>
          <w:color w:val="365F91" w:themeColor="accent1" w:themeShade="BF"/>
        </w:rPr>
        <w:t>31</w:t>
      </w:r>
      <w:r w:rsidRPr="00D213B1">
        <w:rPr>
          <w:b/>
          <w:bCs/>
          <w:i/>
          <w:iCs/>
          <w:color w:val="365F91" w:themeColor="accent1" w:themeShade="BF"/>
        </w:rPr>
        <w:fldChar w:fldCharType="end"/>
      </w:r>
      <w:r>
        <w:rPr>
          <w:b/>
          <w:bCs/>
          <w:i/>
          <w:iCs/>
          <w:color w:val="365F91" w:themeColor="accent1" w:themeShade="BF"/>
        </w:rPr>
        <w:t>b</w:t>
      </w:r>
      <w:r w:rsidRPr="00D213B1">
        <w:rPr>
          <w:b/>
          <w:bCs/>
          <w:i/>
          <w:iCs/>
          <w:color w:val="365F91" w:themeColor="accent1" w:themeShade="BF"/>
        </w:rPr>
        <w:t xml:space="preserve"> </w:t>
      </w:r>
      <w:r>
        <w:rPr>
          <w:b/>
          <w:bCs/>
          <w:i/>
          <w:iCs/>
          <w:color w:val="365F91" w:themeColor="accent1" w:themeShade="BF"/>
        </w:rPr>
        <w:t xml:space="preserve">(not in main report) </w:t>
      </w:r>
      <w:r w:rsidRPr="00D213B1">
        <w:rPr>
          <w:b/>
          <w:bCs/>
          <w:i/>
          <w:iCs/>
          <w:color w:val="365F91" w:themeColor="accent1" w:themeShade="BF"/>
        </w:rPr>
        <w:t>- Effect of the tax reform on the number of un</w:t>
      </w:r>
      <w:r>
        <w:rPr>
          <w:b/>
          <w:bCs/>
          <w:i/>
          <w:iCs/>
          <w:color w:val="365F91" w:themeColor="accent1" w:themeShade="BF"/>
        </w:rPr>
        <w:t>it sales - estimations in logs</w:t>
      </w:r>
    </w:p>
    <w:tbl>
      <w:tblPr>
        <w:tblW w:w="0" w:type="auto"/>
        <w:jc w:val="center"/>
        <w:tblCellMar>
          <w:left w:w="144" w:type="dxa"/>
          <w:right w:w="144" w:type="dxa"/>
        </w:tblCellMar>
        <w:tblLook w:val="0000" w:firstRow="0" w:lastRow="0" w:firstColumn="0" w:lastColumn="0" w:noHBand="0" w:noVBand="0"/>
      </w:tblPr>
      <w:tblGrid>
        <w:gridCol w:w="2091"/>
        <w:gridCol w:w="1271"/>
        <w:gridCol w:w="1271"/>
        <w:gridCol w:w="1387"/>
        <w:gridCol w:w="1194"/>
        <w:gridCol w:w="1812"/>
      </w:tblGrid>
      <w:tr w:rsidR="00B44672" w:rsidRPr="006B5978" w14:paraId="32AF62E3" w14:textId="77777777" w:rsidTr="004D2B7C">
        <w:trPr>
          <w:jc w:val="center"/>
        </w:trPr>
        <w:tc>
          <w:tcPr>
            <w:tcW w:w="2242" w:type="dxa"/>
            <w:tcBorders>
              <w:top w:val="single" w:sz="6" w:space="0" w:color="auto"/>
              <w:left w:val="nil"/>
              <w:bottom w:val="nil"/>
              <w:right w:val="nil"/>
            </w:tcBorders>
          </w:tcPr>
          <w:p w14:paraId="48E8BE88" w14:textId="77777777" w:rsidR="00B44672" w:rsidRPr="006B5978" w:rsidRDefault="00B44672" w:rsidP="004D2B7C">
            <w:pPr>
              <w:widowControl w:val="0"/>
              <w:autoSpaceDE w:val="0"/>
              <w:autoSpaceDN w:val="0"/>
              <w:adjustRightInd w:val="0"/>
              <w:spacing w:before="79" w:after="0"/>
              <w:rPr>
                <w:rFonts w:cstheme="minorHAnsi"/>
                <w:sz w:val="22"/>
              </w:rPr>
            </w:pPr>
            <w:proofErr w:type="gramStart"/>
            <w:r w:rsidRPr="006B5978">
              <w:rPr>
                <w:rFonts w:cstheme="minorHAnsi"/>
                <w:sz w:val="22"/>
              </w:rPr>
              <w:t>Log(</w:t>
            </w:r>
            <w:proofErr w:type="gramEnd"/>
            <w:r w:rsidRPr="006B5978">
              <w:rPr>
                <w:rFonts w:cstheme="minorHAnsi"/>
                <w:sz w:val="22"/>
              </w:rPr>
              <w:t>Number Sold)</w:t>
            </w:r>
          </w:p>
        </w:tc>
        <w:tc>
          <w:tcPr>
            <w:tcW w:w="1320" w:type="dxa"/>
            <w:tcBorders>
              <w:top w:val="single" w:sz="6" w:space="0" w:color="auto"/>
              <w:left w:val="nil"/>
              <w:bottom w:val="nil"/>
              <w:right w:val="nil"/>
            </w:tcBorders>
          </w:tcPr>
          <w:p w14:paraId="23E24B36"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(1)</w:t>
            </w:r>
          </w:p>
        </w:tc>
        <w:tc>
          <w:tcPr>
            <w:tcW w:w="1320" w:type="dxa"/>
            <w:tcBorders>
              <w:top w:val="single" w:sz="6" w:space="0" w:color="auto"/>
              <w:left w:val="nil"/>
              <w:bottom w:val="nil"/>
              <w:right w:val="nil"/>
            </w:tcBorders>
          </w:tcPr>
          <w:p w14:paraId="3B6C2E5C"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(2)</w:t>
            </w:r>
          </w:p>
        </w:tc>
        <w:tc>
          <w:tcPr>
            <w:tcW w:w="1481" w:type="dxa"/>
            <w:tcBorders>
              <w:top w:val="single" w:sz="6" w:space="0" w:color="auto"/>
              <w:left w:val="nil"/>
              <w:bottom w:val="nil"/>
              <w:right w:val="nil"/>
            </w:tcBorders>
          </w:tcPr>
          <w:p w14:paraId="403B4DCC"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(3)</w:t>
            </w:r>
          </w:p>
        </w:tc>
        <w:tc>
          <w:tcPr>
            <w:tcW w:w="1213" w:type="dxa"/>
            <w:tcBorders>
              <w:top w:val="single" w:sz="6" w:space="0" w:color="auto"/>
              <w:left w:val="nil"/>
              <w:bottom w:val="nil"/>
              <w:right w:val="nil"/>
            </w:tcBorders>
          </w:tcPr>
          <w:p w14:paraId="3E2464CD"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(4)</w:t>
            </w:r>
          </w:p>
        </w:tc>
        <w:tc>
          <w:tcPr>
            <w:tcW w:w="2072" w:type="dxa"/>
            <w:tcBorders>
              <w:top w:val="single" w:sz="6" w:space="0" w:color="auto"/>
              <w:left w:val="nil"/>
              <w:bottom w:val="nil"/>
              <w:right w:val="nil"/>
            </w:tcBorders>
          </w:tcPr>
          <w:p w14:paraId="153BD036"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(5)</w:t>
            </w:r>
          </w:p>
        </w:tc>
      </w:tr>
      <w:tr w:rsidR="00B44672" w:rsidRPr="006B5978" w14:paraId="01D30E33" w14:textId="77777777" w:rsidTr="004D2B7C">
        <w:trPr>
          <w:jc w:val="center"/>
        </w:trPr>
        <w:tc>
          <w:tcPr>
            <w:tcW w:w="2242" w:type="dxa"/>
            <w:tcBorders>
              <w:top w:val="nil"/>
              <w:left w:val="nil"/>
              <w:bottom w:val="nil"/>
              <w:right w:val="nil"/>
            </w:tcBorders>
          </w:tcPr>
          <w:p w14:paraId="0D716BF2" w14:textId="77777777" w:rsidR="00B44672" w:rsidRPr="006B5978" w:rsidRDefault="00B44672" w:rsidP="004D2B7C">
            <w:pPr>
              <w:widowControl w:val="0"/>
              <w:autoSpaceDE w:val="0"/>
              <w:autoSpaceDN w:val="0"/>
              <w:adjustRightInd w:val="0"/>
              <w:spacing w:after="79"/>
              <w:rPr>
                <w:rFonts w:cstheme="minorHAnsi"/>
                <w:sz w:val="22"/>
              </w:rPr>
            </w:pPr>
          </w:p>
        </w:tc>
        <w:tc>
          <w:tcPr>
            <w:tcW w:w="1320" w:type="dxa"/>
            <w:tcBorders>
              <w:top w:val="nil"/>
              <w:left w:val="nil"/>
              <w:bottom w:val="nil"/>
              <w:right w:val="nil"/>
            </w:tcBorders>
          </w:tcPr>
          <w:p w14:paraId="5346CF58"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320" w:type="dxa"/>
            <w:tcBorders>
              <w:top w:val="nil"/>
              <w:left w:val="nil"/>
              <w:bottom w:val="nil"/>
              <w:right w:val="nil"/>
            </w:tcBorders>
          </w:tcPr>
          <w:p w14:paraId="5E8D5828"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481" w:type="dxa"/>
            <w:tcBorders>
              <w:top w:val="nil"/>
              <w:left w:val="nil"/>
              <w:bottom w:val="nil"/>
              <w:right w:val="nil"/>
            </w:tcBorders>
          </w:tcPr>
          <w:p w14:paraId="6F7BD3AA"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w:t>
            </w:r>
          </w:p>
        </w:tc>
        <w:tc>
          <w:tcPr>
            <w:tcW w:w="1213" w:type="dxa"/>
            <w:tcBorders>
              <w:top w:val="nil"/>
              <w:left w:val="nil"/>
              <w:bottom w:val="nil"/>
              <w:right w:val="nil"/>
            </w:tcBorders>
          </w:tcPr>
          <w:p w14:paraId="7C74187D"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NSW &amp; VIC</w:t>
            </w:r>
          </w:p>
        </w:tc>
        <w:tc>
          <w:tcPr>
            <w:tcW w:w="2072" w:type="dxa"/>
            <w:tcBorders>
              <w:top w:val="nil"/>
              <w:left w:val="nil"/>
              <w:bottom w:val="nil"/>
              <w:right w:val="nil"/>
            </w:tcBorders>
          </w:tcPr>
          <w:p w14:paraId="0CDC7DCE"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 NSW &amp; VIC</w:t>
            </w:r>
          </w:p>
        </w:tc>
      </w:tr>
      <w:tr w:rsidR="00B44672" w:rsidRPr="006B5978" w14:paraId="6A1CF9DF" w14:textId="77777777" w:rsidTr="004D2B7C">
        <w:trPr>
          <w:jc w:val="center"/>
        </w:trPr>
        <w:tc>
          <w:tcPr>
            <w:tcW w:w="2242" w:type="dxa"/>
            <w:tcBorders>
              <w:top w:val="single" w:sz="6" w:space="0" w:color="auto"/>
              <w:left w:val="nil"/>
              <w:bottom w:val="nil"/>
              <w:right w:val="nil"/>
            </w:tcBorders>
          </w:tcPr>
          <w:p w14:paraId="18D45D26"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Reform Dummy</w:t>
            </w:r>
          </w:p>
        </w:tc>
        <w:tc>
          <w:tcPr>
            <w:tcW w:w="1320" w:type="dxa"/>
            <w:tcBorders>
              <w:top w:val="single" w:sz="6" w:space="0" w:color="auto"/>
              <w:left w:val="nil"/>
              <w:bottom w:val="nil"/>
              <w:right w:val="nil"/>
            </w:tcBorders>
          </w:tcPr>
          <w:p w14:paraId="26062B2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-0.285</w:t>
            </w:r>
          </w:p>
        </w:tc>
        <w:tc>
          <w:tcPr>
            <w:tcW w:w="1320" w:type="dxa"/>
            <w:tcBorders>
              <w:top w:val="single" w:sz="6" w:space="0" w:color="auto"/>
              <w:left w:val="nil"/>
              <w:bottom w:val="nil"/>
              <w:right w:val="nil"/>
            </w:tcBorders>
          </w:tcPr>
          <w:p w14:paraId="55B1AE4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-0.265</w:t>
            </w:r>
          </w:p>
        </w:tc>
        <w:tc>
          <w:tcPr>
            <w:tcW w:w="1481" w:type="dxa"/>
            <w:tcBorders>
              <w:top w:val="single" w:sz="6" w:space="0" w:color="auto"/>
              <w:left w:val="nil"/>
              <w:bottom w:val="nil"/>
              <w:right w:val="nil"/>
            </w:tcBorders>
          </w:tcPr>
          <w:p w14:paraId="1C77244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-0.275</w:t>
            </w:r>
          </w:p>
        </w:tc>
        <w:tc>
          <w:tcPr>
            <w:tcW w:w="1213" w:type="dxa"/>
            <w:tcBorders>
              <w:top w:val="single" w:sz="6" w:space="0" w:color="auto"/>
              <w:left w:val="nil"/>
              <w:bottom w:val="nil"/>
              <w:right w:val="nil"/>
            </w:tcBorders>
          </w:tcPr>
          <w:p w14:paraId="21B836E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-0.284</w:t>
            </w:r>
          </w:p>
        </w:tc>
        <w:tc>
          <w:tcPr>
            <w:tcW w:w="2072" w:type="dxa"/>
            <w:tcBorders>
              <w:top w:val="single" w:sz="6" w:space="0" w:color="auto"/>
              <w:left w:val="nil"/>
              <w:bottom w:val="nil"/>
              <w:right w:val="nil"/>
            </w:tcBorders>
          </w:tcPr>
          <w:p w14:paraId="331FE83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-0.313</w:t>
            </w:r>
          </w:p>
        </w:tc>
      </w:tr>
      <w:tr w:rsidR="00B44672" w:rsidRPr="006B5978" w14:paraId="375E58C6" w14:textId="77777777" w:rsidTr="004D2B7C">
        <w:trPr>
          <w:jc w:val="center"/>
        </w:trPr>
        <w:tc>
          <w:tcPr>
            <w:tcW w:w="2242" w:type="dxa"/>
            <w:tcBorders>
              <w:top w:val="nil"/>
              <w:left w:val="nil"/>
              <w:bottom w:val="nil"/>
              <w:right w:val="nil"/>
            </w:tcBorders>
          </w:tcPr>
          <w:p w14:paraId="74AAC310"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20" w:type="dxa"/>
            <w:tcBorders>
              <w:top w:val="nil"/>
              <w:left w:val="nil"/>
              <w:bottom w:val="nil"/>
              <w:right w:val="nil"/>
            </w:tcBorders>
          </w:tcPr>
          <w:p w14:paraId="560A41F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0.027]*</w:t>
            </w:r>
            <w:proofErr w:type="gramEnd"/>
            <w:r w:rsidRPr="006B5978">
              <w:rPr>
                <w:rFonts w:cstheme="minorHAnsi"/>
                <w:sz w:val="22"/>
              </w:rPr>
              <w:t>*</w:t>
            </w:r>
          </w:p>
        </w:tc>
        <w:tc>
          <w:tcPr>
            <w:tcW w:w="1320" w:type="dxa"/>
            <w:tcBorders>
              <w:top w:val="nil"/>
              <w:left w:val="nil"/>
              <w:bottom w:val="nil"/>
              <w:right w:val="nil"/>
            </w:tcBorders>
          </w:tcPr>
          <w:p w14:paraId="62914BA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0.029]*</w:t>
            </w:r>
            <w:proofErr w:type="gramEnd"/>
            <w:r w:rsidRPr="006B5978">
              <w:rPr>
                <w:rFonts w:cstheme="minorHAnsi"/>
                <w:sz w:val="22"/>
              </w:rPr>
              <w:t>*</w:t>
            </w:r>
          </w:p>
        </w:tc>
        <w:tc>
          <w:tcPr>
            <w:tcW w:w="1481" w:type="dxa"/>
            <w:tcBorders>
              <w:top w:val="nil"/>
              <w:left w:val="nil"/>
              <w:bottom w:val="nil"/>
              <w:right w:val="nil"/>
            </w:tcBorders>
          </w:tcPr>
          <w:p w14:paraId="7B1095A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0.030]*</w:t>
            </w:r>
            <w:proofErr w:type="gramEnd"/>
            <w:r w:rsidRPr="006B5978">
              <w:rPr>
                <w:rFonts w:cstheme="minorHAnsi"/>
                <w:sz w:val="22"/>
              </w:rPr>
              <w:t>*</w:t>
            </w:r>
          </w:p>
        </w:tc>
        <w:tc>
          <w:tcPr>
            <w:tcW w:w="1213" w:type="dxa"/>
            <w:tcBorders>
              <w:top w:val="nil"/>
              <w:left w:val="nil"/>
              <w:bottom w:val="nil"/>
              <w:right w:val="nil"/>
            </w:tcBorders>
          </w:tcPr>
          <w:p w14:paraId="464AA3F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0.040]*</w:t>
            </w:r>
            <w:proofErr w:type="gramEnd"/>
            <w:r w:rsidRPr="006B5978">
              <w:rPr>
                <w:rFonts w:cstheme="minorHAnsi"/>
                <w:sz w:val="22"/>
              </w:rPr>
              <w:t>*</w:t>
            </w:r>
          </w:p>
        </w:tc>
        <w:tc>
          <w:tcPr>
            <w:tcW w:w="2072" w:type="dxa"/>
            <w:tcBorders>
              <w:top w:val="nil"/>
              <w:left w:val="nil"/>
              <w:bottom w:val="nil"/>
              <w:right w:val="nil"/>
            </w:tcBorders>
          </w:tcPr>
          <w:p w14:paraId="3880919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0.041]*</w:t>
            </w:r>
            <w:proofErr w:type="gramEnd"/>
            <w:r w:rsidRPr="006B5978">
              <w:rPr>
                <w:rFonts w:cstheme="minorHAnsi"/>
                <w:sz w:val="22"/>
              </w:rPr>
              <w:t>*</w:t>
            </w:r>
          </w:p>
        </w:tc>
      </w:tr>
      <w:tr w:rsidR="00B44672" w:rsidRPr="006B5978" w14:paraId="3791A16C" w14:textId="77777777" w:rsidTr="004D2B7C">
        <w:trPr>
          <w:jc w:val="center"/>
        </w:trPr>
        <w:tc>
          <w:tcPr>
            <w:tcW w:w="2242" w:type="dxa"/>
            <w:tcBorders>
              <w:top w:val="nil"/>
              <w:left w:val="nil"/>
              <w:bottom w:val="nil"/>
              <w:right w:val="nil"/>
            </w:tcBorders>
          </w:tcPr>
          <w:p w14:paraId="398074A1"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Population)</w:t>
            </w:r>
          </w:p>
        </w:tc>
        <w:tc>
          <w:tcPr>
            <w:tcW w:w="1320" w:type="dxa"/>
            <w:tcBorders>
              <w:top w:val="nil"/>
              <w:left w:val="nil"/>
              <w:bottom w:val="nil"/>
              <w:right w:val="nil"/>
            </w:tcBorders>
          </w:tcPr>
          <w:p w14:paraId="10071005"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79FE46E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1.516</w:t>
            </w:r>
          </w:p>
        </w:tc>
        <w:tc>
          <w:tcPr>
            <w:tcW w:w="1481" w:type="dxa"/>
            <w:tcBorders>
              <w:top w:val="nil"/>
              <w:left w:val="nil"/>
              <w:bottom w:val="nil"/>
              <w:right w:val="nil"/>
            </w:tcBorders>
          </w:tcPr>
          <w:p w14:paraId="2AF25FB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2.174</w:t>
            </w:r>
          </w:p>
        </w:tc>
        <w:tc>
          <w:tcPr>
            <w:tcW w:w="1213" w:type="dxa"/>
            <w:tcBorders>
              <w:top w:val="nil"/>
              <w:left w:val="nil"/>
              <w:bottom w:val="nil"/>
              <w:right w:val="nil"/>
            </w:tcBorders>
          </w:tcPr>
          <w:p w14:paraId="2F4E9CA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3.963</w:t>
            </w:r>
          </w:p>
        </w:tc>
        <w:tc>
          <w:tcPr>
            <w:tcW w:w="2072" w:type="dxa"/>
            <w:tcBorders>
              <w:top w:val="nil"/>
              <w:left w:val="nil"/>
              <w:bottom w:val="nil"/>
              <w:right w:val="nil"/>
            </w:tcBorders>
          </w:tcPr>
          <w:p w14:paraId="75DCED8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6.429</w:t>
            </w:r>
          </w:p>
        </w:tc>
      </w:tr>
      <w:tr w:rsidR="00B44672" w:rsidRPr="006B5978" w14:paraId="74820686" w14:textId="77777777" w:rsidTr="004D2B7C">
        <w:trPr>
          <w:jc w:val="center"/>
        </w:trPr>
        <w:tc>
          <w:tcPr>
            <w:tcW w:w="2242" w:type="dxa"/>
            <w:tcBorders>
              <w:top w:val="nil"/>
              <w:left w:val="nil"/>
              <w:bottom w:val="nil"/>
              <w:right w:val="nil"/>
            </w:tcBorders>
          </w:tcPr>
          <w:p w14:paraId="68EA816D"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20" w:type="dxa"/>
            <w:tcBorders>
              <w:top w:val="nil"/>
              <w:left w:val="nil"/>
              <w:bottom w:val="nil"/>
              <w:right w:val="nil"/>
            </w:tcBorders>
          </w:tcPr>
          <w:p w14:paraId="07742099"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0D13339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0.185]*</w:t>
            </w:r>
            <w:proofErr w:type="gramEnd"/>
            <w:r w:rsidRPr="006B5978">
              <w:rPr>
                <w:rFonts w:cstheme="minorHAnsi"/>
                <w:sz w:val="22"/>
              </w:rPr>
              <w:t>*</w:t>
            </w:r>
          </w:p>
        </w:tc>
        <w:tc>
          <w:tcPr>
            <w:tcW w:w="1481" w:type="dxa"/>
            <w:tcBorders>
              <w:top w:val="nil"/>
              <w:left w:val="nil"/>
              <w:bottom w:val="nil"/>
              <w:right w:val="nil"/>
            </w:tcBorders>
          </w:tcPr>
          <w:p w14:paraId="34AE456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0.238]*</w:t>
            </w:r>
            <w:proofErr w:type="gramEnd"/>
            <w:r w:rsidRPr="006B5978">
              <w:rPr>
                <w:rFonts w:cstheme="minorHAnsi"/>
                <w:sz w:val="22"/>
              </w:rPr>
              <w:t>*</w:t>
            </w:r>
          </w:p>
        </w:tc>
        <w:tc>
          <w:tcPr>
            <w:tcW w:w="1213" w:type="dxa"/>
            <w:tcBorders>
              <w:top w:val="nil"/>
              <w:left w:val="nil"/>
              <w:bottom w:val="nil"/>
              <w:right w:val="nil"/>
            </w:tcBorders>
          </w:tcPr>
          <w:p w14:paraId="1CA9405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0.377]*</w:t>
            </w:r>
            <w:proofErr w:type="gramEnd"/>
            <w:r w:rsidRPr="006B5978">
              <w:rPr>
                <w:rFonts w:cstheme="minorHAnsi"/>
                <w:sz w:val="22"/>
              </w:rPr>
              <w:t>*</w:t>
            </w:r>
          </w:p>
        </w:tc>
        <w:tc>
          <w:tcPr>
            <w:tcW w:w="2072" w:type="dxa"/>
            <w:tcBorders>
              <w:top w:val="nil"/>
              <w:left w:val="nil"/>
              <w:bottom w:val="nil"/>
              <w:right w:val="nil"/>
            </w:tcBorders>
          </w:tcPr>
          <w:p w14:paraId="2415D46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0.473]*</w:t>
            </w:r>
            <w:proofErr w:type="gramEnd"/>
            <w:r w:rsidRPr="006B5978">
              <w:rPr>
                <w:rFonts w:cstheme="minorHAnsi"/>
                <w:sz w:val="22"/>
              </w:rPr>
              <w:t>*</w:t>
            </w:r>
          </w:p>
        </w:tc>
      </w:tr>
      <w:tr w:rsidR="00B44672" w:rsidRPr="006B5978" w14:paraId="1876C03A" w14:textId="77777777" w:rsidTr="004D2B7C">
        <w:trPr>
          <w:jc w:val="center"/>
        </w:trPr>
        <w:tc>
          <w:tcPr>
            <w:tcW w:w="2242" w:type="dxa"/>
            <w:tcBorders>
              <w:top w:val="nil"/>
              <w:left w:val="nil"/>
              <w:bottom w:val="nil"/>
              <w:right w:val="nil"/>
            </w:tcBorders>
          </w:tcPr>
          <w:p w14:paraId="3B4128BC"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Income)</w:t>
            </w:r>
          </w:p>
        </w:tc>
        <w:tc>
          <w:tcPr>
            <w:tcW w:w="1320" w:type="dxa"/>
            <w:tcBorders>
              <w:top w:val="nil"/>
              <w:left w:val="nil"/>
              <w:bottom w:val="nil"/>
              <w:right w:val="nil"/>
            </w:tcBorders>
          </w:tcPr>
          <w:p w14:paraId="4DC4770F"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05184E3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0.810</w:t>
            </w:r>
          </w:p>
        </w:tc>
        <w:tc>
          <w:tcPr>
            <w:tcW w:w="1481" w:type="dxa"/>
            <w:tcBorders>
              <w:top w:val="nil"/>
              <w:left w:val="nil"/>
              <w:bottom w:val="nil"/>
              <w:right w:val="nil"/>
            </w:tcBorders>
          </w:tcPr>
          <w:p w14:paraId="107D970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0.848</w:t>
            </w:r>
          </w:p>
        </w:tc>
        <w:tc>
          <w:tcPr>
            <w:tcW w:w="1213" w:type="dxa"/>
            <w:tcBorders>
              <w:top w:val="nil"/>
              <w:left w:val="nil"/>
              <w:bottom w:val="nil"/>
              <w:right w:val="nil"/>
            </w:tcBorders>
          </w:tcPr>
          <w:p w14:paraId="3D17DBD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0.629</w:t>
            </w:r>
          </w:p>
        </w:tc>
        <w:tc>
          <w:tcPr>
            <w:tcW w:w="2072" w:type="dxa"/>
            <w:tcBorders>
              <w:top w:val="nil"/>
              <w:left w:val="nil"/>
              <w:bottom w:val="nil"/>
              <w:right w:val="nil"/>
            </w:tcBorders>
          </w:tcPr>
          <w:p w14:paraId="5759509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0.665</w:t>
            </w:r>
          </w:p>
        </w:tc>
      </w:tr>
      <w:tr w:rsidR="00B44672" w:rsidRPr="006B5978" w14:paraId="3A54E559" w14:textId="77777777" w:rsidTr="004D2B7C">
        <w:trPr>
          <w:jc w:val="center"/>
        </w:trPr>
        <w:tc>
          <w:tcPr>
            <w:tcW w:w="2242" w:type="dxa"/>
            <w:tcBorders>
              <w:top w:val="nil"/>
              <w:left w:val="nil"/>
              <w:bottom w:val="nil"/>
              <w:right w:val="nil"/>
            </w:tcBorders>
          </w:tcPr>
          <w:p w14:paraId="1EB92A18"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lastRenderedPageBreak/>
              <w:t>Standard error</w:t>
            </w:r>
          </w:p>
        </w:tc>
        <w:tc>
          <w:tcPr>
            <w:tcW w:w="1320" w:type="dxa"/>
            <w:tcBorders>
              <w:top w:val="nil"/>
              <w:left w:val="nil"/>
              <w:bottom w:val="nil"/>
              <w:right w:val="nil"/>
            </w:tcBorders>
          </w:tcPr>
          <w:p w14:paraId="409096F6"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05FC36B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0.138]*</w:t>
            </w:r>
            <w:proofErr w:type="gramEnd"/>
            <w:r w:rsidRPr="006B5978">
              <w:rPr>
                <w:rFonts w:cstheme="minorHAnsi"/>
                <w:sz w:val="22"/>
              </w:rPr>
              <w:t>*</w:t>
            </w:r>
          </w:p>
        </w:tc>
        <w:tc>
          <w:tcPr>
            <w:tcW w:w="1481" w:type="dxa"/>
            <w:tcBorders>
              <w:top w:val="nil"/>
              <w:left w:val="nil"/>
              <w:bottom w:val="nil"/>
              <w:right w:val="nil"/>
            </w:tcBorders>
          </w:tcPr>
          <w:p w14:paraId="37CB815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0.172]*</w:t>
            </w:r>
            <w:proofErr w:type="gramEnd"/>
            <w:r w:rsidRPr="006B5978">
              <w:rPr>
                <w:rFonts w:cstheme="minorHAnsi"/>
                <w:sz w:val="22"/>
              </w:rPr>
              <w:t>*</w:t>
            </w:r>
          </w:p>
        </w:tc>
        <w:tc>
          <w:tcPr>
            <w:tcW w:w="1213" w:type="dxa"/>
            <w:tcBorders>
              <w:top w:val="nil"/>
              <w:left w:val="nil"/>
              <w:bottom w:val="nil"/>
              <w:right w:val="nil"/>
            </w:tcBorders>
          </w:tcPr>
          <w:p w14:paraId="152DBA4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[0.385]</w:t>
            </w:r>
          </w:p>
        </w:tc>
        <w:tc>
          <w:tcPr>
            <w:tcW w:w="2072" w:type="dxa"/>
            <w:tcBorders>
              <w:top w:val="nil"/>
              <w:left w:val="nil"/>
              <w:bottom w:val="nil"/>
              <w:right w:val="nil"/>
            </w:tcBorders>
          </w:tcPr>
          <w:p w14:paraId="1650F1B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[0.405]</w:t>
            </w:r>
          </w:p>
        </w:tc>
      </w:tr>
      <w:tr w:rsidR="00B44672" w:rsidRPr="006B5978" w14:paraId="2FB77D5C" w14:textId="77777777" w:rsidTr="004D2B7C">
        <w:trPr>
          <w:jc w:val="center"/>
        </w:trPr>
        <w:tc>
          <w:tcPr>
            <w:tcW w:w="2242" w:type="dxa"/>
            <w:tcBorders>
              <w:top w:val="nil"/>
              <w:left w:val="nil"/>
              <w:bottom w:val="nil"/>
              <w:right w:val="nil"/>
            </w:tcBorders>
          </w:tcPr>
          <w:p w14:paraId="65EF5D33"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Time &amp; Suburb FE</w:t>
            </w:r>
          </w:p>
        </w:tc>
        <w:tc>
          <w:tcPr>
            <w:tcW w:w="1320" w:type="dxa"/>
            <w:tcBorders>
              <w:top w:val="nil"/>
              <w:left w:val="nil"/>
              <w:bottom w:val="nil"/>
              <w:right w:val="nil"/>
            </w:tcBorders>
          </w:tcPr>
          <w:p w14:paraId="2AD74D8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320" w:type="dxa"/>
            <w:tcBorders>
              <w:top w:val="nil"/>
              <w:left w:val="nil"/>
              <w:bottom w:val="nil"/>
              <w:right w:val="nil"/>
            </w:tcBorders>
          </w:tcPr>
          <w:p w14:paraId="20C5683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81" w:type="dxa"/>
            <w:tcBorders>
              <w:top w:val="nil"/>
              <w:left w:val="nil"/>
              <w:bottom w:val="nil"/>
              <w:right w:val="nil"/>
            </w:tcBorders>
          </w:tcPr>
          <w:p w14:paraId="503BE6B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213" w:type="dxa"/>
            <w:tcBorders>
              <w:top w:val="nil"/>
              <w:left w:val="nil"/>
              <w:bottom w:val="nil"/>
              <w:right w:val="nil"/>
            </w:tcBorders>
          </w:tcPr>
          <w:p w14:paraId="250EC11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2072" w:type="dxa"/>
            <w:tcBorders>
              <w:top w:val="nil"/>
              <w:left w:val="nil"/>
              <w:bottom w:val="nil"/>
              <w:right w:val="nil"/>
            </w:tcBorders>
          </w:tcPr>
          <w:p w14:paraId="421160B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r>
      <w:tr w:rsidR="00B44672" w:rsidRPr="006B5978" w14:paraId="373CE2D5" w14:textId="77777777" w:rsidTr="004D2B7C">
        <w:trPr>
          <w:jc w:val="center"/>
        </w:trPr>
        <w:tc>
          <w:tcPr>
            <w:tcW w:w="2242" w:type="dxa"/>
            <w:tcBorders>
              <w:top w:val="nil"/>
              <w:left w:val="nil"/>
              <w:bottom w:val="nil"/>
              <w:right w:val="nil"/>
            </w:tcBorders>
          </w:tcPr>
          <w:p w14:paraId="2D50ED18"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Observations</w:t>
            </w:r>
          </w:p>
        </w:tc>
        <w:tc>
          <w:tcPr>
            <w:tcW w:w="1320" w:type="dxa"/>
            <w:tcBorders>
              <w:top w:val="nil"/>
              <w:left w:val="nil"/>
              <w:bottom w:val="nil"/>
              <w:right w:val="nil"/>
            </w:tcBorders>
          </w:tcPr>
          <w:p w14:paraId="14A46DD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220,220</w:t>
            </w:r>
          </w:p>
        </w:tc>
        <w:tc>
          <w:tcPr>
            <w:tcW w:w="1320" w:type="dxa"/>
            <w:tcBorders>
              <w:top w:val="nil"/>
              <w:left w:val="nil"/>
              <w:bottom w:val="nil"/>
              <w:right w:val="nil"/>
            </w:tcBorders>
          </w:tcPr>
          <w:p w14:paraId="031591F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209,572</w:t>
            </w:r>
          </w:p>
        </w:tc>
        <w:tc>
          <w:tcPr>
            <w:tcW w:w="1481" w:type="dxa"/>
            <w:tcBorders>
              <w:top w:val="nil"/>
              <w:left w:val="nil"/>
              <w:bottom w:val="nil"/>
              <w:right w:val="nil"/>
            </w:tcBorders>
          </w:tcPr>
          <w:p w14:paraId="6D8D7C8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138,177</w:t>
            </w:r>
          </w:p>
        </w:tc>
        <w:tc>
          <w:tcPr>
            <w:tcW w:w="1213" w:type="dxa"/>
            <w:tcBorders>
              <w:top w:val="nil"/>
              <w:left w:val="nil"/>
              <w:bottom w:val="nil"/>
              <w:right w:val="nil"/>
            </w:tcBorders>
          </w:tcPr>
          <w:p w14:paraId="67F04CE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118,877</w:t>
            </w:r>
          </w:p>
        </w:tc>
        <w:tc>
          <w:tcPr>
            <w:tcW w:w="2072" w:type="dxa"/>
            <w:tcBorders>
              <w:top w:val="nil"/>
              <w:left w:val="nil"/>
              <w:bottom w:val="nil"/>
              <w:right w:val="nil"/>
            </w:tcBorders>
          </w:tcPr>
          <w:p w14:paraId="08C2E0F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81,686</w:t>
            </w:r>
          </w:p>
        </w:tc>
      </w:tr>
      <w:tr w:rsidR="00B44672" w:rsidRPr="006B5978" w14:paraId="5FCF4681" w14:textId="77777777" w:rsidTr="004D2B7C">
        <w:trPr>
          <w:jc w:val="center"/>
        </w:trPr>
        <w:tc>
          <w:tcPr>
            <w:tcW w:w="2242" w:type="dxa"/>
            <w:tcBorders>
              <w:top w:val="nil"/>
              <w:left w:val="nil"/>
              <w:bottom w:val="nil"/>
              <w:right w:val="nil"/>
            </w:tcBorders>
          </w:tcPr>
          <w:p w14:paraId="35D6D853"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Number of Suburbs</w:t>
            </w:r>
          </w:p>
        </w:tc>
        <w:tc>
          <w:tcPr>
            <w:tcW w:w="1320" w:type="dxa"/>
            <w:tcBorders>
              <w:top w:val="nil"/>
              <w:left w:val="nil"/>
              <w:bottom w:val="nil"/>
              <w:right w:val="nil"/>
            </w:tcBorders>
          </w:tcPr>
          <w:p w14:paraId="0E35C4E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3,799</w:t>
            </w:r>
          </w:p>
        </w:tc>
        <w:tc>
          <w:tcPr>
            <w:tcW w:w="1320" w:type="dxa"/>
            <w:tcBorders>
              <w:top w:val="nil"/>
              <w:left w:val="nil"/>
              <w:bottom w:val="nil"/>
              <w:right w:val="nil"/>
            </w:tcBorders>
          </w:tcPr>
          <w:p w14:paraId="3FD019E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3,781</w:t>
            </w:r>
          </w:p>
        </w:tc>
        <w:tc>
          <w:tcPr>
            <w:tcW w:w="1481" w:type="dxa"/>
            <w:tcBorders>
              <w:top w:val="nil"/>
              <w:left w:val="nil"/>
              <w:bottom w:val="nil"/>
              <w:right w:val="nil"/>
            </w:tcBorders>
          </w:tcPr>
          <w:p w14:paraId="2D7E850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2,112</w:t>
            </w:r>
          </w:p>
        </w:tc>
        <w:tc>
          <w:tcPr>
            <w:tcW w:w="1213" w:type="dxa"/>
            <w:tcBorders>
              <w:top w:val="nil"/>
              <w:left w:val="nil"/>
              <w:bottom w:val="nil"/>
              <w:right w:val="nil"/>
            </w:tcBorders>
          </w:tcPr>
          <w:p w14:paraId="69C2AD7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1,980</w:t>
            </w:r>
          </w:p>
        </w:tc>
        <w:tc>
          <w:tcPr>
            <w:tcW w:w="2072" w:type="dxa"/>
            <w:tcBorders>
              <w:top w:val="nil"/>
              <w:left w:val="nil"/>
              <w:bottom w:val="nil"/>
              <w:right w:val="nil"/>
            </w:tcBorders>
          </w:tcPr>
          <w:p w14:paraId="6C85B07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1,135</w:t>
            </w:r>
          </w:p>
        </w:tc>
      </w:tr>
      <w:tr w:rsidR="00B44672" w:rsidRPr="006B5978" w14:paraId="1BC31CEE" w14:textId="77777777" w:rsidTr="004D2B7C">
        <w:trPr>
          <w:jc w:val="center"/>
        </w:trPr>
        <w:tc>
          <w:tcPr>
            <w:tcW w:w="2242" w:type="dxa"/>
            <w:tcBorders>
              <w:top w:val="nil"/>
              <w:left w:val="nil"/>
              <w:bottom w:val="nil"/>
              <w:right w:val="nil"/>
            </w:tcBorders>
          </w:tcPr>
          <w:p w14:paraId="2DD0A027"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Adj. R-squared</w:t>
            </w:r>
          </w:p>
        </w:tc>
        <w:tc>
          <w:tcPr>
            <w:tcW w:w="1320" w:type="dxa"/>
            <w:tcBorders>
              <w:top w:val="nil"/>
              <w:left w:val="nil"/>
              <w:bottom w:val="nil"/>
              <w:right w:val="nil"/>
            </w:tcBorders>
          </w:tcPr>
          <w:p w14:paraId="379CB11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0.74</w:t>
            </w:r>
          </w:p>
        </w:tc>
        <w:tc>
          <w:tcPr>
            <w:tcW w:w="1320" w:type="dxa"/>
            <w:tcBorders>
              <w:top w:val="nil"/>
              <w:left w:val="nil"/>
              <w:bottom w:val="nil"/>
              <w:right w:val="nil"/>
            </w:tcBorders>
          </w:tcPr>
          <w:p w14:paraId="1143812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0.74</w:t>
            </w:r>
          </w:p>
        </w:tc>
        <w:tc>
          <w:tcPr>
            <w:tcW w:w="1481" w:type="dxa"/>
            <w:tcBorders>
              <w:top w:val="nil"/>
              <w:left w:val="nil"/>
              <w:bottom w:val="nil"/>
              <w:right w:val="nil"/>
            </w:tcBorders>
          </w:tcPr>
          <w:p w14:paraId="65BF547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0.75</w:t>
            </w:r>
          </w:p>
        </w:tc>
        <w:tc>
          <w:tcPr>
            <w:tcW w:w="1213" w:type="dxa"/>
            <w:tcBorders>
              <w:top w:val="nil"/>
              <w:left w:val="nil"/>
              <w:bottom w:val="nil"/>
              <w:right w:val="nil"/>
            </w:tcBorders>
          </w:tcPr>
          <w:p w14:paraId="78175C9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0.76</w:t>
            </w:r>
          </w:p>
        </w:tc>
        <w:tc>
          <w:tcPr>
            <w:tcW w:w="2072" w:type="dxa"/>
            <w:tcBorders>
              <w:top w:val="nil"/>
              <w:left w:val="nil"/>
              <w:bottom w:val="nil"/>
              <w:right w:val="nil"/>
            </w:tcBorders>
          </w:tcPr>
          <w:p w14:paraId="33493D5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0.77</w:t>
            </w:r>
          </w:p>
        </w:tc>
      </w:tr>
      <w:tr w:rsidR="00B44672" w:rsidRPr="006B5978" w14:paraId="4E45BBA8" w14:textId="77777777" w:rsidTr="004D2B7C">
        <w:trPr>
          <w:jc w:val="center"/>
        </w:trPr>
        <w:tc>
          <w:tcPr>
            <w:tcW w:w="2242" w:type="dxa"/>
            <w:tcBorders>
              <w:top w:val="nil"/>
              <w:left w:val="nil"/>
              <w:bottom w:val="single" w:sz="6" w:space="0" w:color="auto"/>
              <w:right w:val="nil"/>
            </w:tcBorders>
          </w:tcPr>
          <w:p w14:paraId="2739A6A3"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Max in Cor. Matrix</w:t>
            </w:r>
          </w:p>
        </w:tc>
        <w:tc>
          <w:tcPr>
            <w:tcW w:w="1320" w:type="dxa"/>
            <w:tcBorders>
              <w:top w:val="nil"/>
              <w:left w:val="nil"/>
              <w:bottom w:val="single" w:sz="6" w:space="0" w:color="auto"/>
              <w:right w:val="nil"/>
            </w:tcBorders>
          </w:tcPr>
          <w:p w14:paraId="69BA7C5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
        </w:tc>
        <w:tc>
          <w:tcPr>
            <w:tcW w:w="1320" w:type="dxa"/>
            <w:tcBorders>
              <w:top w:val="nil"/>
              <w:left w:val="nil"/>
              <w:bottom w:val="single" w:sz="6" w:space="0" w:color="auto"/>
              <w:right w:val="nil"/>
            </w:tcBorders>
          </w:tcPr>
          <w:p w14:paraId="3240767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0.29</w:t>
            </w:r>
          </w:p>
        </w:tc>
        <w:tc>
          <w:tcPr>
            <w:tcW w:w="1481" w:type="dxa"/>
            <w:tcBorders>
              <w:top w:val="nil"/>
              <w:left w:val="nil"/>
              <w:bottom w:val="single" w:sz="6" w:space="0" w:color="auto"/>
              <w:right w:val="nil"/>
            </w:tcBorders>
          </w:tcPr>
          <w:p w14:paraId="6E0C6AF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0.33</w:t>
            </w:r>
          </w:p>
        </w:tc>
        <w:tc>
          <w:tcPr>
            <w:tcW w:w="1213" w:type="dxa"/>
            <w:tcBorders>
              <w:top w:val="nil"/>
              <w:left w:val="nil"/>
              <w:bottom w:val="single" w:sz="6" w:space="0" w:color="auto"/>
              <w:right w:val="nil"/>
            </w:tcBorders>
          </w:tcPr>
          <w:p w14:paraId="6D6FB1F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0.71</w:t>
            </w:r>
          </w:p>
        </w:tc>
        <w:tc>
          <w:tcPr>
            <w:tcW w:w="2072" w:type="dxa"/>
            <w:tcBorders>
              <w:top w:val="nil"/>
              <w:left w:val="nil"/>
              <w:bottom w:val="single" w:sz="6" w:space="0" w:color="auto"/>
              <w:right w:val="nil"/>
            </w:tcBorders>
          </w:tcPr>
          <w:p w14:paraId="710B018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0.71</w:t>
            </w:r>
          </w:p>
        </w:tc>
      </w:tr>
    </w:tbl>
    <w:p w14:paraId="643CF75E" w14:textId="77777777" w:rsidR="00B44672" w:rsidRPr="006B5978" w:rsidRDefault="00B44672" w:rsidP="006F0367">
      <w:pPr>
        <w:widowControl w:val="0"/>
        <w:autoSpaceDE w:val="0"/>
        <w:autoSpaceDN w:val="0"/>
        <w:adjustRightInd w:val="0"/>
        <w:spacing w:before="79" w:after="79"/>
        <w:jc w:val="center"/>
        <w:rPr>
          <w:rFonts w:cstheme="minorHAnsi"/>
          <w:sz w:val="22"/>
        </w:rPr>
      </w:pPr>
      <w:r w:rsidRPr="006B5978">
        <w:rPr>
          <w:rFonts w:cstheme="minorHAnsi"/>
          <w:sz w:val="22"/>
        </w:rPr>
        <w:t xml:space="preserve">* </w:t>
      </w:r>
      <w:r w:rsidRPr="006B5978">
        <w:rPr>
          <w:rFonts w:cstheme="minorHAnsi"/>
          <w:i/>
          <w:iCs/>
          <w:sz w:val="22"/>
        </w:rPr>
        <w:t>p</w:t>
      </w:r>
      <w:r w:rsidRPr="006B5978">
        <w:rPr>
          <w:rFonts w:cstheme="minorHAnsi"/>
          <w:sz w:val="22"/>
        </w:rPr>
        <w:t xml:space="preserve">&lt;0.05; ** </w:t>
      </w:r>
      <w:r w:rsidRPr="006B5978">
        <w:rPr>
          <w:rFonts w:cstheme="minorHAnsi"/>
          <w:i/>
          <w:iCs/>
          <w:sz w:val="22"/>
        </w:rPr>
        <w:t>p</w:t>
      </w:r>
      <w:r w:rsidRPr="006B5978">
        <w:rPr>
          <w:rFonts w:cstheme="minorHAnsi"/>
          <w:sz w:val="22"/>
        </w:rPr>
        <w:t>&lt;0.01</w:t>
      </w:r>
    </w:p>
    <w:p w14:paraId="11EABB1A" w14:textId="77777777" w:rsidR="00B44672" w:rsidRDefault="00B44672" w:rsidP="00D213B1">
      <w:pPr>
        <w:pStyle w:val="BodyText"/>
      </w:pPr>
      <w:r>
        <w:t xml:space="preserve">As the </w:t>
      </w:r>
      <w:r w:rsidRPr="009E769F">
        <w:t>introduction of the Barrier Free Model</w:t>
      </w:r>
      <w:r>
        <w:t xml:space="preserve"> in 2017 led</w:t>
      </w:r>
      <w:r w:rsidRPr="009E769F">
        <w:t xml:space="preserve"> to deferred recordings of sales for off-the-plan and land only purchases</w:t>
      </w:r>
      <w:r>
        <w:t>, this engendered</w:t>
      </w:r>
      <w:r w:rsidRPr="009E769F">
        <w:t xml:space="preserve"> an artificial overall redu</w:t>
      </w:r>
      <w:r>
        <w:t>ction in recorded sales numbers. As a result, we might be concerned about the last two years of our sample driving the results</w:t>
      </w:r>
      <w:proofErr w:type="gramStart"/>
      <w:r>
        <w:t>, in particular, for</w:t>
      </w:r>
      <w:proofErr w:type="gramEnd"/>
      <w:r>
        <w:t xml:space="preserve"> the unit market. The specification is rerun in Table 15b (not in the main report) for a subsample of the data excluding the last two years of our sample. We find an even larger decrease for this subsample. </w:t>
      </w:r>
    </w:p>
    <w:p w14:paraId="751881C6" w14:textId="77777777" w:rsidR="00B44672" w:rsidRDefault="00B44672" w:rsidP="008F65AA">
      <w:pPr>
        <w:pStyle w:val="BodyText"/>
      </w:pPr>
    </w:p>
    <w:p w14:paraId="48378503" w14:textId="77777777" w:rsidR="00B44672" w:rsidRPr="00D213B1" w:rsidRDefault="00B44672" w:rsidP="009E769F">
      <w:pPr>
        <w:widowControl w:val="0"/>
        <w:autoSpaceDE w:val="0"/>
        <w:autoSpaceDN w:val="0"/>
        <w:adjustRightInd w:val="0"/>
        <w:spacing w:after="79"/>
        <w:jc w:val="center"/>
        <w:rPr>
          <w:rFonts w:cstheme="minorHAnsi"/>
          <w:b/>
          <w:bCs/>
          <w:i/>
          <w:iCs/>
          <w:color w:val="365F91" w:themeColor="accent1" w:themeShade="BF"/>
        </w:rPr>
      </w:pPr>
      <w:r w:rsidRPr="00D213B1">
        <w:rPr>
          <w:rFonts w:cstheme="minorHAnsi"/>
          <w:b/>
          <w:bCs/>
          <w:i/>
          <w:iCs/>
          <w:color w:val="365F91" w:themeColor="accent1" w:themeShade="BF"/>
        </w:rPr>
        <w:t xml:space="preserve">Table </w:t>
      </w:r>
      <w:r>
        <w:rPr>
          <w:rFonts w:cstheme="minorHAnsi"/>
          <w:b/>
          <w:bCs/>
          <w:i/>
          <w:iCs/>
          <w:color w:val="365F91" w:themeColor="accent1" w:themeShade="BF"/>
        </w:rPr>
        <w:t>15c</w:t>
      </w:r>
      <w:r w:rsidRPr="00D213B1">
        <w:rPr>
          <w:rFonts w:cstheme="minorHAnsi"/>
          <w:b/>
          <w:bCs/>
          <w:i/>
          <w:iCs/>
          <w:color w:val="365F91" w:themeColor="accent1" w:themeShade="BF"/>
        </w:rPr>
        <w:t xml:space="preserve"> (not in the main report) - Effect of the tax reform on </w:t>
      </w:r>
      <w:r>
        <w:rPr>
          <w:rFonts w:cstheme="minorHAnsi"/>
          <w:b/>
          <w:bCs/>
          <w:i/>
          <w:iCs/>
          <w:color w:val="365F91" w:themeColor="accent1" w:themeShade="BF"/>
        </w:rPr>
        <w:t>n</w:t>
      </w:r>
      <w:r w:rsidRPr="00D213B1">
        <w:rPr>
          <w:rFonts w:cstheme="minorHAnsi"/>
          <w:b/>
          <w:bCs/>
          <w:i/>
          <w:iCs/>
          <w:color w:val="365F91" w:themeColor="accent1" w:themeShade="BF"/>
        </w:rPr>
        <w:t xml:space="preserve">umber of </w:t>
      </w:r>
      <w:r>
        <w:rPr>
          <w:rFonts w:cstheme="minorHAnsi"/>
          <w:b/>
          <w:bCs/>
          <w:i/>
          <w:iCs/>
          <w:color w:val="365F91" w:themeColor="accent1" w:themeShade="BF"/>
        </w:rPr>
        <w:t xml:space="preserve">unit </w:t>
      </w:r>
      <w:r w:rsidRPr="00D213B1">
        <w:rPr>
          <w:rFonts w:cstheme="minorHAnsi"/>
          <w:b/>
          <w:bCs/>
          <w:i/>
          <w:iCs/>
          <w:color w:val="365F91" w:themeColor="accent1" w:themeShade="BF"/>
        </w:rPr>
        <w:t>sales - estimations in logs 2009-2017</w:t>
      </w:r>
    </w:p>
    <w:tbl>
      <w:tblPr>
        <w:tblW w:w="0" w:type="auto"/>
        <w:jc w:val="center"/>
        <w:tblCellMar>
          <w:left w:w="144" w:type="dxa"/>
          <w:right w:w="144" w:type="dxa"/>
        </w:tblCellMar>
        <w:tblLook w:val="0000" w:firstRow="0" w:lastRow="0" w:firstColumn="0" w:lastColumn="0" w:noHBand="0" w:noVBand="0"/>
      </w:tblPr>
      <w:tblGrid>
        <w:gridCol w:w="1992"/>
        <w:gridCol w:w="1297"/>
        <w:gridCol w:w="1297"/>
        <w:gridCol w:w="1407"/>
        <w:gridCol w:w="1224"/>
        <w:gridCol w:w="1809"/>
      </w:tblGrid>
      <w:tr w:rsidR="00B44672" w:rsidRPr="006B5978" w14:paraId="4C71C46C" w14:textId="77777777" w:rsidTr="00D123F1">
        <w:trPr>
          <w:jc w:val="center"/>
        </w:trPr>
        <w:tc>
          <w:tcPr>
            <w:tcW w:w="3024" w:type="dxa"/>
            <w:tcBorders>
              <w:top w:val="single" w:sz="6" w:space="0" w:color="auto"/>
              <w:left w:val="nil"/>
              <w:bottom w:val="nil"/>
              <w:right w:val="nil"/>
            </w:tcBorders>
          </w:tcPr>
          <w:p w14:paraId="14F69624" w14:textId="77777777" w:rsidR="00B44672" w:rsidRPr="006B5978" w:rsidRDefault="00B44672" w:rsidP="00D123F1">
            <w:pPr>
              <w:widowControl w:val="0"/>
              <w:autoSpaceDE w:val="0"/>
              <w:autoSpaceDN w:val="0"/>
              <w:adjustRightInd w:val="0"/>
              <w:spacing w:before="79" w:after="0"/>
              <w:rPr>
                <w:rFonts w:cstheme="minorHAnsi"/>
                <w:sz w:val="22"/>
              </w:rPr>
            </w:pPr>
            <w:proofErr w:type="gramStart"/>
            <w:r w:rsidRPr="006B5978">
              <w:rPr>
                <w:rFonts w:cstheme="minorHAnsi"/>
                <w:sz w:val="22"/>
              </w:rPr>
              <w:t>Log(</w:t>
            </w:r>
            <w:proofErr w:type="gramEnd"/>
            <w:r w:rsidRPr="006B5978">
              <w:rPr>
                <w:rFonts w:cstheme="minorHAnsi"/>
                <w:sz w:val="22"/>
              </w:rPr>
              <w:t>Number Sold)</w:t>
            </w:r>
          </w:p>
        </w:tc>
        <w:tc>
          <w:tcPr>
            <w:tcW w:w="1848" w:type="dxa"/>
            <w:tcBorders>
              <w:top w:val="single" w:sz="6" w:space="0" w:color="auto"/>
              <w:left w:val="nil"/>
              <w:bottom w:val="nil"/>
              <w:right w:val="nil"/>
            </w:tcBorders>
          </w:tcPr>
          <w:p w14:paraId="52EA9295" w14:textId="77777777" w:rsidR="00B44672" w:rsidRPr="006B5978" w:rsidRDefault="00B44672" w:rsidP="00D123F1">
            <w:pPr>
              <w:widowControl w:val="0"/>
              <w:autoSpaceDE w:val="0"/>
              <w:autoSpaceDN w:val="0"/>
              <w:adjustRightInd w:val="0"/>
              <w:spacing w:before="79" w:after="0"/>
              <w:jc w:val="center"/>
              <w:rPr>
                <w:rFonts w:cstheme="minorHAnsi"/>
                <w:sz w:val="22"/>
              </w:rPr>
            </w:pPr>
            <w:r w:rsidRPr="006B5978">
              <w:rPr>
                <w:rFonts w:cstheme="minorHAnsi"/>
                <w:sz w:val="22"/>
              </w:rPr>
              <w:t>(1)</w:t>
            </w:r>
          </w:p>
        </w:tc>
        <w:tc>
          <w:tcPr>
            <w:tcW w:w="1848" w:type="dxa"/>
            <w:tcBorders>
              <w:top w:val="single" w:sz="6" w:space="0" w:color="auto"/>
              <w:left w:val="nil"/>
              <w:bottom w:val="nil"/>
              <w:right w:val="nil"/>
            </w:tcBorders>
          </w:tcPr>
          <w:p w14:paraId="0C063E1E" w14:textId="77777777" w:rsidR="00B44672" w:rsidRPr="006B5978" w:rsidRDefault="00B44672" w:rsidP="00D123F1">
            <w:pPr>
              <w:widowControl w:val="0"/>
              <w:autoSpaceDE w:val="0"/>
              <w:autoSpaceDN w:val="0"/>
              <w:adjustRightInd w:val="0"/>
              <w:spacing w:before="79" w:after="0"/>
              <w:jc w:val="center"/>
              <w:rPr>
                <w:rFonts w:cstheme="minorHAnsi"/>
                <w:sz w:val="22"/>
              </w:rPr>
            </w:pPr>
            <w:r w:rsidRPr="006B5978">
              <w:rPr>
                <w:rFonts w:cstheme="minorHAnsi"/>
                <w:sz w:val="22"/>
              </w:rPr>
              <w:t>(2)</w:t>
            </w:r>
          </w:p>
        </w:tc>
        <w:tc>
          <w:tcPr>
            <w:tcW w:w="2352" w:type="dxa"/>
            <w:tcBorders>
              <w:top w:val="single" w:sz="6" w:space="0" w:color="auto"/>
              <w:left w:val="nil"/>
              <w:bottom w:val="nil"/>
              <w:right w:val="nil"/>
            </w:tcBorders>
          </w:tcPr>
          <w:p w14:paraId="6689AC29" w14:textId="77777777" w:rsidR="00B44672" w:rsidRPr="006B5978" w:rsidRDefault="00B44672" w:rsidP="00D123F1">
            <w:pPr>
              <w:widowControl w:val="0"/>
              <w:autoSpaceDE w:val="0"/>
              <w:autoSpaceDN w:val="0"/>
              <w:adjustRightInd w:val="0"/>
              <w:spacing w:before="79" w:after="0"/>
              <w:jc w:val="center"/>
              <w:rPr>
                <w:rFonts w:cstheme="minorHAnsi"/>
                <w:sz w:val="22"/>
              </w:rPr>
            </w:pPr>
            <w:r w:rsidRPr="006B5978">
              <w:rPr>
                <w:rFonts w:cstheme="minorHAnsi"/>
                <w:sz w:val="22"/>
              </w:rPr>
              <w:t>(3)</w:t>
            </w:r>
          </w:p>
        </w:tc>
        <w:tc>
          <w:tcPr>
            <w:tcW w:w="1512" w:type="dxa"/>
            <w:tcBorders>
              <w:top w:val="single" w:sz="6" w:space="0" w:color="auto"/>
              <w:left w:val="nil"/>
              <w:bottom w:val="nil"/>
              <w:right w:val="nil"/>
            </w:tcBorders>
          </w:tcPr>
          <w:p w14:paraId="4A9E81A0" w14:textId="77777777" w:rsidR="00B44672" w:rsidRPr="006B5978" w:rsidRDefault="00B44672" w:rsidP="00D123F1">
            <w:pPr>
              <w:widowControl w:val="0"/>
              <w:autoSpaceDE w:val="0"/>
              <w:autoSpaceDN w:val="0"/>
              <w:adjustRightInd w:val="0"/>
              <w:spacing w:before="79" w:after="0"/>
              <w:jc w:val="center"/>
              <w:rPr>
                <w:rFonts w:cstheme="minorHAnsi"/>
                <w:sz w:val="22"/>
              </w:rPr>
            </w:pPr>
            <w:r w:rsidRPr="006B5978">
              <w:rPr>
                <w:rFonts w:cstheme="minorHAnsi"/>
                <w:sz w:val="22"/>
              </w:rPr>
              <w:t>(4)</w:t>
            </w:r>
          </w:p>
        </w:tc>
        <w:tc>
          <w:tcPr>
            <w:tcW w:w="4200" w:type="dxa"/>
            <w:tcBorders>
              <w:top w:val="single" w:sz="6" w:space="0" w:color="auto"/>
              <w:left w:val="nil"/>
              <w:bottom w:val="nil"/>
              <w:right w:val="nil"/>
            </w:tcBorders>
          </w:tcPr>
          <w:p w14:paraId="3DDFC412" w14:textId="77777777" w:rsidR="00B44672" w:rsidRPr="006B5978" w:rsidRDefault="00B44672" w:rsidP="00D123F1">
            <w:pPr>
              <w:widowControl w:val="0"/>
              <w:autoSpaceDE w:val="0"/>
              <w:autoSpaceDN w:val="0"/>
              <w:adjustRightInd w:val="0"/>
              <w:spacing w:before="79" w:after="0"/>
              <w:jc w:val="center"/>
              <w:rPr>
                <w:rFonts w:cstheme="minorHAnsi"/>
                <w:sz w:val="22"/>
              </w:rPr>
            </w:pPr>
            <w:r w:rsidRPr="006B5978">
              <w:rPr>
                <w:rFonts w:cstheme="minorHAnsi"/>
                <w:sz w:val="22"/>
              </w:rPr>
              <w:t>(5)</w:t>
            </w:r>
          </w:p>
        </w:tc>
      </w:tr>
      <w:tr w:rsidR="00B44672" w:rsidRPr="006B5978" w14:paraId="4A2A9A65" w14:textId="77777777" w:rsidTr="00D123F1">
        <w:trPr>
          <w:jc w:val="center"/>
        </w:trPr>
        <w:tc>
          <w:tcPr>
            <w:tcW w:w="3024" w:type="dxa"/>
            <w:tcBorders>
              <w:top w:val="nil"/>
              <w:left w:val="nil"/>
              <w:bottom w:val="nil"/>
              <w:right w:val="nil"/>
            </w:tcBorders>
          </w:tcPr>
          <w:p w14:paraId="438953ED" w14:textId="77777777" w:rsidR="00B44672" w:rsidRPr="006B5978" w:rsidRDefault="00B44672" w:rsidP="00D123F1">
            <w:pPr>
              <w:widowControl w:val="0"/>
              <w:autoSpaceDE w:val="0"/>
              <w:autoSpaceDN w:val="0"/>
              <w:adjustRightInd w:val="0"/>
              <w:spacing w:after="79"/>
              <w:rPr>
                <w:rFonts w:cstheme="minorHAnsi"/>
                <w:sz w:val="22"/>
              </w:rPr>
            </w:pPr>
          </w:p>
        </w:tc>
        <w:tc>
          <w:tcPr>
            <w:tcW w:w="1848" w:type="dxa"/>
            <w:tcBorders>
              <w:top w:val="nil"/>
              <w:left w:val="nil"/>
              <w:bottom w:val="nil"/>
              <w:right w:val="nil"/>
            </w:tcBorders>
          </w:tcPr>
          <w:p w14:paraId="06658C22" w14:textId="77777777" w:rsidR="00B44672" w:rsidRPr="006B5978" w:rsidRDefault="00B44672" w:rsidP="00D123F1">
            <w:pPr>
              <w:widowControl w:val="0"/>
              <w:autoSpaceDE w:val="0"/>
              <w:autoSpaceDN w:val="0"/>
              <w:adjustRightInd w:val="0"/>
              <w:spacing w:after="79"/>
              <w:jc w:val="center"/>
              <w:rPr>
                <w:rFonts w:cstheme="minorHAnsi"/>
                <w:sz w:val="22"/>
              </w:rPr>
            </w:pPr>
            <w:proofErr w:type="gramStart"/>
            <w:r w:rsidRPr="006B5978">
              <w:rPr>
                <w:rFonts w:cstheme="minorHAnsi"/>
                <w:sz w:val="22"/>
              </w:rPr>
              <w:t>All  Suburbs</w:t>
            </w:r>
            <w:proofErr w:type="gramEnd"/>
          </w:p>
        </w:tc>
        <w:tc>
          <w:tcPr>
            <w:tcW w:w="1848" w:type="dxa"/>
            <w:tcBorders>
              <w:top w:val="nil"/>
              <w:left w:val="nil"/>
              <w:bottom w:val="nil"/>
              <w:right w:val="nil"/>
            </w:tcBorders>
          </w:tcPr>
          <w:p w14:paraId="00BDB073" w14:textId="77777777" w:rsidR="00B44672" w:rsidRPr="006B5978" w:rsidRDefault="00B44672" w:rsidP="00D123F1">
            <w:pPr>
              <w:widowControl w:val="0"/>
              <w:autoSpaceDE w:val="0"/>
              <w:autoSpaceDN w:val="0"/>
              <w:adjustRightInd w:val="0"/>
              <w:spacing w:after="79"/>
              <w:jc w:val="center"/>
              <w:rPr>
                <w:rFonts w:cstheme="minorHAnsi"/>
                <w:sz w:val="22"/>
              </w:rPr>
            </w:pPr>
            <w:proofErr w:type="gramStart"/>
            <w:r w:rsidRPr="006B5978">
              <w:rPr>
                <w:rFonts w:cstheme="minorHAnsi"/>
                <w:sz w:val="22"/>
              </w:rPr>
              <w:t>All  Suburbs</w:t>
            </w:r>
            <w:proofErr w:type="gramEnd"/>
          </w:p>
        </w:tc>
        <w:tc>
          <w:tcPr>
            <w:tcW w:w="2352" w:type="dxa"/>
            <w:tcBorders>
              <w:top w:val="nil"/>
              <w:left w:val="nil"/>
              <w:bottom w:val="nil"/>
              <w:right w:val="nil"/>
            </w:tcBorders>
          </w:tcPr>
          <w:p w14:paraId="0826D2D2" w14:textId="77777777" w:rsidR="00B44672" w:rsidRPr="006B5978" w:rsidRDefault="00B44672" w:rsidP="00D123F1">
            <w:pPr>
              <w:widowControl w:val="0"/>
              <w:autoSpaceDE w:val="0"/>
              <w:autoSpaceDN w:val="0"/>
              <w:adjustRightInd w:val="0"/>
              <w:spacing w:after="79"/>
              <w:jc w:val="center"/>
              <w:rPr>
                <w:rFonts w:cstheme="minorHAnsi"/>
                <w:sz w:val="22"/>
              </w:rPr>
            </w:pPr>
            <w:r w:rsidRPr="006B5978">
              <w:rPr>
                <w:rFonts w:cstheme="minorHAnsi"/>
                <w:sz w:val="22"/>
              </w:rPr>
              <w:t>Capital Cities</w:t>
            </w:r>
          </w:p>
        </w:tc>
        <w:tc>
          <w:tcPr>
            <w:tcW w:w="1512" w:type="dxa"/>
            <w:tcBorders>
              <w:top w:val="nil"/>
              <w:left w:val="nil"/>
              <w:bottom w:val="nil"/>
              <w:right w:val="nil"/>
            </w:tcBorders>
          </w:tcPr>
          <w:p w14:paraId="547267C1" w14:textId="77777777" w:rsidR="00B44672" w:rsidRPr="006B5978" w:rsidRDefault="00B44672" w:rsidP="00D123F1">
            <w:pPr>
              <w:widowControl w:val="0"/>
              <w:autoSpaceDE w:val="0"/>
              <w:autoSpaceDN w:val="0"/>
              <w:adjustRightInd w:val="0"/>
              <w:spacing w:after="79"/>
              <w:jc w:val="center"/>
              <w:rPr>
                <w:rFonts w:cstheme="minorHAnsi"/>
                <w:sz w:val="22"/>
              </w:rPr>
            </w:pPr>
            <w:r w:rsidRPr="006B5978">
              <w:rPr>
                <w:rFonts w:cstheme="minorHAnsi"/>
                <w:sz w:val="22"/>
              </w:rPr>
              <w:t>NSW &amp; VIC</w:t>
            </w:r>
          </w:p>
        </w:tc>
        <w:tc>
          <w:tcPr>
            <w:tcW w:w="4200" w:type="dxa"/>
            <w:tcBorders>
              <w:top w:val="nil"/>
              <w:left w:val="nil"/>
              <w:bottom w:val="nil"/>
              <w:right w:val="nil"/>
            </w:tcBorders>
          </w:tcPr>
          <w:p w14:paraId="4403358F" w14:textId="77777777" w:rsidR="00B44672" w:rsidRPr="006B5978" w:rsidRDefault="00B44672" w:rsidP="00D123F1">
            <w:pPr>
              <w:widowControl w:val="0"/>
              <w:autoSpaceDE w:val="0"/>
              <w:autoSpaceDN w:val="0"/>
              <w:adjustRightInd w:val="0"/>
              <w:spacing w:after="79"/>
              <w:jc w:val="center"/>
              <w:rPr>
                <w:rFonts w:cstheme="minorHAnsi"/>
                <w:sz w:val="22"/>
              </w:rPr>
            </w:pPr>
            <w:r w:rsidRPr="006B5978">
              <w:rPr>
                <w:rFonts w:cstheme="minorHAnsi"/>
                <w:sz w:val="22"/>
              </w:rPr>
              <w:t>Capital Cities, NSW &amp; VIC</w:t>
            </w:r>
          </w:p>
        </w:tc>
      </w:tr>
      <w:tr w:rsidR="00B44672" w:rsidRPr="006B5978" w14:paraId="360778E8" w14:textId="77777777" w:rsidTr="00D123F1">
        <w:trPr>
          <w:jc w:val="center"/>
        </w:trPr>
        <w:tc>
          <w:tcPr>
            <w:tcW w:w="3024" w:type="dxa"/>
            <w:tcBorders>
              <w:top w:val="single" w:sz="6" w:space="0" w:color="auto"/>
              <w:left w:val="nil"/>
              <w:bottom w:val="nil"/>
              <w:right w:val="nil"/>
            </w:tcBorders>
          </w:tcPr>
          <w:p w14:paraId="5F7200A9" w14:textId="77777777" w:rsidR="00B44672" w:rsidRPr="006B5978" w:rsidRDefault="00B44672" w:rsidP="00D123F1">
            <w:pPr>
              <w:widowControl w:val="0"/>
              <w:autoSpaceDE w:val="0"/>
              <w:autoSpaceDN w:val="0"/>
              <w:adjustRightInd w:val="0"/>
              <w:spacing w:after="0"/>
              <w:rPr>
                <w:rFonts w:cstheme="minorHAnsi"/>
                <w:sz w:val="22"/>
              </w:rPr>
            </w:pPr>
            <w:r w:rsidRPr="006B5978">
              <w:rPr>
                <w:rFonts w:cstheme="minorHAnsi"/>
                <w:sz w:val="22"/>
              </w:rPr>
              <w:t>Reform Dummy</w:t>
            </w:r>
          </w:p>
        </w:tc>
        <w:tc>
          <w:tcPr>
            <w:tcW w:w="1848" w:type="dxa"/>
            <w:tcBorders>
              <w:top w:val="single" w:sz="6" w:space="0" w:color="auto"/>
              <w:left w:val="nil"/>
              <w:bottom w:val="nil"/>
              <w:right w:val="nil"/>
            </w:tcBorders>
          </w:tcPr>
          <w:p w14:paraId="339049C8"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-0.329</w:t>
            </w:r>
          </w:p>
        </w:tc>
        <w:tc>
          <w:tcPr>
            <w:tcW w:w="1848" w:type="dxa"/>
            <w:tcBorders>
              <w:top w:val="single" w:sz="6" w:space="0" w:color="auto"/>
              <w:left w:val="nil"/>
              <w:bottom w:val="nil"/>
              <w:right w:val="nil"/>
            </w:tcBorders>
          </w:tcPr>
          <w:p w14:paraId="416B5732"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-0.397</w:t>
            </w:r>
          </w:p>
        </w:tc>
        <w:tc>
          <w:tcPr>
            <w:tcW w:w="2352" w:type="dxa"/>
            <w:tcBorders>
              <w:top w:val="single" w:sz="6" w:space="0" w:color="auto"/>
              <w:left w:val="nil"/>
              <w:bottom w:val="nil"/>
              <w:right w:val="nil"/>
            </w:tcBorders>
          </w:tcPr>
          <w:p w14:paraId="4DFCF553"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-0.440</w:t>
            </w:r>
          </w:p>
        </w:tc>
        <w:tc>
          <w:tcPr>
            <w:tcW w:w="1512" w:type="dxa"/>
            <w:tcBorders>
              <w:top w:val="single" w:sz="6" w:space="0" w:color="auto"/>
              <w:left w:val="nil"/>
              <w:bottom w:val="nil"/>
              <w:right w:val="nil"/>
            </w:tcBorders>
          </w:tcPr>
          <w:p w14:paraId="7C5C5B06"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-0.276</w:t>
            </w:r>
          </w:p>
        </w:tc>
        <w:tc>
          <w:tcPr>
            <w:tcW w:w="4200" w:type="dxa"/>
            <w:tcBorders>
              <w:top w:val="single" w:sz="6" w:space="0" w:color="auto"/>
              <w:left w:val="nil"/>
              <w:bottom w:val="nil"/>
              <w:right w:val="nil"/>
            </w:tcBorders>
          </w:tcPr>
          <w:p w14:paraId="7E1CE844"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-0.323</w:t>
            </w:r>
          </w:p>
        </w:tc>
      </w:tr>
      <w:tr w:rsidR="00B44672" w:rsidRPr="006B5978" w14:paraId="6C626D19" w14:textId="77777777" w:rsidTr="00D123F1">
        <w:trPr>
          <w:jc w:val="center"/>
        </w:trPr>
        <w:tc>
          <w:tcPr>
            <w:tcW w:w="3024" w:type="dxa"/>
            <w:tcBorders>
              <w:top w:val="nil"/>
              <w:left w:val="nil"/>
              <w:bottom w:val="nil"/>
              <w:right w:val="nil"/>
            </w:tcBorders>
          </w:tcPr>
          <w:p w14:paraId="57B62E07" w14:textId="77777777" w:rsidR="00B44672" w:rsidRPr="006B5978" w:rsidRDefault="00B44672" w:rsidP="00D123F1">
            <w:pPr>
              <w:widowControl w:val="0"/>
              <w:autoSpaceDE w:val="0"/>
              <w:autoSpaceDN w:val="0"/>
              <w:adjustRightInd w:val="0"/>
              <w:spacing w:after="0"/>
              <w:rPr>
                <w:rFonts w:cstheme="minorHAnsi"/>
                <w:sz w:val="22"/>
              </w:rPr>
            </w:pPr>
            <w:r>
              <w:rPr>
                <w:rFonts w:cstheme="minorHAnsi"/>
                <w:sz w:val="22"/>
              </w:rPr>
              <w:t>Standard error</w:t>
            </w:r>
          </w:p>
        </w:tc>
        <w:tc>
          <w:tcPr>
            <w:tcW w:w="1848" w:type="dxa"/>
            <w:tcBorders>
              <w:top w:val="nil"/>
              <w:left w:val="nil"/>
              <w:bottom w:val="nil"/>
              <w:right w:val="nil"/>
            </w:tcBorders>
          </w:tcPr>
          <w:p w14:paraId="0310A2E8"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0.029]*</w:t>
            </w:r>
            <w:proofErr w:type="gramEnd"/>
            <w:r w:rsidRPr="006B5978">
              <w:rPr>
                <w:rFonts w:cstheme="minorHAnsi"/>
                <w:sz w:val="22"/>
              </w:rPr>
              <w:t>*</w:t>
            </w:r>
          </w:p>
        </w:tc>
        <w:tc>
          <w:tcPr>
            <w:tcW w:w="1848" w:type="dxa"/>
            <w:tcBorders>
              <w:top w:val="nil"/>
              <w:left w:val="nil"/>
              <w:bottom w:val="nil"/>
              <w:right w:val="nil"/>
            </w:tcBorders>
          </w:tcPr>
          <w:p w14:paraId="30464206"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0.031]*</w:t>
            </w:r>
            <w:proofErr w:type="gramEnd"/>
            <w:r w:rsidRPr="006B5978">
              <w:rPr>
                <w:rFonts w:cstheme="minorHAnsi"/>
                <w:sz w:val="22"/>
              </w:rPr>
              <w:t>*</w:t>
            </w:r>
          </w:p>
        </w:tc>
        <w:tc>
          <w:tcPr>
            <w:tcW w:w="2352" w:type="dxa"/>
            <w:tcBorders>
              <w:top w:val="nil"/>
              <w:left w:val="nil"/>
              <w:bottom w:val="nil"/>
              <w:right w:val="nil"/>
            </w:tcBorders>
          </w:tcPr>
          <w:p w14:paraId="125FAC50"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0.032]*</w:t>
            </w:r>
            <w:proofErr w:type="gramEnd"/>
            <w:r w:rsidRPr="006B5978">
              <w:rPr>
                <w:rFonts w:cstheme="minorHAnsi"/>
                <w:sz w:val="22"/>
              </w:rPr>
              <w:t>*</w:t>
            </w:r>
          </w:p>
        </w:tc>
        <w:tc>
          <w:tcPr>
            <w:tcW w:w="1512" w:type="dxa"/>
            <w:tcBorders>
              <w:top w:val="nil"/>
              <w:left w:val="nil"/>
              <w:bottom w:val="nil"/>
              <w:right w:val="nil"/>
            </w:tcBorders>
          </w:tcPr>
          <w:p w14:paraId="7B623228"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0.040]*</w:t>
            </w:r>
            <w:proofErr w:type="gramEnd"/>
            <w:r w:rsidRPr="006B5978">
              <w:rPr>
                <w:rFonts w:cstheme="minorHAnsi"/>
                <w:sz w:val="22"/>
              </w:rPr>
              <w:t>*</w:t>
            </w:r>
          </w:p>
        </w:tc>
        <w:tc>
          <w:tcPr>
            <w:tcW w:w="4200" w:type="dxa"/>
            <w:tcBorders>
              <w:top w:val="nil"/>
              <w:left w:val="nil"/>
              <w:bottom w:val="nil"/>
              <w:right w:val="nil"/>
            </w:tcBorders>
          </w:tcPr>
          <w:p w14:paraId="012B121C"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0.042]*</w:t>
            </w:r>
            <w:proofErr w:type="gramEnd"/>
            <w:r w:rsidRPr="006B5978">
              <w:rPr>
                <w:rFonts w:cstheme="minorHAnsi"/>
                <w:sz w:val="22"/>
              </w:rPr>
              <w:t>*</w:t>
            </w:r>
          </w:p>
        </w:tc>
      </w:tr>
      <w:tr w:rsidR="00B44672" w:rsidRPr="006B5978" w14:paraId="04FC2181" w14:textId="77777777" w:rsidTr="00D123F1">
        <w:trPr>
          <w:jc w:val="center"/>
        </w:trPr>
        <w:tc>
          <w:tcPr>
            <w:tcW w:w="3024" w:type="dxa"/>
            <w:tcBorders>
              <w:top w:val="nil"/>
              <w:left w:val="nil"/>
              <w:bottom w:val="nil"/>
              <w:right w:val="nil"/>
            </w:tcBorders>
          </w:tcPr>
          <w:p w14:paraId="17004961" w14:textId="77777777" w:rsidR="00B44672" w:rsidRPr="006B5978" w:rsidRDefault="00B44672" w:rsidP="00D123F1">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Population)</w:t>
            </w:r>
          </w:p>
        </w:tc>
        <w:tc>
          <w:tcPr>
            <w:tcW w:w="1848" w:type="dxa"/>
            <w:tcBorders>
              <w:top w:val="nil"/>
              <w:left w:val="nil"/>
              <w:bottom w:val="nil"/>
              <w:right w:val="nil"/>
            </w:tcBorders>
          </w:tcPr>
          <w:p w14:paraId="010BBF78" w14:textId="77777777" w:rsidR="00B44672" w:rsidRPr="006B5978" w:rsidRDefault="00B44672" w:rsidP="00D123F1">
            <w:pPr>
              <w:widowControl w:val="0"/>
              <w:autoSpaceDE w:val="0"/>
              <w:autoSpaceDN w:val="0"/>
              <w:adjustRightInd w:val="0"/>
              <w:spacing w:after="0"/>
              <w:jc w:val="center"/>
              <w:rPr>
                <w:rFonts w:cstheme="minorHAnsi"/>
                <w:sz w:val="22"/>
              </w:rPr>
            </w:pPr>
          </w:p>
        </w:tc>
        <w:tc>
          <w:tcPr>
            <w:tcW w:w="1848" w:type="dxa"/>
            <w:tcBorders>
              <w:top w:val="nil"/>
              <w:left w:val="nil"/>
              <w:bottom w:val="nil"/>
              <w:right w:val="nil"/>
            </w:tcBorders>
          </w:tcPr>
          <w:p w14:paraId="3ABD1F08"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3.347</w:t>
            </w:r>
          </w:p>
        </w:tc>
        <w:tc>
          <w:tcPr>
            <w:tcW w:w="2352" w:type="dxa"/>
            <w:tcBorders>
              <w:top w:val="nil"/>
              <w:left w:val="nil"/>
              <w:bottom w:val="nil"/>
              <w:right w:val="nil"/>
            </w:tcBorders>
          </w:tcPr>
          <w:p w14:paraId="045C57D8"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4.622</w:t>
            </w:r>
          </w:p>
        </w:tc>
        <w:tc>
          <w:tcPr>
            <w:tcW w:w="1512" w:type="dxa"/>
            <w:tcBorders>
              <w:top w:val="nil"/>
              <w:left w:val="nil"/>
              <w:bottom w:val="nil"/>
              <w:right w:val="nil"/>
            </w:tcBorders>
          </w:tcPr>
          <w:p w14:paraId="65A2A18E"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6.069</w:t>
            </w:r>
          </w:p>
        </w:tc>
        <w:tc>
          <w:tcPr>
            <w:tcW w:w="4200" w:type="dxa"/>
            <w:tcBorders>
              <w:top w:val="nil"/>
              <w:left w:val="nil"/>
              <w:bottom w:val="nil"/>
              <w:right w:val="nil"/>
            </w:tcBorders>
          </w:tcPr>
          <w:p w14:paraId="2B1CA53F"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9.080</w:t>
            </w:r>
          </w:p>
        </w:tc>
      </w:tr>
      <w:tr w:rsidR="00B44672" w:rsidRPr="006B5978" w14:paraId="0EE77879" w14:textId="77777777" w:rsidTr="00D123F1">
        <w:trPr>
          <w:jc w:val="center"/>
        </w:trPr>
        <w:tc>
          <w:tcPr>
            <w:tcW w:w="3024" w:type="dxa"/>
            <w:tcBorders>
              <w:top w:val="nil"/>
              <w:left w:val="nil"/>
              <w:bottom w:val="nil"/>
              <w:right w:val="nil"/>
            </w:tcBorders>
          </w:tcPr>
          <w:p w14:paraId="579E0D81" w14:textId="77777777" w:rsidR="00B44672" w:rsidRPr="006B5978" w:rsidRDefault="00B44672" w:rsidP="00D123F1">
            <w:pPr>
              <w:widowControl w:val="0"/>
              <w:autoSpaceDE w:val="0"/>
              <w:autoSpaceDN w:val="0"/>
              <w:adjustRightInd w:val="0"/>
              <w:spacing w:after="0"/>
              <w:rPr>
                <w:rFonts w:cstheme="minorHAnsi"/>
                <w:sz w:val="22"/>
              </w:rPr>
            </w:pPr>
            <w:r>
              <w:rPr>
                <w:rFonts w:cstheme="minorHAnsi"/>
                <w:sz w:val="22"/>
              </w:rPr>
              <w:t>Standard error</w:t>
            </w:r>
          </w:p>
        </w:tc>
        <w:tc>
          <w:tcPr>
            <w:tcW w:w="1848" w:type="dxa"/>
            <w:tcBorders>
              <w:top w:val="nil"/>
              <w:left w:val="nil"/>
              <w:bottom w:val="nil"/>
              <w:right w:val="nil"/>
            </w:tcBorders>
          </w:tcPr>
          <w:p w14:paraId="6578FE2E" w14:textId="77777777" w:rsidR="00B44672" w:rsidRPr="006B5978" w:rsidRDefault="00B44672" w:rsidP="00D123F1">
            <w:pPr>
              <w:widowControl w:val="0"/>
              <w:autoSpaceDE w:val="0"/>
              <w:autoSpaceDN w:val="0"/>
              <w:adjustRightInd w:val="0"/>
              <w:spacing w:after="0"/>
              <w:jc w:val="center"/>
              <w:rPr>
                <w:rFonts w:cstheme="minorHAnsi"/>
                <w:sz w:val="22"/>
              </w:rPr>
            </w:pPr>
          </w:p>
        </w:tc>
        <w:tc>
          <w:tcPr>
            <w:tcW w:w="1848" w:type="dxa"/>
            <w:tcBorders>
              <w:top w:val="nil"/>
              <w:left w:val="nil"/>
              <w:bottom w:val="nil"/>
              <w:right w:val="nil"/>
            </w:tcBorders>
          </w:tcPr>
          <w:p w14:paraId="6DBC0F43"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0.233]*</w:t>
            </w:r>
            <w:proofErr w:type="gramEnd"/>
            <w:r w:rsidRPr="006B5978">
              <w:rPr>
                <w:rFonts w:cstheme="minorHAnsi"/>
                <w:sz w:val="22"/>
              </w:rPr>
              <w:t>*</w:t>
            </w:r>
          </w:p>
        </w:tc>
        <w:tc>
          <w:tcPr>
            <w:tcW w:w="2352" w:type="dxa"/>
            <w:tcBorders>
              <w:top w:val="nil"/>
              <w:left w:val="nil"/>
              <w:bottom w:val="nil"/>
              <w:right w:val="nil"/>
            </w:tcBorders>
          </w:tcPr>
          <w:p w14:paraId="62A27466"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0.297]*</w:t>
            </w:r>
            <w:proofErr w:type="gramEnd"/>
            <w:r w:rsidRPr="006B5978">
              <w:rPr>
                <w:rFonts w:cstheme="minorHAnsi"/>
                <w:sz w:val="22"/>
              </w:rPr>
              <w:t>*</w:t>
            </w:r>
          </w:p>
        </w:tc>
        <w:tc>
          <w:tcPr>
            <w:tcW w:w="1512" w:type="dxa"/>
            <w:tcBorders>
              <w:top w:val="nil"/>
              <w:left w:val="nil"/>
              <w:bottom w:val="nil"/>
              <w:right w:val="nil"/>
            </w:tcBorders>
          </w:tcPr>
          <w:p w14:paraId="0D585F06"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0.527]*</w:t>
            </w:r>
            <w:proofErr w:type="gramEnd"/>
            <w:r w:rsidRPr="006B5978">
              <w:rPr>
                <w:rFonts w:cstheme="minorHAnsi"/>
                <w:sz w:val="22"/>
              </w:rPr>
              <w:t>*</w:t>
            </w:r>
          </w:p>
        </w:tc>
        <w:tc>
          <w:tcPr>
            <w:tcW w:w="4200" w:type="dxa"/>
            <w:tcBorders>
              <w:top w:val="nil"/>
              <w:left w:val="nil"/>
              <w:bottom w:val="nil"/>
              <w:right w:val="nil"/>
            </w:tcBorders>
          </w:tcPr>
          <w:p w14:paraId="12422739"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0.646]*</w:t>
            </w:r>
            <w:proofErr w:type="gramEnd"/>
            <w:r w:rsidRPr="006B5978">
              <w:rPr>
                <w:rFonts w:cstheme="minorHAnsi"/>
                <w:sz w:val="22"/>
              </w:rPr>
              <w:t>*</w:t>
            </w:r>
          </w:p>
        </w:tc>
      </w:tr>
      <w:tr w:rsidR="00B44672" w:rsidRPr="006B5978" w14:paraId="59A58577" w14:textId="77777777" w:rsidTr="00D123F1">
        <w:trPr>
          <w:jc w:val="center"/>
        </w:trPr>
        <w:tc>
          <w:tcPr>
            <w:tcW w:w="3024" w:type="dxa"/>
            <w:tcBorders>
              <w:top w:val="nil"/>
              <w:left w:val="nil"/>
              <w:bottom w:val="nil"/>
              <w:right w:val="nil"/>
            </w:tcBorders>
          </w:tcPr>
          <w:p w14:paraId="6105675D" w14:textId="77777777" w:rsidR="00B44672" w:rsidRPr="006B5978" w:rsidRDefault="00B44672" w:rsidP="00D123F1">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Income)</w:t>
            </w:r>
          </w:p>
        </w:tc>
        <w:tc>
          <w:tcPr>
            <w:tcW w:w="1848" w:type="dxa"/>
            <w:tcBorders>
              <w:top w:val="nil"/>
              <w:left w:val="nil"/>
              <w:bottom w:val="nil"/>
              <w:right w:val="nil"/>
            </w:tcBorders>
          </w:tcPr>
          <w:p w14:paraId="275B3779" w14:textId="77777777" w:rsidR="00B44672" w:rsidRPr="006B5978" w:rsidRDefault="00B44672" w:rsidP="00D123F1">
            <w:pPr>
              <w:widowControl w:val="0"/>
              <w:autoSpaceDE w:val="0"/>
              <w:autoSpaceDN w:val="0"/>
              <w:adjustRightInd w:val="0"/>
              <w:spacing w:after="0"/>
              <w:jc w:val="center"/>
              <w:rPr>
                <w:rFonts w:cstheme="minorHAnsi"/>
                <w:sz w:val="22"/>
              </w:rPr>
            </w:pPr>
          </w:p>
        </w:tc>
        <w:tc>
          <w:tcPr>
            <w:tcW w:w="1848" w:type="dxa"/>
            <w:tcBorders>
              <w:top w:val="nil"/>
              <w:left w:val="nil"/>
              <w:bottom w:val="nil"/>
              <w:right w:val="nil"/>
            </w:tcBorders>
          </w:tcPr>
          <w:p w14:paraId="716BEAE1"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0.558</w:t>
            </w:r>
          </w:p>
        </w:tc>
        <w:tc>
          <w:tcPr>
            <w:tcW w:w="2352" w:type="dxa"/>
            <w:tcBorders>
              <w:top w:val="nil"/>
              <w:left w:val="nil"/>
              <w:bottom w:val="nil"/>
              <w:right w:val="nil"/>
            </w:tcBorders>
          </w:tcPr>
          <w:p w14:paraId="541EB658"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0.565</w:t>
            </w:r>
          </w:p>
        </w:tc>
        <w:tc>
          <w:tcPr>
            <w:tcW w:w="1512" w:type="dxa"/>
            <w:tcBorders>
              <w:top w:val="nil"/>
              <w:left w:val="nil"/>
              <w:bottom w:val="nil"/>
              <w:right w:val="nil"/>
            </w:tcBorders>
          </w:tcPr>
          <w:p w14:paraId="39462A82"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1.364</w:t>
            </w:r>
          </w:p>
        </w:tc>
        <w:tc>
          <w:tcPr>
            <w:tcW w:w="4200" w:type="dxa"/>
            <w:tcBorders>
              <w:top w:val="nil"/>
              <w:left w:val="nil"/>
              <w:bottom w:val="nil"/>
              <w:right w:val="nil"/>
            </w:tcBorders>
          </w:tcPr>
          <w:p w14:paraId="53D97D37"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1.406</w:t>
            </w:r>
          </w:p>
        </w:tc>
      </w:tr>
      <w:tr w:rsidR="00B44672" w:rsidRPr="006B5978" w14:paraId="00106DDE" w14:textId="77777777" w:rsidTr="00D123F1">
        <w:trPr>
          <w:jc w:val="center"/>
        </w:trPr>
        <w:tc>
          <w:tcPr>
            <w:tcW w:w="3024" w:type="dxa"/>
            <w:tcBorders>
              <w:top w:val="nil"/>
              <w:left w:val="nil"/>
              <w:bottom w:val="nil"/>
              <w:right w:val="nil"/>
            </w:tcBorders>
          </w:tcPr>
          <w:p w14:paraId="3DFE01F1" w14:textId="77777777" w:rsidR="00B44672" w:rsidRPr="006B5978" w:rsidRDefault="00B44672" w:rsidP="00D123F1">
            <w:pPr>
              <w:widowControl w:val="0"/>
              <w:autoSpaceDE w:val="0"/>
              <w:autoSpaceDN w:val="0"/>
              <w:adjustRightInd w:val="0"/>
              <w:spacing w:after="0"/>
              <w:rPr>
                <w:rFonts w:cstheme="minorHAnsi"/>
                <w:sz w:val="22"/>
              </w:rPr>
            </w:pPr>
            <w:r>
              <w:rPr>
                <w:rFonts w:cstheme="minorHAnsi"/>
                <w:sz w:val="22"/>
              </w:rPr>
              <w:t>Standard error</w:t>
            </w:r>
          </w:p>
        </w:tc>
        <w:tc>
          <w:tcPr>
            <w:tcW w:w="1848" w:type="dxa"/>
            <w:tcBorders>
              <w:top w:val="nil"/>
              <w:left w:val="nil"/>
              <w:bottom w:val="nil"/>
              <w:right w:val="nil"/>
            </w:tcBorders>
          </w:tcPr>
          <w:p w14:paraId="549D60FA" w14:textId="77777777" w:rsidR="00B44672" w:rsidRPr="006B5978" w:rsidRDefault="00B44672" w:rsidP="00D123F1">
            <w:pPr>
              <w:widowControl w:val="0"/>
              <w:autoSpaceDE w:val="0"/>
              <w:autoSpaceDN w:val="0"/>
              <w:adjustRightInd w:val="0"/>
              <w:spacing w:after="0"/>
              <w:jc w:val="center"/>
              <w:rPr>
                <w:rFonts w:cstheme="minorHAnsi"/>
                <w:sz w:val="22"/>
              </w:rPr>
            </w:pPr>
          </w:p>
        </w:tc>
        <w:tc>
          <w:tcPr>
            <w:tcW w:w="1848" w:type="dxa"/>
            <w:tcBorders>
              <w:top w:val="nil"/>
              <w:left w:val="nil"/>
              <w:bottom w:val="nil"/>
              <w:right w:val="nil"/>
            </w:tcBorders>
          </w:tcPr>
          <w:p w14:paraId="349E3C46"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0.140]*</w:t>
            </w:r>
            <w:proofErr w:type="gramEnd"/>
            <w:r w:rsidRPr="006B5978">
              <w:rPr>
                <w:rFonts w:cstheme="minorHAnsi"/>
                <w:sz w:val="22"/>
              </w:rPr>
              <w:t>*</w:t>
            </w:r>
          </w:p>
        </w:tc>
        <w:tc>
          <w:tcPr>
            <w:tcW w:w="2352" w:type="dxa"/>
            <w:tcBorders>
              <w:top w:val="nil"/>
              <w:left w:val="nil"/>
              <w:bottom w:val="nil"/>
              <w:right w:val="nil"/>
            </w:tcBorders>
          </w:tcPr>
          <w:p w14:paraId="357B2106"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0.171]*</w:t>
            </w:r>
            <w:proofErr w:type="gramEnd"/>
            <w:r w:rsidRPr="006B5978">
              <w:rPr>
                <w:rFonts w:cstheme="minorHAnsi"/>
                <w:sz w:val="22"/>
              </w:rPr>
              <w:t>*</w:t>
            </w:r>
          </w:p>
        </w:tc>
        <w:tc>
          <w:tcPr>
            <w:tcW w:w="1512" w:type="dxa"/>
            <w:tcBorders>
              <w:top w:val="nil"/>
              <w:left w:val="nil"/>
              <w:bottom w:val="nil"/>
              <w:right w:val="nil"/>
            </w:tcBorders>
          </w:tcPr>
          <w:p w14:paraId="4FAEA39E"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0.371]*</w:t>
            </w:r>
            <w:proofErr w:type="gramEnd"/>
            <w:r w:rsidRPr="006B5978">
              <w:rPr>
                <w:rFonts w:cstheme="minorHAnsi"/>
                <w:sz w:val="22"/>
              </w:rPr>
              <w:t>*</w:t>
            </w:r>
          </w:p>
        </w:tc>
        <w:tc>
          <w:tcPr>
            <w:tcW w:w="4200" w:type="dxa"/>
            <w:tcBorders>
              <w:top w:val="nil"/>
              <w:left w:val="nil"/>
              <w:bottom w:val="nil"/>
              <w:right w:val="nil"/>
            </w:tcBorders>
          </w:tcPr>
          <w:p w14:paraId="79C7C654"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0.392]*</w:t>
            </w:r>
            <w:proofErr w:type="gramEnd"/>
            <w:r w:rsidRPr="006B5978">
              <w:rPr>
                <w:rFonts w:cstheme="minorHAnsi"/>
                <w:sz w:val="22"/>
              </w:rPr>
              <w:t>*</w:t>
            </w:r>
          </w:p>
        </w:tc>
      </w:tr>
      <w:tr w:rsidR="00B44672" w:rsidRPr="006B5978" w14:paraId="27EA9236" w14:textId="77777777" w:rsidTr="00D123F1">
        <w:trPr>
          <w:jc w:val="center"/>
        </w:trPr>
        <w:tc>
          <w:tcPr>
            <w:tcW w:w="3024" w:type="dxa"/>
            <w:tcBorders>
              <w:top w:val="nil"/>
              <w:left w:val="nil"/>
              <w:bottom w:val="nil"/>
              <w:right w:val="nil"/>
            </w:tcBorders>
          </w:tcPr>
          <w:p w14:paraId="1153A01D" w14:textId="77777777" w:rsidR="00B44672" w:rsidRPr="006B5978" w:rsidRDefault="00B44672" w:rsidP="00D123F1">
            <w:pPr>
              <w:widowControl w:val="0"/>
              <w:autoSpaceDE w:val="0"/>
              <w:autoSpaceDN w:val="0"/>
              <w:adjustRightInd w:val="0"/>
              <w:spacing w:after="0"/>
              <w:rPr>
                <w:rFonts w:cstheme="minorHAnsi"/>
                <w:sz w:val="22"/>
              </w:rPr>
            </w:pPr>
            <w:r w:rsidRPr="006B5978">
              <w:rPr>
                <w:rFonts w:cstheme="minorHAnsi"/>
                <w:sz w:val="22"/>
              </w:rPr>
              <w:t>Time &amp; Suburb FE</w:t>
            </w:r>
          </w:p>
        </w:tc>
        <w:tc>
          <w:tcPr>
            <w:tcW w:w="1848" w:type="dxa"/>
            <w:tcBorders>
              <w:top w:val="nil"/>
              <w:left w:val="nil"/>
              <w:bottom w:val="nil"/>
              <w:right w:val="nil"/>
            </w:tcBorders>
          </w:tcPr>
          <w:p w14:paraId="5032306F"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
        </w:tc>
        <w:tc>
          <w:tcPr>
            <w:tcW w:w="1848" w:type="dxa"/>
            <w:tcBorders>
              <w:top w:val="nil"/>
              <w:left w:val="nil"/>
              <w:bottom w:val="nil"/>
              <w:right w:val="nil"/>
            </w:tcBorders>
          </w:tcPr>
          <w:p w14:paraId="3078E6CA"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
        </w:tc>
        <w:tc>
          <w:tcPr>
            <w:tcW w:w="2352" w:type="dxa"/>
            <w:tcBorders>
              <w:top w:val="nil"/>
              <w:left w:val="nil"/>
              <w:bottom w:val="nil"/>
              <w:right w:val="nil"/>
            </w:tcBorders>
          </w:tcPr>
          <w:p w14:paraId="293A9A31"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
        </w:tc>
        <w:tc>
          <w:tcPr>
            <w:tcW w:w="1512" w:type="dxa"/>
            <w:tcBorders>
              <w:top w:val="nil"/>
              <w:left w:val="nil"/>
              <w:bottom w:val="nil"/>
              <w:right w:val="nil"/>
            </w:tcBorders>
          </w:tcPr>
          <w:p w14:paraId="483A163A"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
        </w:tc>
        <w:tc>
          <w:tcPr>
            <w:tcW w:w="4200" w:type="dxa"/>
            <w:tcBorders>
              <w:top w:val="nil"/>
              <w:left w:val="nil"/>
              <w:bottom w:val="nil"/>
              <w:right w:val="nil"/>
            </w:tcBorders>
          </w:tcPr>
          <w:p w14:paraId="77739365"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
        </w:tc>
      </w:tr>
      <w:tr w:rsidR="00B44672" w:rsidRPr="006B5978" w14:paraId="56794B7E" w14:textId="77777777" w:rsidTr="00D123F1">
        <w:trPr>
          <w:jc w:val="center"/>
        </w:trPr>
        <w:tc>
          <w:tcPr>
            <w:tcW w:w="3024" w:type="dxa"/>
            <w:tcBorders>
              <w:top w:val="nil"/>
              <w:left w:val="nil"/>
              <w:bottom w:val="nil"/>
              <w:right w:val="nil"/>
            </w:tcBorders>
          </w:tcPr>
          <w:p w14:paraId="6CF7F9A8" w14:textId="77777777" w:rsidR="00B44672" w:rsidRPr="006B5978" w:rsidRDefault="00B44672" w:rsidP="00D123F1">
            <w:pPr>
              <w:widowControl w:val="0"/>
              <w:autoSpaceDE w:val="0"/>
              <w:autoSpaceDN w:val="0"/>
              <w:adjustRightInd w:val="0"/>
              <w:spacing w:after="0"/>
              <w:rPr>
                <w:rFonts w:cstheme="minorHAnsi"/>
                <w:sz w:val="22"/>
              </w:rPr>
            </w:pPr>
            <w:r w:rsidRPr="006B5978">
              <w:rPr>
                <w:rFonts w:cstheme="minorHAnsi"/>
                <w:sz w:val="22"/>
              </w:rPr>
              <w:t>Observations</w:t>
            </w:r>
          </w:p>
        </w:tc>
        <w:tc>
          <w:tcPr>
            <w:tcW w:w="1848" w:type="dxa"/>
            <w:tcBorders>
              <w:top w:val="nil"/>
              <w:left w:val="nil"/>
              <w:bottom w:val="nil"/>
              <w:right w:val="nil"/>
            </w:tcBorders>
          </w:tcPr>
          <w:p w14:paraId="00318C49"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175,724</w:t>
            </w:r>
          </w:p>
        </w:tc>
        <w:tc>
          <w:tcPr>
            <w:tcW w:w="1848" w:type="dxa"/>
            <w:tcBorders>
              <w:top w:val="nil"/>
              <w:left w:val="nil"/>
              <w:bottom w:val="nil"/>
              <w:right w:val="nil"/>
            </w:tcBorders>
          </w:tcPr>
          <w:p w14:paraId="07DF6F84"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175,724</w:t>
            </w:r>
          </w:p>
        </w:tc>
        <w:tc>
          <w:tcPr>
            <w:tcW w:w="2352" w:type="dxa"/>
            <w:tcBorders>
              <w:top w:val="nil"/>
              <w:left w:val="nil"/>
              <w:bottom w:val="nil"/>
              <w:right w:val="nil"/>
            </w:tcBorders>
          </w:tcPr>
          <w:p w14:paraId="21C5C7C4"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116,061</w:t>
            </w:r>
          </w:p>
        </w:tc>
        <w:tc>
          <w:tcPr>
            <w:tcW w:w="1512" w:type="dxa"/>
            <w:tcBorders>
              <w:top w:val="nil"/>
              <w:left w:val="nil"/>
              <w:bottom w:val="nil"/>
              <w:right w:val="nil"/>
            </w:tcBorders>
          </w:tcPr>
          <w:p w14:paraId="3B8D5D85"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99,258</w:t>
            </w:r>
          </w:p>
        </w:tc>
        <w:tc>
          <w:tcPr>
            <w:tcW w:w="4200" w:type="dxa"/>
            <w:tcBorders>
              <w:top w:val="nil"/>
              <w:left w:val="nil"/>
              <w:bottom w:val="nil"/>
              <w:right w:val="nil"/>
            </w:tcBorders>
          </w:tcPr>
          <w:p w14:paraId="3949922B"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68,452</w:t>
            </w:r>
          </w:p>
        </w:tc>
      </w:tr>
      <w:tr w:rsidR="00B44672" w:rsidRPr="006B5978" w14:paraId="051EC351" w14:textId="77777777" w:rsidTr="00D123F1">
        <w:trPr>
          <w:jc w:val="center"/>
        </w:trPr>
        <w:tc>
          <w:tcPr>
            <w:tcW w:w="3024" w:type="dxa"/>
            <w:tcBorders>
              <w:top w:val="nil"/>
              <w:left w:val="nil"/>
              <w:bottom w:val="nil"/>
              <w:right w:val="nil"/>
            </w:tcBorders>
          </w:tcPr>
          <w:p w14:paraId="065212BE" w14:textId="77777777" w:rsidR="00B44672" w:rsidRPr="006B5978" w:rsidRDefault="00B44672" w:rsidP="00D123F1">
            <w:pPr>
              <w:widowControl w:val="0"/>
              <w:autoSpaceDE w:val="0"/>
              <w:autoSpaceDN w:val="0"/>
              <w:adjustRightInd w:val="0"/>
              <w:spacing w:after="0"/>
              <w:rPr>
                <w:rFonts w:cstheme="minorHAnsi"/>
                <w:sz w:val="22"/>
              </w:rPr>
            </w:pPr>
            <w:r w:rsidRPr="006B5978">
              <w:rPr>
                <w:rFonts w:cstheme="minorHAnsi"/>
                <w:sz w:val="22"/>
              </w:rPr>
              <w:t>Number of Suburbs</w:t>
            </w:r>
          </w:p>
        </w:tc>
        <w:tc>
          <w:tcPr>
            <w:tcW w:w="1848" w:type="dxa"/>
            <w:tcBorders>
              <w:top w:val="nil"/>
              <w:left w:val="nil"/>
              <w:bottom w:val="nil"/>
              <w:right w:val="nil"/>
            </w:tcBorders>
          </w:tcPr>
          <w:p w14:paraId="15A5C111"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3,707</w:t>
            </w:r>
          </w:p>
        </w:tc>
        <w:tc>
          <w:tcPr>
            <w:tcW w:w="1848" w:type="dxa"/>
            <w:tcBorders>
              <w:top w:val="nil"/>
              <w:left w:val="nil"/>
              <w:bottom w:val="nil"/>
              <w:right w:val="nil"/>
            </w:tcBorders>
          </w:tcPr>
          <w:p w14:paraId="12EC6BF1"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3,707</w:t>
            </w:r>
          </w:p>
        </w:tc>
        <w:tc>
          <w:tcPr>
            <w:tcW w:w="2352" w:type="dxa"/>
            <w:tcBorders>
              <w:top w:val="nil"/>
              <w:left w:val="nil"/>
              <w:bottom w:val="nil"/>
              <w:right w:val="nil"/>
            </w:tcBorders>
          </w:tcPr>
          <w:p w14:paraId="12F5A9F6"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2,086</w:t>
            </w:r>
          </w:p>
        </w:tc>
        <w:tc>
          <w:tcPr>
            <w:tcW w:w="1512" w:type="dxa"/>
            <w:tcBorders>
              <w:top w:val="nil"/>
              <w:left w:val="nil"/>
              <w:bottom w:val="nil"/>
              <w:right w:val="nil"/>
            </w:tcBorders>
          </w:tcPr>
          <w:p w14:paraId="7585F8B0"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1,948</w:t>
            </w:r>
          </w:p>
        </w:tc>
        <w:tc>
          <w:tcPr>
            <w:tcW w:w="4200" w:type="dxa"/>
            <w:tcBorders>
              <w:top w:val="nil"/>
              <w:left w:val="nil"/>
              <w:bottom w:val="nil"/>
              <w:right w:val="nil"/>
            </w:tcBorders>
          </w:tcPr>
          <w:p w14:paraId="2FA26C3A"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1,121</w:t>
            </w:r>
          </w:p>
        </w:tc>
      </w:tr>
      <w:tr w:rsidR="00B44672" w:rsidRPr="006B5978" w14:paraId="7767F948" w14:textId="77777777" w:rsidTr="00D123F1">
        <w:trPr>
          <w:jc w:val="center"/>
        </w:trPr>
        <w:tc>
          <w:tcPr>
            <w:tcW w:w="3024" w:type="dxa"/>
            <w:tcBorders>
              <w:top w:val="nil"/>
              <w:left w:val="nil"/>
              <w:bottom w:val="nil"/>
              <w:right w:val="nil"/>
            </w:tcBorders>
          </w:tcPr>
          <w:p w14:paraId="0837B087" w14:textId="77777777" w:rsidR="00B44672" w:rsidRPr="006B5978" w:rsidRDefault="00B44672" w:rsidP="00D123F1">
            <w:pPr>
              <w:widowControl w:val="0"/>
              <w:autoSpaceDE w:val="0"/>
              <w:autoSpaceDN w:val="0"/>
              <w:adjustRightInd w:val="0"/>
              <w:spacing w:after="0"/>
              <w:rPr>
                <w:rFonts w:cstheme="minorHAnsi"/>
                <w:sz w:val="22"/>
              </w:rPr>
            </w:pPr>
            <w:r w:rsidRPr="006B5978">
              <w:rPr>
                <w:rFonts w:cstheme="minorHAnsi"/>
                <w:sz w:val="22"/>
              </w:rPr>
              <w:t>Adj. R-squared</w:t>
            </w:r>
          </w:p>
        </w:tc>
        <w:tc>
          <w:tcPr>
            <w:tcW w:w="1848" w:type="dxa"/>
            <w:tcBorders>
              <w:top w:val="nil"/>
              <w:left w:val="nil"/>
              <w:bottom w:val="nil"/>
              <w:right w:val="nil"/>
            </w:tcBorders>
          </w:tcPr>
          <w:p w14:paraId="5B7BE410"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0.74</w:t>
            </w:r>
          </w:p>
        </w:tc>
        <w:tc>
          <w:tcPr>
            <w:tcW w:w="1848" w:type="dxa"/>
            <w:tcBorders>
              <w:top w:val="nil"/>
              <w:left w:val="nil"/>
              <w:bottom w:val="nil"/>
              <w:right w:val="nil"/>
            </w:tcBorders>
          </w:tcPr>
          <w:p w14:paraId="3AE91C6B"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0.74</w:t>
            </w:r>
          </w:p>
        </w:tc>
        <w:tc>
          <w:tcPr>
            <w:tcW w:w="2352" w:type="dxa"/>
            <w:tcBorders>
              <w:top w:val="nil"/>
              <w:left w:val="nil"/>
              <w:bottom w:val="nil"/>
              <w:right w:val="nil"/>
            </w:tcBorders>
          </w:tcPr>
          <w:p w14:paraId="1BF41036"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0.75</w:t>
            </w:r>
          </w:p>
        </w:tc>
        <w:tc>
          <w:tcPr>
            <w:tcW w:w="1512" w:type="dxa"/>
            <w:tcBorders>
              <w:top w:val="nil"/>
              <w:left w:val="nil"/>
              <w:bottom w:val="nil"/>
              <w:right w:val="nil"/>
            </w:tcBorders>
          </w:tcPr>
          <w:p w14:paraId="7D1EAB33"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0.77</w:t>
            </w:r>
          </w:p>
        </w:tc>
        <w:tc>
          <w:tcPr>
            <w:tcW w:w="4200" w:type="dxa"/>
            <w:tcBorders>
              <w:top w:val="nil"/>
              <w:left w:val="nil"/>
              <w:bottom w:val="nil"/>
              <w:right w:val="nil"/>
            </w:tcBorders>
          </w:tcPr>
          <w:p w14:paraId="1C9ABD97"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0.77</w:t>
            </w:r>
          </w:p>
        </w:tc>
      </w:tr>
      <w:tr w:rsidR="00B44672" w:rsidRPr="006B5978" w14:paraId="3782B65D" w14:textId="77777777" w:rsidTr="00D123F1">
        <w:trPr>
          <w:jc w:val="center"/>
        </w:trPr>
        <w:tc>
          <w:tcPr>
            <w:tcW w:w="3024" w:type="dxa"/>
            <w:tcBorders>
              <w:top w:val="nil"/>
              <w:left w:val="nil"/>
              <w:bottom w:val="single" w:sz="6" w:space="0" w:color="auto"/>
              <w:right w:val="nil"/>
            </w:tcBorders>
          </w:tcPr>
          <w:p w14:paraId="6AD33E88" w14:textId="77777777" w:rsidR="00B44672" w:rsidRPr="006B5978" w:rsidRDefault="00B44672" w:rsidP="00D123F1">
            <w:pPr>
              <w:widowControl w:val="0"/>
              <w:autoSpaceDE w:val="0"/>
              <w:autoSpaceDN w:val="0"/>
              <w:adjustRightInd w:val="0"/>
              <w:spacing w:after="0"/>
              <w:rPr>
                <w:rFonts w:cstheme="minorHAnsi"/>
                <w:sz w:val="22"/>
              </w:rPr>
            </w:pPr>
            <w:r w:rsidRPr="006B5978">
              <w:rPr>
                <w:rFonts w:cstheme="minorHAnsi"/>
                <w:sz w:val="22"/>
              </w:rPr>
              <w:t>Max in Cor. Matrix</w:t>
            </w:r>
          </w:p>
        </w:tc>
        <w:tc>
          <w:tcPr>
            <w:tcW w:w="1848" w:type="dxa"/>
            <w:tcBorders>
              <w:top w:val="nil"/>
              <w:left w:val="nil"/>
              <w:bottom w:val="single" w:sz="6" w:space="0" w:color="auto"/>
              <w:right w:val="nil"/>
            </w:tcBorders>
          </w:tcPr>
          <w:p w14:paraId="4512DF84"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
        </w:tc>
        <w:tc>
          <w:tcPr>
            <w:tcW w:w="1848" w:type="dxa"/>
            <w:tcBorders>
              <w:top w:val="nil"/>
              <w:left w:val="nil"/>
              <w:bottom w:val="single" w:sz="6" w:space="0" w:color="auto"/>
              <w:right w:val="nil"/>
            </w:tcBorders>
          </w:tcPr>
          <w:p w14:paraId="0015AB64"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
        </w:tc>
        <w:tc>
          <w:tcPr>
            <w:tcW w:w="2352" w:type="dxa"/>
            <w:tcBorders>
              <w:top w:val="nil"/>
              <w:left w:val="nil"/>
              <w:bottom w:val="single" w:sz="6" w:space="0" w:color="auto"/>
              <w:right w:val="nil"/>
            </w:tcBorders>
          </w:tcPr>
          <w:p w14:paraId="5A5CC609"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
        </w:tc>
        <w:tc>
          <w:tcPr>
            <w:tcW w:w="1512" w:type="dxa"/>
            <w:tcBorders>
              <w:top w:val="nil"/>
              <w:left w:val="nil"/>
              <w:bottom w:val="single" w:sz="6" w:space="0" w:color="auto"/>
              <w:right w:val="nil"/>
            </w:tcBorders>
          </w:tcPr>
          <w:p w14:paraId="342635A4"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
        </w:tc>
        <w:tc>
          <w:tcPr>
            <w:tcW w:w="4200" w:type="dxa"/>
            <w:tcBorders>
              <w:top w:val="nil"/>
              <w:left w:val="nil"/>
              <w:bottom w:val="single" w:sz="6" w:space="0" w:color="auto"/>
              <w:right w:val="nil"/>
            </w:tcBorders>
          </w:tcPr>
          <w:p w14:paraId="38E4AB0C" w14:textId="77777777" w:rsidR="00B44672" w:rsidRPr="006B5978" w:rsidRDefault="00B44672" w:rsidP="00D123F1">
            <w:pPr>
              <w:widowControl w:val="0"/>
              <w:autoSpaceDE w:val="0"/>
              <w:autoSpaceDN w:val="0"/>
              <w:adjustRightInd w:val="0"/>
              <w:spacing w:after="0"/>
              <w:jc w:val="center"/>
              <w:rPr>
                <w:rFonts w:cstheme="minorHAnsi"/>
                <w:sz w:val="22"/>
              </w:rPr>
            </w:pPr>
            <w:r w:rsidRPr="006B5978">
              <w:rPr>
                <w:rFonts w:cstheme="minorHAnsi"/>
                <w:sz w:val="22"/>
              </w:rPr>
              <w:t>.</w:t>
            </w:r>
          </w:p>
        </w:tc>
      </w:tr>
    </w:tbl>
    <w:p w14:paraId="2C9AE0CF" w14:textId="77777777" w:rsidR="00B44672" w:rsidRPr="006B5978" w:rsidRDefault="00B44672" w:rsidP="009E769F">
      <w:pPr>
        <w:widowControl w:val="0"/>
        <w:autoSpaceDE w:val="0"/>
        <w:autoSpaceDN w:val="0"/>
        <w:adjustRightInd w:val="0"/>
        <w:spacing w:before="79" w:after="79"/>
        <w:jc w:val="center"/>
        <w:rPr>
          <w:rFonts w:cstheme="minorHAnsi"/>
          <w:sz w:val="22"/>
        </w:rPr>
      </w:pPr>
      <w:r w:rsidRPr="006B5978">
        <w:rPr>
          <w:rFonts w:cstheme="minorHAnsi"/>
          <w:sz w:val="22"/>
        </w:rPr>
        <w:t xml:space="preserve">* </w:t>
      </w:r>
      <w:r w:rsidRPr="006B5978">
        <w:rPr>
          <w:rFonts w:cstheme="minorHAnsi"/>
          <w:i/>
          <w:iCs/>
          <w:sz w:val="22"/>
        </w:rPr>
        <w:t>p</w:t>
      </w:r>
      <w:r w:rsidRPr="006B5978">
        <w:rPr>
          <w:rFonts w:cstheme="minorHAnsi"/>
          <w:sz w:val="22"/>
        </w:rPr>
        <w:t xml:space="preserve">&lt;0.05; ** </w:t>
      </w:r>
      <w:r w:rsidRPr="006B5978">
        <w:rPr>
          <w:rFonts w:cstheme="minorHAnsi"/>
          <w:i/>
          <w:iCs/>
          <w:sz w:val="22"/>
        </w:rPr>
        <w:t>p</w:t>
      </w:r>
      <w:r w:rsidRPr="006B5978">
        <w:rPr>
          <w:rFonts w:cstheme="minorHAnsi"/>
          <w:sz w:val="22"/>
        </w:rPr>
        <w:t>&lt;0.01</w:t>
      </w:r>
    </w:p>
    <w:p w14:paraId="4CAF2291" w14:textId="77777777" w:rsidR="00B44672" w:rsidRDefault="00B44672" w:rsidP="00494C7C">
      <w:pPr>
        <w:pStyle w:val="BodyText"/>
      </w:pPr>
    </w:p>
    <w:p w14:paraId="75CDE572" w14:textId="77777777" w:rsidR="00B44672" w:rsidRDefault="00B44672" w:rsidP="00494C7C">
      <w:pPr>
        <w:pStyle w:val="BodyText"/>
      </w:pPr>
      <w:r>
        <w:t xml:space="preserve">The next two tables present the results of the rental prices in the house and unit rental markets. </w:t>
      </w:r>
    </w:p>
    <w:p w14:paraId="76E83F45" w14:textId="0868D5AE" w:rsidR="00B44672" w:rsidRDefault="00B44672" w:rsidP="00A60D6D">
      <w:pPr>
        <w:pStyle w:val="Caption"/>
        <w:spacing w:after="0"/>
        <w:rPr>
          <w:b/>
          <w:bCs/>
          <w:i w:val="0"/>
          <w:iCs/>
          <w:color w:val="365F91" w:themeColor="accent1" w:themeShade="BF"/>
        </w:rPr>
      </w:pPr>
      <w:bookmarkStart w:id="152" w:name="_Toc33121092"/>
      <w:r w:rsidRPr="00F67AF3">
        <w:rPr>
          <w:b/>
          <w:bCs/>
          <w:color w:val="365F91" w:themeColor="accent1" w:themeShade="BF"/>
        </w:rPr>
        <w:t xml:space="preserve">Table </w:t>
      </w:r>
      <w:r w:rsidRPr="00F67AF3">
        <w:rPr>
          <w:b/>
          <w:bCs/>
          <w:i w:val="0"/>
          <w:iCs/>
          <w:color w:val="365F91" w:themeColor="accent1" w:themeShade="BF"/>
        </w:rPr>
        <w:fldChar w:fldCharType="begin"/>
      </w:r>
      <w:r w:rsidRPr="00F67AF3">
        <w:rPr>
          <w:b/>
          <w:bCs/>
          <w:color w:val="365F91" w:themeColor="accent1" w:themeShade="BF"/>
        </w:rPr>
        <w:instrText xml:space="preserve"> SEQ Table \* ARABIC </w:instrText>
      </w:r>
      <w:r w:rsidRPr="00F67AF3">
        <w:rPr>
          <w:b/>
          <w:bCs/>
          <w:i w:val="0"/>
          <w:iCs/>
          <w:color w:val="365F91" w:themeColor="accent1" w:themeShade="BF"/>
        </w:rPr>
        <w:fldChar w:fldCharType="separate"/>
      </w:r>
      <w:r w:rsidR="00A763B6">
        <w:rPr>
          <w:b/>
          <w:bCs/>
          <w:noProof/>
          <w:color w:val="365F91" w:themeColor="accent1" w:themeShade="BF"/>
        </w:rPr>
        <w:t>32</w:t>
      </w:r>
      <w:r w:rsidRPr="00F67AF3">
        <w:rPr>
          <w:b/>
          <w:bCs/>
          <w:i w:val="0"/>
          <w:iCs/>
          <w:color w:val="365F91" w:themeColor="accent1" w:themeShade="BF"/>
        </w:rPr>
        <w:fldChar w:fldCharType="end"/>
      </w:r>
      <w:r w:rsidRPr="00F67AF3">
        <w:rPr>
          <w:b/>
          <w:bCs/>
          <w:color w:val="365F91" w:themeColor="accent1" w:themeShade="BF"/>
        </w:rPr>
        <w:t xml:space="preserve"> </w:t>
      </w:r>
      <w:r>
        <w:rPr>
          <w:b/>
          <w:bCs/>
          <w:color w:val="365F91" w:themeColor="accent1" w:themeShade="BF"/>
        </w:rPr>
        <w:t xml:space="preserve">(Columns (1)-(3) from main report; Columns (4) – (5) not in main report) </w:t>
      </w:r>
    </w:p>
    <w:p w14:paraId="46D039D2" w14:textId="77777777" w:rsidR="00B44672" w:rsidRPr="00F67AF3" w:rsidRDefault="00B44672" w:rsidP="00A60D6D">
      <w:pPr>
        <w:pStyle w:val="Caption"/>
        <w:spacing w:after="0"/>
        <w:rPr>
          <w:rFonts w:cstheme="minorHAnsi"/>
          <w:b/>
          <w:bCs/>
          <w:i w:val="0"/>
          <w:iCs/>
          <w:color w:val="365F91" w:themeColor="accent1" w:themeShade="BF"/>
        </w:rPr>
      </w:pPr>
      <w:r w:rsidRPr="00F67AF3">
        <w:rPr>
          <w:b/>
          <w:bCs/>
          <w:color w:val="365F91" w:themeColor="accent1" w:themeShade="BF"/>
        </w:rPr>
        <w:t>- Tax reform effect on house rental prices - estimations in logs</w:t>
      </w:r>
      <w:bookmarkEnd w:id="152"/>
    </w:p>
    <w:tbl>
      <w:tblPr>
        <w:tblW w:w="0" w:type="auto"/>
        <w:jc w:val="center"/>
        <w:tblCellMar>
          <w:left w:w="144" w:type="dxa"/>
          <w:right w:w="144" w:type="dxa"/>
        </w:tblCellMar>
        <w:tblLook w:val="0000" w:firstRow="0" w:lastRow="0" w:firstColumn="0" w:lastColumn="0" w:noHBand="0" w:noVBand="0"/>
      </w:tblPr>
      <w:tblGrid>
        <w:gridCol w:w="2147"/>
        <w:gridCol w:w="1256"/>
        <w:gridCol w:w="1256"/>
        <w:gridCol w:w="1376"/>
        <w:gridCol w:w="1177"/>
        <w:gridCol w:w="1814"/>
      </w:tblGrid>
      <w:tr w:rsidR="00B44672" w:rsidRPr="006B5978" w14:paraId="56A96AFA" w14:textId="77777777" w:rsidTr="00F2339A">
        <w:trPr>
          <w:jc w:val="center"/>
        </w:trPr>
        <w:tc>
          <w:tcPr>
            <w:tcW w:w="2147" w:type="dxa"/>
            <w:tcBorders>
              <w:top w:val="single" w:sz="6" w:space="0" w:color="auto"/>
              <w:left w:val="nil"/>
              <w:bottom w:val="nil"/>
              <w:right w:val="nil"/>
            </w:tcBorders>
          </w:tcPr>
          <w:p w14:paraId="3D46FB97" w14:textId="77777777" w:rsidR="00B44672" w:rsidRPr="006B5978" w:rsidRDefault="00B44672" w:rsidP="004D2B7C">
            <w:pPr>
              <w:widowControl w:val="0"/>
              <w:autoSpaceDE w:val="0"/>
              <w:autoSpaceDN w:val="0"/>
              <w:adjustRightInd w:val="0"/>
              <w:spacing w:before="79" w:after="0"/>
              <w:rPr>
                <w:rFonts w:cstheme="minorHAnsi"/>
                <w:sz w:val="22"/>
              </w:rPr>
            </w:pPr>
            <w:proofErr w:type="gramStart"/>
            <w:r w:rsidRPr="006B5978">
              <w:rPr>
                <w:rFonts w:cstheme="minorHAnsi"/>
                <w:sz w:val="22"/>
              </w:rPr>
              <w:t>Log(</w:t>
            </w:r>
            <w:proofErr w:type="gramEnd"/>
            <w:r w:rsidRPr="006B5978">
              <w:rPr>
                <w:rFonts w:cstheme="minorHAnsi"/>
                <w:sz w:val="22"/>
              </w:rPr>
              <w:t>Median Rent)</w:t>
            </w:r>
          </w:p>
        </w:tc>
        <w:tc>
          <w:tcPr>
            <w:tcW w:w="1256" w:type="dxa"/>
            <w:tcBorders>
              <w:top w:val="single" w:sz="6" w:space="0" w:color="auto"/>
              <w:left w:val="nil"/>
              <w:bottom w:val="nil"/>
              <w:right w:val="nil"/>
            </w:tcBorders>
          </w:tcPr>
          <w:p w14:paraId="672EA293"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(1)</w:t>
            </w:r>
          </w:p>
        </w:tc>
        <w:tc>
          <w:tcPr>
            <w:tcW w:w="1256" w:type="dxa"/>
            <w:tcBorders>
              <w:top w:val="single" w:sz="6" w:space="0" w:color="auto"/>
              <w:left w:val="nil"/>
              <w:bottom w:val="nil"/>
              <w:right w:val="nil"/>
            </w:tcBorders>
          </w:tcPr>
          <w:p w14:paraId="031FCFA0"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(2)</w:t>
            </w:r>
          </w:p>
        </w:tc>
        <w:tc>
          <w:tcPr>
            <w:tcW w:w="1376" w:type="dxa"/>
            <w:tcBorders>
              <w:top w:val="single" w:sz="6" w:space="0" w:color="auto"/>
              <w:left w:val="nil"/>
              <w:bottom w:val="nil"/>
              <w:right w:val="nil"/>
            </w:tcBorders>
          </w:tcPr>
          <w:p w14:paraId="766CE804"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(3)</w:t>
            </w:r>
          </w:p>
        </w:tc>
        <w:tc>
          <w:tcPr>
            <w:tcW w:w="1177" w:type="dxa"/>
            <w:tcBorders>
              <w:top w:val="single" w:sz="6" w:space="0" w:color="auto"/>
              <w:left w:val="nil"/>
              <w:bottom w:val="nil"/>
              <w:right w:val="nil"/>
            </w:tcBorders>
          </w:tcPr>
          <w:p w14:paraId="4B0DD8D1"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(4)</w:t>
            </w:r>
          </w:p>
        </w:tc>
        <w:tc>
          <w:tcPr>
            <w:tcW w:w="1814" w:type="dxa"/>
            <w:tcBorders>
              <w:top w:val="single" w:sz="6" w:space="0" w:color="auto"/>
              <w:left w:val="nil"/>
              <w:bottom w:val="nil"/>
              <w:right w:val="nil"/>
            </w:tcBorders>
          </w:tcPr>
          <w:p w14:paraId="6D43A1F7"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(5)</w:t>
            </w:r>
          </w:p>
        </w:tc>
      </w:tr>
      <w:tr w:rsidR="00B44672" w:rsidRPr="006B5978" w14:paraId="105A235B" w14:textId="77777777" w:rsidTr="00F2339A">
        <w:trPr>
          <w:jc w:val="center"/>
        </w:trPr>
        <w:tc>
          <w:tcPr>
            <w:tcW w:w="2147" w:type="dxa"/>
            <w:tcBorders>
              <w:top w:val="nil"/>
              <w:left w:val="nil"/>
              <w:bottom w:val="nil"/>
              <w:right w:val="nil"/>
            </w:tcBorders>
          </w:tcPr>
          <w:p w14:paraId="3C79E88A" w14:textId="77777777" w:rsidR="00B44672" w:rsidRPr="006B5978" w:rsidRDefault="00B44672" w:rsidP="004D2B7C">
            <w:pPr>
              <w:widowControl w:val="0"/>
              <w:autoSpaceDE w:val="0"/>
              <w:autoSpaceDN w:val="0"/>
              <w:adjustRightInd w:val="0"/>
              <w:spacing w:after="79"/>
              <w:rPr>
                <w:rFonts w:cstheme="minorHAnsi"/>
                <w:sz w:val="22"/>
              </w:rPr>
            </w:pPr>
          </w:p>
        </w:tc>
        <w:tc>
          <w:tcPr>
            <w:tcW w:w="1256" w:type="dxa"/>
            <w:tcBorders>
              <w:top w:val="nil"/>
              <w:left w:val="nil"/>
              <w:bottom w:val="nil"/>
              <w:right w:val="nil"/>
            </w:tcBorders>
          </w:tcPr>
          <w:p w14:paraId="2BDAC94E"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256" w:type="dxa"/>
            <w:tcBorders>
              <w:top w:val="nil"/>
              <w:left w:val="nil"/>
              <w:bottom w:val="nil"/>
              <w:right w:val="nil"/>
            </w:tcBorders>
          </w:tcPr>
          <w:p w14:paraId="036980A5"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376" w:type="dxa"/>
            <w:tcBorders>
              <w:top w:val="nil"/>
              <w:left w:val="nil"/>
              <w:bottom w:val="nil"/>
              <w:right w:val="nil"/>
            </w:tcBorders>
          </w:tcPr>
          <w:p w14:paraId="0178DC1D"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w:t>
            </w:r>
          </w:p>
        </w:tc>
        <w:tc>
          <w:tcPr>
            <w:tcW w:w="1177" w:type="dxa"/>
            <w:tcBorders>
              <w:top w:val="nil"/>
              <w:left w:val="nil"/>
              <w:bottom w:val="nil"/>
              <w:right w:val="nil"/>
            </w:tcBorders>
          </w:tcPr>
          <w:p w14:paraId="14A0F16C"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NSW &amp; VIC</w:t>
            </w:r>
          </w:p>
        </w:tc>
        <w:tc>
          <w:tcPr>
            <w:tcW w:w="1814" w:type="dxa"/>
            <w:tcBorders>
              <w:top w:val="nil"/>
              <w:left w:val="nil"/>
              <w:bottom w:val="nil"/>
              <w:right w:val="nil"/>
            </w:tcBorders>
          </w:tcPr>
          <w:p w14:paraId="7D5A6824"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 NSW &amp; VIC</w:t>
            </w:r>
          </w:p>
        </w:tc>
      </w:tr>
      <w:tr w:rsidR="00B44672" w:rsidRPr="006B5978" w14:paraId="2CDE1004" w14:textId="77777777" w:rsidTr="00F2339A">
        <w:trPr>
          <w:jc w:val="center"/>
        </w:trPr>
        <w:tc>
          <w:tcPr>
            <w:tcW w:w="2147" w:type="dxa"/>
            <w:tcBorders>
              <w:top w:val="single" w:sz="6" w:space="0" w:color="auto"/>
              <w:left w:val="nil"/>
              <w:bottom w:val="nil"/>
              <w:right w:val="nil"/>
            </w:tcBorders>
          </w:tcPr>
          <w:p w14:paraId="6D0B1613"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Reform Dummy</w:t>
            </w:r>
          </w:p>
        </w:tc>
        <w:tc>
          <w:tcPr>
            <w:tcW w:w="1256" w:type="dxa"/>
            <w:tcBorders>
              <w:top w:val="single" w:sz="6" w:space="0" w:color="auto"/>
              <w:left w:val="nil"/>
              <w:bottom w:val="nil"/>
              <w:right w:val="nil"/>
            </w:tcBorders>
          </w:tcPr>
          <w:p w14:paraId="5D5AC3B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-0.077</w:t>
            </w:r>
          </w:p>
        </w:tc>
        <w:tc>
          <w:tcPr>
            <w:tcW w:w="1256" w:type="dxa"/>
            <w:tcBorders>
              <w:top w:val="single" w:sz="6" w:space="0" w:color="auto"/>
              <w:left w:val="nil"/>
              <w:bottom w:val="nil"/>
              <w:right w:val="nil"/>
            </w:tcBorders>
          </w:tcPr>
          <w:p w14:paraId="7E1279F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-0.014</w:t>
            </w:r>
          </w:p>
        </w:tc>
        <w:tc>
          <w:tcPr>
            <w:tcW w:w="1376" w:type="dxa"/>
            <w:tcBorders>
              <w:top w:val="single" w:sz="6" w:space="0" w:color="auto"/>
              <w:left w:val="nil"/>
              <w:bottom w:val="nil"/>
              <w:right w:val="nil"/>
            </w:tcBorders>
          </w:tcPr>
          <w:p w14:paraId="25DE3E6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-0.026</w:t>
            </w:r>
          </w:p>
        </w:tc>
        <w:tc>
          <w:tcPr>
            <w:tcW w:w="1177" w:type="dxa"/>
            <w:tcBorders>
              <w:top w:val="single" w:sz="6" w:space="0" w:color="auto"/>
              <w:left w:val="nil"/>
              <w:bottom w:val="nil"/>
              <w:right w:val="nil"/>
            </w:tcBorders>
          </w:tcPr>
          <w:p w14:paraId="5A0C62C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-0.008</w:t>
            </w:r>
          </w:p>
        </w:tc>
        <w:tc>
          <w:tcPr>
            <w:tcW w:w="1814" w:type="dxa"/>
            <w:tcBorders>
              <w:top w:val="single" w:sz="6" w:space="0" w:color="auto"/>
              <w:left w:val="nil"/>
              <w:bottom w:val="nil"/>
              <w:right w:val="nil"/>
            </w:tcBorders>
          </w:tcPr>
          <w:p w14:paraId="2835A3E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0.008</w:t>
            </w:r>
          </w:p>
        </w:tc>
      </w:tr>
      <w:tr w:rsidR="00B44672" w:rsidRPr="006B5978" w14:paraId="79882781" w14:textId="77777777" w:rsidTr="00F2339A">
        <w:trPr>
          <w:jc w:val="center"/>
        </w:trPr>
        <w:tc>
          <w:tcPr>
            <w:tcW w:w="2147" w:type="dxa"/>
            <w:tcBorders>
              <w:top w:val="nil"/>
              <w:left w:val="nil"/>
              <w:bottom w:val="nil"/>
              <w:right w:val="nil"/>
            </w:tcBorders>
          </w:tcPr>
          <w:p w14:paraId="5E193248"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256" w:type="dxa"/>
            <w:tcBorders>
              <w:top w:val="nil"/>
              <w:left w:val="nil"/>
              <w:bottom w:val="nil"/>
              <w:right w:val="nil"/>
            </w:tcBorders>
          </w:tcPr>
          <w:p w14:paraId="07AAE34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0.006]*</w:t>
            </w:r>
            <w:proofErr w:type="gramEnd"/>
            <w:r w:rsidRPr="006B5978">
              <w:rPr>
                <w:rFonts w:cstheme="minorHAnsi"/>
                <w:sz w:val="22"/>
              </w:rPr>
              <w:t>*</w:t>
            </w:r>
          </w:p>
        </w:tc>
        <w:tc>
          <w:tcPr>
            <w:tcW w:w="1256" w:type="dxa"/>
            <w:tcBorders>
              <w:top w:val="nil"/>
              <w:left w:val="nil"/>
              <w:bottom w:val="nil"/>
              <w:right w:val="nil"/>
            </w:tcBorders>
          </w:tcPr>
          <w:p w14:paraId="41DDDC9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[0.008]</w:t>
            </w:r>
          </w:p>
        </w:tc>
        <w:tc>
          <w:tcPr>
            <w:tcW w:w="1376" w:type="dxa"/>
            <w:tcBorders>
              <w:top w:val="nil"/>
              <w:left w:val="nil"/>
              <w:bottom w:val="nil"/>
              <w:right w:val="nil"/>
            </w:tcBorders>
          </w:tcPr>
          <w:p w14:paraId="7764060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0.007]*</w:t>
            </w:r>
            <w:proofErr w:type="gramEnd"/>
            <w:r w:rsidRPr="006B5978">
              <w:rPr>
                <w:rFonts w:cstheme="minorHAnsi"/>
                <w:sz w:val="22"/>
              </w:rPr>
              <w:t>*</w:t>
            </w:r>
          </w:p>
        </w:tc>
        <w:tc>
          <w:tcPr>
            <w:tcW w:w="1177" w:type="dxa"/>
            <w:tcBorders>
              <w:top w:val="nil"/>
              <w:left w:val="nil"/>
              <w:bottom w:val="nil"/>
              <w:right w:val="nil"/>
            </w:tcBorders>
          </w:tcPr>
          <w:p w14:paraId="5348732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[0.008]</w:t>
            </w:r>
          </w:p>
        </w:tc>
        <w:tc>
          <w:tcPr>
            <w:tcW w:w="1814" w:type="dxa"/>
            <w:tcBorders>
              <w:top w:val="nil"/>
              <w:left w:val="nil"/>
              <w:bottom w:val="nil"/>
              <w:right w:val="nil"/>
            </w:tcBorders>
          </w:tcPr>
          <w:p w14:paraId="1D7701A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[0.008]</w:t>
            </w:r>
          </w:p>
        </w:tc>
      </w:tr>
      <w:tr w:rsidR="00B44672" w:rsidRPr="006B5978" w14:paraId="2044F833" w14:textId="77777777" w:rsidTr="00F2339A">
        <w:trPr>
          <w:jc w:val="center"/>
        </w:trPr>
        <w:tc>
          <w:tcPr>
            <w:tcW w:w="2147" w:type="dxa"/>
            <w:tcBorders>
              <w:top w:val="nil"/>
              <w:left w:val="nil"/>
              <w:bottom w:val="nil"/>
              <w:right w:val="nil"/>
            </w:tcBorders>
          </w:tcPr>
          <w:p w14:paraId="77608203"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Income)</w:t>
            </w:r>
          </w:p>
        </w:tc>
        <w:tc>
          <w:tcPr>
            <w:tcW w:w="1256" w:type="dxa"/>
            <w:tcBorders>
              <w:top w:val="nil"/>
              <w:left w:val="nil"/>
              <w:bottom w:val="nil"/>
              <w:right w:val="nil"/>
            </w:tcBorders>
          </w:tcPr>
          <w:p w14:paraId="4C689A8F"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256" w:type="dxa"/>
            <w:tcBorders>
              <w:top w:val="nil"/>
              <w:left w:val="nil"/>
              <w:bottom w:val="nil"/>
              <w:right w:val="nil"/>
            </w:tcBorders>
          </w:tcPr>
          <w:p w14:paraId="63FE485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1.505</w:t>
            </w:r>
          </w:p>
        </w:tc>
        <w:tc>
          <w:tcPr>
            <w:tcW w:w="1376" w:type="dxa"/>
            <w:tcBorders>
              <w:top w:val="nil"/>
              <w:left w:val="nil"/>
              <w:bottom w:val="nil"/>
              <w:right w:val="nil"/>
            </w:tcBorders>
          </w:tcPr>
          <w:p w14:paraId="2D2972F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1.471</w:t>
            </w:r>
          </w:p>
        </w:tc>
        <w:tc>
          <w:tcPr>
            <w:tcW w:w="1177" w:type="dxa"/>
            <w:tcBorders>
              <w:top w:val="nil"/>
              <w:left w:val="nil"/>
              <w:bottom w:val="nil"/>
              <w:right w:val="nil"/>
            </w:tcBorders>
          </w:tcPr>
          <w:p w14:paraId="2A2C4D4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1.419</w:t>
            </w:r>
          </w:p>
        </w:tc>
        <w:tc>
          <w:tcPr>
            <w:tcW w:w="1814" w:type="dxa"/>
            <w:tcBorders>
              <w:top w:val="nil"/>
              <w:left w:val="nil"/>
              <w:bottom w:val="nil"/>
              <w:right w:val="nil"/>
            </w:tcBorders>
          </w:tcPr>
          <w:p w14:paraId="009CF3E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1.679</w:t>
            </w:r>
          </w:p>
        </w:tc>
      </w:tr>
      <w:tr w:rsidR="00B44672" w:rsidRPr="006B5978" w14:paraId="1FF08102" w14:textId="77777777" w:rsidTr="00F2339A">
        <w:trPr>
          <w:jc w:val="center"/>
        </w:trPr>
        <w:tc>
          <w:tcPr>
            <w:tcW w:w="2147" w:type="dxa"/>
            <w:tcBorders>
              <w:top w:val="nil"/>
              <w:left w:val="nil"/>
              <w:bottom w:val="nil"/>
              <w:right w:val="nil"/>
            </w:tcBorders>
          </w:tcPr>
          <w:p w14:paraId="10F280DE"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256" w:type="dxa"/>
            <w:tcBorders>
              <w:top w:val="nil"/>
              <w:left w:val="nil"/>
              <w:bottom w:val="nil"/>
              <w:right w:val="nil"/>
            </w:tcBorders>
          </w:tcPr>
          <w:p w14:paraId="42467670"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256" w:type="dxa"/>
            <w:tcBorders>
              <w:top w:val="nil"/>
              <w:left w:val="nil"/>
              <w:bottom w:val="nil"/>
              <w:right w:val="nil"/>
            </w:tcBorders>
          </w:tcPr>
          <w:p w14:paraId="243A883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0.057]*</w:t>
            </w:r>
            <w:proofErr w:type="gramEnd"/>
            <w:r w:rsidRPr="006B5978">
              <w:rPr>
                <w:rFonts w:cstheme="minorHAnsi"/>
                <w:sz w:val="22"/>
              </w:rPr>
              <w:t>*</w:t>
            </w:r>
          </w:p>
        </w:tc>
        <w:tc>
          <w:tcPr>
            <w:tcW w:w="1376" w:type="dxa"/>
            <w:tcBorders>
              <w:top w:val="nil"/>
              <w:left w:val="nil"/>
              <w:bottom w:val="nil"/>
              <w:right w:val="nil"/>
            </w:tcBorders>
          </w:tcPr>
          <w:p w14:paraId="74882F6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0.029]*</w:t>
            </w:r>
            <w:proofErr w:type="gramEnd"/>
            <w:r w:rsidRPr="006B5978">
              <w:rPr>
                <w:rFonts w:cstheme="minorHAnsi"/>
                <w:sz w:val="22"/>
              </w:rPr>
              <w:t>*</w:t>
            </w:r>
          </w:p>
        </w:tc>
        <w:tc>
          <w:tcPr>
            <w:tcW w:w="1177" w:type="dxa"/>
            <w:tcBorders>
              <w:top w:val="nil"/>
              <w:left w:val="nil"/>
              <w:bottom w:val="nil"/>
              <w:right w:val="nil"/>
            </w:tcBorders>
          </w:tcPr>
          <w:p w14:paraId="279017B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0.057]*</w:t>
            </w:r>
            <w:proofErr w:type="gramEnd"/>
            <w:r w:rsidRPr="006B5978">
              <w:rPr>
                <w:rFonts w:cstheme="minorHAnsi"/>
                <w:sz w:val="22"/>
              </w:rPr>
              <w:t>*</w:t>
            </w:r>
          </w:p>
        </w:tc>
        <w:tc>
          <w:tcPr>
            <w:tcW w:w="1814" w:type="dxa"/>
            <w:tcBorders>
              <w:top w:val="nil"/>
              <w:left w:val="nil"/>
              <w:bottom w:val="nil"/>
              <w:right w:val="nil"/>
            </w:tcBorders>
          </w:tcPr>
          <w:p w14:paraId="5DEB1E2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0.054]*</w:t>
            </w:r>
            <w:proofErr w:type="gramEnd"/>
            <w:r w:rsidRPr="006B5978">
              <w:rPr>
                <w:rFonts w:cstheme="minorHAnsi"/>
                <w:sz w:val="22"/>
              </w:rPr>
              <w:t>*</w:t>
            </w:r>
          </w:p>
        </w:tc>
      </w:tr>
      <w:tr w:rsidR="00B44672" w:rsidRPr="006B5978" w14:paraId="06C8E42E" w14:textId="77777777" w:rsidTr="00F2339A">
        <w:trPr>
          <w:jc w:val="center"/>
        </w:trPr>
        <w:tc>
          <w:tcPr>
            <w:tcW w:w="2147" w:type="dxa"/>
            <w:tcBorders>
              <w:top w:val="nil"/>
              <w:left w:val="nil"/>
              <w:bottom w:val="nil"/>
              <w:right w:val="nil"/>
            </w:tcBorders>
          </w:tcPr>
          <w:p w14:paraId="6891DE19"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lastRenderedPageBreak/>
              <w:t>Log(</w:t>
            </w:r>
            <w:proofErr w:type="gramEnd"/>
            <w:r w:rsidRPr="006B5978">
              <w:rPr>
                <w:rFonts w:cstheme="minorHAnsi"/>
                <w:sz w:val="22"/>
              </w:rPr>
              <w:t>Population)</w:t>
            </w:r>
          </w:p>
        </w:tc>
        <w:tc>
          <w:tcPr>
            <w:tcW w:w="1256" w:type="dxa"/>
            <w:tcBorders>
              <w:top w:val="nil"/>
              <w:left w:val="nil"/>
              <w:bottom w:val="nil"/>
              <w:right w:val="nil"/>
            </w:tcBorders>
          </w:tcPr>
          <w:p w14:paraId="3F026403"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256" w:type="dxa"/>
            <w:tcBorders>
              <w:top w:val="nil"/>
              <w:left w:val="nil"/>
              <w:bottom w:val="nil"/>
              <w:right w:val="nil"/>
            </w:tcBorders>
          </w:tcPr>
          <w:p w14:paraId="59C3956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1.121</w:t>
            </w:r>
          </w:p>
        </w:tc>
        <w:tc>
          <w:tcPr>
            <w:tcW w:w="1376" w:type="dxa"/>
            <w:tcBorders>
              <w:top w:val="nil"/>
              <w:left w:val="nil"/>
              <w:bottom w:val="nil"/>
              <w:right w:val="nil"/>
            </w:tcBorders>
          </w:tcPr>
          <w:p w14:paraId="3F46F00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1.344</w:t>
            </w:r>
          </w:p>
        </w:tc>
        <w:tc>
          <w:tcPr>
            <w:tcW w:w="1177" w:type="dxa"/>
            <w:tcBorders>
              <w:top w:val="nil"/>
              <w:left w:val="nil"/>
              <w:bottom w:val="nil"/>
              <w:right w:val="nil"/>
            </w:tcBorders>
          </w:tcPr>
          <w:p w14:paraId="1F73EA9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-0.071</w:t>
            </w:r>
          </w:p>
        </w:tc>
        <w:tc>
          <w:tcPr>
            <w:tcW w:w="1814" w:type="dxa"/>
            <w:tcBorders>
              <w:top w:val="nil"/>
              <w:left w:val="nil"/>
              <w:bottom w:val="nil"/>
              <w:right w:val="nil"/>
            </w:tcBorders>
          </w:tcPr>
          <w:p w14:paraId="3CFB110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0.064</w:t>
            </w:r>
          </w:p>
        </w:tc>
      </w:tr>
      <w:tr w:rsidR="00B44672" w:rsidRPr="006B5978" w14:paraId="2348ED30" w14:textId="77777777" w:rsidTr="00F2339A">
        <w:trPr>
          <w:jc w:val="center"/>
        </w:trPr>
        <w:tc>
          <w:tcPr>
            <w:tcW w:w="2147" w:type="dxa"/>
            <w:tcBorders>
              <w:top w:val="nil"/>
              <w:left w:val="nil"/>
              <w:bottom w:val="nil"/>
              <w:right w:val="nil"/>
            </w:tcBorders>
          </w:tcPr>
          <w:p w14:paraId="63E679BF"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256" w:type="dxa"/>
            <w:tcBorders>
              <w:top w:val="nil"/>
              <w:left w:val="nil"/>
              <w:bottom w:val="nil"/>
              <w:right w:val="nil"/>
            </w:tcBorders>
          </w:tcPr>
          <w:p w14:paraId="1BD987B4"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256" w:type="dxa"/>
            <w:tcBorders>
              <w:top w:val="nil"/>
              <w:left w:val="nil"/>
              <w:bottom w:val="nil"/>
              <w:right w:val="nil"/>
            </w:tcBorders>
          </w:tcPr>
          <w:p w14:paraId="0337CCC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0.061]*</w:t>
            </w:r>
            <w:proofErr w:type="gramEnd"/>
            <w:r w:rsidRPr="006B5978">
              <w:rPr>
                <w:rFonts w:cstheme="minorHAnsi"/>
                <w:sz w:val="22"/>
              </w:rPr>
              <w:t>*</w:t>
            </w:r>
          </w:p>
        </w:tc>
        <w:tc>
          <w:tcPr>
            <w:tcW w:w="1376" w:type="dxa"/>
            <w:tcBorders>
              <w:top w:val="nil"/>
              <w:left w:val="nil"/>
              <w:bottom w:val="nil"/>
              <w:right w:val="nil"/>
            </w:tcBorders>
          </w:tcPr>
          <w:p w14:paraId="0EB78D3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0.070]*</w:t>
            </w:r>
            <w:proofErr w:type="gramEnd"/>
            <w:r w:rsidRPr="006B5978">
              <w:rPr>
                <w:rFonts w:cstheme="minorHAnsi"/>
                <w:sz w:val="22"/>
              </w:rPr>
              <w:t>*</w:t>
            </w:r>
          </w:p>
        </w:tc>
        <w:tc>
          <w:tcPr>
            <w:tcW w:w="1177" w:type="dxa"/>
            <w:tcBorders>
              <w:top w:val="nil"/>
              <w:left w:val="nil"/>
              <w:bottom w:val="nil"/>
              <w:right w:val="nil"/>
            </w:tcBorders>
          </w:tcPr>
          <w:p w14:paraId="32B237A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[0.082]</w:t>
            </w:r>
          </w:p>
        </w:tc>
        <w:tc>
          <w:tcPr>
            <w:tcW w:w="1814" w:type="dxa"/>
            <w:tcBorders>
              <w:top w:val="nil"/>
              <w:left w:val="nil"/>
              <w:bottom w:val="nil"/>
              <w:right w:val="nil"/>
            </w:tcBorders>
          </w:tcPr>
          <w:p w14:paraId="7A0EC28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[0.088]</w:t>
            </w:r>
          </w:p>
        </w:tc>
      </w:tr>
      <w:tr w:rsidR="00B44672" w:rsidRPr="006B5978" w14:paraId="2E8E87D3" w14:textId="77777777" w:rsidTr="00F2339A">
        <w:trPr>
          <w:jc w:val="center"/>
        </w:trPr>
        <w:tc>
          <w:tcPr>
            <w:tcW w:w="2147" w:type="dxa"/>
            <w:tcBorders>
              <w:top w:val="nil"/>
              <w:left w:val="nil"/>
              <w:bottom w:val="nil"/>
              <w:right w:val="nil"/>
            </w:tcBorders>
          </w:tcPr>
          <w:p w14:paraId="3FC01CEF"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Time &amp; Suburb FE</w:t>
            </w:r>
          </w:p>
        </w:tc>
        <w:tc>
          <w:tcPr>
            <w:tcW w:w="1256" w:type="dxa"/>
            <w:tcBorders>
              <w:top w:val="nil"/>
              <w:left w:val="nil"/>
              <w:bottom w:val="nil"/>
              <w:right w:val="nil"/>
            </w:tcBorders>
          </w:tcPr>
          <w:p w14:paraId="4822D62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256" w:type="dxa"/>
            <w:tcBorders>
              <w:top w:val="nil"/>
              <w:left w:val="nil"/>
              <w:bottom w:val="nil"/>
              <w:right w:val="nil"/>
            </w:tcBorders>
          </w:tcPr>
          <w:p w14:paraId="7B7DEA5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376" w:type="dxa"/>
            <w:tcBorders>
              <w:top w:val="nil"/>
              <w:left w:val="nil"/>
              <w:bottom w:val="nil"/>
              <w:right w:val="nil"/>
            </w:tcBorders>
          </w:tcPr>
          <w:p w14:paraId="2893B51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177" w:type="dxa"/>
            <w:tcBorders>
              <w:top w:val="nil"/>
              <w:left w:val="nil"/>
              <w:bottom w:val="nil"/>
              <w:right w:val="nil"/>
            </w:tcBorders>
          </w:tcPr>
          <w:p w14:paraId="45980BA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814" w:type="dxa"/>
            <w:tcBorders>
              <w:top w:val="nil"/>
              <w:left w:val="nil"/>
              <w:bottom w:val="nil"/>
              <w:right w:val="nil"/>
            </w:tcBorders>
          </w:tcPr>
          <w:p w14:paraId="7503D1A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r>
      <w:tr w:rsidR="00B44672" w:rsidRPr="006B5978" w14:paraId="1C34B4BE" w14:textId="77777777" w:rsidTr="00F2339A">
        <w:trPr>
          <w:jc w:val="center"/>
        </w:trPr>
        <w:tc>
          <w:tcPr>
            <w:tcW w:w="2147" w:type="dxa"/>
            <w:tcBorders>
              <w:top w:val="nil"/>
              <w:left w:val="nil"/>
              <w:bottom w:val="nil"/>
              <w:right w:val="nil"/>
            </w:tcBorders>
          </w:tcPr>
          <w:p w14:paraId="2CFD7E3F"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Observations</w:t>
            </w:r>
          </w:p>
        </w:tc>
        <w:tc>
          <w:tcPr>
            <w:tcW w:w="1256" w:type="dxa"/>
            <w:tcBorders>
              <w:top w:val="nil"/>
              <w:left w:val="nil"/>
              <w:bottom w:val="nil"/>
              <w:right w:val="nil"/>
            </w:tcBorders>
          </w:tcPr>
          <w:p w14:paraId="13E1138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263,249</w:t>
            </w:r>
          </w:p>
        </w:tc>
        <w:tc>
          <w:tcPr>
            <w:tcW w:w="1256" w:type="dxa"/>
            <w:tcBorders>
              <w:top w:val="nil"/>
              <w:left w:val="nil"/>
              <w:bottom w:val="nil"/>
              <w:right w:val="nil"/>
            </w:tcBorders>
          </w:tcPr>
          <w:p w14:paraId="3CB5DC7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248,629</w:t>
            </w:r>
          </w:p>
        </w:tc>
        <w:tc>
          <w:tcPr>
            <w:tcW w:w="1376" w:type="dxa"/>
            <w:tcBorders>
              <w:top w:val="nil"/>
              <w:left w:val="nil"/>
              <w:bottom w:val="nil"/>
              <w:right w:val="nil"/>
            </w:tcBorders>
          </w:tcPr>
          <w:p w14:paraId="27D74ED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153,750</w:t>
            </w:r>
          </w:p>
        </w:tc>
        <w:tc>
          <w:tcPr>
            <w:tcW w:w="1177" w:type="dxa"/>
            <w:tcBorders>
              <w:top w:val="nil"/>
              <w:left w:val="nil"/>
              <w:bottom w:val="nil"/>
              <w:right w:val="nil"/>
            </w:tcBorders>
          </w:tcPr>
          <w:p w14:paraId="09F976B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122,691</w:t>
            </w:r>
          </w:p>
        </w:tc>
        <w:tc>
          <w:tcPr>
            <w:tcW w:w="1814" w:type="dxa"/>
            <w:tcBorders>
              <w:top w:val="nil"/>
              <w:left w:val="nil"/>
              <w:bottom w:val="nil"/>
              <w:right w:val="nil"/>
            </w:tcBorders>
          </w:tcPr>
          <w:p w14:paraId="424CED3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78,559</w:t>
            </w:r>
          </w:p>
        </w:tc>
      </w:tr>
      <w:tr w:rsidR="00B44672" w:rsidRPr="006B5978" w14:paraId="11F763FA" w14:textId="77777777" w:rsidTr="00F2339A">
        <w:trPr>
          <w:jc w:val="center"/>
        </w:trPr>
        <w:tc>
          <w:tcPr>
            <w:tcW w:w="2147" w:type="dxa"/>
            <w:tcBorders>
              <w:top w:val="nil"/>
              <w:left w:val="nil"/>
              <w:bottom w:val="nil"/>
              <w:right w:val="nil"/>
            </w:tcBorders>
          </w:tcPr>
          <w:p w14:paraId="2D069020"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Number of Suburbs</w:t>
            </w:r>
          </w:p>
        </w:tc>
        <w:tc>
          <w:tcPr>
            <w:tcW w:w="1256" w:type="dxa"/>
            <w:tcBorders>
              <w:top w:val="nil"/>
              <w:left w:val="nil"/>
              <w:bottom w:val="nil"/>
              <w:right w:val="nil"/>
            </w:tcBorders>
          </w:tcPr>
          <w:p w14:paraId="6FD3F0D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3,435</w:t>
            </w:r>
          </w:p>
        </w:tc>
        <w:tc>
          <w:tcPr>
            <w:tcW w:w="1256" w:type="dxa"/>
            <w:tcBorders>
              <w:top w:val="nil"/>
              <w:left w:val="nil"/>
              <w:bottom w:val="nil"/>
              <w:right w:val="nil"/>
            </w:tcBorders>
          </w:tcPr>
          <w:p w14:paraId="30CA6FE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3,420</w:t>
            </w:r>
          </w:p>
        </w:tc>
        <w:tc>
          <w:tcPr>
            <w:tcW w:w="1376" w:type="dxa"/>
            <w:tcBorders>
              <w:top w:val="nil"/>
              <w:left w:val="nil"/>
              <w:bottom w:val="nil"/>
              <w:right w:val="nil"/>
            </w:tcBorders>
          </w:tcPr>
          <w:p w14:paraId="61347D1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1,988</w:t>
            </w:r>
          </w:p>
        </w:tc>
        <w:tc>
          <w:tcPr>
            <w:tcW w:w="1177" w:type="dxa"/>
            <w:tcBorders>
              <w:top w:val="nil"/>
              <w:left w:val="nil"/>
              <w:bottom w:val="nil"/>
              <w:right w:val="nil"/>
            </w:tcBorders>
          </w:tcPr>
          <w:p w14:paraId="35AF925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1,734</w:t>
            </w:r>
          </w:p>
        </w:tc>
        <w:tc>
          <w:tcPr>
            <w:tcW w:w="1814" w:type="dxa"/>
            <w:tcBorders>
              <w:top w:val="nil"/>
              <w:left w:val="nil"/>
              <w:bottom w:val="nil"/>
              <w:right w:val="nil"/>
            </w:tcBorders>
          </w:tcPr>
          <w:p w14:paraId="2B8E6CF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1,032</w:t>
            </w:r>
          </w:p>
        </w:tc>
      </w:tr>
      <w:tr w:rsidR="00B44672" w:rsidRPr="006B5978" w14:paraId="66E71506" w14:textId="77777777" w:rsidTr="00F2339A">
        <w:trPr>
          <w:jc w:val="center"/>
        </w:trPr>
        <w:tc>
          <w:tcPr>
            <w:tcW w:w="2147" w:type="dxa"/>
            <w:tcBorders>
              <w:top w:val="nil"/>
              <w:left w:val="nil"/>
              <w:bottom w:val="nil"/>
              <w:right w:val="nil"/>
            </w:tcBorders>
          </w:tcPr>
          <w:p w14:paraId="5AC3274A"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Adj. R-squared</w:t>
            </w:r>
          </w:p>
        </w:tc>
        <w:tc>
          <w:tcPr>
            <w:tcW w:w="1256" w:type="dxa"/>
            <w:tcBorders>
              <w:top w:val="nil"/>
              <w:left w:val="nil"/>
              <w:bottom w:val="nil"/>
              <w:right w:val="nil"/>
            </w:tcBorders>
          </w:tcPr>
          <w:p w14:paraId="0BC727F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0.91</w:t>
            </w:r>
          </w:p>
        </w:tc>
        <w:tc>
          <w:tcPr>
            <w:tcW w:w="1256" w:type="dxa"/>
            <w:tcBorders>
              <w:top w:val="nil"/>
              <w:left w:val="nil"/>
              <w:bottom w:val="nil"/>
              <w:right w:val="nil"/>
            </w:tcBorders>
          </w:tcPr>
          <w:p w14:paraId="7253E4C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0.92</w:t>
            </w:r>
          </w:p>
        </w:tc>
        <w:tc>
          <w:tcPr>
            <w:tcW w:w="1376" w:type="dxa"/>
            <w:tcBorders>
              <w:top w:val="nil"/>
              <w:left w:val="nil"/>
              <w:bottom w:val="nil"/>
              <w:right w:val="nil"/>
            </w:tcBorders>
          </w:tcPr>
          <w:p w14:paraId="177D524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0.95</w:t>
            </w:r>
          </w:p>
        </w:tc>
        <w:tc>
          <w:tcPr>
            <w:tcW w:w="1177" w:type="dxa"/>
            <w:tcBorders>
              <w:top w:val="nil"/>
              <w:left w:val="nil"/>
              <w:bottom w:val="nil"/>
              <w:right w:val="nil"/>
            </w:tcBorders>
          </w:tcPr>
          <w:p w14:paraId="3DCB5F4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0.96</w:t>
            </w:r>
          </w:p>
        </w:tc>
        <w:tc>
          <w:tcPr>
            <w:tcW w:w="1814" w:type="dxa"/>
            <w:tcBorders>
              <w:top w:val="nil"/>
              <w:left w:val="nil"/>
              <w:bottom w:val="nil"/>
              <w:right w:val="nil"/>
            </w:tcBorders>
          </w:tcPr>
          <w:p w14:paraId="3E1280E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0.96</w:t>
            </w:r>
          </w:p>
        </w:tc>
      </w:tr>
      <w:tr w:rsidR="00B44672" w:rsidRPr="006B5978" w14:paraId="14225D03" w14:textId="77777777" w:rsidTr="00F2339A">
        <w:trPr>
          <w:jc w:val="center"/>
        </w:trPr>
        <w:tc>
          <w:tcPr>
            <w:tcW w:w="2147" w:type="dxa"/>
            <w:tcBorders>
              <w:top w:val="nil"/>
              <w:left w:val="nil"/>
              <w:bottom w:val="single" w:sz="6" w:space="0" w:color="auto"/>
              <w:right w:val="nil"/>
            </w:tcBorders>
          </w:tcPr>
          <w:p w14:paraId="4A1E667D"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Max in Cor. Matrix</w:t>
            </w:r>
          </w:p>
        </w:tc>
        <w:tc>
          <w:tcPr>
            <w:tcW w:w="1256" w:type="dxa"/>
            <w:tcBorders>
              <w:top w:val="nil"/>
              <w:left w:val="nil"/>
              <w:bottom w:val="single" w:sz="6" w:space="0" w:color="auto"/>
              <w:right w:val="nil"/>
            </w:tcBorders>
          </w:tcPr>
          <w:p w14:paraId="0B4EA50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
        </w:tc>
        <w:tc>
          <w:tcPr>
            <w:tcW w:w="1256" w:type="dxa"/>
            <w:tcBorders>
              <w:top w:val="nil"/>
              <w:left w:val="nil"/>
              <w:bottom w:val="single" w:sz="6" w:space="0" w:color="auto"/>
              <w:right w:val="nil"/>
            </w:tcBorders>
          </w:tcPr>
          <w:p w14:paraId="631E9CD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0.52</w:t>
            </w:r>
          </w:p>
        </w:tc>
        <w:tc>
          <w:tcPr>
            <w:tcW w:w="1376" w:type="dxa"/>
            <w:tcBorders>
              <w:top w:val="nil"/>
              <w:left w:val="nil"/>
              <w:bottom w:val="single" w:sz="6" w:space="0" w:color="auto"/>
              <w:right w:val="nil"/>
            </w:tcBorders>
          </w:tcPr>
          <w:p w14:paraId="2872E78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0.23</w:t>
            </w:r>
          </w:p>
        </w:tc>
        <w:tc>
          <w:tcPr>
            <w:tcW w:w="1177" w:type="dxa"/>
            <w:tcBorders>
              <w:top w:val="nil"/>
              <w:left w:val="nil"/>
              <w:bottom w:val="single" w:sz="6" w:space="0" w:color="auto"/>
              <w:right w:val="nil"/>
            </w:tcBorders>
          </w:tcPr>
          <w:p w14:paraId="5B27F0B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0.45</w:t>
            </w:r>
          </w:p>
        </w:tc>
        <w:tc>
          <w:tcPr>
            <w:tcW w:w="1814" w:type="dxa"/>
            <w:tcBorders>
              <w:top w:val="nil"/>
              <w:left w:val="nil"/>
              <w:bottom w:val="single" w:sz="6" w:space="0" w:color="auto"/>
              <w:right w:val="nil"/>
            </w:tcBorders>
          </w:tcPr>
          <w:p w14:paraId="264A86C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0.40</w:t>
            </w:r>
          </w:p>
        </w:tc>
      </w:tr>
    </w:tbl>
    <w:p w14:paraId="0556FD35" w14:textId="77777777" w:rsidR="00B44672" w:rsidRPr="006B5978" w:rsidRDefault="00B44672" w:rsidP="00F2339A">
      <w:pPr>
        <w:widowControl w:val="0"/>
        <w:autoSpaceDE w:val="0"/>
        <w:autoSpaceDN w:val="0"/>
        <w:adjustRightInd w:val="0"/>
        <w:spacing w:before="79" w:after="79"/>
        <w:jc w:val="center"/>
        <w:rPr>
          <w:rFonts w:cstheme="minorHAnsi"/>
          <w:sz w:val="22"/>
        </w:rPr>
      </w:pPr>
      <w:r w:rsidRPr="006B5978">
        <w:rPr>
          <w:rFonts w:cstheme="minorHAnsi"/>
          <w:sz w:val="22"/>
        </w:rPr>
        <w:t xml:space="preserve">* </w:t>
      </w:r>
      <w:r w:rsidRPr="006B5978">
        <w:rPr>
          <w:rFonts w:cstheme="minorHAnsi"/>
          <w:i/>
          <w:iCs/>
          <w:sz w:val="22"/>
        </w:rPr>
        <w:t>p</w:t>
      </w:r>
      <w:r w:rsidRPr="006B5978">
        <w:rPr>
          <w:rFonts w:cstheme="minorHAnsi"/>
          <w:sz w:val="22"/>
        </w:rPr>
        <w:t xml:space="preserve">&lt;0.05; ** </w:t>
      </w:r>
      <w:r w:rsidRPr="006B5978">
        <w:rPr>
          <w:rFonts w:cstheme="minorHAnsi"/>
          <w:i/>
          <w:iCs/>
          <w:sz w:val="22"/>
        </w:rPr>
        <w:t>p</w:t>
      </w:r>
      <w:r w:rsidRPr="006B5978">
        <w:rPr>
          <w:rFonts w:cstheme="minorHAnsi"/>
          <w:sz w:val="22"/>
        </w:rPr>
        <w:t>&lt;0.01</w:t>
      </w:r>
    </w:p>
    <w:p w14:paraId="753C87CF" w14:textId="77777777" w:rsidR="00B44672" w:rsidRPr="006B5978" w:rsidRDefault="00B44672" w:rsidP="0029189E">
      <w:pPr>
        <w:rPr>
          <w:rFonts w:cstheme="minorHAnsi"/>
          <w:sz w:val="22"/>
        </w:rPr>
      </w:pPr>
    </w:p>
    <w:p w14:paraId="2E32FAD3" w14:textId="3186BF66" w:rsidR="00B44672" w:rsidRPr="00E20E98" w:rsidRDefault="00B44672" w:rsidP="00E20E98">
      <w:pPr>
        <w:pStyle w:val="Caption"/>
        <w:rPr>
          <w:rFonts w:cstheme="minorHAnsi"/>
          <w:b/>
          <w:bCs/>
          <w:i w:val="0"/>
          <w:iCs/>
          <w:color w:val="365F91" w:themeColor="accent1" w:themeShade="BF"/>
        </w:rPr>
      </w:pPr>
      <w:r w:rsidRPr="00E20E98">
        <w:rPr>
          <w:b/>
          <w:bCs/>
          <w:color w:val="365F91" w:themeColor="accent1" w:themeShade="BF"/>
        </w:rPr>
        <w:t xml:space="preserve">Table </w:t>
      </w:r>
      <w:r w:rsidRPr="00E20E98">
        <w:rPr>
          <w:b/>
          <w:bCs/>
          <w:i w:val="0"/>
          <w:iCs/>
          <w:color w:val="365F91" w:themeColor="accent1" w:themeShade="BF"/>
        </w:rPr>
        <w:fldChar w:fldCharType="begin"/>
      </w:r>
      <w:r w:rsidRPr="00E20E98">
        <w:rPr>
          <w:b/>
          <w:bCs/>
          <w:color w:val="365F91" w:themeColor="accent1" w:themeShade="BF"/>
        </w:rPr>
        <w:instrText xml:space="preserve"> SEQ Table \* ARABIC </w:instrText>
      </w:r>
      <w:r w:rsidRPr="00E20E98">
        <w:rPr>
          <w:b/>
          <w:bCs/>
          <w:i w:val="0"/>
          <w:iCs/>
          <w:color w:val="365F91" w:themeColor="accent1" w:themeShade="BF"/>
        </w:rPr>
        <w:fldChar w:fldCharType="separate"/>
      </w:r>
      <w:r w:rsidR="00A763B6">
        <w:rPr>
          <w:b/>
          <w:bCs/>
          <w:noProof/>
          <w:color w:val="365F91" w:themeColor="accent1" w:themeShade="BF"/>
        </w:rPr>
        <w:t>33</w:t>
      </w:r>
      <w:r w:rsidRPr="00E20E98">
        <w:rPr>
          <w:b/>
          <w:bCs/>
          <w:i w:val="0"/>
          <w:iCs/>
          <w:color w:val="365F91" w:themeColor="accent1" w:themeShade="BF"/>
        </w:rPr>
        <w:fldChar w:fldCharType="end"/>
      </w:r>
      <w:r>
        <w:rPr>
          <w:b/>
          <w:bCs/>
          <w:color w:val="365F91" w:themeColor="accent1" w:themeShade="BF"/>
        </w:rPr>
        <w:t>b</w:t>
      </w:r>
      <w:r w:rsidRPr="00E20E98">
        <w:rPr>
          <w:b/>
          <w:bCs/>
          <w:color w:val="365F91" w:themeColor="accent1" w:themeShade="BF"/>
        </w:rPr>
        <w:t xml:space="preserve"> </w:t>
      </w:r>
      <w:r>
        <w:rPr>
          <w:b/>
          <w:bCs/>
          <w:color w:val="365F91" w:themeColor="accent1" w:themeShade="BF"/>
        </w:rPr>
        <w:t xml:space="preserve">(not in main report) </w:t>
      </w:r>
      <w:r w:rsidRPr="00E20E98">
        <w:rPr>
          <w:b/>
          <w:bCs/>
          <w:color w:val="365F91" w:themeColor="accent1" w:themeShade="BF"/>
        </w:rPr>
        <w:t>- Tax reform effect on unit rental prices - estimations in logs</w:t>
      </w:r>
    </w:p>
    <w:tbl>
      <w:tblPr>
        <w:tblW w:w="0" w:type="auto"/>
        <w:jc w:val="center"/>
        <w:tblCellMar>
          <w:left w:w="144" w:type="dxa"/>
          <w:right w:w="144" w:type="dxa"/>
        </w:tblCellMar>
        <w:tblLook w:val="0000" w:firstRow="0" w:lastRow="0" w:firstColumn="0" w:lastColumn="0" w:noHBand="0" w:noVBand="0"/>
      </w:tblPr>
      <w:tblGrid>
        <w:gridCol w:w="2091"/>
        <w:gridCol w:w="1271"/>
        <w:gridCol w:w="1271"/>
        <w:gridCol w:w="1387"/>
        <w:gridCol w:w="1194"/>
        <w:gridCol w:w="1812"/>
      </w:tblGrid>
      <w:tr w:rsidR="00B44672" w:rsidRPr="006B5978" w14:paraId="32B08419" w14:textId="77777777" w:rsidTr="004D2B7C">
        <w:trPr>
          <w:jc w:val="center"/>
        </w:trPr>
        <w:tc>
          <w:tcPr>
            <w:tcW w:w="2242" w:type="dxa"/>
            <w:tcBorders>
              <w:top w:val="single" w:sz="6" w:space="0" w:color="auto"/>
              <w:left w:val="nil"/>
              <w:bottom w:val="nil"/>
              <w:right w:val="nil"/>
            </w:tcBorders>
          </w:tcPr>
          <w:p w14:paraId="74CD3668" w14:textId="77777777" w:rsidR="00B44672" w:rsidRPr="006B5978" w:rsidRDefault="00B44672" w:rsidP="004D2B7C">
            <w:pPr>
              <w:widowControl w:val="0"/>
              <w:autoSpaceDE w:val="0"/>
              <w:autoSpaceDN w:val="0"/>
              <w:adjustRightInd w:val="0"/>
              <w:spacing w:before="79" w:after="0"/>
              <w:rPr>
                <w:rFonts w:cstheme="minorHAnsi"/>
                <w:sz w:val="22"/>
              </w:rPr>
            </w:pPr>
            <w:proofErr w:type="gramStart"/>
            <w:r w:rsidRPr="006B5978">
              <w:rPr>
                <w:rFonts w:cstheme="minorHAnsi"/>
                <w:sz w:val="22"/>
              </w:rPr>
              <w:t>Log(</w:t>
            </w:r>
            <w:proofErr w:type="gramEnd"/>
            <w:r w:rsidRPr="006B5978">
              <w:rPr>
                <w:rFonts w:cstheme="minorHAnsi"/>
                <w:sz w:val="22"/>
              </w:rPr>
              <w:t>Median Rent)</w:t>
            </w:r>
          </w:p>
        </w:tc>
        <w:tc>
          <w:tcPr>
            <w:tcW w:w="1320" w:type="dxa"/>
            <w:tcBorders>
              <w:top w:val="single" w:sz="6" w:space="0" w:color="auto"/>
              <w:left w:val="nil"/>
              <w:bottom w:val="nil"/>
              <w:right w:val="nil"/>
            </w:tcBorders>
          </w:tcPr>
          <w:p w14:paraId="7FAD381A"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(1)</w:t>
            </w:r>
          </w:p>
        </w:tc>
        <w:tc>
          <w:tcPr>
            <w:tcW w:w="1320" w:type="dxa"/>
            <w:tcBorders>
              <w:top w:val="single" w:sz="6" w:space="0" w:color="auto"/>
              <w:left w:val="nil"/>
              <w:bottom w:val="nil"/>
              <w:right w:val="nil"/>
            </w:tcBorders>
          </w:tcPr>
          <w:p w14:paraId="334E3542"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(2)</w:t>
            </w:r>
          </w:p>
        </w:tc>
        <w:tc>
          <w:tcPr>
            <w:tcW w:w="1481" w:type="dxa"/>
            <w:tcBorders>
              <w:top w:val="single" w:sz="6" w:space="0" w:color="auto"/>
              <w:left w:val="nil"/>
              <w:bottom w:val="nil"/>
              <w:right w:val="nil"/>
            </w:tcBorders>
          </w:tcPr>
          <w:p w14:paraId="5A5DE989"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(3)</w:t>
            </w:r>
          </w:p>
        </w:tc>
        <w:tc>
          <w:tcPr>
            <w:tcW w:w="1213" w:type="dxa"/>
            <w:tcBorders>
              <w:top w:val="single" w:sz="6" w:space="0" w:color="auto"/>
              <w:left w:val="nil"/>
              <w:bottom w:val="nil"/>
              <w:right w:val="nil"/>
            </w:tcBorders>
          </w:tcPr>
          <w:p w14:paraId="5FD50E53"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(4)</w:t>
            </w:r>
          </w:p>
        </w:tc>
        <w:tc>
          <w:tcPr>
            <w:tcW w:w="2072" w:type="dxa"/>
            <w:tcBorders>
              <w:top w:val="single" w:sz="6" w:space="0" w:color="auto"/>
              <w:left w:val="nil"/>
              <w:bottom w:val="nil"/>
              <w:right w:val="nil"/>
            </w:tcBorders>
          </w:tcPr>
          <w:p w14:paraId="0B937307"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(5)</w:t>
            </w:r>
          </w:p>
        </w:tc>
      </w:tr>
      <w:tr w:rsidR="00B44672" w:rsidRPr="006B5978" w14:paraId="5F7EC417" w14:textId="77777777" w:rsidTr="004D2B7C">
        <w:trPr>
          <w:jc w:val="center"/>
        </w:trPr>
        <w:tc>
          <w:tcPr>
            <w:tcW w:w="2242" w:type="dxa"/>
            <w:tcBorders>
              <w:top w:val="nil"/>
              <w:left w:val="nil"/>
              <w:bottom w:val="nil"/>
              <w:right w:val="nil"/>
            </w:tcBorders>
          </w:tcPr>
          <w:p w14:paraId="38C88188" w14:textId="77777777" w:rsidR="00B44672" w:rsidRPr="006B5978" w:rsidRDefault="00B44672" w:rsidP="004D2B7C">
            <w:pPr>
              <w:widowControl w:val="0"/>
              <w:autoSpaceDE w:val="0"/>
              <w:autoSpaceDN w:val="0"/>
              <w:adjustRightInd w:val="0"/>
              <w:spacing w:after="79"/>
              <w:rPr>
                <w:rFonts w:cstheme="minorHAnsi"/>
                <w:sz w:val="22"/>
              </w:rPr>
            </w:pPr>
          </w:p>
        </w:tc>
        <w:tc>
          <w:tcPr>
            <w:tcW w:w="1320" w:type="dxa"/>
            <w:tcBorders>
              <w:top w:val="nil"/>
              <w:left w:val="nil"/>
              <w:bottom w:val="nil"/>
              <w:right w:val="nil"/>
            </w:tcBorders>
          </w:tcPr>
          <w:p w14:paraId="7F1E1F0F"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320" w:type="dxa"/>
            <w:tcBorders>
              <w:top w:val="nil"/>
              <w:left w:val="nil"/>
              <w:bottom w:val="nil"/>
              <w:right w:val="nil"/>
            </w:tcBorders>
          </w:tcPr>
          <w:p w14:paraId="419A8ECA"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Full Sample</w:t>
            </w:r>
          </w:p>
        </w:tc>
        <w:tc>
          <w:tcPr>
            <w:tcW w:w="1481" w:type="dxa"/>
            <w:tcBorders>
              <w:top w:val="nil"/>
              <w:left w:val="nil"/>
              <w:bottom w:val="nil"/>
              <w:right w:val="nil"/>
            </w:tcBorders>
          </w:tcPr>
          <w:p w14:paraId="6164BD76"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w:t>
            </w:r>
          </w:p>
        </w:tc>
        <w:tc>
          <w:tcPr>
            <w:tcW w:w="1213" w:type="dxa"/>
            <w:tcBorders>
              <w:top w:val="nil"/>
              <w:left w:val="nil"/>
              <w:bottom w:val="nil"/>
              <w:right w:val="nil"/>
            </w:tcBorders>
          </w:tcPr>
          <w:p w14:paraId="70C54F26"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NSW &amp; VIC</w:t>
            </w:r>
          </w:p>
        </w:tc>
        <w:tc>
          <w:tcPr>
            <w:tcW w:w="2072" w:type="dxa"/>
            <w:tcBorders>
              <w:top w:val="nil"/>
              <w:left w:val="nil"/>
              <w:bottom w:val="nil"/>
              <w:right w:val="nil"/>
            </w:tcBorders>
          </w:tcPr>
          <w:p w14:paraId="5C7A6B99"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Capital Cities, NSW &amp; VIC</w:t>
            </w:r>
          </w:p>
        </w:tc>
      </w:tr>
      <w:tr w:rsidR="00B44672" w:rsidRPr="006B5978" w14:paraId="5137EF93" w14:textId="77777777" w:rsidTr="004D2B7C">
        <w:trPr>
          <w:jc w:val="center"/>
        </w:trPr>
        <w:tc>
          <w:tcPr>
            <w:tcW w:w="2242" w:type="dxa"/>
            <w:tcBorders>
              <w:top w:val="single" w:sz="6" w:space="0" w:color="auto"/>
              <w:left w:val="nil"/>
              <w:bottom w:val="nil"/>
              <w:right w:val="nil"/>
            </w:tcBorders>
          </w:tcPr>
          <w:p w14:paraId="1D359BB2"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Reform Dummy</w:t>
            </w:r>
          </w:p>
        </w:tc>
        <w:tc>
          <w:tcPr>
            <w:tcW w:w="1320" w:type="dxa"/>
            <w:tcBorders>
              <w:top w:val="single" w:sz="6" w:space="0" w:color="auto"/>
              <w:left w:val="nil"/>
              <w:bottom w:val="nil"/>
              <w:right w:val="nil"/>
            </w:tcBorders>
          </w:tcPr>
          <w:p w14:paraId="2CA2C06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-0.166</w:t>
            </w:r>
          </w:p>
        </w:tc>
        <w:tc>
          <w:tcPr>
            <w:tcW w:w="1320" w:type="dxa"/>
            <w:tcBorders>
              <w:top w:val="single" w:sz="6" w:space="0" w:color="auto"/>
              <w:left w:val="nil"/>
              <w:bottom w:val="nil"/>
              <w:right w:val="nil"/>
            </w:tcBorders>
          </w:tcPr>
          <w:p w14:paraId="7ABAEC0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-0.082</w:t>
            </w:r>
          </w:p>
        </w:tc>
        <w:tc>
          <w:tcPr>
            <w:tcW w:w="1481" w:type="dxa"/>
            <w:tcBorders>
              <w:top w:val="single" w:sz="6" w:space="0" w:color="auto"/>
              <w:left w:val="nil"/>
              <w:bottom w:val="nil"/>
              <w:right w:val="nil"/>
            </w:tcBorders>
          </w:tcPr>
          <w:p w14:paraId="6FFCC6F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-0.084</w:t>
            </w:r>
          </w:p>
        </w:tc>
        <w:tc>
          <w:tcPr>
            <w:tcW w:w="1213" w:type="dxa"/>
            <w:tcBorders>
              <w:top w:val="single" w:sz="6" w:space="0" w:color="auto"/>
              <w:left w:val="nil"/>
              <w:bottom w:val="nil"/>
              <w:right w:val="nil"/>
            </w:tcBorders>
          </w:tcPr>
          <w:p w14:paraId="4F6AD60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-0.069</w:t>
            </w:r>
          </w:p>
        </w:tc>
        <w:tc>
          <w:tcPr>
            <w:tcW w:w="2072" w:type="dxa"/>
            <w:tcBorders>
              <w:top w:val="single" w:sz="6" w:space="0" w:color="auto"/>
              <w:left w:val="nil"/>
              <w:bottom w:val="nil"/>
              <w:right w:val="nil"/>
            </w:tcBorders>
          </w:tcPr>
          <w:p w14:paraId="50A125E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-0.054</w:t>
            </w:r>
          </w:p>
        </w:tc>
      </w:tr>
      <w:tr w:rsidR="00B44672" w:rsidRPr="006B5978" w14:paraId="65EF7B31" w14:textId="77777777" w:rsidTr="004D2B7C">
        <w:trPr>
          <w:jc w:val="center"/>
        </w:trPr>
        <w:tc>
          <w:tcPr>
            <w:tcW w:w="2242" w:type="dxa"/>
            <w:tcBorders>
              <w:top w:val="nil"/>
              <w:left w:val="nil"/>
              <w:bottom w:val="nil"/>
              <w:right w:val="nil"/>
            </w:tcBorders>
          </w:tcPr>
          <w:p w14:paraId="69EEC061"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20" w:type="dxa"/>
            <w:tcBorders>
              <w:top w:val="nil"/>
              <w:left w:val="nil"/>
              <w:bottom w:val="nil"/>
              <w:right w:val="nil"/>
            </w:tcBorders>
          </w:tcPr>
          <w:p w14:paraId="07572B4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0.011]*</w:t>
            </w:r>
            <w:proofErr w:type="gramEnd"/>
            <w:r w:rsidRPr="006B5978">
              <w:rPr>
                <w:rFonts w:cstheme="minorHAnsi"/>
                <w:sz w:val="22"/>
              </w:rPr>
              <w:t>*</w:t>
            </w:r>
          </w:p>
        </w:tc>
        <w:tc>
          <w:tcPr>
            <w:tcW w:w="1320" w:type="dxa"/>
            <w:tcBorders>
              <w:top w:val="nil"/>
              <w:left w:val="nil"/>
              <w:bottom w:val="nil"/>
              <w:right w:val="nil"/>
            </w:tcBorders>
          </w:tcPr>
          <w:p w14:paraId="3622D9D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0.013]*</w:t>
            </w:r>
            <w:proofErr w:type="gramEnd"/>
            <w:r w:rsidRPr="006B5978">
              <w:rPr>
                <w:rFonts w:cstheme="minorHAnsi"/>
                <w:sz w:val="22"/>
              </w:rPr>
              <w:t>*</w:t>
            </w:r>
          </w:p>
        </w:tc>
        <w:tc>
          <w:tcPr>
            <w:tcW w:w="1481" w:type="dxa"/>
            <w:tcBorders>
              <w:top w:val="nil"/>
              <w:left w:val="nil"/>
              <w:bottom w:val="nil"/>
              <w:right w:val="nil"/>
            </w:tcBorders>
          </w:tcPr>
          <w:p w14:paraId="720BF1A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0.012]*</w:t>
            </w:r>
            <w:proofErr w:type="gramEnd"/>
            <w:r w:rsidRPr="006B5978">
              <w:rPr>
                <w:rFonts w:cstheme="minorHAnsi"/>
                <w:sz w:val="22"/>
              </w:rPr>
              <w:t>*</w:t>
            </w:r>
          </w:p>
        </w:tc>
        <w:tc>
          <w:tcPr>
            <w:tcW w:w="1213" w:type="dxa"/>
            <w:tcBorders>
              <w:top w:val="nil"/>
              <w:left w:val="nil"/>
              <w:bottom w:val="nil"/>
              <w:right w:val="nil"/>
            </w:tcBorders>
          </w:tcPr>
          <w:p w14:paraId="4F42B11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0.011]*</w:t>
            </w:r>
            <w:proofErr w:type="gramEnd"/>
            <w:r w:rsidRPr="006B5978">
              <w:rPr>
                <w:rFonts w:cstheme="minorHAnsi"/>
                <w:sz w:val="22"/>
              </w:rPr>
              <w:t>*</w:t>
            </w:r>
          </w:p>
        </w:tc>
        <w:tc>
          <w:tcPr>
            <w:tcW w:w="2072" w:type="dxa"/>
            <w:tcBorders>
              <w:top w:val="nil"/>
              <w:left w:val="nil"/>
              <w:bottom w:val="nil"/>
              <w:right w:val="nil"/>
            </w:tcBorders>
          </w:tcPr>
          <w:p w14:paraId="4C90B15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0.011]*</w:t>
            </w:r>
            <w:proofErr w:type="gramEnd"/>
            <w:r w:rsidRPr="006B5978">
              <w:rPr>
                <w:rFonts w:cstheme="minorHAnsi"/>
                <w:sz w:val="22"/>
              </w:rPr>
              <w:t>*</w:t>
            </w:r>
          </w:p>
        </w:tc>
      </w:tr>
      <w:tr w:rsidR="00B44672" w:rsidRPr="006B5978" w14:paraId="0B7857C6" w14:textId="77777777" w:rsidTr="004D2B7C">
        <w:trPr>
          <w:jc w:val="center"/>
        </w:trPr>
        <w:tc>
          <w:tcPr>
            <w:tcW w:w="2242" w:type="dxa"/>
            <w:tcBorders>
              <w:top w:val="nil"/>
              <w:left w:val="nil"/>
              <w:bottom w:val="nil"/>
              <w:right w:val="nil"/>
            </w:tcBorders>
          </w:tcPr>
          <w:p w14:paraId="2F55EFED"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Income)</w:t>
            </w:r>
          </w:p>
        </w:tc>
        <w:tc>
          <w:tcPr>
            <w:tcW w:w="1320" w:type="dxa"/>
            <w:tcBorders>
              <w:top w:val="nil"/>
              <w:left w:val="nil"/>
              <w:bottom w:val="nil"/>
              <w:right w:val="nil"/>
            </w:tcBorders>
          </w:tcPr>
          <w:p w14:paraId="0EE22ADF"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1593635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1.516</w:t>
            </w:r>
          </w:p>
        </w:tc>
        <w:tc>
          <w:tcPr>
            <w:tcW w:w="1481" w:type="dxa"/>
            <w:tcBorders>
              <w:top w:val="nil"/>
              <w:left w:val="nil"/>
              <w:bottom w:val="nil"/>
              <w:right w:val="nil"/>
            </w:tcBorders>
          </w:tcPr>
          <w:p w14:paraId="5256A82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1.464</w:t>
            </w:r>
          </w:p>
        </w:tc>
        <w:tc>
          <w:tcPr>
            <w:tcW w:w="1213" w:type="dxa"/>
            <w:tcBorders>
              <w:top w:val="nil"/>
              <w:left w:val="nil"/>
              <w:bottom w:val="nil"/>
              <w:right w:val="nil"/>
            </w:tcBorders>
          </w:tcPr>
          <w:p w14:paraId="617E4FD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1.499</w:t>
            </w:r>
          </w:p>
        </w:tc>
        <w:tc>
          <w:tcPr>
            <w:tcW w:w="2072" w:type="dxa"/>
            <w:tcBorders>
              <w:top w:val="nil"/>
              <w:left w:val="nil"/>
              <w:bottom w:val="nil"/>
              <w:right w:val="nil"/>
            </w:tcBorders>
          </w:tcPr>
          <w:p w14:paraId="45CAADB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1.655</w:t>
            </w:r>
          </w:p>
        </w:tc>
      </w:tr>
      <w:tr w:rsidR="00B44672" w:rsidRPr="006B5978" w14:paraId="07700AAA" w14:textId="77777777" w:rsidTr="004D2B7C">
        <w:trPr>
          <w:jc w:val="center"/>
        </w:trPr>
        <w:tc>
          <w:tcPr>
            <w:tcW w:w="2242" w:type="dxa"/>
            <w:tcBorders>
              <w:top w:val="nil"/>
              <w:left w:val="nil"/>
              <w:bottom w:val="nil"/>
              <w:right w:val="nil"/>
            </w:tcBorders>
          </w:tcPr>
          <w:p w14:paraId="22CC032D"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20" w:type="dxa"/>
            <w:tcBorders>
              <w:top w:val="nil"/>
              <w:left w:val="nil"/>
              <w:bottom w:val="nil"/>
              <w:right w:val="nil"/>
            </w:tcBorders>
          </w:tcPr>
          <w:p w14:paraId="07A28A53"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01A155B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0.074]*</w:t>
            </w:r>
            <w:proofErr w:type="gramEnd"/>
            <w:r w:rsidRPr="006B5978">
              <w:rPr>
                <w:rFonts w:cstheme="minorHAnsi"/>
                <w:sz w:val="22"/>
              </w:rPr>
              <w:t>*</w:t>
            </w:r>
          </w:p>
        </w:tc>
        <w:tc>
          <w:tcPr>
            <w:tcW w:w="1481" w:type="dxa"/>
            <w:tcBorders>
              <w:top w:val="nil"/>
              <w:left w:val="nil"/>
              <w:bottom w:val="nil"/>
              <w:right w:val="nil"/>
            </w:tcBorders>
          </w:tcPr>
          <w:p w14:paraId="2563075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0.048]*</w:t>
            </w:r>
            <w:proofErr w:type="gramEnd"/>
            <w:r w:rsidRPr="006B5978">
              <w:rPr>
                <w:rFonts w:cstheme="minorHAnsi"/>
                <w:sz w:val="22"/>
              </w:rPr>
              <w:t>*</w:t>
            </w:r>
          </w:p>
        </w:tc>
        <w:tc>
          <w:tcPr>
            <w:tcW w:w="1213" w:type="dxa"/>
            <w:tcBorders>
              <w:top w:val="nil"/>
              <w:left w:val="nil"/>
              <w:bottom w:val="nil"/>
              <w:right w:val="nil"/>
            </w:tcBorders>
          </w:tcPr>
          <w:p w14:paraId="631E03C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0.077]*</w:t>
            </w:r>
            <w:proofErr w:type="gramEnd"/>
            <w:r w:rsidRPr="006B5978">
              <w:rPr>
                <w:rFonts w:cstheme="minorHAnsi"/>
                <w:sz w:val="22"/>
              </w:rPr>
              <w:t>*</w:t>
            </w:r>
          </w:p>
        </w:tc>
        <w:tc>
          <w:tcPr>
            <w:tcW w:w="2072" w:type="dxa"/>
            <w:tcBorders>
              <w:top w:val="nil"/>
              <w:left w:val="nil"/>
              <w:bottom w:val="nil"/>
              <w:right w:val="nil"/>
            </w:tcBorders>
          </w:tcPr>
          <w:p w14:paraId="1183C6D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0.074]*</w:t>
            </w:r>
            <w:proofErr w:type="gramEnd"/>
            <w:r w:rsidRPr="006B5978">
              <w:rPr>
                <w:rFonts w:cstheme="minorHAnsi"/>
                <w:sz w:val="22"/>
              </w:rPr>
              <w:t>*</w:t>
            </w:r>
          </w:p>
        </w:tc>
      </w:tr>
      <w:tr w:rsidR="00B44672" w:rsidRPr="006B5978" w14:paraId="2EDD7243" w14:textId="77777777" w:rsidTr="004D2B7C">
        <w:trPr>
          <w:jc w:val="center"/>
        </w:trPr>
        <w:tc>
          <w:tcPr>
            <w:tcW w:w="2242" w:type="dxa"/>
            <w:tcBorders>
              <w:top w:val="nil"/>
              <w:left w:val="nil"/>
              <w:bottom w:val="nil"/>
              <w:right w:val="nil"/>
            </w:tcBorders>
          </w:tcPr>
          <w:p w14:paraId="7055C617"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Population)</w:t>
            </w:r>
          </w:p>
        </w:tc>
        <w:tc>
          <w:tcPr>
            <w:tcW w:w="1320" w:type="dxa"/>
            <w:tcBorders>
              <w:top w:val="nil"/>
              <w:left w:val="nil"/>
              <w:bottom w:val="nil"/>
              <w:right w:val="nil"/>
            </w:tcBorders>
          </w:tcPr>
          <w:p w14:paraId="259D5240"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1F69185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1.231</w:t>
            </w:r>
          </w:p>
        </w:tc>
        <w:tc>
          <w:tcPr>
            <w:tcW w:w="1481" w:type="dxa"/>
            <w:tcBorders>
              <w:top w:val="nil"/>
              <w:left w:val="nil"/>
              <w:bottom w:val="nil"/>
              <w:right w:val="nil"/>
            </w:tcBorders>
          </w:tcPr>
          <w:p w14:paraId="1DD6EF0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1.227</w:t>
            </w:r>
          </w:p>
        </w:tc>
        <w:tc>
          <w:tcPr>
            <w:tcW w:w="1213" w:type="dxa"/>
            <w:tcBorders>
              <w:top w:val="nil"/>
              <w:left w:val="nil"/>
              <w:bottom w:val="nil"/>
              <w:right w:val="nil"/>
            </w:tcBorders>
          </w:tcPr>
          <w:p w14:paraId="599CFFA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-0.187</w:t>
            </w:r>
          </w:p>
        </w:tc>
        <w:tc>
          <w:tcPr>
            <w:tcW w:w="2072" w:type="dxa"/>
            <w:tcBorders>
              <w:top w:val="nil"/>
              <w:left w:val="nil"/>
              <w:bottom w:val="nil"/>
              <w:right w:val="nil"/>
            </w:tcBorders>
          </w:tcPr>
          <w:p w14:paraId="7708FCF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-0.230</w:t>
            </w:r>
          </w:p>
        </w:tc>
      </w:tr>
      <w:tr w:rsidR="00B44672" w:rsidRPr="006B5978" w14:paraId="6C918F09" w14:textId="77777777" w:rsidTr="004D2B7C">
        <w:trPr>
          <w:jc w:val="center"/>
        </w:trPr>
        <w:tc>
          <w:tcPr>
            <w:tcW w:w="2242" w:type="dxa"/>
            <w:tcBorders>
              <w:top w:val="nil"/>
              <w:left w:val="nil"/>
              <w:bottom w:val="nil"/>
              <w:right w:val="nil"/>
            </w:tcBorders>
          </w:tcPr>
          <w:p w14:paraId="007548CA"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320" w:type="dxa"/>
            <w:tcBorders>
              <w:top w:val="nil"/>
              <w:left w:val="nil"/>
              <w:bottom w:val="nil"/>
              <w:right w:val="nil"/>
            </w:tcBorders>
          </w:tcPr>
          <w:p w14:paraId="2E7615B2" w14:textId="77777777" w:rsidR="00B44672" w:rsidRPr="006B5978" w:rsidRDefault="00B44672" w:rsidP="004D2B7C">
            <w:pPr>
              <w:widowControl w:val="0"/>
              <w:autoSpaceDE w:val="0"/>
              <w:autoSpaceDN w:val="0"/>
              <w:adjustRightInd w:val="0"/>
              <w:spacing w:after="0"/>
              <w:jc w:val="center"/>
              <w:rPr>
                <w:rFonts w:cstheme="minorHAnsi"/>
                <w:sz w:val="22"/>
              </w:rPr>
            </w:pPr>
          </w:p>
        </w:tc>
        <w:tc>
          <w:tcPr>
            <w:tcW w:w="1320" w:type="dxa"/>
            <w:tcBorders>
              <w:top w:val="nil"/>
              <w:left w:val="nil"/>
              <w:bottom w:val="nil"/>
              <w:right w:val="nil"/>
            </w:tcBorders>
          </w:tcPr>
          <w:p w14:paraId="032B1CD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0.099]*</w:t>
            </w:r>
            <w:proofErr w:type="gramEnd"/>
            <w:r w:rsidRPr="006B5978">
              <w:rPr>
                <w:rFonts w:cstheme="minorHAnsi"/>
                <w:sz w:val="22"/>
              </w:rPr>
              <w:t>*</w:t>
            </w:r>
          </w:p>
        </w:tc>
        <w:tc>
          <w:tcPr>
            <w:tcW w:w="1481" w:type="dxa"/>
            <w:tcBorders>
              <w:top w:val="nil"/>
              <w:left w:val="nil"/>
              <w:bottom w:val="nil"/>
              <w:right w:val="nil"/>
            </w:tcBorders>
          </w:tcPr>
          <w:p w14:paraId="27FF2F6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0.110]*</w:t>
            </w:r>
            <w:proofErr w:type="gramEnd"/>
            <w:r w:rsidRPr="006B5978">
              <w:rPr>
                <w:rFonts w:cstheme="minorHAnsi"/>
                <w:sz w:val="22"/>
              </w:rPr>
              <w:t>*</w:t>
            </w:r>
          </w:p>
        </w:tc>
        <w:tc>
          <w:tcPr>
            <w:tcW w:w="1213" w:type="dxa"/>
            <w:tcBorders>
              <w:top w:val="nil"/>
              <w:left w:val="nil"/>
              <w:bottom w:val="nil"/>
              <w:right w:val="nil"/>
            </w:tcBorders>
          </w:tcPr>
          <w:p w14:paraId="03CA4DD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[0.105]</w:t>
            </w:r>
          </w:p>
        </w:tc>
        <w:tc>
          <w:tcPr>
            <w:tcW w:w="2072" w:type="dxa"/>
            <w:tcBorders>
              <w:top w:val="nil"/>
              <w:left w:val="nil"/>
              <w:bottom w:val="nil"/>
              <w:right w:val="nil"/>
            </w:tcBorders>
          </w:tcPr>
          <w:p w14:paraId="0318E18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0.112]*</w:t>
            </w:r>
            <w:proofErr w:type="gramEnd"/>
          </w:p>
        </w:tc>
      </w:tr>
      <w:tr w:rsidR="00B44672" w:rsidRPr="006B5978" w14:paraId="6EC6AB16" w14:textId="77777777" w:rsidTr="004D2B7C">
        <w:trPr>
          <w:jc w:val="center"/>
        </w:trPr>
        <w:tc>
          <w:tcPr>
            <w:tcW w:w="2242" w:type="dxa"/>
            <w:tcBorders>
              <w:top w:val="nil"/>
              <w:left w:val="nil"/>
              <w:bottom w:val="nil"/>
              <w:right w:val="nil"/>
            </w:tcBorders>
          </w:tcPr>
          <w:p w14:paraId="2729464B"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Time &amp; Suburb FE</w:t>
            </w:r>
          </w:p>
        </w:tc>
        <w:tc>
          <w:tcPr>
            <w:tcW w:w="1320" w:type="dxa"/>
            <w:tcBorders>
              <w:top w:val="nil"/>
              <w:left w:val="nil"/>
              <w:bottom w:val="nil"/>
              <w:right w:val="nil"/>
            </w:tcBorders>
          </w:tcPr>
          <w:p w14:paraId="757A815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320" w:type="dxa"/>
            <w:tcBorders>
              <w:top w:val="nil"/>
              <w:left w:val="nil"/>
              <w:bottom w:val="nil"/>
              <w:right w:val="nil"/>
            </w:tcBorders>
          </w:tcPr>
          <w:p w14:paraId="77C0B52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81" w:type="dxa"/>
            <w:tcBorders>
              <w:top w:val="nil"/>
              <w:left w:val="nil"/>
              <w:bottom w:val="nil"/>
              <w:right w:val="nil"/>
            </w:tcBorders>
          </w:tcPr>
          <w:p w14:paraId="36F19A9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213" w:type="dxa"/>
            <w:tcBorders>
              <w:top w:val="nil"/>
              <w:left w:val="nil"/>
              <w:bottom w:val="nil"/>
              <w:right w:val="nil"/>
            </w:tcBorders>
          </w:tcPr>
          <w:p w14:paraId="6DC55AF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2072" w:type="dxa"/>
            <w:tcBorders>
              <w:top w:val="nil"/>
              <w:left w:val="nil"/>
              <w:bottom w:val="nil"/>
              <w:right w:val="nil"/>
            </w:tcBorders>
          </w:tcPr>
          <w:p w14:paraId="473F9F1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r>
      <w:tr w:rsidR="00B44672" w:rsidRPr="006B5978" w14:paraId="4FF2EF0E" w14:textId="77777777" w:rsidTr="004D2B7C">
        <w:trPr>
          <w:jc w:val="center"/>
        </w:trPr>
        <w:tc>
          <w:tcPr>
            <w:tcW w:w="2242" w:type="dxa"/>
            <w:tcBorders>
              <w:top w:val="nil"/>
              <w:left w:val="nil"/>
              <w:bottom w:val="nil"/>
              <w:right w:val="nil"/>
            </w:tcBorders>
          </w:tcPr>
          <w:p w14:paraId="569E6F9D"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Observations</w:t>
            </w:r>
          </w:p>
        </w:tc>
        <w:tc>
          <w:tcPr>
            <w:tcW w:w="1320" w:type="dxa"/>
            <w:tcBorders>
              <w:top w:val="nil"/>
              <w:left w:val="nil"/>
              <w:bottom w:val="nil"/>
              <w:right w:val="nil"/>
            </w:tcBorders>
          </w:tcPr>
          <w:p w14:paraId="172CC75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134,234</w:t>
            </w:r>
          </w:p>
        </w:tc>
        <w:tc>
          <w:tcPr>
            <w:tcW w:w="1320" w:type="dxa"/>
            <w:tcBorders>
              <w:top w:val="nil"/>
              <w:left w:val="nil"/>
              <w:bottom w:val="nil"/>
              <w:right w:val="nil"/>
            </w:tcBorders>
          </w:tcPr>
          <w:p w14:paraId="2BE8C86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126,901</w:t>
            </w:r>
          </w:p>
        </w:tc>
        <w:tc>
          <w:tcPr>
            <w:tcW w:w="1481" w:type="dxa"/>
            <w:tcBorders>
              <w:top w:val="nil"/>
              <w:left w:val="nil"/>
              <w:bottom w:val="nil"/>
              <w:right w:val="nil"/>
            </w:tcBorders>
          </w:tcPr>
          <w:p w14:paraId="1C5DB35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90,643</w:t>
            </w:r>
          </w:p>
        </w:tc>
        <w:tc>
          <w:tcPr>
            <w:tcW w:w="1213" w:type="dxa"/>
            <w:tcBorders>
              <w:top w:val="nil"/>
              <w:left w:val="nil"/>
              <w:bottom w:val="nil"/>
              <w:right w:val="nil"/>
            </w:tcBorders>
          </w:tcPr>
          <w:p w14:paraId="51B533B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76,135</w:t>
            </w:r>
          </w:p>
        </w:tc>
        <w:tc>
          <w:tcPr>
            <w:tcW w:w="2072" w:type="dxa"/>
            <w:tcBorders>
              <w:top w:val="nil"/>
              <w:left w:val="nil"/>
              <w:bottom w:val="nil"/>
              <w:right w:val="nil"/>
            </w:tcBorders>
          </w:tcPr>
          <w:p w14:paraId="2F8D048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57,672</w:t>
            </w:r>
          </w:p>
        </w:tc>
      </w:tr>
      <w:tr w:rsidR="00B44672" w:rsidRPr="006B5978" w14:paraId="3E7542AF" w14:textId="77777777" w:rsidTr="004D2B7C">
        <w:trPr>
          <w:jc w:val="center"/>
        </w:trPr>
        <w:tc>
          <w:tcPr>
            <w:tcW w:w="2242" w:type="dxa"/>
            <w:tcBorders>
              <w:top w:val="nil"/>
              <w:left w:val="nil"/>
              <w:bottom w:val="nil"/>
              <w:right w:val="nil"/>
            </w:tcBorders>
          </w:tcPr>
          <w:p w14:paraId="35C9C148"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Number of Suburbs</w:t>
            </w:r>
          </w:p>
        </w:tc>
        <w:tc>
          <w:tcPr>
            <w:tcW w:w="1320" w:type="dxa"/>
            <w:tcBorders>
              <w:top w:val="nil"/>
              <w:left w:val="nil"/>
              <w:bottom w:val="nil"/>
              <w:right w:val="nil"/>
            </w:tcBorders>
          </w:tcPr>
          <w:p w14:paraId="1808AEC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2,012</w:t>
            </w:r>
          </w:p>
        </w:tc>
        <w:tc>
          <w:tcPr>
            <w:tcW w:w="1320" w:type="dxa"/>
            <w:tcBorders>
              <w:top w:val="nil"/>
              <w:left w:val="nil"/>
              <w:bottom w:val="nil"/>
              <w:right w:val="nil"/>
            </w:tcBorders>
          </w:tcPr>
          <w:p w14:paraId="202647B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1,998</w:t>
            </w:r>
          </w:p>
        </w:tc>
        <w:tc>
          <w:tcPr>
            <w:tcW w:w="1481" w:type="dxa"/>
            <w:tcBorders>
              <w:top w:val="nil"/>
              <w:left w:val="nil"/>
              <w:bottom w:val="nil"/>
              <w:right w:val="nil"/>
            </w:tcBorders>
          </w:tcPr>
          <w:p w14:paraId="779AD4A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1,297</w:t>
            </w:r>
          </w:p>
        </w:tc>
        <w:tc>
          <w:tcPr>
            <w:tcW w:w="1213" w:type="dxa"/>
            <w:tcBorders>
              <w:top w:val="nil"/>
              <w:left w:val="nil"/>
              <w:bottom w:val="nil"/>
              <w:right w:val="nil"/>
            </w:tcBorders>
          </w:tcPr>
          <w:p w14:paraId="09DD175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1,086</w:t>
            </w:r>
          </w:p>
        </w:tc>
        <w:tc>
          <w:tcPr>
            <w:tcW w:w="2072" w:type="dxa"/>
            <w:tcBorders>
              <w:top w:val="nil"/>
              <w:left w:val="nil"/>
              <w:bottom w:val="nil"/>
              <w:right w:val="nil"/>
            </w:tcBorders>
          </w:tcPr>
          <w:p w14:paraId="01D4094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733</w:t>
            </w:r>
          </w:p>
        </w:tc>
      </w:tr>
      <w:tr w:rsidR="00B44672" w:rsidRPr="006B5978" w14:paraId="2EE1844C" w14:textId="77777777" w:rsidTr="004D2B7C">
        <w:trPr>
          <w:jc w:val="center"/>
        </w:trPr>
        <w:tc>
          <w:tcPr>
            <w:tcW w:w="2242" w:type="dxa"/>
            <w:tcBorders>
              <w:top w:val="nil"/>
              <w:left w:val="nil"/>
              <w:bottom w:val="nil"/>
              <w:right w:val="nil"/>
            </w:tcBorders>
          </w:tcPr>
          <w:p w14:paraId="338C1582"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Adj. R-squared</w:t>
            </w:r>
          </w:p>
        </w:tc>
        <w:tc>
          <w:tcPr>
            <w:tcW w:w="1320" w:type="dxa"/>
            <w:tcBorders>
              <w:top w:val="nil"/>
              <w:left w:val="nil"/>
              <w:bottom w:val="nil"/>
              <w:right w:val="nil"/>
            </w:tcBorders>
          </w:tcPr>
          <w:p w14:paraId="2021F63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0.90</w:t>
            </w:r>
          </w:p>
        </w:tc>
        <w:tc>
          <w:tcPr>
            <w:tcW w:w="1320" w:type="dxa"/>
            <w:tcBorders>
              <w:top w:val="nil"/>
              <w:left w:val="nil"/>
              <w:bottom w:val="nil"/>
              <w:right w:val="nil"/>
            </w:tcBorders>
          </w:tcPr>
          <w:p w14:paraId="51EF7B9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0.91</w:t>
            </w:r>
          </w:p>
        </w:tc>
        <w:tc>
          <w:tcPr>
            <w:tcW w:w="1481" w:type="dxa"/>
            <w:tcBorders>
              <w:top w:val="nil"/>
              <w:left w:val="nil"/>
              <w:bottom w:val="nil"/>
              <w:right w:val="nil"/>
            </w:tcBorders>
          </w:tcPr>
          <w:p w14:paraId="6B65210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0.93</w:t>
            </w:r>
          </w:p>
        </w:tc>
        <w:tc>
          <w:tcPr>
            <w:tcW w:w="1213" w:type="dxa"/>
            <w:tcBorders>
              <w:top w:val="nil"/>
              <w:left w:val="nil"/>
              <w:bottom w:val="nil"/>
              <w:right w:val="nil"/>
            </w:tcBorders>
          </w:tcPr>
          <w:p w14:paraId="21AFF25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0.95</w:t>
            </w:r>
          </w:p>
        </w:tc>
        <w:tc>
          <w:tcPr>
            <w:tcW w:w="2072" w:type="dxa"/>
            <w:tcBorders>
              <w:top w:val="nil"/>
              <w:left w:val="nil"/>
              <w:bottom w:val="nil"/>
              <w:right w:val="nil"/>
            </w:tcBorders>
          </w:tcPr>
          <w:p w14:paraId="75F0B87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0.94</w:t>
            </w:r>
          </w:p>
        </w:tc>
      </w:tr>
      <w:tr w:rsidR="00B44672" w:rsidRPr="006B5978" w14:paraId="54BC1E40" w14:textId="77777777" w:rsidTr="004D2B7C">
        <w:trPr>
          <w:jc w:val="center"/>
        </w:trPr>
        <w:tc>
          <w:tcPr>
            <w:tcW w:w="2242" w:type="dxa"/>
            <w:tcBorders>
              <w:top w:val="nil"/>
              <w:left w:val="nil"/>
              <w:bottom w:val="single" w:sz="6" w:space="0" w:color="auto"/>
              <w:right w:val="nil"/>
            </w:tcBorders>
          </w:tcPr>
          <w:p w14:paraId="1C9D3426"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Max in Cor. Matrix</w:t>
            </w:r>
          </w:p>
        </w:tc>
        <w:tc>
          <w:tcPr>
            <w:tcW w:w="1320" w:type="dxa"/>
            <w:tcBorders>
              <w:top w:val="nil"/>
              <w:left w:val="nil"/>
              <w:bottom w:val="single" w:sz="6" w:space="0" w:color="auto"/>
              <w:right w:val="nil"/>
            </w:tcBorders>
          </w:tcPr>
          <w:p w14:paraId="55E655C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
        </w:tc>
        <w:tc>
          <w:tcPr>
            <w:tcW w:w="1320" w:type="dxa"/>
            <w:tcBorders>
              <w:top w:val="nil"/>
              <w:left w:val="nil"/>
              <w:bottom w:val="single" w:sz="6" w:space="0" w:color="auto"/>
              <w:right w:val="nil"/>
            </w:tcBorders>
          </w:tcPr>
          <w:p w14:paraId="00762B3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0.41</w:t>
            </w:r>
          </w:p>
        </w:tc>
        <w:tc>
          <w:tcPr>
            <w:tcW w:w="1481" w:type="dxa"/>
            <w:tcBorders>
              <w:top w:val="nil"/>
              <w:left w:val="nil"/>
              <w:bottom w:val="single" w:sz="6" w:space="0" w:color="auto"/>
              <w:right w:val="nil"/>
            </w:tcBorders>
          </w:tcPr>
          <w:p w14:paraId="5065522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0.26</w:t>
            </w:r>
          </w:p>
        </w:tc>
        <w:tc>
          <w:tcPr>
            <w:tcW w:w="1213" w:type="dxa"/>
            <w:tcBorders>
              <w:top w:val="nil"/>
              <w:left w:val="nil"/>
              <w:bottom w:val="single" w:sz="6" w:space="0" w:color="auto"/>
              <w:right w:val="nil"/>
            </w:tcBorders>
          </w:tcPr>
          <w:p w14:paraId="5A0D3BD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0.23</w:t>
            </w:r>
          </w:p>
        </w:tc>
        <w:tc>
          <w:tcPr>
            <w:tcW w:w="2072" w:type="dxa"/>
            <w:tcBorders>
              <w:top w:val="nil"/>
              <w:left w:val="nil"/>
              <w:bottom w:val="single" w:sz="6" w:space="0" w:color="auto"/>
              <w:right w:val="nil"/>
            </w:tcBorders>
          </w:tcPr>
          <w:p w14:paraId="48BEA49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0.18</w:t>
            </w:r>
          </w:p>
        </w:tc>
      </w:tr>
    </w:tbl>
    <w:p w14:paraId="4FE15358" w14:textId="77777777" w:rsidR="00B44672" w:rsidRPr="006B5978" w:rsidRDefault="00B44672" w:rsidP="00F2339A">
      <w:pPr>
        <w:widowControl w:val="0"/>
        <w:autoSpaceDE w:val="0"/>
        <w:autoSpaceDN w:val="0"/>
        <w:adjustRightInd w:val="0"/>
        <w:spacing w:before="79" w:after="79"/>
        <w:jc w:val="center"/>
        <w:rPr>
          <w:rFonts w:cstheme="minorHAnsi"/>
          <w:sz w:val="22"/>
        </w:rPr>
      </w:pPr>
      <w:r w:rsidRPr="006B5978">
        <w:rPr>
          <w:rFonts w:cstheme="minorHAnsi"/>
          <w:sz w:val="22"/>
        </w:rPr>
        <w:t xml:space="preserve">* </w:t>
      </w:r>
      <w:r w:rsidRPr="006B5978">
        <w:rPr>
          <w:rFonts w:cstheme="minorHAnsi"/>
          <w:i/>
          <w:iCs/>
          <w:sz w:val="22"/>
        </w:rPr>
        <w:t>p</w:t>
      </w:r>
      <w:r w:rsidRPr="006B5978">
        <w:rPr>
          <w:rFonts w:cstheme="minorHAnsi"/>
          <w:sz w:val="22"/>
        </w:rPr>
        <w:t xml:space="preserve">&lt;0.05; ** </w:t>
      </w:r>
      <w:r w:rsidRPr="006B5978">
        <w:rPr>
          <w:rFonts w:cstheme="minorHAnsi"/>
          <w:i/>
          <w:iCs/>
          <w:sz w:val="22"/>
        </w:rPr>
        <w:t>p</w:t>
      </w:r>
      <w:r w:rsidRPr="006B5978">
        <w:rPr>
          <w:rFonts w:cstheme="minorHAnsi"/>
          <w:sz w:val="22"/>
        </w:rPr>
        <w:t>&lt;0.01</w:t>
      </w:r>
    </w:p>
    <w:p w14:paraId="1247257F" w14:textId="77777777" w:rsidR="00B44672" w:rsidRDefault="00B44672" w:rsidP="0029189E">
      <w:r>
        <w:tab/>
      </w:r>
    </w:p>
    <w:p w14:paraId="4E763A66" w14:textId="77777777" w:rsidR="00B44672" w:rsidRDefault="00B44672" w:rsidP="00494C7C">
      <w:pPr>
        <w:pStyle w:val="BodyText"/>
      </w:pPr>
      <w:r>
        <w:t xml:space="preserve">The following two tables presents the results for a quintile analysis of the effects on rental prices for both house and unit rental markets. They are a one to one replication from the main report, for completion to have all results in one place. </w:t>
      </w:r>
    </w:p>
    <w:p w14:paraId="28AB3CEA" w14:textId="77777777" w:rsidR="00B44672" w:rsidRDefault="00B44672" w:rsidP="00494C7C">
      <w:pPr>
        <w:pStyle w:val="BodyText"/>
      </w:pPr>
    </w:p>
    <w:p w14:paraId="4C4C9906" w14:textId="77777777" w:rsidR="00B44672" w:rsidRDefault="00B44672" w:rsidP="00494C7C">
      <w:pPr>
        <w:pStyle w:val="BodyText"/>
      </w:pPr>
    </w:p>
    <w:p w14:paraId="319767FA" w14:textId="77777777" w:rsidR="00B44672" w:rsidRDefault="00B44672" w:rsidP="00494C7C">
      <w:pPr>
        <w:pStyle w:val="BodyText"/>
      </w:pPr>
    </w:p>
    <w:p w14:paraId="187CB1C6" w14:textId="33F71E41" w:rsidR="00B44672" w:rsidRPr="00E20E98" w:rsidRDefault="00B44672" w:rsidP="00E20E98">
      <w:pPr>
        <w:pStyle w:val="Caption"/>
        <w:rPr>
          <w:rFonts w:ascii="Times New Roman" w:hAnsi="Times New Roman" w:cs="Times New Roman"/>
          <w:b/>
          <w:bCs/>
          <w:i w:val="0"/>
          <w:iCs/>
          <w:color w:val="365F91" w:themeColor="accent1" w:themeShade="BF"/>
        </w:rPr>
      </w:pPr>
      <w:bookmarkStart w:id="153" w:name="_Toc33121093"/>
      <w:r w:rsidRPr="00E20E98">
        <w:rPr>
          <w:b/>
          <w:bCs/>
          <w:color w:val="365F91" w:themeColor="accent1" w:themeShade="BF"/>
        </w:rPr>
        <w:t xml:space="preserve">Table </w:t>
      </w:r>
      <w:r w:rsidRPr="00E20E98">
        <w:rPr>
          <w:b/>
          <w:bCs/>
          <w:i w:val="0"/>
          <w:iCs/>
          <w:color w:val="365F91" w:themeColor="accent1" w:themeShade="BF"/>
        </w:rPr>
        <w:fldChar w:fldCharType="begin"/>
      </w:r>
      <w:r w:rsidRPr="00E20E98">
        <w:rPr>
          <w:b/>
          <w:bCs/>
          <w:color w:val="365F91" w:themeColor="accent1" w:themeShade="BF"/>
        </w:rPr>
        <w:instrText xml:space="preserve"> SEQ Table \* ARABIC </w:instrText>
      </w:r>
      <w:r w:rsidRPr="00E20E98">
        <w:rPr>
          <w:b/>
          <w:bCs/>
          <w:i w:val="0"/>
          <w:iCs/>
          <w:color w:val="365F91" w:themeColor="accent1" w:themeShade="BF"/>
        </w:rPr>
        <w:fldChar w:fldCharType="separate"/>
      </w:r>
      <w:r w:rsidR="00A763B6">
        <w:rPr>
          <w:b/>
          <w:bCs/>
          <w:noProof/>
          <w:color w:val="365F91" w:themeColor="accent1" w:themeShade="BF"/>
        </w:rPr>
        <w:t>34</w:t>
      </w:r>
      <w:r w:rsidRPr="00E20E98">
        <w:rPr>
          <w:b/>
          <w:bCs/>
          <w:i w:val="0"/>
          <w:iCs/>
          <w:color w:val="365F91" w:themeColor="accent1" w:themeShade="BF"/>
        </w:rPr>
        <w:fldChar w:fldCharType="end"/>
      </w:r>
      <w:r w:rsidRPr="00E20E98">
        <w:rPr>
          <w:b/>
          <w:bCs/>
          <w:color w:val="365F91" w:themeColor="accent1" w:themeShade="BF"/>
        </w:rPr>
        <w:t xml:space="preserve"> </w:t>
      </w:r>
      <w:r>
        <w:rPr>
          <w:b/>
          <w:bCs/>
          <w:color w:val="365F91" w:themeColor="accent1" w:themeShade="BF"/>
        </w:rPr>
        <w:t xml:space="preserve">(from main report) </w:t>
      </w:r>
      <w:r w:rsidRPr="00E20E98">
        <w:rPr>
          <w:b/>
          <w:bCs/>
          <w:color w:val="365F91" w:themeColor="accent1" w:themeShade="BF"/>
        </w:rPr>
        <w:t>- Tax reform effect on house rental prices - quantile estimations in logs</w:t>
      </w:r>
      <w:bookmarkEnd w:id="153"/>
    </w:p>
    <w:tbl>
      <w:tblPr>
        <w:tblW w:w="0" w:type="auto"/>
        <w:jc w:val="center"/>
        <w:tblCellMar>
          <w:left w:w="144" w:type="dxa"/>
          <w:right w:w="144" w:type="dxa"/>
        </w:tblCellMar>
        <w:tblLook w:val="0000" w:firstRow="0" w:lastRow="0" w:firstColumn="0" w:lastColumn="0" w:noHBand="0" w:noVBand="0"/>
      </w:tblPr>
      <w:tblGrid>
        <w:gridCol w:w="2087"/>
        <w:gridCol w:w="1387"/>
        <w:gridCol w:w="1388"/>
        <w:gridCol w:w="1388"/>
        <w:gridCol w:w="1388"/>
        <w:gridCol w:w="1388"/>
      </w:tblGrid>
      <w:tr w:rsidR="00B44672" w:rsidRPr="006B5978" w14:paraId="0003BDAC" w14:textId="77777777" w:rsidTr="004D2B7C">
        <w:trPr>
          <w:jc w:val="center"/>
        </w:trPr>
        <w:tc>
          <w:tcPr>
            <w:tcW w:w="2234" w:type="dxa"/>
            <w:tcBorders>
              <w:top w:val="single" w:sz="6" w:space="0" w:color="auto"/>
              <w:left w:val="nil"/>
              <w:bottom w:val="nil"/>
              <w:right w:val="nil"/>
            </w:tcBorders>
          </w:tcPr>
          <w:p w14:paraId="02BCA524" w14:textId="77777777" w:rsidR="00B44672" w:rsidRPr="006B5978" w:rsidRDefault="00B44672" w:rsidP="004D2B7C">
            <w:pPr>
              <w:widowControl w:val="0"/>
              <w:autoSpaceDE w:val="0"/>
              <w:autoSpaceDN w:val="0"/>
              <w:adjustRightInd w:val="0"/>
              <w:spacing w:before="79" w:after="0"/>
              <w:rPr>
                <w:rFonts w:cstheme="minorHAnsi"/>
                <w:sz w:val="22"/>
              </w:rPr>
            </w:pPr>
            <w:proofErr w:type="gramStart"/>
            <w:r w:rsidRPr="006B5978">
              <w:rPr>
                <w:rFonts w:cstheme="minorHAnsi"/>
                <w:sz w:val="22"/>
              </w:rPr>
              <w:t>Log(</w:t>
            </w:r>
            <w:proofErr w:type="gramEnd"/>
            <w:r w:rsidRPr="006B5978">
              <w:rPr>
                <w:rFonts w:cstheme="minorHAnsi"/>
                <w:sz w:val="22"/>
              </w:rPr>
              <w:t>Median Rent)</w:t>
            </w:r>
          </w:p>
        </w:tc>
        <w:tc>
          <w:tcPr>
            <w:tcW w:w="1482" w:type="dxa"/>
            <w:tcBorders>
              <w:top w:val="single" w:sz="6" w:space="0" w:color="auto"/>
              <w:left w:val="nil"/>
              <w:bottom w:val="nil"/>
              <w:right w:val="nil"/>
            </w:tcBorders>
          </w:tcPr>
          <w:p w14:paraId="1A181000"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(1)</w:t>
            </w:r>
          </w:p>
        </w:tc>
        <w:tc>
          <w:tcPr>
            <w:tcW w:w="1483" w:type="dxa"/>
            <w:tcBorders>
              <w:top w:val="single" w:sz="6" w:space="0" w:color="auto"/>
              <w:left w:val="nil"/>
              <w:bottom w:val="nil"/>
              <w:right w:val="nil"/>
            </w:tcBorders>
          </w:tcPr>
          <w:p w14:paraId="282A9324"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(2)</w:t>
            </w:r>
          </w:p>
        </w:tc>
        <w:tc>
          <w:tcPr>
            <w:tcW w:w="1483" w:type="dxa"/>
            <w:tcBorders>
              <w:top w:val="single" w:sz="6" w:space="0" w:color="auto"/>
              <w:left w:val="nil"/>
              <w:bottom w:val="nil"/>
              <w:right w:val="nil"/>
            </w:tcBorders>
          </w:tcPr>
          <w:p w14:paraId="045B8CF8"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(3)</w:t>
            </w:r>
          </w:p>
        </w:tc>
        <w:tc>
          <w:tcPr>
            <w:tcW w:w="1483" w:type="dxa"/>
            <w:tcBorders>
              <w:top w:val="single" w:sz="6" w:space="0" w:color="auto"/>
              <w:left w:val="nil"/>
              <w:bottom w:val="nil"/>
              <w:right w:val="nil"/>
            </w:tcBorders>
          </w:tcPr>
          <w:p w14:paraId="473BC51C"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(4)</w:t>
            </w:r>
          </w:p>
        </w:tc>
        <w:tc>
          <w:tcPr>
            <w:tcW w:w="1483" w:type="dxa"/>
            <w:tcBorders>
              <w:top w:val="single" w:sz="6" w:space="0" w:color="auto"/>
              <w:left w:val="nil"/>
              <w:bottom w:val="nil"/>
              <w:right w:val="nil"/>
            </w:tcBorders>
          </w:tcPr>
          <w:p w14:paraId="5B0593CB"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(5)</w:t>
            </w:r>
          </w:p>
        </w:tc>
      </w:tr>
      <w:tr w:rsidR="00B44672" w:rsidRPr="006B5978" w14:paraId="219C9BE6" w14:textId="77777777" w:rsidTr="004D2B7C">
        <w:trPr>
          <w:jc w:val="center"/>
        </w:trPr>
        <w:tc>
          <w:tcPr>
            <w:tcW w:w="2234" w:type="dxa"/>
            <w:tcBorders>
              <w:top w:val="nil"/>
              <w:left w:val="nil"/>
              <w:bottom w:val="nil"/>
              <w:right w:val="nil"/>
            </w:tcBorders>
          </w:tcPr>
          <w:p w14:paraId="2A902AAE" w14:textId="77777777" w:rsidR="00B44672" w:rsidRPr="006B5978" w:rsidRDefault="00B44672" w:rsidP="004D2B7C">
            <w:pPr>
              <w:widowControl w:val="0"/>
              <w:autoSpaceDE w:val="0"/>
              <w:autoSpaceDN w:val="0"/>
              <w:adjustRightInd w:val="0"/>
              <w:spacing w:after="79"/>
              <w:rPr>
                <w:rFonts w:cstheme="minorHAnsi"/>
                <w:sz w:val="22"/>
              </w:rPr>
            </w:pPr>
          </w:p>
        </w:tc>
        <w:tc>
          <w:tcPr>
            <w:tcW w:w="1482" w:type="dxa"/>
            <w:tcBorders>
              <w:top w:val="nil"/>
              <w:left w:val="nil"/>
              <w:bottom w:val="nil"/>
              <w:right w:val="nil"/>
            </w:tcBorders>
          </w:tcPr>
          <w:p w14:paraId="77C21BB7"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 xml:space="preserve"> 1st Quintile</w:t>
            </w:r>
          </w:p>
        </w:tc>
        <w:tc>
          <w:tcPr>
            <w:tcW w:w="1483" w:type="dxa"/>
            <w:tcBorders>
              <w:top w:val="nil"/>
              <w:left w:val="nil"/>
              <w:bottom w:val="nil"/>
              <w:right w:val="nil"/>
            </w:tcBorders>
          </w:tcPr>
          <w:p w14:paraId="6CAE4695"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 xml:space="preserve"> 2nd Quintile</w:t>
            </w:r>
          </w:p>
        </w:tc>
        <w:tc>
          <w:tcPr>
            <w:tcW w:w="1483" w:type="dxa"/>
            <w:tcBorders>
              <w:top w:val="nil"/>
              <w:left w:val="nil"/>
              <w:bottom w:val="nil"/>
              <w:right w:val="nil"/>
            </w:tcBorders>
          </w:tcPr>
          <w:p w14:paraId="74D6B78A"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 xml:space="preserve"> 3rd Quintile</w:t>
            </w:r>
          </w:p>
        </w:tc>
        <w:tc>
          <w:tcPr>
            <w:tcW w:w="1483" w:type="dxa"/>
            <w:tcBorders>
              <w:top w:val="nil"/>
              <w:left w:val="nil"/>
              <w:bottom w:val="nil"/>
              <w:right w:val="nil"/>
            </w:tcBorders>
          </w:tcPr>
          <w:p w14:paraId="6C4C1B3F"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 xml:space="preserve"> 4th Quintile</w:t>
            </w:r>
          </w:p>
        </w:tc>
        <w:tc>
          <w:tcPr>
            <w:tcW w:w="1483" w:type="dxa"/>
            <w:tcBorders>
              <w:top w:val="nil"/>
              <w:left w:val="nil"/>
              <w:bottom w:val="nil"/>
              <w:right w:val="nil"/>
            </w:tcBorders>
          </w:tcPr>
          <w:p w14:paraId="3EBE324D"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 xml:space="preserve"> 5th Quintile</w:t>
            </w:r>
          </w:p>
        </w:tc>
      </w:tr>
      <w:tr w:rsidR="00B44672" w:rsidRPr="006B5978" w14:paraId="430DFD03" w14:textId="77777777" w:rsidTr="004D2B7C">
        <w:trPr>
          <w:jc w:val="center"/>
        </w:trPr>
        <w:tc>
          <w:tcPr>
            <w:tcW w:w="2234" w:type="dxa"/>
            <w:tcBorders>
              <w:top w:val="single" w:sz="6" w:space="0" w:color="auto"/>
              <w:left w:val="nil"/>
              <w:bottom w:val="nil"/>
              <w:right w:val="nil"/>
            </w:tcBorders>
          </w:tcPr>
          <w:p w14:paraId="10159DED"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Reform Dummy</w:t>
            </w:r>
          </w:p>
        </w:tc>
        <w:tc>
          <w:tcPr>
            <w:tcW w:w="1482" w:type="dxa"/>
            <w:tcBorders>
              <w:top w:val="single" w:sz="6" w:space="0" w:color="auto"/>
              <w:left w:val="nil"/>
              <w:bottom w:val="nil"/>
              <w:right w:val="nil"/>
            </w:tcBorders>
          </w:tcPr>
          <w:p w14:paraId="285838A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-0.060</w:t>
            </w:r>
          </w:p>
        </w:tc>
        <w:tc>
          <w:tcPr>
            <w:tcW w:w="1483" w:type="dxa"/>
            <w:tcBorders>
              <w:top w:val="single" w:sz="6" w:space="0" w:color="auto"/>
              <w:left w:val="nil"/>
              <w:bottom w:val="nil"/>
              <w:right w:val="nil"/>
            </w:tcBorders>
          </w:tcPr>
          <w:p w14:paraId="5B8166C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-0.011</w:t>
            </w:r>
          </w:p>
        </w:tc>
        <w:tc>
          <w:tcPr>
            <w:tcW w:w="1483" w:type="dxa"/>
            <w:tcBorders>
              <w:top w:val="single" w:sz="6" w:space="0" w:color="auto"/>
              <w:left w:val="nil"/>
              <w:bottom w:val="nil"/>
              <w:right w:val="nil"/>
            </w:tcBorders>
          </w:tcPr>
          <w:p w14:paraId="0E50EEE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-0.039</w:t>
            </w:r>
          </w:p>
        </w:tc>
        <w:tc>
          <w:tcPr>
            <w:tcW w:w="1483" w:type="dxa"/>
            <w:tcBorders>
              <w:top w:val="single" w:sz="6" w:space="0" w:color="auto"/>
              <w:left w:val="nil"/>
              <w:bottom w:val="nil"/>
              <w:right w:val="nil"/>
            </w:tcBorders>
          </w:tcPr>
          <w:p w14:paraId="51E920F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-0.065</w:t>
            </w:r>
          </w:p>
        </w:tc>
        <w:tc>
          <w:tcPr>
            <w:tcW w:w="1483" w:type="dxa"/>
            <w:tcBorders>
              <w:top w:val="single" w:sz="6" w:space="0" w:color="auto"/>
              <w:left w:val="nil"/>
              <w:bottom w:val="nil"/>
              <w:right w:val="nil"/>
            </w:tcBorders>
          </w:tcPr>
          <w:p w14:paraId="77A2FE9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0.087</w:t>
            </w:r>
          </w:p>
        </w:tc>
      </w:tr>
      <w:tr w:rsidR="00B44672" w:rsidRPr="006B5978" w14:paraId="7BD2AD1A" w14:textId="77777777" w:rsidTr="004D2B7C">
        <w:trPr>
          <w:jc w:val="center"/>
        </w:trPr>
        <w:tc>
          <w:tcPr>
            <w:tcW w:w="2234" w:type="dxa"/>
            <w:tcBorders>
              <w:top w:val="nil"/>
              <w:left w:val="nil"/>
              <w:bottom w:val="nil"/>
              <w:right w:val="nil"/>
            </w:tcBorders>
          </w:tcPr>
          <w:p w14:paraId="0AB0363B"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482" w:type="dxa"/>
            <w:tcBorders>
              <w:top w:val="nil"/>
              <w:left w:val="nil"/>
              <w:bottom w:val="nil"/>
              <w:right w:val="nil"/>
            </w:tcBorders>
          </w:tcPr>
          <w:p w14:paraId="251D3C9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0.014]*</w:t>
            </w:r>
            <w:proofErr w:type="gramEnd"/>
            <w:r w:rsidRPr="006B5978">
              <w:rPr>
                <w:rFonts w:cstheme="minorHAnsi"/>
                <w:sz w:val="22"/>
              </w:rPr>
              <w:t>*</w:t>
            </w:r>
          </w:p>
        </w:tc>
        <w:tc>
          <w:tcPr>
            <w:tcW w:w="1483" w:type="dxa"/>
            <w:tcBorders>
              <w:top w:val="nil"/>
              <w:left w:val="nil"/>
              <w:bottom w:val="nil"/>
              <w:right w:val="nil"/>
            </w:tcBorders>
          </w:tcPr>
          <w:p w14:paraId="6DAB424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[0.013]</w:t>
            </w:r>
          </w:p>
        </w:tc>
        <w:tc>
          <w:tcPr>
            <w:tcW w:w="1483" w:type="dxa"/>
            <w:tcBorders>
              <w:top w:val="nil"/>
              <w:left w:val="nil"/>
              <w:bottom w:val="nil"/>
              <w:right w:val="nil"/>
            </w:tcBorders>
          </w:tcPr>
          <w:p w14:paraId="5E1B7A0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0.010]*</w:t>
            </w:r>
            <w:proofErr w:type="gramEnd"/>
            <w:r w:rsidRPr="006B5978">
              <w:rPr>
                <w:rFonts w:cstheme="minorHAnsi"/>
                <w:sz w:val="22"/>
              </w:rPr>
              <w:t>*</w:t>
            </w:r>
          </w:p>
        </w:tc>
        <w:tc>
          <w:tcPr>
            <w:tcW w:w="1483" w:type="dxa"/>
            <w:tcBorders>
              <w:top w:val="nil"/>
              <w:left w:val="nil"/>
              <w:bottom w:val="nil"/>
              <w:right w:val="nil"/>
            </w:tcBorders>
          </w:tcPr>
          <w:p w14:paraId="5F26757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0.023]*</w:t>
            </w:r>
            <w:proofErr w:type="gramEnd"/>
            <w:r w:rsidRPr="006B5978">
              <w:rPr>
                <w:rFonts w:cstheme="minorHAnsi"/>
                <w:sz w:val="22"/>
              </w:rPr>
              <w:t>*</w:t>
            </w:r>
          </w:p>
        </w:tc>
        <w:tc>
          <w:tcPr>
            <w:tcW w:w="1483" w:type="dxa"/>
            <w:tcBorders>
              <w:top w:val="nil"/>
              <w:left w:val="nil"/>
              <w:bottom w:val="nil"/>
              <w:right w:val="nil"/>
            </w:tcBorders>
          </w:tcPr>
          <w:p w14:paraId="6175B5F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0.021]*</w:t>
            </w:r>
            <w:proofErr w:type="gramEnd"/>
            <w:r w:rsidRPr="006B5978">
              <w:rPr>
                <w:rFonts w:cstheme="minorHAnsi"/>
                <w:sz w:val="22"/>
              </w:rPr>
              <w:t>*</w:t>
            </w:r>
          </w:p>
        </w:tc>
      </w:tr>
      <w:tr w:rsidR="00B44672" w:rsidRPr="006B5978" w14:paraId="0E074878" w14:textId="77777777" w:rsidTr="004D2B7C">
        <w:trPr>
          <w:jc w:val="center"/>
        </w:trPr>
        <w:tc>
          <w:tcPr>
            <w:tcW w:w="2234" w:type="dxa"/>
            <w:tcBorders>
              <w:top w:val="nil"/>
              <w:left w:val="nil"/>
              <w:bottom w:val="nil"/>
              <w:right w:val="nil"/>
            </w:tcBorders>
          </w:tcPr>
          <w:p w14:paraId="5C47BF9F"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Income)</w:t>
            </w:r>
          </w:p>
        </w:tc>
        <w:tc>
          <w:tcPr>
            <w:tcW w:w="1482" w:type="dxa"/>
            <w:tcBorders>
              <w:top w:val="nil"/>
              <w:left w:val="nil"/>
              <w:bottom w:val="nil"/>
              <w:right w:val="nil"/>
            </w:tcBorders>
          </w:tcPr>
          <w:p w14:paraId="478F164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0.680</w:t>
            </w:r>
          </w:p>
        </w:tc>
        <w:tc>
          <w:tcPr>
            <w:tcW w:w="1483" w:type="dxa"/>
            <w:tcBorders>
              <w:top w:val="nil"/>
              <w:left w:val="nil"/>
              <w:bottom w:val="nil"/>
              <w:right w:val="nil"/>
            </w:tcBorders>
          </w:tcPr>
          <w:p w14:paraId="57572BC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1.202</w:t>
            </w:r>
          </w:p>
        </w:tc>
        <w:tc>
          <w:tcPr>
            <w:tcW w:w="1483" w:type="dxa"/>
            <w:tcBorders>
              <w:top w:val="nil"/>
              <w:left w:val="nil"/>
              <w:bottom w:val="nil"/>
              <w:right w:val="nil"/>
            </w:tcBorders>
          </w:tcPr>
          <w:p w14:paraId="4637B77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1.308</w:t>
            </w:r>
          </w:p>
        </w:tc>
        <w:tc>
          <w:tcPr>
            <w:tcW w:w="1483" w:type="dxa"/>
            <w:tcBorders>
              <w:top w:val="nil"/>
              <w:left w:val="nil"/>
              <w:bottom w:val="nil"/>
              <w:right w:val="nil"/>
            </w:tcBorders>
          </w:tcPr>
          <w:p w14:paraId="6286AE0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1.328</w:t>
            </w:r>
          </w:p>
        </w:tc>
        <w:tc>
          <w:tcPr>
            <w:tcW w:w="1483" w:type="dxa"/>
            <w:tcBorders>
              <w:top w:val="nil"/>
              <w:left w:val="nil"/>
              <w:bottom w:val="nil"/>
              <w:right w:val="nil"/>
            </w:tcBorders>
          </w:tcPr>
          <w:p w14:paraId="63CEC27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2.841</w:t>
            </w:r>
          </w:p>
        </w:tc>
      </w:tr>
      <w:tr w:rsidR="00B44672" w:rsidRPr="006B5978" w14:paraId="7BDB20A9" w14:textId="77777777" w:rsidTr="004D2B7C">
        <w:trPr>
          <w:jc w:val="center"/>
        </w:trPr>
        <w:tc>
          <w:tcPr>
            <w:tcW w:w="2234" w:type="dxa"/>
            <w:tcBorders>
              <w:top w:val="nil"/>
              <w:left w:val="nil"/>
              <w:bottom w:val="nil"/>
              <w:right w:val="nil"/>
            </w:tcBorders>
          </w:tcPr>
          <w:p w14:paraId="4873D306"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482" w:type="dxa"/>
            <w:tcBorders>
              <w:top w:val="nil"/>
              <w:left w:val="nil"/>
              <w:bottom w:val="nil"/>
              <w:right w:val="nil"/>
            </w:tcBorders>
          </w:tcPr>
          <w:p w14:paraId="1E73663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0.085]*</w:t>
            </w:r>
            <w:proofErr w:type="gramEnd"/>
            <w:r w:rsidRPr="006B5978">
              <w:rPr>
                <w:rFonts w:cstheme="minorHAnsi"/>
                <w:sz w:val="22"/>
              </w:rPr>
              <w:t>*</w:t>
            </w:r>
          </w:p>
        </w:tc>
        <w:tc>
          <w:tcPr>
            <w:tcW w:w="1483" w:type="dxa"/>
            <w:tcBorders>
              <w:top w:val="nil"/>
              <w:left w:val="nil"/>
              <w:bottom w:val="nil"/>
              <w:right w:val="nil"/>
            </w:tcBorders>
          </w:tcPr>
          <w:p w14:paraId="4C245DE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0.061]*</w:t>
            </w:r>
            <w:proofErr w:type="gramEnd"/>
            <w:r w:rsidRPr="006B5978">
              <w:rPr>
                <w:rFonts w:cstheme="minorHAnsi"/>
                <w:sz w:val="22"/>
              </w:rPr>
              <w:t>*</w:t>
            </w:r>
          </w:p>
        </w:tc>
        <w:tc>
          <w:tcPr>
            <w:tcW w:w="1483" w:type="dxa"/>
            <w:tcBorders>
              <w:top w:val="nil"/>
              <w:left w:val="nil"/>
              <w:bottom w:val="nil"/>
              <w:right w:val="nil"/>
            </w:tcBorders>
          </w:tcPr>
          <w:p w14:paraId="2A33940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0.064]*</w:t>
            </w:r>
            <w:proofErr w:type="gramEnd"/>
            <w:r w:rsidRPr="006B5978">
              <w:rPr>
                <w:rFonts w:cstheme="minorHAnsi"/>
                <w:sz w:val="22"/>
              </w:rPr>
              <w:t>*</w:t>
            </w:r>
          </w:p>
        </w:tc>
        <w:tc>
          <w:tcPr>
            <w:tcW w:w="1483" w:type="dxa"/>
            <w:tcBorders>
              <w:top w:val="nil"/>
              <w:left w:val="nil"/>
              <w:bottom w:val="nil"/>
              <w:right w:val="nil"/>
            </w:tcBorders>
          </w:tcPr>
          <w:p w14:paraId="17C1B47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0.073]*</w:t>
            </w:r>
            <w:proofErr w:type="gramEnd"/>
            <w:r w:rsidRPr="006B5978">
              <w:rPr>
                <w:rFonts w:cstheme="minorHAnsi"/>
                <w:sz w:val="22"/>
              </w:rPr>
              <w:t>*</w:t>
            </w:r>
          </w:p>
        </w:tc>
        <w:tc>
          <w:tcPr>
            <w:tcW w:w="1483" w:type="dxa"/>
            <w:tcBorders>
              <w:top w:val="nil"/>
              <w:left w:val="nil"/>
              <w:bottom w:val="nil"/>
              <w:right w:val="nil"/>
            </w:tcBorders>
          </w:tcPr>
          <w:p w14:paraId="7D352BB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0.214]*</w:t>
            </w:r>
            <w:proofErr w:type="gramEnd"/>
            <w:r w:rsidRPr="006B5978">
              <w:rPr>
                <w:rFonts w:cstheme="minorHAnsi"/>
                <w:sz w:val="22"/>
              </w:rPr>
              <w:t>*</w:t>
            </w:r>
          </w:p>
        </w:tc>
      </w:tr>
      <w:tr w:rsidR="00B44672" w:rsidRPr="006B5978" w14:paraId="56A3495D" w14:textId="77777777" w:rsidTr="004D2B7C">
        <w:trPr>
          <w:jc w:val="center"/>
        </w:trPr>
        <w:tc>
          <w:tcPr>
            <w:tcW w:w="2234" w:type="dxa"/>
            <w:tcBorders>
              <w:top w:val="nil"/>
              <w:left w:val="nil"/>
              <w:bottom w:val="nil"/>
              <w:right w:val="nil"/>
            </w:tcBorders>
          </w:tcPr>
          <w:p w14:paraId="2080E61D"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Population)</w:t>
            </w:r>
          </w:p>
        </w:tc>
        <w:tc>
          <w:tcPr>
            <w:tcW w:w="1482" w:type="dxa"/>
            <w:tcBorders>
              <w:top w:val="nil"/>
              <w:left w:val="nil"/>
              <w:bottom w:val="nil"/>
              <w:right w:val="nil"/>
            </w:tcBorders>
          </w:tcPr>
          <w:p w14:paraId="0C089D9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0.782</w:t>
            </w:r>
          </w:p>
        </w:tc>
        <w:tc>
          <w:tcPr>
            <w:tcW w:w="1483" w:type="dxa"/>
            <w:tcBorders>
              <w:top w:val="nil"/>
              <w:left w:val="nil"/>
              <w:bottom w:val="nil"/>
              <w:right w:val="nil"/>
            </w:tcBorders>
          </w:tcPr>
          <w:p w14:paraId="4193308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0.855</w:t>
            </w:r>
          </w:p>
        </w:tc>
        <w:tc>
          <w:tcPr>
            <w:tcW w:w="1483" w:type="dxa"/>
            <w:tcBorders>
              <w:top w:val="nil"/>
              <w:left w:val="nil"/>
              <w:bottom w:val="nil"/>
              <w:right w:val="nil"/>
            </w:tcBorders>
          </w:tcPr>
          <w:p w14:paraId="46BA8AF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1.011</w:t>
            </w:r>
          </w:p>
        </w:tc>
        <w:tc>
          <w:tcPr>
            <w:tcW w:w="1483" w:type="dxa"/>
            <w:tcBorders>
              <w:top w:val="nil"/>
              <w:left w:val="nil"/>
              <w:bottom w:val="nil"/>
              <w:right w:val="nil"/>
            </w:tcBorders>
          </w:tcPr>
          <w:p w14:paraId="7D729F6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1.365</w:t>
            </w:r>
          </w:p>
        </w:tc>
        <w:tc>
          <w:tcPr>
            <w:tcW w:w="1483" w:type="dxa"/>
            <w:tcBorders>
              <w:top w:val="nil"/>
              <w:left w:val="nil"/>
              <w:bottom w:val="nil"/>
              <w:right w:val="nil"/>
            </w:tcBorders>
          </w:tcPr>
          <w:p w14:paraId="3159A1D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1.022</w:t>
            </w:r>
          </w:p>
        </w:tc>
      </w:tr>
      <w:tr w:rsidR="00B44672" w:rsidRPr="006B5978" w14:paraId="5ABB2DF0" w14:textId="77777777" w:rsidTr="004D2B7C">
        <w:trPr>
          <w:jc w:val="center"/>
        </w:trPr>
        <w:tc>
          <w:tcPr>
            <w:tcW w:w="2234" w:type="dxa"/>
            <w:tcBorders>
              <w:top w:val="nil"/>
              <w:left w:val="nil"/>
              <w:bottom w:val="nil"/>
              <w:right w:val="nil"/>
            </w:tcBorders>
          </w:tcPr>
          <w:p w14:paraId="514269D3"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482" w:type="dxa"/>
            <w:tcBorders>
              <w:top w:val="nil"/>
              <w:left w:val="nil"/>
              <w:bottom w:val="nil"/>
              <w:right w:val="nil"/>
            </w:tcBorders>
          </w:tcPr>
          <w:p w14:paraId="7BE292D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0.147]*</w:t>
            </w:r>
            <w:proofErr w:type="gramEnd"/>
            <w:r w:rsidRPr="006B5978">
              <w:rPr>
                <w:rFonts w:cstheme="minorHAnsi"/>
                <w:sz w:val="22"/>
              </w:rPr>
              <w:t>*</w:t>
            </w:r>
          </w:p>
        </w:tc>
        <w:tc>
          <w:tcPr>
            <w:tcW w:w="1483" w:type="dxa"/>
            <w:tcBorders>
              <w:top w:val="nil"/>
              <w:left w:val="nil"/>
              <w:bottom w:val="nil"/>
              <w:right w:val="nil"/>
            </w:tcBorders>
          </w:tcPr>
          <w:p w14:paraId="3E288EC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0.115]*</w:t>
            </w:r>
            <w:proofErr w:type="gramEnd"/>
            <w:r w:rsidRPr="006B5978">
              <w:rPr>
                <w:rFonts w:cstheme="minorHAnsi"/>
                <w:sz w:val="22"/>
              </w:rPr>
              <w:t>*</w:t>
            </w:r>
          </w:p>
        </w:tc>
        <w:tc>
          <w:tcPr>
            <w:tcW w:w="1483" w:type="dxa"/>
            <w:tcBorders>
              <w:top w:val="nil"/>
              <w:left w:val="nil"/>
              <w:bottom w:val="nil"/>
              <w:right w:val="nil"/>
            </w:tcBorders>
          </w:tcPr>
          <w:p w14:paraId="34FB7E5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0.118]*</w:t>
            </w:r>
            <w:proofErr w:type="gramEnd"/>
            <w:r w:rsidRPr="006B5978">
              <w:rPr>
                <w:rFonts w:cstheme="minorHAnsi"/>
                <w:sz w:val="22"/>
              </w:rPr>
              <w:t>*</w:t>
            </w:r>
          </w:p>
        </w:tc>
        <w:tc>
          <w:tcPr>
            <w:tcW w:w="1483" w:type="dxa"/>
            <w:tcBorders>
              <w:top w:val="nil"/>
              <w:left w:val="nil"/>
              <w:bottom w:val="nil"/>
              <w:right w:val="nil"/>
            </w:tcBorders>
          </w:tcPr>
          <w:p w14:paraId="2F2A424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0.151]*</w:t>
            </w:r>
            <w:proofErr w:type="gramEnd"/>
            <w:r w:rsidRPr="006B5978">
              <w:rPr>
                <w:rFonts w:cstheme="minorHAnsi"/>
                <w:sz w:val="22"/>
              </w:rPr>
              <w:t>*</w:t>
            </w:r>
          </w:p>
        </w:tc>
        <w:tc>
          <w:tcPr>
            <w:tcW w:w="1483" w:type="dxa"/>
            <w:tcBorders>
              <w:top w:val="nil"/>
              <w:left w:val="nil"/>
              <w:bottom w:val="nil"/>
              <w:right w:val="nil"/>
            </w:tcBorders>
          </w:tcPr>
          <w:p w14:paraId="033D1E2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0.161]*</w:t>
            </w:r>
            <w:proofErr w:type="gramEnd"/>
            <w:r w:rsidRPr="006B5978">
              <w:rPr>
                <w:rFonts w:cstheme="minorHAnsi"/>
                <w:sz w:val="22"/>
              </w:rPr>
              <w:t>*</w:t>
            </w:r>
          </w:p>
        </w:tc>
      </w:tr>
      <w:tr w:rsidR="00B44672" w:rsidRPr="006B5978" w14:paraId="3B5022FA" w14:textId="77777777" w:rsidTr="004D2B7C">
        <w:trPr>
          <w:jc w:val="center"/>
        </w:trPr>
        <w:tc>
          <w:tcPr>
            <w:tcW w:w="2234" w:type="dxa"/>
            <w:tcBorders>
              <w:top w:val="nil"/>
              <w:left w:val="nil"/>
              <w:bottom w:val="nil"/>
              <w:right w:val="nil"/>
            </w:tcBorders>
          </w:tcPr>
          <w:p w14:paraId="59DE339E"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lastRenderedPageBreak/>
              <w:t>Time &amp; Suburb FE</w:t>
            </w:r>
          </w:p>
        </w:tc>
        <w:tc>
          <w:tcPr>
            <w:tcW w:w="1482" w:type="dxa"/>
            <w:tcBorders>
              <w:top w:val="nil"/>
              <w:left w:val="nil"/>
              <w:bottom w:val="nil"/>
              <w:right w:val="nil"/>
            </w:tcBorders>
          </w:tcPr>
          <w:p w14:paraId="3C6F26A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83" w:type="dxa"/>
            <w:tcBorders>
              <w:top w:val="nil"/>
              <w:left w:val="nil"/>
              <w:bottom w:val="nil"/>
              <w:right w:val="nil"/>
            </w:tcBorders>
          </w:tcPr>
          <w:p w14:paraId="0F2B21A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83" w:type="dxa"/>
            <w:tcBorders>
              <w:top w:val="nil"/>
              <w:left w:val="nil"/>
              <w:bottom w:val="nil"/>
              <w:right w:val="nil"/>
            </w:tcBorders>
          </w:tcPr>
          <w:p w14:paraId="04B79C2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83" w:type="dxa"/>
            <w:tcBorders>
              <w:top w:val="nil"/>
              <w:left w:val="nil"/>
              <w:bottom w:val="nil"/>
              <w:right w:val="nil"/>
            </w:tcBorders>
          </w:tcPr>
          <w:p w14:paraId="12ED4CE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83" w:type="dxa"/>
            <w:tcBorders>
              <w:top w:val="nil"/>
              <w:left w:val="nil"/>
              <w:bottom w:val="nil"/>
              <w:right w:val="nil"/>
            </w:tcBorders>
          </w:tcPr>
          <w:p w14:paraId="34ABBBC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r>
      <w:tr w:rsidR="00B44672" w:rsidRPr="006B5978" w14:paraId="6382F1F3" w14:textId="77777777" w:rsidTr="004D2B7C">
        <w:trPr>
          <w:jc w:val="center"/>
        </w:trPr>
        <w:tc>
          <w:tcPr>
            <w:tcW w:w="2234" w:type="dxa"/>
            <w:tcBorders>
              <w:top w:val="nil"/>
              <w:left w:val="nil"/>
              <w:bottom w:val="nil"/>
              <w:right w:val="nil"/>
            </w:tcBorders>
          </w:tcPr>
          <w:p w14:paraId="0C5AAE8F"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Observations</w:t>
            </w:r>
          </w:p>
        </w:tc>
        <w:tc>
          <w:tcPr>
            <w:tcW w:w="1482" w:type="dxa"/>
            <w:tcBorders>
              <w:top w:val="nil"/>
              <w:left w:val="nil"/>
              <w:bottom w:val="nil"/>
              <w:right w:val="nil"/>
            </w:tcBorders>
          </w:tcPr>
          <w:p w14:paraId="0DE7605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40,308</w:t>
            </w:r>
          </w:p>
        </w:tc>
        <w:tc>
          <w:tcPr>
            <w:tcW w:w="1483" w:type="dxa"/>
            <w:tcBorders>
              <w:top w:val="nil"/>
              <w:left w:val="nil"/>
              <w:bottom w:val="nil"/>
              <w:right w:val="nil"/>
            </w:tcBorders>
          </w:tcPr>
          <w:p w14:paraId="0067D2E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42,221</w:t>
            </w:r>
          </w:p>
        </w:tc>
        <w:tc>
          <w:tcPr>
            <w:tcW w:w="1483" w:type="dxa"/>
            <w:tcBorders>
              <w:top w:val="nil"/>
              <w:left w:val="nil"/>
              <w:bottom w:val="nil"/>
              <w:right w:val="nil"/>
            </w:tcBorders>
          </w:tcPr>
          <w:p w14:paraId="2A11E37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42,534</w:t>
            </w:r>
          </w:p>
        </w:tc>
        <w:tc>
          <w:tcPr>
            <w:tcW w:w="1483" w:type="dxa"/>
            <w:tcBorders>
              <w:top w:val="nil"/>
              <w:left w:val="nil"/>
              <w:bottom w:val="nil"/>
              <w:right w:val="nil"/>
            </w:tcBorders>
          </w:tcPr>
          <w:p w14:paraId="0B4F60D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41,947</w:t>
            </w:r>
          </w:p>
        </w:tc>
        <w:tc>
          <w:tcPr>
            <w:tcW w:w="1483" w:type="dxa"/>
            <w:tcBorders>
              <w:top w:val="nil"/>
              <w:left w:val="nil"/>
              <w:bottom w:val="nil"/>
              <w:right w:val="nil"/>
            </w:tcBorders>
          </w:tcPr>
          <w:p w14:paraId="7F43B4F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45,438</w:t>
            </w:r>
          </w:p>
        </w:tc>
      </w:tr>
      <w:tr w:rsidR="00B44672" w:rsidRPr="006B5978" w14:paraId="1560C1BA" w14:textId="77777777" w:rsidTr="004D2B7C">
        <w:trPr>
          <w:jc w:val="center"/>
        </w:trPr>
        <w:tc>
          <w:tcPr>
            <w:tcW w:w="2234" w:type="dxa"/>
            <w:tcBorders>
              <w:top w:val="nil"/>
              <w:left w:val="nil"/>
              <w:bottom w:val="nil"/>
              <w:right w:val="nil"/>
            </w:tcBorders>
          </w:tcPr>
          <w:p w14:paraId="3188DF5B"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Number of Suburbs</w:t>
            </w:r>
          </w:p>
        </w:tc>
        <w:tc>
          <w:tcPr>
            <w:tcW w:w="1482" w:type="dxa"/>
            <w:tcBorders>
              <w:top w:val="nil"/>
              <w:left w:val="nil"/>
              <w:bottom w:val="nil"/>
              <w:right w:val="nil"/>
            </w:tcBorders>
          </w:tcPr>
          <w:p w14:paraId="6AED64F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438</w:t>
            </w:r>
          </w:p>
        </w:tc>
        <w:tc>
          <w:tcPr>
            <w:tcW w:w="1483" w:type="dxa"/>
            <w:tcBorders>
              <w:top w:val="nil"/>
              <w:left w:val="nil"/>
              <w:bottom w:val="nil"/>
              <w:right w:val="nil"/>
            </w:tcBorders>
          </w:tcPr>
          <w:p w14:paraId="30487AA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434</w:t>
            </w:r>
          </w:p>
        </w:tc>
        <w:tc>
          <w:tcPr>
            <w:tcW w:w="1483" w:type="dxa"/>
            <w:tcBorders>
              <w:top w:val="nil"/>
              <w:left w:val="nil"/>
              <w:bottom w:val="nil"/>
              <w:right w:val="nil"/>
            </w:tcBorders>
          </w:tcPr>
          <w:p w14:paraId="679647C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445</w:t>
            </w:r>
          </w:p>
        </w:tc>
        <w:tc>
          <w:tcPr>
            <w:tcW w:w="1483" w:type="dxa"/>
            <w:tcBorders>
              <w:top w:val="nil"/>
              <w:left w:val="nil"/>
              <w:bottom w:val="nil"/>
              <w:right w:val="nil"/>
            </w:tcBorders>
          </w:tcPr>
          <w:p w14:paraId="0B4CD22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441</w:t>
            </w:r>
          </w:p>
        </w:tc>
        <w:tc>
          <w:tcPr>
            <w:tcW w:w="1483" w:type="dxa"/>
            <w:tcBorders>
              <w:top w:val="nil"/>
              <w:left w:val="nil"/>
              <w:bottom w:val="nil"/>
              <w:right w:val="nil"/>
            </w:tcBorders>
          </w:tcPr>
          <w:p w14:paraId="1D27A7E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499</w:t>
            </w:r>
          </w:p>
        </w:tc>
      </w:tr>
      <w:tr w:rsidR="00B44672" w:rsidRPr="006B5978" w14:paraId="535625E6" w14:textId="77777777" w:rsidTr="004D2B7C">
        <w:trPr>
          <w:jc w:val="center"/>
        </w:trPr>
        <w:tc>
          <w:tcPr>
            <w:tcW w:w="2234" w:type="dxa"/>
            <w:tcBorders>
              <w:top w:val="nil"/>
              <w:left w:val="nil"/>
              <w:bottom w:val="single" w:sz="6" w:space="0" w:color="auto"/>
              <w:right w:val="nil"/>
            </w:tcBorders>
          </w:tcPr>
          <w:p w14:paraId="3BF4C5A0"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Adj. R-squared</w:t>
            </w:r>
          </w:p>
        </w:tc>
        <w:tc>
          <w:tcPr>
            <w:tcW w:w="1482" w:type="dxa"/>
            <w:tcBorders>
              <w:top w:val="nil"/>
              <w:left w:val="nil"/>
              <w:bottom w:val="single" w:sz="6" w:space="0" w:color="auto"/>
              <w:right w:val="nil"/>
            </w:tcBorders>
          </w:tcPr>
          <w:p w14:paraId="384E68C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0.82</w:t>
            </w:r>
          </w:p>
        </w:tc>
        <w:tc>
          <w:tcPr>
            <w:tcW w:w="1483" w:type="dxa"/>
            <w:tcBorders>
              <w:top w:val="nil"/>
              <w:left w:val="nil"/>
              <w:bottom w:val="single" w:sz="6" w:space="0" w:color="auto"/>
              <w:right w:val="nil"/>
            </w:tcBorders>
          </w:tcPr>
          <w:p w14:paraId="3316C2C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0.81</w:t>
            </w:r>
          </w:p>
        </w:tc>
        <w:tc>
          <w:tcPr>
            <w:tcW w:w="1483" w:type="dxa"/>
            <w:tcBorders>
              <w:top w:val="nil"/>
              <w:left w:val="nil"/>
              <w:bottom w:val="single" w:sz="6" w:space="0" w:color="auto"/>
              <w:right w:val="nil"/>
            </w:tcBorders>
          </w:tcPr>
          <w:p w14:paraId="0B3C463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0.82</w:t>
            </w:r>
          </w:p>
        </w:tc>
        <w:tc>
          <w:tcPr>
            <w:tcW w:w="1483" w:type="dxa"/>
            <w:tcBorders>
              <w:top w:val="nil"/>
              <w:left w:val="nil"/>
              <w:bottom w:val="single" w:sz="6" w:space="0" w:color="auto"/>
              <w:right w:val="nil"/>
            </w:tcBorders>
          </w:tcPr>
          <w:p w14:paraId="225F26C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0.87</w:t>
            </w:r>
          </w:p>
        </w:tc>
        <w:tc>
          <w:tcPr>
            <w:tcW w:w="1483" w:type="dxa"/>
            <w:tcBorders>
              <w:top w:val="nil"/>
              <w:left w:val="nil"/>
              <w:bottom w:val="single" w:sz="6" w:space="0" w:color="auto"/>
              <w:right w:val="nil"/>
            </w:tcBorders>
          </w:tcPr>
          <w:p w14:paraId="375F052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0.87</w:t>
            </w:r>
          </w:p>
        </w:tc>
      </w:tr>
    </w:tbl>
    <w:p w14:paraId="2AF8DC3F" w14:textId="77777777" w:rsidR="00B44672" w:rsidRPr="006B5978" w:rsidRDefault="00B44672" w:rsidP="00F2339A">
      <w:pPr>
        <w:widowControl w:val="0"/>
        <w:autoSpaceDE w:val="0"/>
        <w:autoSpaceDN w:val="0"/>
        <w:adjustRightInd w:val="0"/>
        <w:spacing w:before="79" w:after="79"/>
        <w:jc w:val="center"/>
        <w:rPr>
          <w:rFonts w:cstheme="minorHAnsi"/>
          <w:sz w:val="22"/>
        </w:rPr>
      </w:pPr>
      <w:r w:rsidRPr="006B5978">
        <w:rPr>
          <w:rFonts w:cstheme="minorHAnsi"/>
          <w:sz w:val="22"/>
        </w:rPr>
        <w:t xml:space="preserve">* </w:t>
      </w:r>
      <w:r w:rsidRPr="006B5978">
        <w:rPr>
          <w:rFonts w:cstheme="minorHAnsi"/>
          <w:i/>
          <w:iCs/>
          <w:sz w:val="22"/>
        </w:rPr>
        <w:t>p</w:t>
      </w:r>
      <w:r w:rsidRPr="006B5978">
        <w:rPr>
          <w:rFonts w:cstheme="minorHAnsi"/>
          <w:sz w:val="22"/>
        </w:rPr>
        <w:t xml:space="preserve">&lt;0.05; ** </w:t>
      </w:r>
      <w:r w:rsidRPr="006B5978">
        <w:rPr>
          <w:rFonts w:cstheme="minorHAnsi"/>
          <w:i/>
          <w:iCs/>
          <w:sz w:val="22"/>
        </w:rPr>
        <w:t>p</w:t>
      </w:r>
      <w:r w:rsidRPr="006B5978">
        <w:rPr>
          <w:rFonts w:cstheme="minorHAnsi"/>
          <w:sz w:val="22"/>
        </w:rPr>
        <w:t>&lt;0.01</w:t>
      </w:r>
    </w:p>
    <w:p w14:paraId="282621BF" w14:textId="77777777" w:rsidR="00B44672" w:rsidRPr="00E20E98" w:rsidRDefault="00B44672" w:rsidP="00E20E98">
      <w:pPr>
        <w:jc w:val="center"/>
        <w:rPr>
          <w:i/>
        </w:rPr>
      </w:pPr>
    </w:p>
    <w:p w14:paraId="59E97374" w14:textId="5417C3E2" w:rsidR="00B44672" w:rsidRPr="00E20E98" w:rsidRDefault="00B44672" w:rsidP="00E20E98">
      <w:pPr>
        <w:pStyle w:val="Caption"/>
        <w:rPr>
          <w:rFonts w:ascii="Times New Roman" w:hAnsi="Times New Roman"/>
          <w:b/>
          <w:bCs/>
          <w:i w:val="0"/>
          <w:iCs/>
          <w:color w:val="365F91" w:themeColor="accent1" w:themeShade="BF"/>
        </w:rPr>
      </w:pPr>
      <w:bookmarkStart w:id="154" w:name="_Toc33121094"/>
      <w:r w:rsidRPr="00E20E98">
        <w:rPr>
          <w:b/>
          <w:bCs/>
          <w:color w:val="365F91" w:themeColor="accent1" w:themeShade="BF"/>
        </w:rPr>
        <w:t xml:space="preserve">Table </w:t>
      </w:r>
      <w:r w:rsidRPr="00E20E98">
        <w:rPr>
          <w:b/>
          <w:bCs/>
          <w:i w:val="0"/>
          <w:iCs/>
          <w:color w:val="365F91" w:themeColor="accent1" w:themeShade="BF"/>
        </w:rPr>
        <w:fldChar w:fldCharType="begin"/>
      </w:r>
      <w:r w:rsidRPr="00E20E98">
        <w:rPr>
          <w:b/>
          <w:bCs/>
          <w:color w:val="365F91" w:themeColor="accent1" w:themeShade="BF"/>
        </w:rPr>
        <w:instrText xml:space="preserve"> SEQ Table \* ARABIC </w:instrText>
      </w:r>
      <w:r w:rsidRPr="00E20E98">
        <w:rPr>
          <w:b/>
          <w:bCs/>
          <w:i w:val="0"/>
          <w:iCs/>
          <w:color w:val="365F91" w:themeColor="accent1" w:themeShade="BF"/>
        </w:rPr>
        <w:fldChar w:fldCharType="separate"/>
      </w:r>
      <w:r w:rsidR="00A763B6">
        <w:rPr>
          <w:b/>
          <w:bCs/>
          <w:noProof/>
          <w:color w:val="365F91" w:themeColor="accent1" w:themeShade="BF"/>
        </w:rPr>
        <w:t>35</w:t>
      </w:r>
      <w:r w:rsidRPr="00E20E98">
        <w:rPr>
          <w:b/>
          <w:bCs/>
          <w:i w:val="0"/>
          <w:iCs/>
          <w:color w:val="365F91" w:themeColor="accent1" w:themeShade="BF"/>
        </w:rPr>
        <w:fldChar w:fldCharType="end"/>
      </w:r>
      <w:r w:rsidRPr="00E20E98">
        <w:rPr>
          <w:b/>
          <w:bCs/>
          <w:color w:val="365F91" w:themeColor="accent1" w:themeShade="BF"/>
        </w:rPr>
        <w:t xml:space="preserve"> </w:t>
      </w:r>
      <w:r>
        <w:rPr>
          <w:b/>
          <w:bCs/>
          <w:color w:val="365F91" w:themeColor="accent1" w:themeShade="BF"/>
        </w:rPr>
        <w:t>(from main report)</w:t>
      </w:r>
      <w:r w:rsidRPr="00E20E98">
        <w:rPr>
          <w:b/>
          <w:bCs/>
          <w:color w:val="365F91" w:themeColor="accent1" w:themeShade="BF"/>
        </w:rPr>
        <w:t>- Tax reform effect on unit rental prices - quintile estimations in logs</w:t>
      </w:r>
      <w:bookmarkEnd w:id="154"/>
    </w:p>
    <w:tbl>
      <w:tblPr>
        <w:tblW w:w="0" w:type="auto"/>
        <w:jc w:val="center"/>
        <w:tblCellMar>
          <w:left w:w="144" w:type="dxa"/>
          <w:right w:w="144" w:type="dxa"/>
        </w:tblCellMar>
        <w:tblLook w:val="0000" w:firstRow="0" w:lastRow="0" w:firstColumn="0" w:lastColumn="0" w:noHBand="0" w:noVBand="0"/>
      </w:tblPr>
      <w:tblGrid>
        <w:gridCol w:w="2087"/>
        <w:gridCol w:w="1387"/>
        <w:gridCol w:w="1388"/>
        <w:gridCol w:w="1388"/>
        <w:gridCol w:w="1388"/>
        <w:gridCol w:w="1388"/>
      </w:tblGrid>
      <w:tr w:rsidR="00B44672" w:rsidRPr="006B5978" w14:paraId="534EC802" w14:textId="77777777" w:rsidTr="004D2B7C">
        <w:trPr>
          <w:jc w:val="center"/>
        </w:trPr>
        <w:tc>
          <w:tcPr>
            <w:tcW w:w="2234" w:type="dxa"/>
            <w:tcBorders>
              <w:top w:val="single" w:sz="6" w:space="0" w:color="auto"/>
              <w:left w:val="nil"/>
              <w:bottom w:val="nil"/>
              <w:right w:val="nil"/>
            </w:tcBorders>
          </w:tcPr>
          <w:p w14:paraId="6BFF0586" w14:textId="77777777" w:rsidR="00B44672" w:rsidRPr="006B5978" w:rsidRDefault="00B44672" w:rsidP="004D2B7C">
            <w:pPr>
              <w:widowControl w:val="0"/>
              <w:autoSpaceDE w:val="0"/>
              <w:autoSpaceDN w:val="0"/>
              <w:adjustRightInd w:val="0"/>
              <w:spacing w:before="79" w:after="0"/>
              <w:rPr>
                <w:rFonts w:cstheme="minorHAnsi"/>
                <w:sz w:val="22"/>
              </w:rPr>
            </w:pPr>
            <w:proofErr w:type="gramStart"/>
            <w:r w:rsidRPr="006B5978">
              <w:rPr>
                <w:rFonts w:cstheme="minorHAnsi"/>
                <w:sz w:val="22"/>
              </w:rPr>
              <w:t>Log(</w:t>
            </w:r>
            <w:proofErr w:type="gramEnd"/>
            <w:r w:rsidRPr="006B5978">
              <w:rPr>
                <w:rFonts w:cstheme="minorHAnsi"/>
                <w:sz w:val="22"/>
              </w:rPr>
              <w:t>Median Rent)</w:t>
            </w:r>
          </w:p>
        </w:tc>
        <w:tc>
          <w:tcPr>
            <w:tcW w:w="1482" w:type="dxa"/>
            <w:tcBorders>
              <w:top w:val="single" w:sz="6" w:space="0" w:color="auto"/>
              <w:left w:val="nil"/>
              <w:bottom w:val="nil"/>
              <w:right w:val="nil"/>
            </w:tcBorders>
          </w:tcPr>
          <w:p w14:paraId="3183E476"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(1)</w:t>
            </w:r>
          </w:p>
        </w:tc>
        <w:tc>
          <w:tcPr>
            <w:tcW w:w="1483" w:type="dxa"/>
            <w:tcBorders>
              <w:top w:val="single" w:sz="6" w:space="0" w:color="auto"/>
              <w:left w:val="nil"/>
              <w:bottom w:val="nil"/>
              <w:right w:val="nil"/>
            </w:tcBorders>
          </w:tcPr>
          <w:p w14:paraId="2BE0433B"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(2)</w:t>
            </w:r>
          </w:p>
        </w:tc>
        <w:tc>
          <w:tcPr>
            <w:tcW w:w="1483" w:type="dxa"/>
            <w:tcBorders>
              <w:top w:val="single" w:sz="6" w:space="0" w:color="auto"/>
              <w:left w:val="nil"/>
              <w:bottom w:val="nil"/>
              <w:right w:val="nil"/>
            </w:tcBorders>
          </w:tcPr>
          <w:p w14:paraId="55800965"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(3)</w:t>
            </w:r>
          </w:p>
        </w:tc>
        <w:tc>
          <w:tcPr>
            <w:tcW w:w="1483" w:type="dxa"/>
            <w:tcBorders>
              <w:top w:val="single" w:sz="6" w:space="0" w:color="auto"/>
              <w:left w:val="nil"/>
              <w:bottom w:val="nil"/>
              <w:right w:val="nil"/>
            </w:tcBorders>
          </w:tcPr>
          <w:p w14:paraId="2BF5552A"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(4)</w:t>
            </w:r>
          </w:p>
        </w:tc>
        <w:tc>
          <w:tcPr>
            <w:tcW w:w="1483" w:type="dxa"/>
            <w:tcBorders>
              <w:top w:val="single" w:sz="6" w:space="0" w:color="auto"/>
              <w:left w:val="nil"/>
              <w:bottom w:val="nil"/>
              <w:right w:val="nil"/>
            </w:tcBorders>
          </w:tcPr>
          <w:p w14:paraId="7DD0EE31" w14:textId="77777777" w:rsidR="00B44672" w:rsidRPr="006B5978" w:rsidRDefault="00B44672" w:rsidP="004D2B7C">
            <w:pPr>
              <w:widowControl w:val="0"/>
              <w:autoSpaceDE w:val="0"/>
              <w:autoSpaceDN w:val="0"/>
              <w:adjustRightInd w:val="0"/>
              <w:spacing w:before="79" w:after="0"/>
              <w:jc w:val="center"/>
              <w:rPr>
                <w:rFonts w:cstheme="minorHAnsi"/>
                <w:sz w:val="22"/>
              </w:rPr>
            </w:pPr>
            <w:r w:rsidRPr="006B5978">
              <w:rPr>
                <w:rFonts w:cstheme="minorHAnsi"/>
                <w:sz w:val="22"/>
              </w:rPr>
              <w:t>(5)</w:t>
            </w:r>
          </w:p>
        </w:tc>
      </w:tr>
      <w:tr w:rsidR="00B44672" w:rsidRPr="006B5978" w14:paraId="30A818CC" w14:textId="77777777" w:rsidTr="004D2B7C">
        <w:trPr>
          <w:jc w:val="center"/>
        </w:trPr>
        <w:tc>
          <w:tcPr>
            <w:tcW w:w="2234" w:type="dxa"/>
            <w:tcBorders>
              <w:top w:val="nil"/>
              <w:left w:val="nil"/>
              <w:bottom w:val="nil"/>
              <w:right w:val="nil"/>
            </w:tcBorders>
          </w:tcPr>
          <w:p w14:paraId="105BD876" w14:textId="77777777" w:rsidR="00B44672" w:rsidRPr="006B5978" w:rsidRDefault="00B44672" w:rsidP="004D2B7C">
            <w:pPr>
              <w:widowControl w:val="0"/>
              <w:autoSpaceDE w:val="0"/>
              <w:autoSpaceDN w:val="0"/>
              <w:adjustRightInd w:val="0"/>
              <w:spacing w:after="79"/>
              <w:rPr>
                <w:rFonts w:cstheme="minorHAnsi"/>
                <w:sz w:val="22"/>
              </w:rPr>
            </w:pPr>
          </w:p>
        </w:tc>
        <w:tc>
          <w:tcPr>
            <w:tcW w:w="1482" w:type="dxa"/>
            <w:tcBorders>
              <w:top w:val="nil"/>
              <w:left w:val="nil"/>
              <w:bottom w:val="nil"/>
              <w:right w:val="nil"/>
            </w:tcBorders>
          </w:tcPr>
          <w:p w14:paraId="2E8BD147"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 xml:space="preserve"> 1st Quintile</w:t>
            </w:r>
          </w:p>
        </w:tc>
        <w:tc>
          <w:tcPr>
            <w:tcW w:w="1483" w:type="dxa"/>
            <w:tcBorders>
              <w:top w:val="nil"/>
              <w:left w:val="nil"/>
              <w:bottom w:val="nil"/>
              <w:right w:val="nil"/>
            </w:tcBorders>
          </w:tcPr>
          <w:p w14:paraId="44E8634A"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 xml:space="preserve"> 2nd Quintile</w:t>
            </w:r>
          </w:p>
        </w:tc>
        <w:tc>
          <w:tcPr>
            <w:tcW w:w="1483" w:type="dxa"/>
            <w:tcBorders>
              <w:top w:val="nil"/>
              <w:left w:val="nil"/>
              <w:bottom w:val="nil"/>
              <w:right w:val="nil"/>
            </w:tcBorders>
          </w:tcPr>
          <w:p w14:paraId="2235E733"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 xml:space="preserve"> 3rd Quintile</w:t>
            </w:r>
          </w:p>
        </w:tc>
        <w:tc>
          <w:tcPr>
            <w:tcW w:w="1483" w:type="dxa"/>
            <w:tcBorders>
              <w:top w:val="nil"/>
              <w:left w:val="nil"/>
              <w:bottom w:val="nil"/>
              <w:right w:val="nil"/>
            </w:tcBorders>
          </w:tcPr>
          <w:p w14:paraId="08F356CA"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 xml:space="preserve"> 4th Quintile</w:t>
            </w:r>
          </w:p>
        </w:tc>
        <w:tc>
          <w:tcPr>
            <w:tcW w:w="1483" w:type="dxa"/>
            <w:tcBorders>
              <w:top w:val="nil"/>
              <w:left w:val="nil"/>
              <w:bottom w:val="nil"/>
              <w:right w:val="nil"/>
            </w:tcBorders>
          </w:tcPr>
          <w:p w14:paraId="7A552CE4" w14:textId="77777777" w:rsidR="00B44672" w:rsidRPr="006B5978" w:rsidRDefault="00B44672" w:rsidP="004D2B7C">
            <w:pPr>
              <w:widowControl w:val="0"/>
              <w:autoSpaceDE w:val="0"/>
              <w:autoSpaceDN w:val="0"/>
              <w:adjustRightInd w:val="0"/>
              <w:spacing w:after="79"/>
              <w:jc w:val="center"/>
              <w:rPr>
                <w:rFonts w:cstheme="minorHAnsi"/>
                <w:sz w:val="22"/>
              </w:rPr>
            </w:pPr>
            <w:r w:rsidRPr="006B5978">
              <w:rPr>
                <w:rFonts w:cstheme="minorHAnsi"/>
                <w:sz w:val="22"/>
              </w:rPr>
              <w:t xml:space="preserve"> 5th Quintile</w:t>
            </w:r>
          </w:p>
        </w:tc>
      </w:tr>
      <w:tr w:rsidR="00B44672" w:rsidRPr="006B5978" w14:paraId="4D3941D4" w14:textId="77777777" w:rsidTr="004D2B7C">
        <w:trPr>
          <w:jc w:val="center"/>
        </w:trPr>
        <w:tc>
          <w:tcPr>
            <w:tcW w:w="2234" w:type="dxa"/>
            <w:tcBorders>
              <w:top w:val="single" w:sz="6" w:space="0" w:color="auto"/>
              <w:left w:val="nil"/>
              <w:bottom w:val="nil"/>
              <w:right w:val="nil"/>
            </w:tcBorders>
          </w:tcPr>
          <w:p w14:paraId="3BCC083A"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Reform Dummy</w:t>
            </w:r>
          </w:p>
        </w:tc>
        <w:tc>
          <w:tcPr>
            <w:tcW w:w="1482" w:type="dxa"/>
            <w:tcBorders>
              <w:top w:val="single" w:sz="6" w:space="0" w:color="auto"/>
              <w:left w:val="nil"/>
              <w:bottom w:val="nil"/>
              <w:right w:val="nil"/>
            </w:tcBorders>
          </w:tcPr>
          <w:p w14:paraId="1D6462C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-0.130</w:t>
            </w:r>
          </w:p>
        </w:tc>
        <w:tc>
          <w:tcPr>
            <w:tcW w:w="1483" w:type="dxa"/>
            <w:tcBorders>
              <w:top w:val="single" w:sz="6" w:space="0" w:color="auto"/>
              <w:left w:val="nil"/>
              <w:bottom w:val="nil"/>
              <w:right w:val="nil"/>
            </w:tcBorders>
          </w:tcPr>
          <w:p w14:paraId="2F2F221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-0.119</w:t>
            </w:r>
          </w:p>
        </w:tc>
        <w:tc>
          <w:tcPr>
            <w:tcW w:w="1483" w:type="dxa"/>
            <w:tcBorders>
              <w:top w:val="single" w:sz="6" w:space="0" w:color="auto"/>
              <w:left w:val="nil"/>
              <w:bottom w:val="nil"/>
              <w:right w:val="nil"/>
            </w:tcBorders>
          </w:tcPr>
          <w:p w14:paraId="3E3CDC5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-0.118</w:t>
            </w:r>
          </w:p>
        </w:tc>
        <w:tc>
          <w:tcPr>
            <w:tcW w:w="1483" w:type="dxa"/>
            <w:tcBorders>
              <w:top w:val="single" w:sz="6" w:space="0" w:color="auto"/>
              <w:left w:val="nil"/>
              <w:bottom w:val="nil"/>
              <w:right w:val="nil"/>
            </w:tcBorders>
          </w:tcPr>
          <w:p w14:paraId="3FDD268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-0.047</w:t>
            </w:r>
          </w:p>
        </w:tc>
        <w:tc>
          <w:tcPr>
            <w:tcW w:w="1483" w:type="dxa"/>
            <w:tcBorders>
              <w:top w:val="single" w:sz="6" w:space="0" w:color="auto"/>
              <w:left w:val="nil"/>
              <w:bottom w:val="nil"/>
              <w:right w:val="nil"/>
            </w:tcBorders>
          </w:tcPr>
          <w:p w14:paraId="221CFD9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0.026</w:t>
            </w:r>
          </w:p>
        </w:tc>
      </w:tr>
      <w:tr w:rsidR="00B44672" w:rsidRPr="006B5978" w14:paraId="38BBF7C4" w14:textId="77777777" w:rsidTr="004D2B7C">
        <w:trPr>
          <w:jc w:val="center"/>
        </w:trPr>
        <w:tc>
          <w:tcPr>
            <w:tcW w:w="2234" w:type="dxa"/>
            <w:tcBorders>
              <w:top w:val="nil"/>
              <w:left w:val="nil"/>
              <w:bottom w:val="nil"/>
              <w:right w:val="nil"/>
            </w:tcBorders>
          </w:tcPr>
          <w:p w14:paraId="289F2FCB"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482" w:type="dxa"/>
            <w:tcBorders>
              <w:top w:val="nil"/>
              <w:left w:val="nil"/>
              <w:bottom w:val="nil"/>
              <w:right w:val="nil"/>
            </w:tcBorders>
          </w:tcPr>
          <w:p w14:paraId="7DF9470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0.037]*</w:t>
            </w:r>
            <w:proofErr w:type="gramEnd"/>
            <w:r w:rsidRPr="006B5978">
              <w:rPr>
                <w:rFonts w:cstheme="minorHAnsi"/>
                <w:sz w:val="22"/>
              </w:rPr>
              <w:t>*</w:t>
            </w:r>
          </w:p>
        </w:tc>
        <w:tc>
          <w:tcPr>
            <w:tcW w:w="1483" w:type="dxa"/>
            <w:tcBorders>
              <w:top w:val="nil"/>
              <w:left w:val="nil"/>
              <w:bottom w:val="nil"/>
              <w:right w:val="nil"/>
            </w:tcBorders>
          </w:tcPr>
          <w:p w14:paraId="5F27A26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0.023]*</w:t>
            </w:r>
            <w:proofErr w:type="gramEnd"/>
            <w:r w:rsidRPr="006B5978">
              <w:rPr>
                <w:rFonts w:cstheme="minorHAnsi"/>
                <w:sz w:val="22"/>
              </w:rPr>
              <w:t>*</w:t>
            </w:r>
          </w:p>
        </w:tc>
        <w:tc>
          <w:tcPr>
            <w:tcW w:w="1483" w:type="dxa"/>
            <w:tcBorders>
              <w:top w:val="nil"/>
              <w:left w:val="nil"/>
              <w:bottom w:val="nil"/>
              <w:right w:val="nil"/>
            </w:tcBorders>
          </w:tcPr>
          <w:p w14:paraId="0E8F0E3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0.017]*</w:t>
            </w:r>
            <w:proofErr w:type="gramEnd"/>
            <w:r w:rsidRPr="006B5978">
              <w:rPr>
                <w:rFonts w:cstheme="minorHAnsi"/>
                <w:sz w:val="22"/>
              </w:rPr>
              <w:t>*</w:t>
            </w:r>
          </w:p>
        </w:tc>
        <w:tc>
          <w:tcPr>
            <w:tcW w:w="1483" w:type="dxa"/>
            <w:tcBorders>
              <w:top w:val="nil"/>
              <w:left w:val="nil"/>
              <w:bottom w:val="nil"/>
              <w:right w:val="nil"/>
            </w:tcBorders>
          </w:tcPr>
          <w:p w14:paraId="2121D716"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0.018]*</w:t>
            </w:r>
            <w:proofErr w:type="gramEnd"/>
            <w:r w:rsidRPr="006B5978">
              <w:rPr>
                <w:rFonts w:cstheme="minorHAnsi"/>
                <w:sz w:val="22"/>
              </w:rPr>
              <w:t>*</w:t>
            </w:r>
          </w:p>
        </w:tc>
        <w:tc>
          <w:tcPr>
            <w:tcW w:w="1483" w:type="dxa"/>
            <w:tcBorders>
              <w:top w:val="nil"/>
              <w:left w:val="nil"/>
              <w:bottom w:val="nil"/>
              <w:right w:val="nil"/>
            </w:tcBorders>
          </w:tcPr>
          <w:p w14:paraId="2A451ED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[0.017]</w:t>
            </w:r>
          </w:p>
        </w:tc>
      </w:tr>
      <w:tr w:rsidR="00B44672" w:rsidRPr="006B5978" w14:paraId="1299BA2C" w14:textId="77777777" w:rsidTr="004D2B7C">
        <w:trPr>
          <w:jc w:val="center"/>
        </w:trPr>
        <w:tc>
          <w:tcPr>
            <w:tcW w:w="2234" w:type="dxa"/>
            <w:tcBorders>
              <w:top w:val="nil"/>
              <w:left w:val="nil"/>
              <w:bottom w:val="nil"/>
              <w:right w:val="nil"/>
            </w:tcBorders>
          </w:tcPr>
          <w:p w14:paraId="1E1CEAC1"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Income)</w:t>
            </w:r>
          </w:p>
        </w:tc>
        <w:tc>
          <w:tcPr>
            <w:tcW w:w="1482" w:type="dxa"/>
            <w:tcBorders>
              <w:top w:val="nil"/>
              <w:left w:val="nil"/>
              <w:bottom w:val="nil"/>
              <w:right w:val="nil"/>
            </w:tcBorders>
          </w:tcPr>
          <w:p w14:paraId="5666ABB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1.048</w:t>
            </w:r>
          </w:p>
        </w:tc>
        <w:tc>
          <w:tcPr>
            <w:tcW w:w="1483" w:type="dxa"/>
            <w:tcBorders>
              <w:top w:val="nil"/>
              <w:left w:val="nil"/>
              <w:bottom w:val="nil"/>
              <w:right w:val="nil"/>
            </w:tcBorders>
          </w:tcPr>
          <w:p w14:paraId="3BD5FE1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1.118</w:t>
            </w:r>
          </w:p>
        </w:tc>
        <w:tc>
          <w:tcPr>
            <w:tcW w:w="1483" w:type="dxa"/>
            <w:tcBorders>
              <w:top w:val="nil"/>
              <w:left w:val="nil"/>
              <w:bottom w:val="nil"/>
              <w:right w:val="nil"/>
            </w:tcBorders>
          </w:tcPr>
          <w:p w14:paraId="1B80BEAD"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1.423</w:t>
            </w:r>
          </w:p>
        </w:tc>
        <w:tc>
          <w:tcPr>
            <w:tcW w:w="1483" w:type="dxa"/>
            <w:tcBorders>
              <w:top w:val="nil"/>
              <w:left w:val="nil"/>
              <w:bottom w:val="nil"/>
              <w:right w:val="nil"/>
            </w:tcBorders>
          </w:tcPr>
          <w:p w14:paraId="351FA6E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1.405</w:t>
            </w:r>
          </w:p>
        </w:tc>
        <w:tc>
          <w:tcPr>
            <w:tcW w:w="1483" w:type="dxa"/>
            <w:tcBorders>
              <w:top w:val="nil"/>
              <w:left w:val="nil"/>
              <w:bottom w:val="nil"/>
              <w:right w:val="nil"/>
            </w:tcBorders>
          </w:tcPr>
          <w:p w14:paraId="1A538EC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2.242</w:t>
            </w:r>
          </w:p>
        </w:tc>
      </w:tr>
      <w:tr w:rsidR="00B44672" w:rsidRPr="006B5978" w14:paraId="67033701" w14:textId="77777777" w:rsidTr="004D2B7C">
        <w:trPr>
          <w:jc w:val="center"/>
        </w:trPr>
        <w:tc>
          <w:tcPr>
            <w:tcW w:w="2234" w:type="dxa"/>
            <w:tcBorders>
              <w:top w:val="nil"/>
              <w:left w:val="nil"/>
              <w:bottom w:val="nil"/>
              <w:right w:val="nil"/>
            </w:tcBorders>
          </w:tcPr>
          <w:p w14:paraId="2E87D4D8"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482" w:type="dxa"/>
            <w:tcBorders>
              <w:top w:val="nil"/>
              <w:left w:val="nil"/>
              <w:bottom w:val="nil"/>
              <w:right w:val="nil"/>
            </w:tcBorders>
          </w:tcPr>
          <w:p w14:paraId="2BFD386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0.140]*</w:t>
            </w:r>
            <w:proofErr w:type="gramEnd"/>
            <w:r w:rsidRPr="006B5978">
              <w:rPr>
                <w:rFonts w:cstheme="minorHAnsi"/>
                <w:sz w:val="22"/>
              </w:rPr>
              <w:t>*</w:t>
            </w:r>
          </w:p>
        </w:tc>
        <w:tc>
          <w:tcPr>
            <w:tcW w:w="1483" w:type="dxa"/>
            <w:tcBorders>
              <w:top w:val="nil"/>
              <w:left w:val="nil"/>
              <w:bottom w:val="nil"/>
              <w:right w:val="nil"/>
            </w:tcBorders>
          </w:tcPr>
          <w:p w14:paraId="2C69FB1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0.105]*</w:t>
            </w:r>
            <w:proofErr w:type="gramEnd"/>
            <w:r w:rsidRPr="006B5978">
              <w:rPr>
                <w:rFonts w:cstheme="minorHAnsi"/>
                <w:sz w:val="22"/>
              </w:rPr>
              <w:t>*</w:t>
            </w:r>
          </w:p>
        </w:tc>
        <w:tc>
          <w:tcPr>
            <w:tcW w:w="1483" w:type="dxa"/>
            <w:tcBorders>
              <w:top w:val="nil"/>
              <w:left w:val="nil"/>
              <w:bottom w:val="nil"/>
              <w:right w:val="nil"/>
            </w:tcBorders>
          </w:tcPr>
          <w:p w14:paraId="78D2B79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0.128]*</w:t>
            </w:r>
            <w:proofErr w:type="gramEnd"/>
            <w:r w:rsidRPr="006B5978">
              <w:rPr>
                <w:rFonts w:cstheme="minorHAnsi"/>
                <w:sz w:val="22"/>
              </w:rPr>
              <w:t>*</w:t>
            </w:r>
          </w:p>
        </w:tc>
        <w:tc>
          <w:tcPr>
            <w:tcW w:w="1483" w:type="dxa"/>
            <w:tcBorders>
              <w:top w:val="nil"/>
              <w:left w:val="nil"/>
              <w:bottom w:val="nil"/>
              <w:right w:val="nil"/>
            </w:tcBorders>
          </w:tcPr>
          <w:p w14:paraId="46D9D699"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0.126]*</w:t>
            </w:r>
            <w:proofErr w:type="gramEnd"/>
            <w:r w:rsidRPr="006B5978">
              <w:rPr>
                <w:rFonts w:cstheme="minorHAnsi"/>
                <w:sz w:val="22"/>
              </w:rPr>
              <w:t>*</w:t>
            </w:r>
          </w:p>
        </w:tc>
        <w:tc>
          <w:tcPr>
            <w:tcW w:w="1483" w:type="dxa"/>
            <w:tcBorders>
              <w:top w:val="nil"/>
              <w:left w:val="nil"/>
              <w:bottom w:val="nil"/>
              <w:right w:val="nil"/>
            </w:tcBorders>
          </w:tcPr>
          <w:p w14:paraId="2E0A950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0.205]*</w:t>
            </w:r>
            <w:proofErr w:type="gramEnd"/>
            <w:r w:rsidRPr="006B5978">
              <w:rPr>
                <w:rFonts w:cstheme="minorHAnsi"/>
                <w:sz w:val="22"/>
              </w:rPr>
              <w:t>*</w:t>
            </w:r>
          </w:p>
        </w:tc>
      </w:tr>
      <w:tr w:rsidR="00B44672" w:rsidRPr="006B5978" w14:paraId="0861657A" w14:textId="77777777" w:rsidTr="004D2B7C">
        <w:trPr>
          <w:jc w:val="center"/>
        </w:trPr>
        <w:tc>
          <w:tcPr>
            <w:tcW w:w="2234" w:type="dxa"/>
            <w:tcBorders>
              <w:top w:val="nil"/>
              <w:left w:val="nil"/>
              <w:bottom w:val="nil"/>
              <w:right w:val="nil"/>
            </w:tcBorders>
          </w:tcPr>
          <w:p w14:paraId="016213EF" w14:textId="77777777" w:rsidR="00B44672" w:rsidRPr="006B5978" w:rsidRDefault="00B44672" w:rsidP="004D2B7C">
            <w:pPr>
              <w:widowControl w:val="0"/>
              <w:autoSpaceDE w:val="0"/>
              <w:autoSpaceDN w:val="0"/>
              <w:adjustRightInd w:val="0"/>
              <w:spacing w:after="0"/>
              <w:rPr>
                <w:rFonts w:cstheme="minorHAnsi"/>
                <w:sz w:val="22"/>
              </w:rPr>
            </w:pPr>
            <w:proofErr w:type="gramStart"/>
            <w:r w:rsidRPr="006B5978">
              <w:rPr>
                <w:rFonts w:cstheme="minorHAnsi"/>
                <w:sz w:val="22"/>
              </w:rPr>
              <w:t>Log(</w:t>
            </w:r>
            <w:proofErr w:type="gramEnd"/>
            <w:r w:rsidRPr="006B5978">
              <w:rPr>
                <w:rFonts w:cstheme="minorHAnsi"/>
                <w:sz w:val="22"/>
              </w:rPr>
              <w:t>Population)</w:t>
            </w:r>
          </w:p>
        </w:tc>
        <w:tc>
          <w:tcPr>
            <w:tcW w:w="1482" w:type="dxa"/>
            <w:tcBorders>
              <w:top w:val="nil"/>
              <w:left w:val="nil"/>
              <w:bottom w:val="nil"/>
              <w:right w:val="nil"/>
            </w:tcBorders>
          </w:tcPr>
          <w:p w14:paraId="2AA360E3"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1.289</w:t>
            </w:r>
          </w:p>
        </w:tc>
        <w:tc>
          <w:tcPr>
            <w:tcW w:w="1483" w:type="dxa"/>
            <w:tcBorders>
              <w:top w:val="nil"/>
              <w:left w:val="nil"/>
              <w:bottom w:val="nil"/>
              <w:right w:val="nil"/>
            </w:tcBorders>
          </w:tcPr>
          <w:p w14:paraId="58C8AC9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1.222</w:t>
            </w:r>
          </w:p>
        </w:tc>
        <w:tc>
          <w:tcPr>
            <w:tcW w:w="1483" w:type="dxa"/>
            <w:tcBorders>
              <w:top w:val="nil"/>
              <w:left w:val="nil"/>
              <w:bottom w:val="nil"/>
              <w:right w:val="nil"/>
            </w:tcBorders>
          </w:tcPr>
          <w:p w14:paraId="2593320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0.741</w:t>
            </w:r>
          </w:p>
        </w:tc>
        <w:tc>
          <w:tcPr>
            <w:tcW w:w="1483" w:type="dxa"/>
            <w:tcBorders>
              <w:top w:val="nil"/>
              <w:left w:val="nil"/>
              <w:bottom w:val="nil"/>
              <w:right w:val="nil"/>
            </w:tcBorders>
          </w:tcPr>
          <w:p w14:paraId="1AF32C0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0.766</w:t>
            </w:r>
          </w:p>
        </w:tc>
        <w:tc>
          <w:tcPr>
            <w:tcW w:w="1483" w:type="dxa"/>
            <w:tcBorders>
              <w:top w:val="nil"/>
              <w:left w:val="nil"/>
              <w:bottom w:val="nil"/>
              <w:right w:val="nil"/>
            </w:tcBorders>
          </w:tcPr>
          <w:p w14:paraId="7DED018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1.117</w:t>
            </w:r>
          </w:p>
        </w:tc>
      </w:tr>
      <w:tr w:rsidR="00B44672" w:rsidRPr="006B5978" w14:paraId="1E38C044" w14:textId="77777777" w:rsidTr="004D2B7C">
        <w:trPr>
          <w:jc w:val="center"/>
        </w:trPr>
        <w:tc>
          <w:tcPr>
            <w:tcW w:w="2234" w:type="dxa"/>
            <w:tcBorders>
              <w:top w:val="nil"/>
              <w:left w:val="nil"/>
              <w:bottom w:val="nil"/>
              <w:right w:val="nil"/>
            </w:tcBorders>
          </w:tcPr>
          <w:p w14:paraId="1B7EB87D" w14:textId="77777777" w:rsidR="00B44672" w:rsidRPr="006B5978" w:rsidRDefault="00B44672" w:rsidP="004D2B7C">
            <w:pPr>
              <w:widowControl w:val="0"/>
              <w:autoSpaceDE w:val="0"/>
              <w:autoSpaceDN w:val="0"/>
              <w:adjustRightInd w:val="0"/>
              <w:spacing w:after="0"/>
              <w:rPr>
                <w:rFonts w:cstheme="minorHAnsi"/>
                <w:sz w:val="22"/>
              </w:rPr>
            </w:pPr>
            <w:r>
              <w:rPr>
                <w:rFonts w:cstheme="minorHAnsi"/>
                <w:sz w:val="22"/>
              </w:rPr>
              <w:t>Standard error</w:t>
            </w:r>
          </w:p>
        </w:tc>
        <w:tc>
          <w:tcPr>
            <w:tcW w:w="1482" w:type="dxa"/>
            <w:tcBorders>
              <w:top w:val="nil"/>
              <w:left w:val="nil"/>
              <w:bottom w:val="nil"/>
              <w:right w:val="nil"/>
            </w:tcBorders>
          </w:tcPr>
          <w:p w14:paraId="67784B9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0.237]*</w:t>
            </w:r>
            <w:proofErr w:type="gramEnd"/>
            <w:r w:rsidRPr="006B5978">
              <w:rPr>
                <w:rFonts w:cstheme="minorHAnsi"/>
                <w:sz w:val="22"/>
              </w:rPr>
              <w:t>*</w:t>
            </w:r>
          </w:p>
        </w:tc>
        <w:tc>
          <w:tcPr>
            <w:tcW w:w="1483" w:type="dxa"/>
            <w:tcBorders>
              <w:top w:val="nil"/>
              <w:left w:val="nil"/>
              <w:bottom w:val="nil"/>
              <w:right w:val="nil"/>
            </w:tcBorders>
          </w:tcPr>
          <w:p w14:paraId="0CF95BF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0.233]*</w:t>
            </w:r>
            <w:proofErr w:type="gramEnd"/>
            <w:r w:rsidRPr="006B5978">
              <w:rPr>
                <w:rFonts w:cstheme="minorHAnsi"/>
                <w:sz w:val="22"/>
              </w:rPr>
              <w:t>*</w:t>
            </w:r>
          </w:p>
        </w:tc>
        <w:tc>
          <w:tcPr>
            <w:tcW w:w="1483" w:type="dxa"/>
            <w:tcBorders>
              <w:top w:val="nil"/>
              <w:left w:val="nil"/>
              <w:bottom w:val="nil"/>
              <w:right w:val="nil"/>
            </w:tcBorders>
          </w:tcPr>
          <w:p w14:paraId="554ADB3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0.236]*</w:t>
            </w:r>
            <w:proofErr w:type="gramEnd"/>
            <w:r w:rsidRPr="006B5978">
              <w:rPr>
                <w:rFonts w:cstheme="minorHAnsi"/>
                <w:sz w:val="22"/>
              </w:rPr>
              <w:t>*</w:t>
            </w:r>
          </w:p>
        </w:tc>
        <w:tc>
          <w:tcPr>
            <w:tcW w:w="1483" w:type="dxa"/>
            <w:tcBorders>
              <w:top w:val="nil"/>
              <w:left w:val="nil"/>
              <w:bottom w:val="nil"/>
              <w:right w:val="nil"/>
            </w:tcBorders>
          </w:tcPr>
          <w:p w14:paraId="33C8B2C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0.218]*</w:t>
            </w:r>
            <w:proofErr w:type="gramEnd"/>
            <w:r w:rsidRPr="006B5978">
              <w:rPr>
                <w:rFonts w:cstheme="minorHAnsi"/>
                <w:sz w:val="22"/>
              </w:rPr>
              <w:t>*</w:t>
            </w:r>
          </w:p>
        </w:tc>
        <w:tc>
          <w:tcPr>
            <w:tcW w:w="1483" w:type="dxa"/>
            <w:tcBorders>
              <w:top w:val="nil"/>
              <w:left w:val="nil"/>
              <w:bottom w:val="nil"/>
              <w:right w:val="nil"/>
            </w:tcBorders>
          </w:tcPr>
          <w:p w14:paraId="3580834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w:t>
            </w:r>
            <w:proofErr w:type="gramStart"/>
            <w:r w:rsidRPr="006B5978">
              <w:rPr>
                <w:rFonts w:cstheme="minorHAnsi"/>
                <w:sz w:val="22"/>
              </w:rPr>
              <w:t>0.241]*</w:t>
            </w:r>
            <w:proofErr w:type="gramEnd"/>
            <w:r w:rsidRPr="006B5978">
              <w:rPr>
                <w:rFonts w:cstheme="minorHAnsi"/>
                <w:sz w:val="22"/>
              </w:rPr>
              <w:t>*</w:t>
            </w:r>
          </w:p>
        </w:tc>
      </w:tr>
      <w:tr w:rsidR="00B44672" w:rsidRPr="006B5978" w14:paraId="028E73AF" w14:textId="77777777" w:rsidTr="004D2B7C">
        <w:trPr>
          <w:jc w:val="center"/>
        </w:trPr>
        <w:tc>
          <w:tcPr>
            <w:tcW w:w="2234" w:type="dxa"/>
            <w:tcBorders>
              <w:top w:val="nil"/>
              <w:left w:val="nil"/>
              <w:bottom w:val="nil"/>
              <w:right w:val="nil"/>
            </w:tcBorders>
          </w:tcPr>
          <w:p w14:paraId="0234AE26"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Time &amp; Suburb FE</w:t>
            </w:r>
          </w:p>
        </w:tc>
        <w:tc>
          <w:tcPr>
            <w:tcW w:w="1482" w:type="dxa"/>
            <w:tcBorders>
              <w:top w:val="nil"/>
              <w:left w:val="nil"/>
              <w:bottom w:val="nil"/>
              <w:right w:val="nil"/>
            </w:tcBorders>
          </w:tcPr>
          <w:p w14:paraId="3A09992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83" w:type="dxa"/>
            <w:tcBorders>
              <w:top w:val="nil"/>
              <w:left w:val="nil"/>
              <w:bottom w:val="nil"/>
              <w:right w:val="nil"/>
            </w:tcBorders>
          </w:tcPr>
          <w:p w14:paraId="1D466E7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83" w:type="dxa"/>
            <w:tcBorders>
              <w:top w:val="nil"/>
              <w:left w:val="nil"/>
              <w:bottom w:val="nil"/>
              <w:right w:val="nil"/>
            </w:tcBorders>
          </w:tcPr>
          <w:p w14:paraId="3208227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83" w:type="dxa"/>
            <w:tcBorders>
              <w:top w:val="nil"/>
              <w:left w:val="nil"/>
              <w:bottom w:val="nil"/>
              <w:right w:val="nil"/>
            </w:tcBorders>
          </w:tcPr>
          <w:p w14:paraId="7D1F369F"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c>
          <w:tcPr>
            <w:tcW w:w="1483" w:type="dxa"/>
            <w:tcBorders>
              <w:top w:val="nil"/>
              <w:left w:val="nil"/>
              <w:bottom w:val="nil"/>
              <w:right w:val="nil"/>
            </w:tcBorders>
          </w:tcPr>
          <w:p w14:paraId="317F7A9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YES</w:t>
            </w:r>
          </w:p>
        </w:tc>
      </w:tr>
      <w:tr w:rsidR="00B44672" w:rsidRPr="006B5978" w14:paraId="19F5B3A5" w14:textId="77777777" w:rsidTr="004D2B7C">
        <w:trPr>
          <w:jc w:val="center"/>
        </w:trPr>
        <w:tc>
          <w:tcPr>
            <w:tcW w:w="2234" w:type="dxa"/>
            <w:tcBorders>
              <w:top w:val="nil"/>
              <w:left w:val="nil"/>
              <w:bottom w:val="nil"/>
              <w:right w:val="nil"/>
            </w:tcBorders>
          </w:tcPr>
          <w:p w14:paraId="2DF8B3FA"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Observations</w:t>
            </w:r>
          </w:p>
        </w:tc>
        <w:tc>
          <w:tcPr>
            <w:tcW w:w="1482" w:type="dxa"/>
            <w:tcBorders>
              <w:top w:val="nil"/>
              <w:left w:val="nil"/>
              <w:bottom w:val="nil"/>
              <w:right w:val="nil"/>
            </w:tcBorders>
          </w:tcPr>
          <w:p w14:paraId="391D488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18,335</w:t>
            </w:r>
          </w:p>
        </w:tc>
        <w:tc>
          <w:tcPr>
            <w:tcW w:w="1483" w:type="dxa"/>
            <w:tcBorders>
              <w:top w:val="nil"/>
              <w:left w:val="nil"/>
              <w:bottom w:val="nil"/>
              <w:right w:val="nil"/>
            </w:tcBorders>
          </w:tcPr>
          <w:p w14:paraId="33743132"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21,124</w:t>
            </w:r>
          </w:p>
        </w:tc>
        <w:tc>
          <w:tcPr>
            <w:tcW w:w="1483" w:type="dxa"/>
            <w:tcBorders>
              <w:top w:val="nil"/>
              <w:left w:val="nil"/>
              <w:bottom w:val="nil"/>
              <w:right w:val="nil"/>
            </w:tcBorders>
          </w:tcPr>
          <w:p w14:paraId="0B900FF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19,485</w:t>
            </w:r>
          </w:p>
        </w:tc>
        <w:tc>
          <w:tcPr>
            <w:tcW w:w="1483" w:type="dxa"/>
            <w:tcBorders>
              <w:top w:val="nil"/>
              <w:left w:val="nil"/>
              <w:bottom w:val="nil"/>
              <w:right w:val="nil"/>
            </w:tcBorders>
          </w:tcPr>
          <w:p w14:paraId="30C0AD60"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20,262</w:t>
            </w:r>
          </w:p>
        </w:tc>
        <w:tc>
          <w:tcPr>
            <w:tcW w:w="1483" w:type="dxa"/>
            <w:tcBorders>
              <w:top w:val="nil"/>
              <w:left w:val="nil"/>
              <w:bottom w:val="nil"/>
              <w:right w:val="nil"/>
            </w:tcBorders>
          </w:tcPr>
          <w:p w14:paraId="6AC81C61"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21,355</w:t>
            </w:r>
          </w:p>
        </w:tc>
      </w:tr>
      <w:tr w:rsidR="00B44672" w:rsidRPr="006B5978" w14:paraId="05B6A6EE" w14:textId="77777777" w:rsidTr="004D2B7C">
        <w:trPr>
          <w:jc w:val="center"/>
        </w:trPr>
        <w:tc>
          <w:tcPr>
            <w:tcW w:w="2234" w:type="dxa"/>
            <w:tcBorders>
              <w:top w:val="nil"/>
              <w:left w:val="nil"/>
              <w:bottom w:val="nil"/>
              <w:right w:val="nil"/>
            </w:tcBorders>
          </w:tcPr>
          <w:p w14:paraId="01F984E8"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Number of Suburbs</w:t>
            </w:r>
          </w:p>
        </w:tc>
        <w:tc>
          <w:tcPr>
            <w:tcW w:w="1482" w:type="dxa"/>
            <w:tcBorders>
              <w:top w:val="nil"/>
              <w:left w:val="nil"/>
              <w:bottom w:val="nil"/>
              <w:right w:val="nil"/>
            </w:tcBorders>
          </w:tcPr>
          <w:p w14:paraId="5C6C6217"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216</w:t>
            </w:r>
          </w:p>
        </w:tc>
        <w:tc>
          <w:tcPr>
            <w:tcW w:w="1483" w:type="dxa"/>
            <w:tcBorders>
              <w:top w:val="nil"/>
              <w:left w:val="nil"/>
              <w:bottom w:val="nil"/>
              <w:right w:val="nil"/>
            </w:tcBorders>
          </w:tcPr>
          <w:p w14:paraId="44FBF3D5"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228</w:t>
            </w:r>
          </w:p>
        </w:tc>
        <w:tc>
          <w:tcPr>
            <w:tcW w:w="1483" w:type="dxa"/>
            <w:tcBorders>
              <w:top w:val="nil"/>
              <w:left w:val="nil"/>
              <w:bottom w:val="nil"/>
              <w:right w:val="nil"/>
            </w:tcBorders>
          </w:tcPr>
          <w:p w14:paraId="10C61D4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203</w:t>
            </w:r>
          </w:p>
        </w:tc>
        <w:tc>
          <w:tcPr>
            <w:tcW w:w="1483" w:type="dxa"/>
            <w:tcBorders>
              <w:top w:val="nil"/>
              <w:left w:val="nil"/>
              <w:bottom w:val="nil"/>
              <w:right w:val="nil"/>
            </w:tcBorders>
          </w:tcPr>
          <w:p w14:paraId="1B5EF48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212</w:t>
            </w:r>
          </w:p>
        </w:tc>
        <w:tc>
          <w:tcPr>
            <w:tcW w:w="1483" w:type="dxa"/>
            <w:tcBorders>
              <w:top w:val="nil"/>
              <w:left w:val="nil"/>
              <w:bottom w:val="nil"/>
              <w:right w:val="nil"/>
            </w:tcBorders>
          </w:tcPr>
          <w:p w14:paraId="24D7CBEA"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218</w:t>
            </w:r>
          </w:p>
        </w:tc>
      </w:tr>
      <w:tr w:rsidR="00B44672" w:rsidRPr="006B5978" w14:paraId="6E72BB34" w14:textId="77777777" w:rsidTr="004D2B7C">
        <w:trPr>
          <w:jc w:val="center"/>
        </w:trPr>
        <w:tc>
          <w:tcPr>
            <w:tcW w:w="2234" w:type="dxa"/>
            <w:tcBorders>
              <w:top w:val="nil"/>
              <w:left w:val="nil"/>
              <w:bottom w:val="single" w:sz="6" w:space="0" w:color="auto"/>
              <w:right w:val="nil"/>
            </w:tcBorders>
          </w:tcPr>
          <w:p w14:paraId="4B2EA08C" w14:textId="77777777" w:rsidR="00B44672" w:rsidRPr="006B5978" w:rsidRDefault="00B44672" w:rsidP="004D2B7C">
            <w:pPr>
              <w:widowControl w:val="0"/>
              <w:autoSpaceDE w:val="0"/>
              <w:autoSpaceDN w:val="0"/>
              <w:adjustRightInd w:val="0"/>
              <w:spacing w:after="0"/>
              <w:rPr>
                <w:rFonts w:cstheme="minorHAnsi"/>
                <w:sz w:val="22"/>
              </w:rPr>
            </w:pPr>
            <w:r w:rsidRPr="006B5978">
              <w:rPr>
                <w:rFonts w:cstheme="minorHAnsi"/>
                <w:sz w:val="22"/>
              </w:rPr>
              <w:t>Adj. R-squared</w:t>
            </w:r>
          </w:p>
        </w:tc>
        <w:tc>
          <w:tcPr>
            <w:tcW w:w="1482" w:type="dxa"/>
            <w:tcBorders>
              <w:top w:val="nil"/>
              <w:left w:val="nil"/>
              <w:bottom w:val="single" w:sz="6" w:space="0" w:color="auto"/>
              <w:right w:val="nil"/>
            </w:tcBorders>
          </w:tcPr>
          <w:p w14:paraId="56D1FB84"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0.85</w:t>
            </w:r>
          </w:p>
        </w:tc>
        <w:tc>
          <w:tcPr>
            <w:tcW w:w="1483" w:type="dxa"/>
            <w:tcBorders>
              <w:top w:val="nil"/>
              <w:left w:val="nil"/>
              <w:bottom w:val="single" w:sz="6" w:space="0" w:color="auto"/>
              <w:right w:val="nil"/>
            </w:tcBorders>
          </w:tcPr>
          <w:p w14:paraId="50AADCEE"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0.80</w:t>
            </w:r>
          </w:p>
        </w:tc>
        <w:tc>
          <w:tcPr>
            <w:tcW w:w="1483" w:type="dxa"/>
            <w:tcBorders>
              <w:top w:val="nil"/>
              <w:left w:val="nil"/>
              <w:bottom w:val="single" w:sz="6" w:space="0" w:color="auto"/>
              <w:right w:val="nil"/>
            </w:tcBorders>
          </w:tcPr>
          <w:p w14:paraId="45EA7878"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0.86</w:t>
            </w:r>
          </w:p>
        </w:tc>
        <w:tc>
          <w:tcPr>
            <w:tcW w:w="1483" w:type="dxa"/>
            <w:tcBorders>
              <w:top w:val="nil"/>
              <w:left w:val="nil"/>
              <w:bottom w:val="single" w:sz="6" w:space="0" w:color="auto"/>
              <w:right w:val="nil"/>
            </w:tcBorders>
          </w:tcPr>
          <w:p w14:paraId="4F1C5D8C"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0.89</w:t>
            </w:r>
          </w:p>
        </w:tc>
        <w:tc>
          <w:tcPr>
            <w:tcW w:w="1483" w:type="dxa"/>
            <w:tcBorders>
              <w:top w:val="nil"/>
              <w:left w:val="nil"/>
              <w:bottom w:val="single" w:sz="6" w:space="0" w:color="auto"/>
              <w:right w:val="nil"/>
            </w:tcBorders>
          </w:tcPr>
          <w:p w14:paraId="0E3DA86B" w14:textId="77777777" w:rsidR="00B44672" w:rsidRPr="006B5978" w:rsidRDefault="00B44672" w:rsidP="004D2B7C">
            <w:pPr>
              <w:widowControl w:val="0"/>
              <w:autoSpaceDE w:val="0"/>
              <w:autoSpaceDN w:val="0"/>
              <w:adjustRightInd w:val="0"/>
              <w:spacing w:after="0"/>
              <w:jc w:val="center"/>
              <w:rPr>
                <w:rFonts w:cstheme="minorHAnsi"/>
                <w:sz w:val="22"/>
              </w:rPr>
            </w:pPr>
            <w:r w:rsidRPr="006B5978">
              <w:rPr>
                <w:rFonts w:cstheme="minorHAnsi"/>
                <w:sz w:val="22"/>
              </w:rPr>
              <w:t>0.85</w:t>
            </w:r>
          </w:p>
        </w:tc>
      </w:tr>
    </w:tbl>
    <w:p w14:paraId="4284ABC8" w14:textId="77777777" w:rsidR="00B44672" w:rsidRPr="006B5978" w:rsidRDefault="00B44672" w:rsidP="00F2339A">
      <w:pPr>
        <w:widowControl w:val="0"/>
        <w:autoSpaceDE w:val="0"/>
        <w:autoSpaceDN w:val="0"/>
        <w:adjustRightInd w:val="0"/>
        <w:spacing w:before="79" w:after="79"/>
        <w:jc w:val="center"/>
        <w:rPr>
          <w:rFonts w:cstheme="minorHAnsi"/>
          <w:sz w:val="22"/>
        </w:rPr>
      </w:pPr>
      <w:r w:rsidRPr="006B5978">
        <w:rPr>
          <w:rFonts w:cstheme="minorHAnsi"/>
          <w:sz w:val="22"/>
        </w:rPr>
        <w:t xml:space="preserve">* </w:t>
      </w:r>
      <w:r w:rsidRPr="006B5978">
        <w:rPr>
          <w:rFonts w:cstheme="minorHAnsi"/>
          <w:i/>
          <w:iCs/>
          <w:sz w:val="22"/>
        </w:rPr>
        <w:t>p</w:t>
      </w:r>
      <w:r w:rsidRPr="006B5978">
        <w:rPr>
          <w:rFonts w:cstheme="minorHAnsi"/>
          <w:sz w:val="22"/>
        </w:rPr>
        <w:t xml:space="preserve">&lt;0.05; ** </w:t>
      </w:r>
      <w:r w:rsidRPr="006B5978">
        <w:rPr>
          <w:rFonts w:cstheme="minorHAnsi"/>
          <w:i/>
          <w:iCs/>
          <w:sz w:val="22"/>
        </w:rPr>
        <w:t>p</w:t>
      </w:r>
      <w:r w:rsidRPr="006B5978">
        <w:rPr>
          <w:rFonts w:cstheme="minorHAnsi"/>
          <w:sz w:val="22"/>
        </w:rPr>
        <w:t>&lt;0.01</w:t>
      </w:r>
    </w:p>
    <w:p w14:paraId="76BEF517" w14:textId="77777777" w:rsidR="00B44672" w:rsidRDefault="00B44672" w:rsidP="0029189E"/>
    <w:p w14:paraId="16CD609B" w14:textId="77777777" w:rsidR="00B44672" w:rsidRDefault="00B44672" w:rsidP="0029189E">
      <w:r>
        <w:t xml:space="preserve">As an additional control variable, we merge </w:t>
      </w:r>
      <w:proofErr w:type="spellStart"/>
      <w:r>
        <w:t>Corelogic</w:t>
      </w:r>
      <w:proofErr w:type="spellEnd"/>
      <w:r>
        <w:t xml:space="preserve"> data with data from the </w:t>
      </w:r>
      <w:r w:rsidRPr="00494C7C">
        <w:t xml:space="preserve">Australian Public Service Commission </w:t>
      </w:r>
      <w:r>
        <w:t xml:space="preserve">on APS employment statistics and use it, in addition to the population and disposable income data, as an additional control variable. The results are qualitatively </w:t>
      </w:r>
      <w:proofErr w:type="gramStart"/>
      <w:r>
        <w:t>similar to</w:t>
      </w:r>
      <w:proofErr w:type="gramEnd"/>
      <w:r>
        <w:t xml:space="preserve"> those presented in the main report. In some cases, the inclusion of the APS employment data raises the likelihood of multicollinearity and doesn’t add much explanatory power. Therefore, the APS employment variable is not included in the main result tables.   </w:t>
      </w:r>
    </w:p>
    <w:p w14:paraId="5FFFC77D" w14:textId="77777777" w:rsidR="00B44672" w:rsidRDefault="00B44672" w:rsidP="0029189E"/>
    <w:p w14:paraId="7294F48D" w14:textId="77777777" w:rsidR="00B44672" w:rsidRDefault="00B44672" w:rsidP="00B44672">
      <w:pPr>
        <w:pStyle w:val="Heading2"/>
        <w:numPr>
          <w:ilvl w:val="0"/>
          <w:numId w:val="23"/>
        </w:numPr>
        <w:spacing w:line="259" w:lineRule="auto"/>
      </w:pPr>
      <w:r>
        <w:t xml:space="preserve">NSW and ACT admin data result tables </w:t>
      </w:r>
    </w:p>
    <w:p w14:paraId="5776C5E0" w14:textId="77777777" w:rsidR="00B44672" w:rsidRDefault="00B44672" w:rsidP="0029189E">
      <w:r>
        <w:t>In this section we present results using administrative data of sales from the ACT and NSW. NSW data is a likely candidate for an appropriate counterfactual given the proximity to the ACT.  We re-start table numbering at 20 to avoid any confusion with tables presented above.</w:t>
      </w:r>
    </w:p>
    <w:p w14:paraId="0291F793" w14:textId="77777777" w:rsidR="00B44672" w:rsidRDefault="00B44672" w:rsidP="00650739">
      <w:r>
        <w:t xml:space="preserve">The regression approach is identical in this section. The table builds up including more and more controls from the left to the right. We observe that the results vary substantially in magnitude and significance depending on which control variables are included. </w:t>
      </w:r>
      <w:r w:rsidRPr="00650739">
        <w:t xml:space="preserve">We thus strongly encourage readers to interpret and apply these results cautiously. </w:t>
      </w:r>
      <w:r>
        <w:t xml:space="preserve">The results for houses and unites are shown in separate tables. </w:t>
      </w:r>
    </w:p>
    <w:p w14:paraId="34D363AC" w14:textId="77777777" w:rsidR="00B44672" w:rsidRDefault="00B44672" w:rsidP="00650739">
      <w:r>
        <w:t xml:space="preserve">Generally, the fourth column in the tables below would be our preferred specification as they control for the maximum number of elements.  Controlling for time- and postcode-specific </w:t>
      </w:r>
      <w:r>
        <w:lastRenderedPageBreak/>
        <w:t xml:space="preserve">effects should reduce bias in the impact estimate.  When conducting difference-in-difference analysis, it is general practice to present results with no control variables and then progressively add control variables as we have done.  One reason for this is to see </w:t>
      </w:r>
      <w:proofErr w:type="gramStart"/>
      <w:r>
        <w:t>whether or not</w:t>
      </w:r>
      <w:proofErr w:type="gramEnd"/>
      <w:r>
        <w:t xml:space="preserve"> the additional controls affect the impact estimate.  If the estimate changes dramatically from the case of no control variables to a full set of control variables, this is generally viewed as evidence that confounding factors are having a strong impact on the estimate of the policy.  This generally leads researchers to have less faith in the estimate, as if observable factors are impacting the estimate, then it is likely that </w:t>
      </w:r>
      <w:proofErr w:type="spellStart"/>
      <w:r>
        <w:t>unobservables</w:t>
      </w:r>
      <w:proofErr w:type="spellEnd"/>
      <w:r>
        <w:t xml:space="preserve">, which </w:t>
      </w:r>
      <w:proofErr w:type="spellStart"/>
      <w:r>
        <w:t>can not</w:t>
      </w:r>
      <w:proofErr w:type="spellEnd"/>
      <w:r>
        <w:t xml:space="preserve"> be controlled for, are also having a large impact on the estimate.  This would mean that even the ‘best’ estimate with a full set of observable control variables may still be biased.</w:t>
      </w:r>
    </w:p>
    <w:p w14:paraId="2CA389D7" w14:textId="77777777" w:rsidR="00B44672" w:rsidRDefault="00B44672" w:rsidP="00650739">
      <w:r>
        <w:t>Note that all the caveats about having an appropriately specified control group still hold.</w:t>
      </w:r>
    </w:p>
    <w:p w14:paraId="18EBCB1C" w14:textId="77777777" w:rsidR="00B44672" w:rsidRDefault="00B44672" w:rsidP="00650739">
      <w:pPr>
        <w:rPr>
          <w:b/>
          <w:bCs/>
          <w:i/>
          <w:iCs/>
          <w:color w:val="365F91" w:themeColor="accent1" w:themeShade="BF"/>
        </w:rPr>
      </w:pPr>
    </w:p>
    <w:p w14:paraId="28DBA805" w14:textId="77777777" w:rsidR="00B44672" w:rsidRDefault="00B44672" w:rsidP="00650739">
      <w:pPr>
        <w:rPr>
          <w:b/>
          <w:bCs/>
          <w:i/>
          <w:iCs/>
          <w:color w:val="365F91" w:themeColor="accent1" w:themeShade="BF"/>
        </w:rPr>
      </w:pPr>
      <w:r w:rsidRPr="00E20E98">
        <w:rPr>
          <w:b/>
          <w:bCs/>
          <w:i/>
          <w:iCs/>
          <w:color w:val="365F91" w:themeColor="accent1" w:themeShade="BF"/>
        </w:rPr>
        <w:t xml:space="preserve">Table </w:t>
      </w:r>
      <w:r>
        <w:rPr>
          <w:b/>
          <w:bCs/>
          <w:i/>
          <w:iCs/>
          <w:color w:val="365F91" w:themeColor="accent1" w:themeShade="BF"/>
        </w:rPr>
        <w:t xml:space="preserve">20 </w:t>
      </w:r>
      <w:r w:rsidRPr="00E20E98">
        <w:rPr>
          <w:b/>
          <w:bCs/>
          <w:i/>
          <w:iCs/>
          <w:color w:val="365F91" w:themeColor="accent1" w:themeShade="BF"/>
        </w:rPr>
        <w:t>- Tax reform effect on hous</w:t>
      </w:r>
      <w:r>
        <w:rPr>
          <w:b/>
          <w:bCs/>
          <w:i/>
          <w:iCs/>
          <w:color w:val="365F91" w:themeColor="accent1" w:themeShade="BF"/>
        </w:rPr>
        <w:t>ing market:  Difference-in-difference estimates using 2004/05 – 2018/19 administrative data</w:t>
      </w:r>
    </w:p>
    <w:p w14:paraId="0DC9A029" w14:textId="77777777" w:rsidR="00B44672" w:rsidRDefault="00B44672" w:rsidP="006653AF">
      <w:pPr>
        <w:keepNext/>
        <w:widowControl w:val="0"/>
        <w:autoSpaceDE w:val="0"/>
        <w:autoSpaceDN w:val="0"/>
        <w:adjustRightInd w:val="0"/>
        <w:spacing w:after="0"/>
        <w:rPr>
          <w:rFonts w:ascii="Times New Roman" w:hAnsi="Times New Roman" w:cs="Times New Roman"/>
        </w:rPr>
      </w:pPr>
    </w:p>
    <w:tbl>
      <w:tblPr>
        <w:tblW w:w="5000" w:type="pct"/>
        <w:tblLook w:val="04A0" w:firstRow="1" w:lastRow="0" w:firstColumn="1" w:lastColumn="0" w:noHBand="0" w:noVBand="1"/>
      </w:tblPr>
      <w:tblGrid>
        <w:gridCol w:w="2212"/>
        <w:gridCol w:w="1704"/>
        <w:gridCol w:w="1704"/>
        <w:gridCol w:w="1704"/>
        <w:gridCol w:w="1702"/>
      </w:tblGrid>
      <w:tr w:rsidR="00B44672" w14:paraId="16882E70" w14:textId="77777777" w:rsidTr="006653AF">
        <w:tc>
          <w:tcPr>
            <w:tcW w:w="1225" w:type="pct"/>
            <w:tcBorders>
              <w:top w:val="single" w:sz="4" w:space="0" w:color="auto"/>
              <w:left w:val="nil"/>
              <w:bottom w:val="nil"/>
              <w:right w:val="nil"/>
            </w:tcBorders>
          </w:tcPr>
          <w:p w14:paraId="0B11FE4B" w14:textId="77777777" w:rsidR="00B44672" w:rsidRDefault="00B44672" w:rsidP="008B1D8A">
            <w:pPr>
              <w:widowControl w:val="0"/>
              <w:autoSpaceDE w:val="0"/>
              <w:autoSpaceDN w:val="0"/>
              <w:adjustRightInd w:val="0"/>
              <w:spacing w:after="0"/>
              <w:rPr>
                <w:rFonts w:ascii="Times New Roman" w:hAnsi="Times New Roman" w:cs="Times New Roman"/>
              </w:rPr>
            </w:pPr>
          </w:p>
        </w:tc>
        <w:tc>
          <w:tcPr>
            <w:tcW w:w="944" w:type="pct"/>
            <w:tcBorders>
              <w:top w:val="single" w:sz="4" w:space="0" w:color="auto"/>
              <w:left w:val="nil"/>
              <w:bottom w:val="nil"/>
              <w:right w:val="nil"/>
            </w:tcBorders>
            <w:hideMark/>
          </w:tcPr>
          <w:p w14:paraId="4C553BF7"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w:t>
            </w:r>
          </w:p>
        </w:tc>
        <w:tc>
          <w:tcPr>
            <w:tcW w:w="944" w:type="pct"/>
            <w:tcBorders>
              <w:top w:val="single" w:sz="4" w:space="0" w:color="auto"/>
              <w:left w:val="nil"/>
              <w:bottom w:val="nil"/>
              <w:right w:val="nil"/>
            </w:tcBorders>
            <w:hideMark/>
          </w:tcPr>
          <w:p w14:paraId="7CEA5FD3"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(2)</w:t>
            </w:r>
          </w:p>
        </w:tc>
        <w:tc>
          <w:tcPr>
            <w:tcW w:w="944" w:type="pct"/>
            <w:tcBorders>
              <w:top w:val="single" w:sz="4" w:space="0" w:color="auto"/>
              <w:left w:val="nil"/>
              <w:bottom w:val="nil"/>
              <w:right w:val="nil"/>
            </w:tcBorders>
            <w:hideMark/>
          </w:tcPr>
          <w:p w14:paraId="466B0D79"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(3)</w:t>
            </w:r>
          </w:p>
        </w:tc>
        <w:tc>
          <w:tcPr>
            <w:tcW w:w="944" w:type="pct"/>
            <w:tcBorders>
              <w:top w:val="single" w:sz="4" w:space="0" w:color="auto"/>
              <w:left w:val="nil"/>
              <w:bottom w:val="nil"/>
              <w:right w:val="nil"/>
            </w:tcBorders>
            <w:hideMark/>
          </w:tcPr>
          <w:p w14:paraId="13F0C37C"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w:t>
            </w:r>
          </w:p>
        </w:tc>
      </w:tr>
      <w:tr w:rsidR="00B44672" w14:paraId="36928436" w14:textId="77777777" w:rsidTr="006653AF">
        <w:tc>
          <w:tcPr>
            <w:tcW w:w="1225" w:type="pct"/>
          </w:tcPr>
          <w:p w14:paraId="016A2F9F" w14:textId="77777777" w:rsidR="00B44672" w:rsidRDefault="00B44672" w:rsidP="008B1D8A">
            <w:pPr>
              <w:widowControl w:val="0"/>
              <w:autoSpaceDE w:val="0"/>
              <w:autoSpaceDN w:val="0"/>
              <w:adjustRightInd w:val="0"/>
              <w:spacing w:after="0"/>
              <w:rPr>
                <w:rFonts w:ascii="Times New Roman" w:hAnsi="Times New Roman" w:cs="Times New Roman"/>
              </w:rPr>
            </w:pPr>
          </w:p>
        </w:tc>
        <w:tc>
          <w:tcPr>
            <w:tcW w:w="944" w:type="pct"/>
            <w:hideMark/>
          </w:tcPr>
          <w:p w14:paraId="61B18B53" w14:textId="77777777" w:rsidR="00B44672" w:rsidRDefault="00B44672" w:rsidP="008B1D8A">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c>
          <w:tcPr>
            <w:tcW w:w="944" w:type="pct"/>
            <w:hideMark/>
          </w:tcPr>
          <w:p w14:paraId="733AE191" w14:textId="77777777" w:rsidR="00B44672" w:rsidRDefault="00B44672" w:rsidP="008B1D8A">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c>
          <w:tcPr>
            <w:tcW w:w="944" w:type="pct"/>
            <w:hideMark/>
          </w:tcPr>
          <w:p w14:paraId="34EC6AFE" w14:textId="77777777" w:rsidR="00B44672" w:rsidRDefault="00B44672" w:rsidP="008B1D8A">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c>
          <w:tcPr>
            <w:tcW w:w="944" w:type="pct"/>
            <w:hideMark/>
          </w:tcPr>
          <w:p w14:paraId="6CD15ABA" w14:textId="77777777" w:rsidR="00B44672" w:rsidRDefault="00B44672" w:rsidP="008B1D8A">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r>
      <w:tr w:rsidR="00B44672" w14:paraId="2592CE71" w14:textId="77777777" w:rsidTr="006653AF">
        <w:tc>
          <w:tcPr>
            <w:tcW w:w="1225" w:type="pct"/>
          </w:tcPr>
          <w:p w14:paraId="2DE6E229" w14:textId="77777777" w:rsidR="00B44672" w:rsidRDefault="00B44672" w:rsidP="008B1D8A">
            <w:pPr>
              <w:widowControl w:val="0"/>
              <w:autoSpaceDE w:val="0"/>
              <w:autoSpaceDN w:val="0"/>
              <w:adjustRightInd w:val="0"/>
              <w:spacing w:after="0"/>
              <w:rPr>
                <w:rFonts w:ascii="Times New Roman" w:hAnsi="Times New Roman" w:cs="Times New Roman"/>
              </w:rPr>
            </w:pPr>
          </w:p>
        </w:tc>
        <w:tc>
          <w:tcPr>
            <w:tcW w:w="944" w:type="pct"/>
            <w:hideMark/>
          </w:tcPr>
          <w:p w14:paraId="0D7F10DF"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5EB6E38C"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294455F7"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3DA2B1FB"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r>
      <w:tr w:rsidR="00B44672" w14:paraId="7815CC30" w14:textId="77777777" w:rsidTr="006653AF">
        <w:tc>
          <w:tcPr>
            <w:tcW w:w="1225" w:type="pct"/>
            <w:tcBorders>
              <w:top w:val="single" w:sz="4" w:space="0" w:color="auto"/>
              <w:left w:val="nil"/>
              <w:bottom w:val="nil"/>
              <w:right w:val="nil"/>
            </w:tcBorders>
            <w:hideMark/>
          </w:tcPr>
          <w:p w14:paraId="0C0679E1" w14:textId="77777777" w:rsidR="00B44672" w:rsidRDefault="00B44672" w:rsidP="008B1D8A">
            <w:pPr>
              <w:widowControl w:val="0"/>
              <w:autoSpaceDE w:val="0"/>
              <w:autoSpaceDN w:val="0"/>
              <w:adjustRightInd w:val="0"/>
              <w:spacing w:after="0"/>
              <w:rPr>
                <w:rFonts w:ascii="Times New Roman" w:hAnsi="Times New Roman" w:cs="Times New Roman"/>
              </w:rPr>
            </w:pPr>
            <w:r>
              <w:rPr>
                <w:rFonts w:ascii="Times New Roman" w:hAnsi="Times New Roman" w:cs="Times New Roman"/>
              </w:rPr>
              <w:t>ACT tax reform</w:t>
            </w:r>
          </w:p>
        </w:tc>
        <w:tc>
          <w:tcPr>
            <w:tcW w:w="944" w:type="pct"/>
            <w:tcBorders>
              <w:top w:val="single" w:sz="4" w:space="0" w:color="auto"/>
              <w:left w:val="nil"/>
              <w:bottom w:val="nil"/>
              <w:right w:val="nil"/>
            </w:tcBorders>
            <w:hideMark/>
          </w:tcPr>
          <w:p w14:paraId="6F7E6262"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-0.233**</w:t>
            </w:r>
          </w:p>
        </w:tc>
        <w:tc>
          <w:tcPr>
            <w:tcW w:w="944" w:type="pct"/>
            <w:tcBorders>
              <w:top w:val="single" w:sz="4" w:space="0" w:color="auto"/>
              <w:left w:val="nil"/>
              <w:bottom w:val="nil"/>
              <w:right w:val="nil"/>
            </w:tcBorders>
            <w:hideMark/>
          </w:tcPr>
          <w:p w14:paraId="5E914BE6"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-0.058</w:t>
            </w:r>
          </w:p>
        </w:tc>
        <w:tc>
          <w:tcPr>
            <w:tcW w:w="944" w:type="pct"/>
            <w:tcBorders>
              <w:top w:val="single" w:sz="4" w:space="0" w:color="auto"/>
              <w:left w:val="nil"/>
              <w:bottom w:val="nil"/>
              <w:right w:val="nil"/>
            </w:tcBorders>
            <w:hideMark/>
          </w:tcPr>
          <w:p w14:paraId="0719B1F7"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-0.374**</w:t>
            </w:r>
          </w:p>
        </w:tc>
        <w:tc>
          <w:tcPr>
            <w:tcW w:w="944" w:type="pct"/>
            <w:tcBorders>
              <w:top w:val="single" w:sz="4" w:space="0" w:color="auto"/>
              <w:left w:val="nil"/>
              <w:bottom w:val="nil"/>
              <w:right w:val="nil"/>
            </w:tcBorders>
            <w:hideMark/>
          </w:tcPr>
          <w:p w14:paraId="7FCD0A6C"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-0.201**</w:t>
            </w:r>
          </w:p>
        </w:tc>
      </w:tr>
      <w:tr w:rsidR="00B44672" w14:paraId="59F65BEC" w14:textId="77777777" w:rsidTr="006653AF">
        <w:tc>
          <w:tcPr>
            <w:tcW w:w="1225" w:type="pct"/>
            <w:tcBorders>
              <w:top w:val="nil"/>
              <w:left w:val="nil"/>
              <w:bottom w:val="single" w:sz="4" w:space="0" w:color="auto"/>
              <w:right w:val="nil"/>
            </w:tcBorders>
          </w:tcPr>
          <w:p w14:paraId="7747507C" w14:textId="77777777" w:rsidR="00B44672" w:rsidRDefault="00B44672" w:rsidP="008B1D8A">
            <w:pPr>
              <w:widowControl w:val="0"/>
              <w:autoSpaceDE w:val="0"/>
              <w:autoSpaceDN w:val="0"/>
              <w:adjustRightInd w:val="0"/>
              <w:spacing w:after="0"/>
              <w:rPr>
                <w:rFonts w:ascii="Times New Roman" w:hAnsi="Times New Roman" w:cs="Times New Roman"/>
              </w:rPr>
            </w:pPr>
            <w:r>
              <w:rPr>
                <w:rFonts w:ascii="Times New Roman" w:hAnsi="Times New Roman" w:cs="Times New Roman"/>
              </w:rPr>
              <w:t>Standard error</w:t>
            </w:r>
          </w:p>
        </w:tc>
        <w:tc>
          <w:tcPr>
            <w:tcW w:w="944" w:type="pct"/>
            <w:tcBorders>
              <w:top w:val="nil"/>
              <w:left w:val="nil"/>
              <w:bottom w:val="single" w:sz="4" w:space="0" w:color="auto"/>
              <w:right w:val="nil"/>
            </w:tcBorders>
            <w:hideMark/>
          </w:tcPr>
          <w:p w14:paraId="05E7996A"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(0.045)</w:t>
            </w:r>
          </w:p>
        </w:tc>
        <w:tc>
          <w:tcPr>
            <w:tcW w:w="944" w:type="pct"/>
            <w:tcBorders>
              <w:top w:val="nil"/>
              <w:left w:val="nil"/>
              <w:bottom w:val="single" w:sz="4" w:space="0" w:color="auto"/>
              <w:right w:val="nil"/>
            </w:tcBorders>
            <w:hideMark/>
          </w:tcPr>
          <w:p w14:paraId="20F52E6F"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(0.072)</w:t>
            </w:r>
          </w:p>
        </w:tc>
        <w:tc>
          <w:tcPr>
            <w:tcW w:w="944" w:type="pct"/>
            <w:tcBorders>
              <w:top w:val="nil"/>
              <w:left w:val="nil"/>
              <w:bottom w:val="single" w:sz="4" w:space="0" w:color="auto"/>
              <w:right w:val="nil"/>
            </w:tcBorders>
            <w:hideMark/>
          </w:tcPr>
          <w:p w14:paraId="79031144"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(0.050)</w:t>
            </w:r>
          </w:p>
        </w:tc>
        <w:tc>
          <w:tcPr>
            <w:tcW w:w="944" w:type="pct"/>
            <w:tcBorders>
              <w:top w:val="nil"/>
              <w:left w:val="nil"/>
              <w:bottom w:val="single" w:sz="4" w:space="0" w:color="auto"/>
              <w:right w:val="nil"/>
            </w:tcBorders>
            <w:hideMark/>
          </w:tcPr>
          <w:p w14:paraId="05BA5FB5"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(0.048)</w:t>
            </w:r>
          </w:p>
        </w:tc>
      </w:tr>
      <w:tr w:rsidR="00B44672" w14:paraId="75C16FBE" w14:textId="77777777" w:rsidTr="006653AF">
        <w:tc>
          <w:tcPr>
            <w:tcW w:w="1225" w:type="pct"/>
            <w:tcBorders>
              <w:top w:val="single" w:sz="4" w:space="0" w:color="auto"/>
              <w:left w:val="nil"/>
              <w:bottom w:val="nil"/>
              <w:right w:val="nil"/>
            </w:tcBorders>
            <w:hideMark/>
          </w:tcPr>
          <w:p w14:paraId="5B315D46" w14:textId="77777777" w:rsidR="00B44672" w:rsidRDefault="00B44672" w:rsidP="008B1D8A">
            <w:pPr>
              <w:widowControl w:val="0"/>
              <w:autoSpaceDE w:val="0"/>
              <w:autoSpaceDN w:val="0"/>
              <w:adjustRightInd w:val="0"/>
              <w:spacing w:after="0"/>
              <w:rPr>
                <w:rFonts w:ascii="Times New Roman" w:hAnsi="Times New Roman" w:cs="Times New Roman"/>
              </w:rPr>
            </w:pPr>
            <w:r>
              <w:rPr>
                <w:rFonts w:ascii="Times New Roman" w:hAnsi="Times New Roman" w:cs="Times New Roman"/>
              </w:rPr>
              <w:t>Time Fixed Effect</w:t>
            </w:r>
          </w:p>
        </w:tc>
        <w:tc>
          <w:tcPr>
            <w:tcW w:w="944" w:type="pct"/>
            <w:tcBorders>
              <w:top w:val="single" w:sz="4" w:space="0" w:color="auto"/>
              <w:left w:val="nil"/>
              <w:bottom w:val="nil"/>
              <w:right w:val="nil"/>
            </w:tcBorders>
            <w:hideMark/>
          </w:tcPr>
          <w:p w14:paraId="0FD43FE4"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5CA3D229"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13C261EA"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2332FA84"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4FE2BEBA" w14:textId="77777777" w:rsidTr="006653AF">
        <w:tc>
          <w:tcPr>
            <w:tcW w:w="1225" w:type="pct"/>
            <w:hideMark/>
          </w:tcPr>
          <w:p w14:paraId="18E8CB67" w14:textId="77777777" w:rsidR="00B44672" w:rsidRDefault="00B44672" w:rsidP="008B1D8A">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 Fixed Effects</w:t>
            </w:r>
          </w:p>
        </w:tc>
        <w:tc>
          <w:tcPr>
            <w:tcW w:w="944" w:type="pct"/>
            <w:hideMark/>
          </w:tcPr>
          <w:p w14:paraId="35D0002A"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07A32B9F"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19CD1681"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6BE51EFD"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3ABA0A27" w14:textId="77777777" w:rsidTr="006653AF">
        <w:tc>
          <w:tcPr>
            <w:tcW w:w="1225" w:type="pct"/>
            <w:hideMark/>
          </w:tcPr>
          <w:p w14:paraId="48BBD849" w14:textId="77777777" w:rsidR="00B44672" w:rsidRDefault="00B44672" w:rsidP="008B1D8A">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Income)</w:t>
            </w:r>
          </w:p>
        </w:tc>
        <w:tc>
          <w:tcPr>
            <w:tcW w:w="944" w:type="pct"/>
            <w:hideMark/>
          </w:tcPr>
          <w:p w14:paraId="696545E1"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6D36AF03"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65E503F8"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1DD620EE"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123BED9B" w14:textId="77777777" w:rsidTr="006653AF">
        <w:tc>
          <w:tcPr>
            <w:tcW w:w="1225" w:type="pct"/>
            <w:hideMark/>
          </w:tcPr>
          <w:p w14:paraId="0E243CC8" w14:textId="77777777" w:rsidR="00B44672" w:rsidRDefault="00B44672" w:rsidP="008B1D8A">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Population)</w:t>
            </w:r>
          </w:p>
        </w:tc>
        <w:tc>
          <w:tcPr>
            <w:tcW w:w="944" w:type="pct"/>
            <w:hideMark/>
          </w:tcPr>
          <w:p w14:paraId="1F3C8A7E"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7099C256"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55C150C8"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7444E617"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5FB8E4F2" w14:textId="77777777" w:rsidTr="006653AF">
        <w:tc>
          <w:tcPr>
            <w:tcW w:w="1225" w:type="pct"/>
            <w:hideMark/>
          </w:tcPr>
          <w:p w14:paraId="2017007E" w14:textId="77777777" w:rsidR="00B44672" w:rsidRDefault="00B44672" w:rsidP="008B1D8A">
            <w:pPr>
              <w:widowControl w:val="0"/>
              <w:autoSpaceDE w:val="0"/>
              <w:autoSpaceDN w:val="0"/>
              <w:adjustRightInd w:val="0"/>
              <w:spacing w:after="0"/>
              <w:rPr>
                <w:rFonts w:ascii="Times New Roman" w:hAnsi="Times New Roman" w:cs="Times New Roman"/>
              </w:rPr>
            </w:pPr>
            <w:proofErr w:type="spellStart"/>
            <w:proofErr w:type="gramStart"/>
            <w:r>
              <w:rPr>
                <w:rFonts w:ascii="Times New Roman" w:hAnsi="Times New Roman" w:cs="Times New Roman"/>
              </w:rPr>
              <w:t>adj.R</w:t>
            </w:r>
            <w:proofErr w:type="spellEnd"/>
            <w:proofErr w:type="gramEnd"/>
            <w:r>
              <w:rPr>
                <w:rFonts w:ascii="Times New Roman" w:hAnsi="Times New Roman" w:cs="Times New Roman"/>
              </w:rPr>
              <w:t>-squared</w:t>
            </w:r>
          </w:p>
        </w:tc>
        <w:tc>
          <w:tcPr>
            <w:tcW w:w="944" w:type="pct"/>
            <w:hideMark/>
          </w:tcPr>
          <w:p w14:paraId="2D7AA98E"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0.751</w:t>
            </w:r>
          </w:p>
        </w:tc>
        <w:tc>
          <w:tcPr>
            <w:tcW w:w="944" w:type="pct"/>
            <w:hideMark/>
          </w:tcPr>
          <w:p w14:paraId="55C786E0"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0.752</w:t>
            </w:r>
          </w:p>
        </w:tc>
        <w:tc>
          <w:tcPr>
            <w:tcW w:w="944" w:type="pct"/>
            <w:hideMark/>
          </w:tcPr>
          <w:p w14:paraId="628E147E"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0.751</w:t>
            </w:r>
          </w:p>
        </w:tc>
        <w:tc>
          <w:tcPr>
            <w:tcW w:w="944" w:type="pct"/>
            <w:hideMark/>
          </w:tcPr>
          <w:p w14:paraId="7FB50CCC"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0.752</w:t>
            </w:r>
          </w:p>
        </w:tc>
      </w:tr>
      <w:tr w:rsidR="00B44672" w14:paraId="4DBE0090" w14:textId="77777777" w:rsidTr="006653AF">
        <w:tc>
          <w:tcPr>
            <w:tcW w:w="1225" w:type="pct"/>
            <w:hideMark/>
          </w:tcPr>
          <w:p w14:paraId="5333F50D" w14:textId="77777777" w:rsidR="00B44672" w:rsidRDefault="00B44672" w:rsidP="008B1D8A">
            <w:pPr>
              <w:widowControl w:val="0"/>
              <w:autoSpaceDE w:val="0"/>
              <w:autoSpaceDN w:val="0"/>
              <w:adjustRightInd w:val="0"/>
              <w:spacing w:after="0"/>
              <w:rPr>
                <w:rFonts w:ascii="Times New Roman" w:hAnsi="Times New Roman" w:cs="Times New Roman"/>
              </w:rPr>
            </w:pPr>
            <w:r>
              <w:rPr>
                <w:rFonts w:ascii="Times New Roman" w:hAnsi="Times New Roman" w:cs="Times New Roman"/>
              </w:rPr>
              <w:t>Observations</w:t>
            </w:r>
          </w:p>
        </w:tc>
        <w:tc>
          <w:tcPr>
            <w:tcW w:w="944" w:type="pct"/>
            <w:hideMark/>
          </w:tcPr>
          <w:p w14:paraId="0B4CC519"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106546</w:t>
            </w:r>
          </w:p>
        </w:tc>
        <w:tc>
          <w:tcPr>
            <w:tcW w:w="944" w:type="pct"/>
            <w:hideMark/>
          </w:tcPr>
          <w:p w14:paraId="1B320D9A"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103103</w:t>
            </w:r>
          </w:p>
        </w:tc>
        <w:tc>
          <w:tcPr>
            <w:tcW w:w="944" w:type="pct"/>
            <w:hideMark/>
          </w:tcPr>
          <w:p w14:paraId="6A40854A"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106546</w:t>
            </w:r>
          </w:p>
        </w:tc>
        <w:tc>
          <w:tcPr>
            <w:tcW w:w="944" w:type="pct"/>
            <w:hideMark/>
          </w:tcPr>
          <w:p w14:paraId="48465880"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103103</w:t>
            </w:r>
          </w:p>
        </w:tc>
      </w:tr>
      <w:tr w:rsidR="00B44672" w14:paraId="16190148" w14:textId="77777777" w:rsidTr="006653AF">
        <w:tc>
          <w:tcPr>
            <w:tcW w:w="1225" w:type="pct"/>
            <w:tcBorders>
              <w:top w:val="nil"/>
              <w:left w:val="nil"/>
              <w:bottom w:val="single" w:sz="4" w:space="0" w:color="auto"/>
              <w:right w:val="nil"/>
            </w:tcBorders>
            <w:hideMark/>
          </w:tcPr>
          <w:p w14:paraId="0D287AE5" w14:textId="77777777" w:rsidR="00B44672" w:rsidRDefault="00B44672" w:rsidP="008B1D8A">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Postcodes</w:t>
            </w:r>
          </w:p>
        </w:tc>
        <w:tc>
          <w:tcPr>
            <w:tcW w:w="944" w:type="pct"/>
            <w:tcBorders>
              <w:top w:val="nil"/>
              <w:left w:val="nil"/>
              <w:bottom w:val="single" w:sz="4" w:space="0" w:color="auto"/>
              <w:right w:val="nil"/>
            </w:tcBorders>
            <w:hideMark/>
          </w:tcPr>
          <w:p w14:paraId="64FF49DA"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hideMark/>
          </w:tcPr>
          <w:p w14:paraId="30C125E9"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hideMark/>
          </w:tcPr>
          <w:p w14:paraId="7CD81CD4"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hideMark/>
          </w:tcPr>
          <w:p w14:paraId="09D6F245"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r>
    </w:tbl>
    <w:p w14:paraId="5852F42E" w14:textId="77777777" w:rsidR="00B44672" w:rsidRDefault="00B44672" w:rsidP="00650739">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Note: Standard error clusters at state-postcode level * p&lt;0.05, ** p&lt;0.01</w:t>
      </w:r>
    </w:p>
    <w:p w14:paraId="016E7E6D" w14:textId="77777777" w:rsidR="00B44672" w:rsidRPr="00656B30" w:rsidRDefault="00B44672" w:rsidP="0029189E"/>
    <w:p w14:paraId="06F4DCCA" w14:textId="77777777" w:rsidR="00B44672" w:rsidRDefault="00B44672" w:rsidP="00592171">
      <w:pPr>
        <w:rPr>
          <w:b/>
          <w:bCs/>
          <w:i/>
          <w:iCs/>
          <w:color w:val="365F91" w:themeColor="accent1" w:themeShade="BF"/>
        </w:rPr>
      </w:pPr>
      <w:r w:rsidRPr="00E20E98">
        <w:rPr>
          <w:b/>
          <w:bCs/>
          <w:i/>
          <w:iCs/>
          <w:color w:val="365F91" w:themeColor="accent1" w:themeShade="BF"/>
        </w:rPr>
        <w:t xml:space="preserve">Table </w:t>
      </w:r>
      <w:r>
        <w:rPr>
          <w:b/>
          <w:bCs/>
          <w:i/>
          <w:iCs/>
          <w:color w:val="365F91" w:themeColor="accent1" w:themeShade="BF"/>
        </w:rPr>
        <w:t xml:space="preserve">21 </w:t>
      </w:r>
      <w:r w:rsidRPr="00E20E98">
        <w:rPr>
          <w:b/>
          <w:bCs/>
          <w:i/>
          <w:iCs/>
          <w:color w:val="365F91" w:themeColor="accent1" w:themeShade="BF"/>
        </w:rPr>
        <w:t xml:space="preserve">- Tax reform effect on </w:t>
      </w:r>
      <w:r>
        <w:rPr>
          <w:b/>
          <w:bCs/>
          <w:i/>
          <w:iCs/>
          <w:color w:val="365F91" w:themeColor="accent1" w:themeShade="BF"/>
        </w:rPr>
        <w:t>unit market:  Difference-in-difference estimates using 2004/05 – 2018/19 administrative data</w:t>
      </w:r>
    </w:p>
    <w:tbl>
      <w:tblPr>
        <w:tblW w:w="5000" w:type="pct"/>
        <w:tblLook w:val="0000" w:firstRow="0" w:lastRow="0" w:firstColumn="0" w:lastColumn="0" w:noHBand="0" w:noVBand="0"/>
      </w:tblPr>
      <w:tblGrid>
        <w:gridCol w:w="2212"/>
        <w:gridCol w:w="1704"/>
        <w:gridCol w:w="1704"/>
        <w:gridCol w:w="1704"/>
        <w:gridCol w:w="1702"/>
      </w:tblGrid>
      <w:tr w:rsidR="00B44672" w14:paraId="31C6589C" w14:textId="77777777" w:rsidTr="00656B30">
        <w:tc>
          <w:tcPr>
            <w:tcW w:w="1225" w:type="pct"/>
            <w:tcBorders>
              <w:top w:val="single" w:sz="4" w:space="0" w:color="auto"/>
              <w:left w:val="nil"/>
              <w:bottom w:val="nil"/>
              <w:right w:val="nil"/>
            </w:tcBorders>
          </w:tcPr>
          <w:p w14:paraId="7AC6E5E8"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tcBorders>
              <w:top w:val="single" w:sz="4" w:space="0" w:color="auto"/>
              <w:left w:val="nil"/>
              <w:bottom w:val="nil"/>
              <w:right w:val="nil"/>
            </w:tcBorders>
          </w:tcPr>
          <w:p w14:paraId="3B6EE74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w:t>
            </w:r>
          </w:p>
        </w:tc>
        <w:tc>
          <w:tcPr>
            <w:tcW w:w="944" w:type="pct"/>
            <w:tcBorders>
              <w:top w:val="single" w:sz="4" w:space="0" w:color="auto"/>
              <w:left w:val="nil"/>
              <w:bottom w:val="nil"/>
              <w:right w:val="nil"/>
            </w:tcBorders>
          </w:tcPr>
          <w:p w14:paraId="28ABB04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(2)</w:t>
            </w:r>
          </w:p>
        </w:tc>
        <w:tc>
          <w:tcPr>
            <w:tcW w:w="944" w:type="pct"/>
            <w:tcBorders>
              <w:top w:val="single" w:sz="4" w:space="0" w:color="auto"/>
              <w:left w:val="nil"/>
              <w:bottom w:val="nil"/>
              <w:right w:val="nil"/>
            </w:tcBorders>
          </w:tcPr>
          <w:p w14:paraId="5D95E4E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(3)</w:t>
            </w:r>
          </w:p>
        </w:tc>
        <w:tc>
          <w:tcPr>
            <w:tcW w:w="944" w:type="pct"/>
            <w:tcBorders>
              <w:top w:val="single" w:sz="4" w:space="0" w:color="auto"/>
              <w:left w:val="nil"/>
              <w:bottom w:val="nil"/>
              <w:right w:val="nil"/>
            </w:tcBorders>
          </w:tcPr>
          <w:p w14:paraId="5A7ABD8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w:t>
            </w:r>
          </w:p>
        </w:tc>
      </w:tr>
      <w:tr w:rsidR="00B44672" w14:paraId="46AB8A70" w14:textId="77777777" w:rsidTr="00656B30">
        <w:tc>
          <w:tcPr>
            <w:tcW w:w="1225" w:type="pct"/>
            <w:tcBorders>
              <w:top w:val="nil"/>
              <w:left w:val="nil"/>
              <w:bottom w:val="nil"/>
              <w:right w:val="nil"/>
            </w:tcBorders>
          </w:tcPr>
          <w:p w14:paraId="21422DB8"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tcBorders>
              <w:top w:val="nil"/>
              <w:left w:val="nil"/>
              <w:bottom w:val="nil"/>
              <w:right w:val="nil"/>
            </w:tcBorders>
          </w:tcPr>
          <w:p w14:paraId="02E0A58B"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c>
          <w:tcPr>
            <w:tcW w:w="944" w:type="pct"/>
            <w:tcBorders>
              <w:top w:val="nil"/>
              <w:left w:val="nil"/>
              <w:bottom w:val="nil"/>
              <w:right w:val="nil"/>
            </w:tcBorders>
          </w:tcPr>
          <w:p w14:paraId="7F3B73B9"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c>
          <w:tcPr>
            <w:tcW w:w="944" w:type="pct"/>
            <w:tcBorders>
              <w:top w:val="nil"/>
              <w:left w:val="nil"/>
              <w:bottom w:val="nil"/>
              <w:right w:val="nil"/>
            </w:tcBorders>
          </w:tcPr>
          <w:p w14:paraId="26D38330"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c>
          <w:tcPr>
            <w:tcW w:w="944" w:type="pct"/>
            <w:tcBorders>
              <w:top w:val="nil"/>
              <w:left w:val="nil"/>
              <w:bottom w:val="nil"/>
              <w:right w:val="nil"/>
            </w:tcBorders>
          </w:tcPr>
          <w:p w14:paraId="1B5C801D"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r>
      <w:tr w:rsidR="00B44672" w14:paraId="6B77E230" w14:textId="77777777" w:rsidTr="00656B30">
        <w:tc>
          <w:tcPr>
            <w:tcW w:w="1225" w:type="pct"/>
            <w:tcBorders>
              <w:top w:val="nil"/>
              <w:left w:val="nil"/>
              <w:bottom w:val="nil"/>
              <w:right w:val="nil"/>
            </w:tcBorders>
          </w:tcPr>
          <w:p w14:paraId="3DEAC37A"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tcBorders>
              <w:top w:val="nil"/>
              <w:left w:val="nil"/>
              <w:bottom w:val="nil"/>
              <w:right w:val="nil"/>
            </w:tcBorders>
          </w:tcPr>
          <w:p w14:paraId="725A028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tcBorders>
              <w:top w:val="nil"/>
              <w:left w:val="nil"/>
              <w:bottom w:val="nil"/>
              <w:right w:val="nil"/>
            </w:tcBorders>
          </w:tcPr>
          <w:p w14:paraId="021FBB6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tcBorders>
              <w:top w:val="nil"/>
              <w:left w:val="nil"/>
              <w:bottom w:val="nil"/>
              <w:right w:val="nil"/>
            </w:tcBorders>
          </w:tcPr>
          <w:p w14:paraId="1665277A"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tcBorders>
              <w:top w:val="nil"/>
              <w:left w:val="nil"/>
              <w:bottom w:val="nil"/>
              <w:right w:val="nil"/>
            </w:tcBorders>
          </w:tcPr>
          <w:p w14:paraId="41A82A9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r>
      <w:tr w:rsidR="00B44672" w14:paraId="38E9C41A" w14:textId="77777777" w:rsidTr="00656B30">
        <w:tc>
          <w:tcPr>
            <w:tcW w:w="1225" w:type="pct"/>
            <w:tcBorders>
              <w:top w:val="single" w:sz="4" w:space="0" w:color="auto"/>
              <w:left w:val="nil"/>
              <w:bottom w:val="nil"/>
              <w:right w:val="nil"/>
            </w:tcBorders>
          </w:tcPr>
          <w:p w14:paraId="712D2FC4"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ACT tax reform</w:t>
            </w:r>
          </w:p>
        </w:tc>
        <w:tc>
          <w:tcPr>
            <w:tcW w:w="944" w:type="pct"/>
            <w:tcBorders>
              <w:top w:val="single" w:sz="4" w:space="0" w:color="auto"/>
              <w:left w:val="nil"/>
              <w:bottom w:val="nil"/>
              <w:right w:val="nil"/>
            </w:tcBorders>
          </w:tcPr>
          <w:p w14:paraId="6D8E546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0.100</w:t>
            </w:r>
          </w:p>
        </w:tc>
        <w:tc>
          <w:tcPr>
            <w:tcW w:w="944" w:type="pct"/>
            <w:tcBorders>
              <w:top w:val="single" w:sz="4" w:space="0" w:color="auto"/>
              <w:left w:val="nil"/>
              <w:bottom w:val="nil"/>
              <w:right w:val="nil"/>
            </w:tcBorders>
          </w:tcPr>
          <w:p w14:paraId="084A054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0.099</w:t>
            </w:r>
          </w:p>
        </w:tc>
        <w:tc>
          <w:tcPr>
            <w:tcW w:w="944" w:type="pct"/>
            <w:tcBorders>
              <w:top w:val="single" w:sz="4" w:space="0" w:color="auto"/>
              <w:left w:val="nil"/>
              <w:bottom w:val="nil"/>
              <w:right w:val="nil"/>
            </w:tcBorders>
          </w:tcPr>
          <w:p w14:paraId="1AB8943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-0.176</w:t>
            </w:r>
          </w:p>
        </w:tc>
        <w:tc>
          <w:tcPr>
            <w:tcW w:w="944" w:type="pct"/>
            <w:tcBorders>
              <w:top w:val="single" w:sz="4" w:space="0" w:color="auto"/>
              <w:left w:val="nil"/>
              <w:bottom w:val="nil"/>
              <w:right w:val="nil"/>
            </w:tcBorders>
          </w:tcPr>
          <w:p w14:paraId="361AB04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-0.185</w:t>
            </w:r>
          </w:p>
        </w:tc>
      </w:tr>
      <w:tr w:rsidR="00B44672" w14:paraId="47B2DF83" w14:textId="77777777" w:rsidTr="00656B30">
        <w:tc>
          <w:tcPr>
            <w:tcW w:w="1225" w:type="pct"/>
            <w:tcBorders>
              <w:top w:val="nil"/>
              <w:left w:val="nil"/>
              <w:bottom w:val="single" w:sz="4" w:space="0" w:color="auto"/>
              <w:right w:val="nil"/>
            </w:tcBorders>
          </w:tcPr>
          <w:p w14:paraId="7B14DC47"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Standard error</w:t>
            </w:r>
          </w:p>
        </w:tc>
        <w:tc>
          <w:tcPr>
            <w:tcW w:w="944" w:type="pct"/>
            <w:tcBorders>
              <w:top w:val="nil"/>
              <w:left w:val="nil"/>
              <w:bottom w:val="single" w:sz="4" w:space="0" w:color="auto"/>
              <w:right w:val="nil"/>
            </w:tcBorders>
          </w:tcPr>
          <w:p w14:paraId="6A5390E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(0.115)</w:t>
            </w:r>
          </w:p>
        </w:tc>
        <w:tc>
          <w:tcPr>
            <w:tcW w:w="944" w:type="pct"/>
            <w:tcBorders>
              <w:top w:val="nil"/>
              <w:left w:val="nil"/>
              <w:bottom w:val="single" w:sz="4" w:space="0" w:color="auto"/>
              <w:right w:val="nil"/>
            </w:tcBorders>
          </w:tcPr>
          <w:p w14:paraId="22EA79D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(0.128)</w:t>
            </w:r>
          </w:p>
        </w:tc>
        <w:tc>
          <w:tcPr>
            <w:tcW w:w="944" w:type="pct"/>
            <w:tcBorders>
              <w:top w:val="nil"/>
              <w:left w:val="nil"/>
              <w:bottom w:val="single" w:sz="4" w:space="0" w:color="auto"/>
              <w:right w:val="nil"/>
            </w:tcBorders>
          </w:tcPr>
          <w:p w14:paraId="1850B5A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(0.159)</w:t>
            </w:r>
          </w:p>
        </w:tc>
        <w:tc>
          <w:tcPr>
            <w:tcW w:w="944" w:type="pct"/>
            <w:tcBorders>
              <w:top w:val="nil"/>
              <w:left w:val="nil"/>
              <w:bottom w:val="single" w:sz="4" w:space="0" w:color="auto"/>
              <w:right w:val="nil"/>
            </w:tcBorders>
          </w:tcPr>
          <w:p w14:paraId="6B556FE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(0.166)</w:t>
            </w:r>
          </w:p>
        </w:tc>
      </w:tr>
      <w:tr w:rsidR="00B44672" w14:paraId="0D445FFB" w14:textId="77777777" w:rsidTr="00656B30">
        <w:tc>
          <w:tcPr>
            <w:tcW w:w="1225" w:type="pct"/>
            <w:tcBorders>
              <w:top w:val="single" w:sz="4" w:space="0" w:color="auto"/>
              <w:left w:val="nil"/>
              <w:bottom w:val="nil"/>
              <w:right w:val="nil"/>
            </w:tcBorders>
          </w:tcPr>
          <w:p w14:paraId="34358254"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Time Fixed Effect</w:t>
            </w:r>
          </w:p>
        </w:tc>
        <w:tc>
          <w:tcPr>
            <w:tcW w:w="944" w:type="pct"/>
            <w:tcBorders>
              <w:top w:val="single" w:sz="4" w:space="0" w:color="auto"/>
              <w:left w:val="nil"/>
              <w:bottom w:val="nil"/>
              <w:right w:val="nil"/>
            </w:tcBorders>
          </w:tcPr>
          <w:p w14:paraId="03D58CE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tcPr>
          <w:p w14:paraId="328B898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tcPr>
          <w:p w14:paraId="2E28EE4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tcPr>
          <w:p w14:paraId="734A87B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55FB6DA2" w14:textId="77777777" w:rsidTr="00656B30">
        <w:tc>
          <w:tcPr>
            <w:tcW w:w="1225" w:type="pct"/>
            <w:tcBorders>
              <w:top w:val="nil"/>
              <w:left w:val="nil"/>
              <w:bottom w:val="nil"/>
              <w:right w:val="nil"/>
            </w:tcBorders>
          </w:tcPr>
          <w:p w14:paraId="1322C92C"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 Fixed Effects</w:t>
            </w:r>
          </w:p>
        </w:tc>
        <w:tc>
          <w:tcPr>
            <w:tcW w:w="944" w:type="pct"/>
            <w:tcBorders>
              <w:top w:val="nil"/>
              <w:left w:val="nil"/>
              <w:bottom w:val="nil"/>
              <w:right w:val="nil"/>
            </w:tcBorders>
          </w:tcPr>
          <w:p w14:paraId="388C5E2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7C0598D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7DC6898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4496530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5F69AD83" w14:textId="77777777" w:rsidTr="00656B30">
        <w:tc>
          <w:tcPr>
            <w:tcW w:w="1225" w:type="pct"/>
            <w:tcBorders>
              <w:top w:val="nil"/>
              <w:left w:val="nil"/>
              <w:bottom w:val="nil"/>
              <w:right w:val="nil"/>
            </w:tcBorders>
          </w:tcPr>
          <w:p w14:paraId="29A9CDFF"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Income)</w:t>
            </w:r>
          </w:p>
        </w:tc>
        <w:tc>
          <w:tcPr>
            <w:tcW w:w="944" w:type="pct"/>
            <w:tcBorders>
              <w:top w:val="nil"/>
              <w:left w:val="nil"/>
              <w:bottom w:val="nil"/>
              <w:right w:val="nil"/>
            </w:tcBorders>
          </w:tcPr>
          <w:p w14:paraId="725089E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tcBorders>
              <w:top w:val="nil"/>
              <w:left w:val="nil"/>
              <w:bottom w:val="nil"/>
              <w:right w:val="nil"/>
            </w:tcBorders>
          </w:tcPr>
          <w:p w14:paraId="16C81E3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163C0B0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tcBorders>
              <w:top w:val="nil"/>
              <w:left w:val="nil"/>
              <w:bottom w:val="nil"/>
              <w:right w:val="nil"/>
            </w:tcBorders>
          </w:tcPr>
          <w:p w14:paraId="187F1C3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771AE21D" w14:textId="77777777" w:rsidTr="00656B30">
        <w:tc>
          <w:tcPr>
            <w:tcW w:w="1225" w:type="pct"/>
            <w:tcBorders>
              <w:top w:val="nil"/>
              <w:left w:val="nil"/>
              <w:bottom w:val="nil"/>
              <w:right w:val="nil"/>
            </w:tcBorders>
          </w:tcPr>
          <w:p w14:paraId="74326463"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Population)</w:t>
            </w:r>
          </w:p>
        </w:tc>
        <w:tc>
          <w:tcPr>
            <w:tcW w:w="944" w:type="pct"/>
            <w:tcBorders>
              <w:top w:val="nil"/>
              <w:left w:val="nil"/>
              <w:bottom w:val="nil"/>
              <w:right w:val="nil"/>
            </w:tcBorders>
          </w:tcPr>
          <w:p w14:paraId="4C42161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tcBorders>
              <w:top w:val="nil"/>
              <w:left w:val="nil"/>
              <w:bottom w:val="nil"/>
              <w:right w:val="nil"/>
            </w:tcBorders>
          </w:tcPr>
          <w:p w14:paraId="1E56280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tcBorders>
              <w:top w:val="nil"/>
              <w:left w:val="nil"/>
              <w:bottom w:val="nil"/>
              <w:right w:val="nil"/>
            </w:tcBorders>
          </w:tcPr>
          <w:p w14:paraId="6A4A6CC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443D19F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359DB174" w14:textId="77777777" w:rsidTr="00656B30">
        <w:tc>
          <w:tcPr>
            <w:tcW w:w="1225" w:type="pct"/>
            <w:tcBorders>
              <w:top w:val="nil"/>
              <w:left w:val="nil"/>
              <w:bottom w:val="nil"/>
              <w:right w:val="nil"/>
            </w:tcBorders>
          </w:tcPr>
          <w:p w14:paraId="5D615F41" w14:textId="77777777" w:rsidR="00B44672" w:rsidRDefault="00B44672">
            <w:pPr>
              <w:widowControl w:val="0"/>
              <w:autoSpaceDE w:val="0"/>
              <w:autoSpaceDN w:val="0"/>
              <w:adjustRightInd w:val="0"/>
              <w:spacing w:after="0"/>
              <w:rPr>
                <w:rFonts w:ascii="Times New Roman" w:hAnsi="Times New Roman" w:cs="Times New Roman"/>
              </w:rPr>
            </w:pPr>
            <w:proofErr w:type="spellStart"/>
            <w:proofErr w:type="gramStart"/>
            <w:r>
              <w:rPr>
                <w:rFonts w:ascii="Times New Roman" w:hAnsi="Times New Roman" w:cs="Times New Roman"/>
              </w:rPr>
              <w:t>adj.R</w:t>
            </w:r>
            <w:proofErr w:type="spellEnd"/>
            <w:proofErr w:type="gramEnd"/>
            <w:r>
              <w:rPr>
                <w:rFonts w:ascii="Times New Roman" w:hAnsi="Times New Roman" w:cs="Times New Roman"/>
              </w:rPr>
              <w:t>-squared</w:t>
            </w:r>
          </w:p>
        </w:tc>
        <w:tc>
          <w:tcPr>
            <w:tcW w:w="944" w:type="pct"/>
            <w:tcBorders>
              <w:top w:val="nil"/>
              <w:left w:val="nil"/>
              <w:bottom w:val="nil"/>
              <w:right w:val="nil"/>
            </w:tcBorders>
          </w:tcPr>
          <w:p w14:paraId="7B90300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0.818</w:t>
            </w:r>
          </w:p>
        </w:tc>
        <w:tc>
          <w:tcPr>
            <w:tcW w:w="944" w:type="pct"/>
            <w:tcBorders>
              <w:top w:val="nil"/>
              <w:left w:val="nil"/>
              <w:bottom w:val="nil"/>
              <w:right w:val="nil"/>
            </w:tcBorders>
          </w:tcPr>
          <w:p w14:paraId="658F809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0.819</w:t>
            </w:r>
          </w:p>
        </w:tc>
        <w:tc>
          <w:tcPr>
            <w:tcW w:w="944" w:type="pct"/>
            <w:tcBorders>
              <w:top w:val="nil"/>
              <w:left w:val="nil"/>
              <w:bottom w:val="nil"/>
              <w:right w:val="nil"/>
            </w:tcBorders>
          </w:tcPr>
          <w:p w14:paraId="4D44169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0.819</w:t>
            </w:r>
          </w:p>
        </w:tc>
        <w:tc>
          <w:tcPr>
            <w:tcW w:w="944" w:type="pct"/>
            <w:tcBorders>
              <w:top w:val="nil"/>
              <w:left w:val="nil"/>
              <w:bottom w:val="nil"/>
              <w:right w:val="nil"/>
            </w:tcBorders>
          </w:tcPr>
          <w:p w14:paraId="48245A0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0.820</w:t>
            </w:r>
          </w:p>
        </w:tc>
      </w:tr>
      <w:tr w:rsidR="00B44672" w14:paraId="42847DFB" w14:textId="77777777" w:rsidTr="00656B30">
        <w:tc>
          <w:tcPr>
            <w:tcW w:w="1225" w:type="pct"/>
            <w:tcBorders>
              <w:top w:val="nil"/>
              <w:left w:val="nil"/>
              <w:bottom w:val="nil"/>
              <w:right w:val="nil"/>
            </w:tcBorders>
          </w:tcPr>
          <w:p w14:paraId="7DAD87DA"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lastRenderedPageBreak/>
              <w:t>Observations</w:t>
            </w:r>
          </w:p>
        </w:tc>
        <w:tc>
          <w:tcPr>
            <w:tcW w:w="944" w:type="pct"/>
            <w:tcBorders>
              <w:top w:val="nil"/>
              <w:left w:val="nil"/>
              <w:bottom w:val="nil"/>
              <w:right w:val="nil"/>
            </w:tcBorders>
          </w:tcPr>
          <w:p w14:paraId="0541B8C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64811</w:t>
            </w:r>
          </w:p>
        </w:tc>
        <w:tc>
          <w:tcPr>
            <w:tcW w:w="944" w:type="pct"/>
            <w:tcBorders>
              <w:top w:val="nil"/>
              <w:left w:val="nil"/>
              <w:bottom w:val="nil"/>
              <w:right w:val="nil"/>
            </w:tcBorders>
          </w:tcPr>
          <w:p w14:paraId="455B34AA"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62692</w:t>
            </w:r>
          </w:p>
        </w:tc>
        <w:tc>
          <w:tcPr>
            <w:tcW w:w="944" w:type="pct"/>
            <w:tcBorders>
              <w:top w:val="nil"/>
              <w:left w:val="nil"/>
              <w:bottom w:val="nil"/>
              <w:right w:val="nil"/>
            </w:tcBorders>
          </w:tcPr>
          <w:p w14:paraId="57002D5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64811</w:t>
            </w:r>
          </w:p>
        </w:tc>
        <w:tc>
          <w:tcPr>
            <w:tcW w:w="944" w:type="pct"/>
            <w:tcBorders>
              <w:top w:val="nil"/>
              <w:left w:val="nil"/>
              <w:bottom w:val="nil"/>
              <w:right w:val="nil"/>
            </w:tcBorders>
          </w:tcPr>
          <w:p w14:paraId="3CD7EBF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62692</w:t>
            </w:r>
          </w:p>
        </w:tc>
      </w:tr>
      <w:tr w:rsidR="00B44672" w14:paraId="2C2F397E" w14:textId="77777777" w:rsidTr="00656B30">
        <w:tc>
          <w:tcPr>
            <w:tcW w:w="1225" w:type="pct"/>
            <w:tcBorders>
              <w:top w:val="nil"/>
              <w:left w:val="nil"/>
              <w:bottom w:val="single" w:sz="4" w:space="0" w:color="auto"/>
              <w:right w:val="nil"/>
            </w:tcBorders>
          </w:tcPr>
          <w:p w14:paraId="6FE1EDCF"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Postcodes</w:t>
            </w:r>
          </w:p>
        </w:tc>
        <w:tc>
          <w:tcPr>
            <w:tcW w:w="944" w:type="pct"/>
            <w:tcBorders>
              <w:top w:val="nil"/>
              <w:left w:val="nil"/>
              <w:bottom w:val="single" w:sz="4" w:space="0" w:color="auto"/>
              <w:right w:val="nil"/>
            </w:tcBorders>
          </w:tcPr>
          <w:p w14:paraId="496D000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494</w:t>
            </w:r>
          </w:p>
        </w:tc>
        <w:tc>
          <w:tcPr>
            <w:tcW w:w="944" w:type="pct"/>
            <w:tcBorders>
              <w:top w:val="nil"/>
              <w:left w:val="nil"/>
              <w:bottom w:val="single" w:sz="4" w:space="0" w:color="auto"/>
              <w:right w:val="nil"/>
            </w:tcBorders>
          </w:tcPr>
          <w:p w14:paraId="75A7FB9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493</w:t>
            </w:r>
          </w:p>
        </w:tc>
        <w:tc>
          <w:tcPr>
            <w:tcW w:w="944" w:type="pct"/>
            <w:tcBorders>
              <w:top w:val="nil"/>
              <w:left w:val="nil"/>
              <w:bottom w:val="single" w:sz="4" w:space="0" w:color="auto"/>
              <w:right w:val="nil"/>
            </w:tcBorders>
          </w:tcPr>
          <w:p w14:paraId="486CB0C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494</w:t>
            </w:r>
          </w:p>
        </w:tc>
        <w:tc>
          <w:tcPr>
            <w:tcW w:w="944" w:type="pct"/>
            <w:tcBorders>
              <w:top w:val="nil"/>
              <w:left w:val="nil"/>
              <w:bottom w:val="single" w:sz="4" w:space="0" w:color="auto"/>
              <w:right w:val="nil"/>
            </w:tcBorders>
          </w:tcPr>
          <w:p w14:paraId="0CC63D6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493</w:t>
            </w:r>
          </w:p>
        </w:tc>
      </w:tr>
    </w:tbl>
    <w:p w14:paraId="2ABD67C6" w14:textId="77777777" w:rsidR="00B44672" w:rsidRDefault="00B44672" w:rsidP="00933362">
      <w:pPr>
        <w:widowControl w:val="0"/>
        <w:autoSpaceDE w:val="0"/>
        <w:autoSpaceDN w:val="0"/>
        <w:adjustRightInd w:val="0"/>
        <w:spacing w:after="0"/>
        <w:rPr>
          <w:rFonts w:ascii="Times New Roman" w:hAnsi="Times New Roman" w:cs="Times New Roman"/>
          <w:sz w:val="20"/>
          <w:szCs w:val="20"/>
          <w:lang w:eastAsia="zh-CN"/>
        </w:rPr>
      </w:pPr>
      <w:r>
        <w:rPr>
          <w:rFonts w:ascii="Times New Roman" w:hAnsi="Times New Roman" w:cs="Times New Roman"/>
          <w:sz w:val="20"/>
          <w:szCs w:val="20"/>
        </w:rPr>
        <w:t>Note: Standard error clusters at state-postcode level * p&lt;0.05, ** p&lt;0.01</w:t>
      </w:r>
    </w:p>
    <w:p w14:paraId="3F42D7F8" w14:textId="77777777" w:rsidR="00B44672" w:rsidRDefault="00B44672" w:rsidP="0029189E"/>
    <w:p w14:paraId="0264120D" w14:textId="77777777" w:rsidR="00B44672" w:rsidRPr="00592171" w:rsidRDefault="00B44672" w:rsidP="00592171">
      <w:pPr>
        <w:rPr>
          <w:b/>
          <w:bCs/>
          <w:i/>
          <w:iCs/>
          <w:color w:val="365F91" w:themeColor="accent1" w:themeShade="BF"/>
        </w:rPr>
      </w:pPr>
      <w:r w:rsidRPr="00E20E98">
        <w:rPr>
          <w:b/>
          <w:bCs/>
          <w:i/>
          <w:iCs/>
          <w:color w:val="365F91" w:themeColor="accent1" w:themeShade="BF"/>
        </w:rPr>
        <w:t xml:space="preserve">Table </w:t>
      </w:r>
      <w:r>
        <w:rPr>
          <w:b/>
          <w:bCs/>
          <w:i/>
          <w:iCs/>
          <w:color w:val="365F91" w:themeColor="accent1" w:themeShade="BF"/>
        </w:rPr>
        <w:t xml:space="preserve">22 </w:t>
      </w:r>
      <w:r w:rsidRPr="00E20E98">
        <w:rPr>
          <w:b/>
          <w:bCs/>
          <w:i/>
          <w:iCs/>
          <w:color w:val="365F91" w:themeColor="accent1" w:themeShade="BF"/>
        </w:rPr>
        <w:t xml:space="preserve">- Tax reform effect on </w:t>
      </w:r>
      <w:r>
        <w:rPr>
          <w:b/>
          <w:bCs/>
          <w:i/>
          <w:iCs/>
          <w:color w:val="365F91" w:themeColor="accent1" w:themeShade="BF"/>
        </w:rPr>
        <w:t>house prices:  Difference-in-difference estimates using 2004/05 – 2018/19 administrative data</w:t>
      </w:r>
    </w:p>
    <w:tbl>
      <w:tblPr>
        <w:tblW w:w="5000" w:type="pct"/>
        <w:tblLook w:val="0000" w:firstRow="0" w:lastRow="0" w:firstColumn="0" w:lastColumn="0" w:noHBand="0" w:noVBand="0"/>
      </w:tblPr>
      <w:tblGrid>
        <w:gridCol w:w="2212"/>
        <w:gridCol w:w="1704"/>
        <w:gridCol w:w="1704"/>
        <w:gridCol w:w="1704"/>
        <w:gridCol w:w="1702"/>
      </w:tblGrid>
      <w:tr w:rsidR="00B44672" w14:paraId="097A5146" w14:textId="77777777" w:rsidTr="00650739">
        <w:tc>
          <w:tcPr>
            <w:tcW w:w="1225" w:type="pct"/>
            <w:tcBorders>
              <w:top w:val="single" w:sz="4" w:space="0" w:color="auto"/>
              <w:left w:val="nil"/>
              <w:bottom w:val="nil"/>
              <w:right w:val="nil"/>
            </w:tcBorders>
          </w:tcPr>
          <w:p w14:paraId="54151EBD" w14:textId="77777777" w:rsidR="00B44672" w:rsidRDefault="00B44672" w:rsidP="008B1D8A">
            <w:pPr>
              <w:widowControl w:val="0"/>
              <w:autoSpaceDE w:val="0"/>
              <w:autoSpaceDN w:val="0"/>
              <w:adjustRightInd w:val="0"/>
              <w:spacing w:after="0"/>
              <w:rPr>
                <w:rFonts w:ascii="Times New Roman" w:hAnsi="Times New Roman" w:cs="Times New Roman"/>
              </w:rPr>
            </w:pPr>
          </w:p>
        </w:tc>
        <w:tc>
          <w:tcPr>
            <w:tcW w:w="944" w:type="pct"/>
            <w:tcBorders>
              <w:top w:val="single" w:sz="4" w:space="0" w:color="auto"/>
              <w:left w:val="nil"/>
              <w:bottom w:val="nil"/>
              <w:right w:val="nil"/>
            </w:tcBorders>
          </w:tcPr>
          <w:p w14:paraId="49492456"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w:t>
            </w:r>
          </w:p>
        </w:tc>
        <w:tc>
          <w:tcPr>
            <w:tcW w:w="944" w:type="pct"/>
            <w:tcBorders>
              <w:top w:val="single" w:sz="4" w:space="0" w:color="auto"/>
              <w:left w:val="nil"/>
              <w:bottom w:val="nil"/>
              <w:right w:val="nil"/>
            </w:tcBorders>
          </w:tcPr>
          <w:p w14:paraId="1603C266"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(2)</w:t>
            </w:r>
          </w:p>
        </w:tc>
        <w:tc>
          <w:tcPr>
            <w:tcW w:w="944" w:type="pct"/>
            <w:tcBorders>
              <w:top w:val="single" w:sz="4" w:space="0" w:color="auto"/>
              <w:left w:val="nil"/>
              <w:bottom w:val="nil"/>
              <w:right w:val="nil"/>
            </w:tcBorders>
          </w:tcPr>
          <w:p w14:paraId="29457DA6"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(3)</w:t>
            </w:r>
          </w:p>
        </w:tc>
        <w:tc>
          <w:tcPr>
            <w:tcW w:w="944" w:type="pct"/>
            <w:tcBorders>
              <w:top w:val="single" w:sz="4" w:space="0" w:color="auto"/>
              <w:left w:val="nil"/>
              <w:bottom w:val="nil"/>
              <w:right w:val="nil"/>
            </w:tcBorders>
          </w:tcPr>
          <w:p w14:paraId="69F224CA"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w:t>
            </w:r>
          </w:p>
        </w:tc>
      </w:tr>
      <w:tr w:rsidR="00B44672" w14:paraId="367E56C0" w14:textId="77777777" w:rsidTr="00650739">
        <w:tc>
          <w:tcPr>
            <w:tcW w:w="1225" w:type="pct"/>
            <w:tcBorders>
              <w:top w:val="nil"/>
              <w:left w:val="nil"/>
              <w:bottom w:val="nil"/>
              <w:right w:val="nil"/>
            </w:tcBorders>
          </w:tcPr>
          <w:p w14:paraId="348C8F85" w14:textId="77777777" w:rsidR="00B44672" w:rsidRDefault="00B44672" w:rsidP="008B1D8A">
            <w:pPr>
              <w:widowControl w:val="0"/>
              <w:autoSpaceDE w:val="0"/>
              <w:autoSpaceDN w:val="0"/>
              <w:adjustRightInd w:val="0"/>
              <w:spacing w:after="0"/>
              <w:rPr>
                <w:rFonts w:ascii="Times New Roman" w:hAnsi="Times New Roman" w:cs="Times New Roman"/>
              </w:rPr>
            </w:pPr>
          </w:p>
        </w:tc>
        <w:tc>
          <w:tcPr>
            <w:tcW w:w="944" w:type="pct"/>
            <w:tcBorders>
              <w:top w:val="nil"/>
              <w:left w:val="nil"/>
              <w:bottom w:val="nil"/>
              <w:right w:val="nil"/>
            </w:tcBorders>
          </w:tcPr>
          <w:p w14:paraId="0F6AB7C9" w14:textId="77777777" w:rsidR="00B44672" w:rsidRDefault="00B44672" w:rsidP="008B1D8A">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c>
          <w:tcPr>
            <w:tcW w:w="944" w:type="pct"/>
            <w:tcBorders>
              <w:top w:val="nil"/>
              <w:left w:val="nil"/>
              <w:bottom w:val="nil"/>
              <w:right w:val="nil"/>
            </w:tcBorders>
          </w:tcPr>
          <w:p w14:paraId="0C196507" w14:textId="77777777" w:rsidR="00B44672" w:rsidRDefault="00B44672" w:rsidP="008B1D8A">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c>
          <w:tcPr>
            <w:tcW w:w="944" w:type="pct"/>
            <w:tcBorders>
              <w:top w:val="nil"/>
              <w:left w:val="nil"/>
              <w:bottom w:val="nil"/>
              <w:right w:val="nil"/>
            </w:tcBorders>
          </w:tcPr>
          <w:p w14:paraId="45456A33" w14:textId="77777777" w:rsidR="00B44672" w:rsidRDefault="00B44672" w:rsidP="008B1D8A">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c>
          <w:tcPr>
            <w:tcW w:w="944" w:type="pct"/>
            <w:tcBorders>
              <w:top w:val="nil"/>
              <w:left w:val="nil"/>
              <w:bottom w:val="nil"/>
              <w:right w:val="nil"/>
            </w:tcBorders>
          </w:tcPr>
          <w:p w14:paraId="13080A43" w14:textId="77777777" w:rsidR="00B44672" w:rsidRDefault="00B44672" w:rsidP="008B1D8A">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r>
      <w:tr w:rsidR="00B44672" w14:paraId="52CA60F7" w14:textId="77777777" w:rsidTr="00650739">
        <w:tc>
          <w:tcPr>
            <w:tcW w:w="1225" w:type="pct"/>
            <w:tcBorders>
              <w:top w:val="nil"/>
              <w:left w:val="nil"/>
              <w:bottom w:val="nil"/>
              <w:right w:val="nil"/>
            </w:tcBorders>
          </w:tcPr>
          <w:p w14:paraId="27D2D63F" w14:textId="77777777" w:rsidR="00B44672" w:rsidRDefault="00B44672" w:rsidP="008B1D8A">
            <w:pPr>
              <w:widowControl w:val="0"/>
              <w:autoSpaceDE w:val="0"/>
              <w:autoSpaceDN w:val="0"/>
              <w:adjustRightInd w:val="0"/>
              <w:spacing w:after="0"/>
              <w:rPr>
                <w:rFonts w:ascii="Times New Roman" w:hAnsi="Times New Roman" w:cs="Times New Roman"/>
              </w:rPr>
            </w:pPr>
          </w:p>
        </w:tc>
        <w:tc>
          <w:tcPr>
            <w:tcW w:w="944" w:type="pct"/>
            <w:tcBorders>
              <w:top w:val="nil"/>
              <w:left w:val="nil"/>
              <w:bottom w:val="nil"/>
              <w:right w:val="nil"/>
            </w:tcBorders>
          </w:tcPr>
          <w:p w14:paraId="5E720833"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tcBorders>
              <w:top w:val="nil"/>
              <w:left w:val="nil"/>
              <w:bottom w:val="nil"/>
              <w:right w:val="nil"/>
            </w:tcBorders>
          </w:tcPr>
          <w:p w14:paraId="57B17A25"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tcBorders>
              <w:top w:val="nil"/>
              <w:left w:val="nil"/>
              <w:bottom w:val="nil"/>
              <w:right w:val="nil"/>
            </w:tcBorders>
          </w:tcPr>
          <w:p w14:paraId="4EA7D3AD"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tcBorders>
              <w:top w:val="nil"/>
              <w:left w:val="nil"/>
              <w:bottom w:val="nil"/>
              <w:right w:val="nil"/>
            </w:tcBorders>
          </w:tcPr>
          <w:p w14:paraId="177085D1"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r>
      <w:tr w:rsidR="00B44672" w14:paraId="580067F9" w14:textId="77777777" w:rsidTr="00650739">
        <w:tc>
          <w:tcPr>
            <w:tcW w:w="1225" w:type="pct"/>
            <w:tcBorders>
              <w:top w:val="single" w:sz="4" w:space="0" w:color="auto"/>
              <w:left w:val="nil"/>
              <w:bottom w:val="nil"/>
              <w:right w:val="nil"/>
            </w:tcBorders>
          </w:tcPr>
          <w:p w14:paraId="38F6CCDB" w14:textId="77777777" w:rsidR="00B44672" w:rsidRDefault="00B44672" w:rsidP="008B1D8A">
            <w:pPr>
              <w:widowControl w:val="0"/>
              <w:autoSpaceDE w:val="0"/>
              <w:autoSpaceDN w:val="0"/>
              <w:adjustRightInd w:val="0"/>
              <w:spacing w:after="0"/>
              <w:rPr>
                <w:rFonts w:ascii="Times New Roman" w:hAnsi="Times New Roman" w:cs="Times New Roman"/>
              </w:rPr>
            </w:pPr>
            <w:r>
              <w:rPr>
                <w:rFonts w:ascii="Times New Roman" w:hAnsi="Times New Roman" w:cs="Times New Roman"/>
              </w:rPr>
              <w:t>ACT tax reform</w:t>
            </w:r>
          </w:p>
        </w:tc>
        <w:tc>
          <w:tcPr>
            <w:tcW w:w="944" w:type="pct"/>
            <w:tcBorders>
              <w:top w:val="single" w:sz="4" w:space="0" w:color="auto"/>
              <w:left w:val="nil"/>
              <w:bottom w:val="nil"/>
              <w:right w:val="nil"/>
            </w:tcBorders>
          </w:tcPr>
          <w:p w14:paraId="6F1DC153"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-0.112**</w:t>
            </w:r>
          </w:p>
        </w:tc>
        <w:tc>
          <w:tcPr>
            <w:tcW w:w="944" w:type="pct"/>
            <w:tcBorders>
              <w:top w:val="single" w:sz="4" w:space="0" w:color="auto"/>
              <w:left w:val="nil"/>
              <w:bottom w:val="nil"/>
              <w:right w:val="nil"/>
            </w:tcBorders>
          </w:tcPr>
          <w:p w14:paraId="638E9033"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0.036</w:t>
            </w:r>
          </w:p>
        </w:tc>
        <w:tc>
          <w:tcPr>
            <w:tcW w:w="944" w:type="pct"/>
            <w:tcBorders>
              <w:top w:val="single" w:sz="4" w:space="0" w:color="auto"/>
              <w:left w:val="nil"/>
              <w:bottom w:val="nil"/>
              <w:right w:val="nil"/>
            </w:tcBorders>
          </w:tcPr>
          <w:p w14:paraId="6F3EE8E3"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-0.149**</w:t>
            </w:r>
          </w:p>
        </w:tc>
        <w:tc>
          <w:tcPr>
            <w:tcW w:w="944" w:type="pct"/>
            <w:tcBorders>
              <w:top w:val="single" w:sz="4" w:space="0" w:color="auto"/>
              <w:left w:val="nil"/>
              <w:bottom w:val="nil"/>
              <w:right w:val="nil"/>
            </w:tcBorders>
          </w:tcPr>
          <w:p w14:paraId="5B79500A"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-0.008</w:t>
            </w:r>
          </w:p>
        </w:tc>
      </w:tr>
      <w:tr w:rsidR="00B44672" w14:paraId="33CDA1F9" w14:textId="77777777" w:rsidTr="00650739">
        <w:tc>
          <w:tcPr>
            <w:tcW w:w="1225" w:type="pct"/>
            <w:tcBorders>
              <w:top w:val="nil"/>
              <w:left w:val="nil"/>
              <w:bottom w:val="single" w:sz="4" w:space="0" w:color="auto"/>
              <w:right w:val="nil"/>
            </w:tcBorders>
          </w:tcPr>
          <w:p w14:paraId="22A19B38" w14:textId="77777777" w:rsidR="00B44672" w:rsidRDefault="00B44672" w:rsidP="008B1D8A">
            <w:pPr>
              <w:widowControl w:val="0"/>
              <w:autoSpaceDE w:val="0"/>
              <w:autoSpaceDN w:val="0"/>
              <w:adjustRightInd w:val="0"/>
              <w:spacing w:after="0"/>
              <w:rPr>
                <w:rFonts w:ascii="Times New Roman" w:hAnsi="Times New Roman" w:cs="Times New Roman"/>
              </w:rPr>
            </w:pPr>
            <w:r>
              <w:rPr>
                <w:rFonts w:ascii="Times New Roman" w:hAnsi="Times New Roman" w:cs="Times New Roman"/>
              </w:rPr>
              <w:t>Standard error</w:t>
            </w:r>
          </w:p>
        </w:tc>
        <w:tc>
          <w:tcPr>
            <w:tcW w:w="944" w:type="pct"/>
            <w:tcBorders>
              <w:top w:val="nil"/>
              <w:left w:val="nil"/>
              <w:bottom w:val="single" w:sz="4" w:space="0" w:color="auto"/>
              <w:right w:val="nil"/>
            </w:tcBorders>
          </w:tcPr>
          <w:p w14:paraId="2CCC6C11"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(0.029)</w:t>
            </w:r>
          </w:p>
        </w:tc>
        <w:tc>
          <w:tcPr>
            <w:tcW w:w="944" w:type="pct"/>
            <w:tcBorders>
              <w:top w:val="nil"/>
              <w:left w:val="nil"/>
              <w:bottom w:val="single" w:sz="4" w:space="0" w:color="auto"/>
              <w:right w:val="nil"/>
            </w:tcBorders>
          </w:tcPr>
          <w:p w14:paraId="395A8EE9"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(0.040)</w:t>
            </w:r>
          </w:p>
        </w:tc>
        <w:tc>
          <w:tcPr>
            <w:tcW w:w="944" w:type="pct"/>
            <w:tcBorders>
              <w:top w:val="nil"/>
              <w:left w:val="nil"/>
              <w:bottom w:val="single" w:sz="4" w:space="0" w:color="auto"/>
              <w:right w:val="nil"/>
            </w:tcBorders>
          </w:tcPr>
          <w:p w14:paraId="6229461A"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(0.037)</w:t>
            </w:r>
          </w:p>
        </w:tc>
        <w:tc>
          <w:tcPr>
            <w:tcW w:w="944" w:type="pct"/>
            <w:tcBorders>
              <w:top w:val="nil"/>
              <w:left w:val="nil"/>
              <w:bottom w:val="single" w:sz="4" w:space="0" w:color="auto"/>
              <w:right w:val="nil"/>
            </w:tcBorders>
          </w:tcPr>
          <w:p w14:paraId="64733BE5"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(0.043)</w:t>
            </w:r>
          </w:p>
        </w:tc>
      </w:tr>
      <w:tr w:rsidR="00B44672" w14:paraId="2819739B" w14:textId="77777777" w:rsidTr="00650739">
        <w:tc>
          <w:tcPr>
            <w:tcW w:w="1225" w:type="pct"/>
            <w:tcBorders>
              <w:top w:val="single" w:sz="4" w:space="0" w:color="auto"/>
              <w:left w:val="nil"/>
              <w:bottom w:val="nil"/>
              <w:right w:val="nil"/>
            </w:tcBorders>
          </w:tcPr>
          <w:p w14:paraId="72CBA8DE" w14:textId="77777777" w:rsidR="00B44672" w:rsidRDefault="00B44672" w:rsidP="008B1D8A">
            <w:pPr>
              <w:widowControl w:val="0"/>
              <w:autoSpaceDE w:val="0"/>
              <w:autoSpaceDN w:val="0"/>
              <w:adjustRightInd w:val="0"/>
              <w:spacing w:after="0"/>
              <w:rPr>
                <w:rFonts w:ascii="Times New Roman" w:hAnsi="Times New Roman" w:cs="Times New Roman"/>
              </w:rPr>
            </w:pPr>
            <w:r>
              <w:rPr>
                <w:rFonts w:ascii="Times New Roman" w:hAnsi="Times New Roman" w:cs="Times New Roman"/>
              </w:rPr>
              <w:t>Time Fixed Effect</w:t>
            </w:r>
          </w:p>
        </w:tc>
        <w:tc>
          <w:tcPr>
            <w:tcW w:w="944" w:type="pct"/>
            <w:tcBorders>
              <w:top w:val="single" w:sz="4" w:space="0" w:color="auto"/>
              <w:left w:val="nil"/>
              <w:bottom w:val="nil"/>
              <w:right w:val="nil"/>
            </w:tcBorders>
          </w:tcPr>
          <w:p w14:paraId="0A1A3D92"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tcPr>
          <w:p w14:paraId="2BB8B353"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tcPr>
          <w:p w14:paraId="67C45436"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tcPr>
          <w:p w14:paraId="71DF8C62"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5D593DF4" w14:textId="77777777" w:rsidTr="00650739">
        <w:tc>
          <w:tcPr>
            <w:tcW w:w="1225" w:type="pct"/>
            <w:tcBorders>
              <w:top w:val="nil"/>
              <w:left w:val="nil"/>
              <w:bottom w:val="nil"/>
              <w:right w:val="nil"/>
            </w:tcBorders>
          </w:tcPr>
          <w:p w14:paraId="7374B947" w14:textId="77777777" w:rsidR="00B44672" w:rsidRDefault="00B44672" w:rsidP="008B1D8A">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 Fixed Effects</w:t>
            </w:r>
          </w:p>
        </w:tc>
        <w:tc>
          <w:tcPr>
            <w:tcW w:w="944" w:type="pct"/>
            <w:tcBorders>
              <w:top w:val="nil"/>
              <w:left w:val="nil"/>
              <w:bottom w:val="nil"/>
              <w:right w:val="nil"/>
            </w:tcBorders>
          </w:tcPr>
          <w:p w14:paraId="5FF4CCEE"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4D66B548"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7845576E"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173813B8"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61662FEA" w14:textId="77777777" w:rsidTr="00650739">
        <w:tc>
          <w:tcPr>
            <w:tcW w:w="1225" w:type="pct"/>
            <w:tcBorders>
              <w:top w:val="nil"/>
              <w:left w:val="nil"/>
              <w:bottom w:val="nil"/>
              <w:right w:val="nil"/>
            </w:tcBorders>
          </w:tcPr>
          <w:p w14:paraId="43AA97C0" w14:textId="77777777" w:rsidR="00B44672" w:rsidRDefault="00B44672" w:rsidP="008B1D8A">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Income)</w:t>
            </w:r>
          </w:p>
        </w:tc>
        <w:tc>
          <w:tcPr>
            <w:tcW w:w="944" w:type="pct"/>
            <w:tcBorders>
              <w:top w:val="nil"/>
              <w:left w:val="nil"/>
              <w:bottom w:val="nil"/>
              <w:right w:val="nil"/>
            </w:tcBorders>
          </w:tcPr>
          <w:p w14:paraId="028C7FFD"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tcBorders>
              <w:top w:val="nil"/>
              <w:left w:val="nil"/>
              <w:bottom w:val="nil"/>
              <w:right w:val="nil"/>
            </w:tcBorders>
          </w:tcPr>
          <w:p w14:paraId="6316BB37"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7A19108F"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tcBorders>
              <w:top w:val="nil"/>
              <w:left w:val="nil"/>
              <w:bottom w:val="nil"/>
              <w:right w:val="nil"/>
            </w:tcBorders>
          </w:tcPr>
          <w:p w14:paraId="2E9D3E27"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009BEFA2" w14:textId="77777777" w:rsidTr="00650739">
        <w:tc>
          <w:tcPr>
            <w:tcW w:w="1225" w:type="pct"/>
            <w:tcBorders>
              <w:top w:val="nil"/>
              <w:left w:val="nil"/>
              <w:bottom w:val="nil"/>
              <w:right w:val="nil"/>
            </w:tcBorders>
          </w:tcPr>
          <w:p w14:paraId="2849045E" w14:textId="77777777" w:rsidR="00B44672" w:rsidRDefault="00B44672" w:rsidP="008B1D8A">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Population)</w:t>
            </w:r>
          </w:p>
        </w:tc>
        <w:tc>
          <w:tcPr>
            <w:tcW w:w="944" w:type="pct"/>
            <w:tcBorders>
              <w:top w:val="nil"/>
              <w:left w:val="nil"/>
              <w:bottom w:val="nil"/>
              <w:right w:val="nil"/>
            </w:tcBorders>
          </w:tcPr>
          <w:p w14:paraId="14395441"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tcBorders>
              <w:top w:val="nil"/>
              <w:left w:val="nil"/>
              <w:bottom w:val="nil"/>
              <w:right w:val="nil"/>
            </w:tcBorders>
          </w:tcPr>
          <w:p w14:paraId="76620DBD"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tcBorders>
              <w:top w:val="nil"/>
              <w:left w:val="nil"/>
              <w:bottom w:val="nil"/>
              <w:right w:val="nil"/>
            </w:tcBorders>
          </w:tcPr>
          <w:p w14:paraId="2AB5FA7B"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22570D0A"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7A275D76" w14:textId="77777777" w:rsidTr="00650739">
        <w:tc>
          <w:tcPr>
            <w:tcW w:w="1225" w:type="pct"/>
            <w:tcBorders>
              <w:top w:val="nil"/>
              <w:left w:val="nil"/>
              <w:bottom w:val="nil"/>
              <w:right w:val="nil"/>
            </w:tcBorders>
          </w:tcPr>
          <w:p w14:paraId="7944D9C3" w14:textId="77777777" w:rsidR="00B44672" w:rsidRDefault="00B44672" w:rsidP="008B1D8A">
            <w:pPr>
              <w:widowControl w:val="0"/>
              <w:autoSpaceDE w:val="0"/>
              <w:autoSpaceDN w:val="0"/>
              <w:adjustRightInd w:val="0"/>
              <w:spacing w:after="0"/>
              <w:rPr>
                <w:rFonts w:ascii="Times New Roman" w:hAnsi="Times New Roman" w:cs="Times New Roman"/>
              </w:rPr>
            </w:pPr>
            <w:proofErr w:type="spellStart"/>
            <w:proofErr w:type="gramStart"/>
            <w:r>
              <w:rPr>
                <w:rFonts w:ascii="Times New Roman" w:hAnsi="Times New Roman" w:cs="Times New Roman"/>
              </w:rPr>
              <w:t>adj.R</w:t>
            </w:r>
            <w:proofErr w:type="spellEnd"/>
            <w:proofErr w:type="gramEnd"/>
            <w:r>
              <w:rPr>
                <w:rFonts w:ascii="Times New Roman" w:hAnsi="Times New Roman" w:cs="Times New Roman"/>
              </w:rPr>
              <w:t>-squared</w:t>
            </w:r>
          </w:p>
        </w:tc>
        <w:tc>
          <w:tcPr>
            <w:tcW w:w="944" w:type="pct"/>
            <w:tcBorders>
              <w:top w:val="nil"/>
              <w:left w:val="nil"/>
              <w:bottom w:val="nil"/>
              <w:right w:val="nil"/>
            </w:tcBorders>
          </w:tcPr>
          <w:p w14:paraId="61630BB8"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0.594</w:t>
            </w:r>
          </w:p>
        </w:tc>
        <w:tc>
          <w:tcPr>
            <w:tcW w:w="944" w:type="pct"/>
            <w:tcBorders>
              <w:top w:val="nil"/>
              <w:left w:val="nil"/>
              <w:bottom w:val="nil"/>
              <w:right w:val="nil"/>
            </w:tcBorders>
          </w:tcPr>
          <w:p w14:paraId="2FC57D38"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0.593</w:t>
            </w:r>
          </w:p>
        </w:tc>
        <w:tc>
          <w:tcPr>
            <w:tcW w:w="944" w:type="pct"/>
            <w:tcBorders>
              <w:top w:val="nil"/>
              <w:left w:val="nil"/>
              <w:bottom w:val="nil"/>
              <w:right w:val="nil"/>
            </w:tcBorders>
          </w:tcPr>
          <w:p w14:paraId="46618BFC"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0.594</w:t>
            </w:r>
          </w:p>
        </w:tc>
        <w:tc>
          <w:tcPr>
            <w:tcW w:w="944" w:type="pct"/>
            <w:tcBorders>
              <w:top w:val="nil"/>
              <w:left w:val="nil"/>
              <w:bottom w:val="nil"/>
              <w:right w:val="nil"/>
            </w:tcBorders>
          </w:tcPr>
          <w:p w14:paraId="274416B1"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0.593</w:t>
            </w:r>
          </w:p>
        </w:tc>
      </w:tr>
      <w:tr w:rsidR="00B44672" w14:paraId="61C28FBD" w14:textId="77777777" w:rsidTr="00650739">
        <w:tc>
          <w:tcPr>
            <w:tcW w:w="1225" w:type="pct"/>
            <w:tcBorders>
              <w:top w:val="nil"/>
              <w:left w:val="nil"/>
              <w:bottom w:val="nil"/>
              <w:right w:val="nil"/>
            </w:tcBorders>
          </w:tcPr>
          <w:p w14:paraId="53397DEA" w14:textId="77777777" w:rsidR="00B44672" w:rsidRDefault="00B44672" w:rsidP="008B1D8A">
            <w:pPr>
              <w:widowControl w:val="0"/>
              <w:autoSpaceDE w:val="0"/>
              <w:autoSpaceDN w:val="0"/>
              <w:adjustRightInd w:val="0"/>
              <w:spacing w:after="0"/>
              <w:rPr>
                <w:rFonts w:ascii="Times New Roman" w:hAnsi="Times New Roman" w:cs="Times New Roman"/>
              </w:rPr>
            </w:pPr>
            <w:r>
              <w:rPr>
                <w:rFonts w:ascii="Times New Roman" w:hAnsi="Times New Roman" w:cs="Times New Roman"/>
              </w:rPr>
              <w:t>Observations</w:t>
            </w:r>
          </w:p>
        </w:tc>
        <w:tc>
          <w:tcPr>
            <w:tcW w:w="944" w:type="pct"/>
            <w:tcBorders>
              <w:top w:val="nil"/>
              <w:left w:val="nil"/>
              <w:bottom w:val="nil"/>
              <w:right w:val="nil"/>
            </w:tcBorders>
          </w:tcPr>
          <w:p w14:paraId="5FA05232"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106546</w:t>
            </w:r>
          </w:p>
        </w:tc>
        <w:tc>
          <w:tcPr>
            <w:tcW w:w="944" w:type="pct"/>
            <w:tcBorders>
              <w:top w:val="nil"/>
              <w:left w:val="nil"/>
              <w:bottom w:val="nil"/>
              <w:right w:val="nil"/>
            </w:tcBorders>
          </w:tcPr>
          <w:p w14:paraId="247E405A"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103103</w:t>
            </w:r>
          </w:p>
        </w:tc>
        <w:tc>
          <w:tcPr>
            <w:tcW w:w="944" w:type="pct"/>
            <w:tcBorders>
              <w:top w:val="nil"/>
              <w:left w:val="nil"/>
              <w:bottom w:val="nil"/>
              <w:right w:val="nil"/>
            </w:tcBorders>
          </w:tcPr>
          <w:p w14:paraId="1A777DA9"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106546</w:t>
            </w:r>
          </w:p>
        </w:tc>
        <w:tc>
          <w:tcPr>
            <w:tcW w:w="944" w:type="pct"/>
            <w:tcBorders>
              <w:top w:val="nil"/>
              <w:left w:val="nil"/>
              <w:bottom w:val="nil"/>
              <w:right w:val="nil"/>
            </w:tcBorders>
          </w:tcPr>
          <w:p w14:paraId="751C8260"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103103</w:t>
            </w:r>
          </w:p>
        </w:tc>
      </w:tr>
      <w:tr w:rsidR="00B44672" w14:paraId="7CE08EB6" w14:textId="77777777" w:rsidTr="00650739">
        <w:tc>
          <w:tcPr>
            <w:tcW w:w="1225" w:type="pct"/>
            <w:tcBorders>
              <w:top w:val="nil"/>
              <w:left w:val="nil"/>
              <w:bottom w:val="single" w:sz="4" w:space="0" w:color="auto"/>
              <w:right w:val="nil"/>
            </w:tcBorders>
          </w:tcPr>
          <w:p w14:paraId="00113109" w14:textId="77777777" w:rsidR="00B44672" w:rsidRDefault="00B44672" w:rsidP="008B1D8A">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Postcodes</w:t>
            </w:r>
          </w:p>
        </w:tc>
        <w:tc>
          <w:tcPr>
            <w:tcW w:w="944" w:type="pct"/>
            <w:tcBorders>
              <w:top w:val="nil"/>
              <w:left w:val="nil"/>
              <w:bottom w:val="single" w:sz="4" w:space="0" w:color="auto"/>
              <w:right w:val="nil"/>
            </w:tcBorders>
          </w:tcPr>
          <w:p w14:paraId="2E92E4E9"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tcPr>
          <w:p w14:paraId="546492CA"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tcPr>
          <w:p w14:paraId="31603630"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tcPr>
          <w:p w14:paraId="530B8B01" w14:textId="77777777" w:rsidR="00B44672" w:rsidRDefault="00B44672" w:rsidP="008B1D8A">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r>
    </w:tbl>
    <w:p w14:paraId="4DCFC4CB" w14:textId="77777777" w:rsidR="00B44672" w:rsidRDefault="00B44672" w:rsidP="00650739">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Note: Standard error clusters at state-postcode level * p&lt;0.05, ** p&lt;0.01</w:t>
      </w:r>
    </w:p>
    <w:p w14:paraId="36BD7025" w14:textId="77777777" w:rsidR="00B44672" w:rsidRDefault="00B44672" w:rsidP="003D27F7">
      <w:pPr>
        <w:widowControl w:val="0"/>
        <w:autoSpaceDE w:val="0"/>
        <w:autoSpaceDN w:val="0"/>
        <w:adjustRightInd w:val="0"/>
        <w:spacing w:after="0"/>
        <w:rPr>
          <w:rFonts w:ascii="Times New Roman" w:hAnsi="Times New Roman" w:cs="Times New Roman"/>
        </w:rPr>
      </w:pPr>
    </w:p>
    <w:p w14:paraId="1C841176" w14:textId="77777777" w:rsidR="00B44672" w:rsidRDefault="00B44672" w:rsidP="00592171">
      <w:pPr>
        <w:rPr>
          <w:b/>
          <w:bCs/>
          <w:i/>
          <w:iCs/>
          <w:color w:val="365F91" w:themeColor="accent1" w:themeShade="BF"/>
        </w:rPr>
      </w:pPr>
    </w:p>
    <w:p w14:paraId="119EA36D" w14:textId="77777777" w:rsidR="00B44672" w:rsidRDefault="00B44672" w:rsidP="00592171">
      <w:pPr>
        <w:rPr>
          <w:b/>
          <w:bCs/>
          <w:i/>
          <w:iCs/>
          <w:color w:val="365F91" w:themeColor="accent1" w:themeShade="BF"/>
        </w:rPr>
      </w:pPr>
    </w:p>
    <w:p w14:paraId="0DF051FC" w14:textId="77777777" w:rsidR="00B44672" w:rsidRDefault="00B44672" w:rsidP="00592171">
      <w:pPr>
        <w:rPr>
          <w:b/>
          <w:bCs/>
          <w:i/>
          <w:iCs/>
          <w:color w:val="365F91" w:themeColor="accent1" w:themeShade="BF"/>
        </w:rPr>
      </w:pPr>
    </w:p>
    <w:p w14:paraId="5785EBAA" w14:textId="77777777" w:rsidR="00B44672" w:rsidRDefault="00B44672" w:rsidP="00592171">
      <w:pPr>
        <w:rPr>
          <w:b/>
          <w:bCs/>
          <w:i/>
          <w:iCs/>
          <w:color w:val="365F91" w:themeColor="accent1" w:themeShade="BF"/>
        </w:rPr>
      </w:pPr>
    </w:p>
    <w:p w14:paraId="47AEBEA9" w14:textId="77777777" w:rsidR="00B44672" w:rsidRDefault="00B44672" w:rsidP="00592171">
      <w:pPr>
        <w:rPr>
          <w:b/>
          <w:bCs/>
          <w:i/>
          <w:iCs/>
          <w:color w:val="365F91" w:themeColor="accent1" w:themeShade="BF"/>
        </w:rPr>
      </w:pPr>
    </w:p>
    <w:p w14:paraId="15D5346F" w14:textId="77777777" w:rsidR="00B44672" w:rsidRDefault="00B44672" w:rsidP="00592171">
      <w:pPr>
        <w:rPr>
          <w:b/>
          <w:bCs/>
          <w:i/>
          <w:iCs/>
          <w:color w:val="365F91" w:themeColor="accent1" w:themeShade="BF"/>
        </w:rPr>
      </w:pPr>
    </w:p>
    <w:p w14:paraId="2F495467" w14:textId="77777777" w:rsidR="00B44672" w:rsidRPr="00592171" w:rsidRDefault="00B44672" w:rsidP="00592171">
      <w:pPr>
        <w:rPr>
          <w:b/>
          <w:bCs/>
          <w:i/>
          <w:iCs/>
          <w:color w:val="365F91" w:themeColor="accent1" w:themeShade="BF"/>
        </w:rPr>
      </w:pPr>
      <w:r w:rsidRPr="00E20E98">
        <w:rPr>
          <w:b/>
          <w:bCs/>
          <w:i/>
          <w:iCs/>
          <w:color w:val="365F91" w:themeColor="accent1" w:themeShade="BF"/>
        </w:rPr>
        <w:t xml:space="preserve">Table </w:t>
      </w:r>
      <w:r>
        <w:rPr>
          <w:b/>
          <w:bCs/>
          <w:i/>
          <w:iCs/>
          <w:color w:val="365F91" w:themeColor="accent1" w:themeShade="BF"/>
        </w:rPr>
        <w:t xml:space="preserve">23 </w:t>
      </w:r>
      <w:r w:rsidRPr="00E20E98">
        <w:rPr>
          <w:b/>
          <w:bCs/>
          <w:i/>
          <w:iCs/>
          <w:color w:val="365F91" w:themeColor="accent1" w:themeShade="BF"/>
        </w:rPr>
        <w:t xml:space="preserve">- Tax reform effect on </w:t>
      </w:r>
      <w:r>
        <w:rPr>
          <w:b/>
          <w:bCs/>
          <w:i/>
          <w:iCs/>
          <w:color w:val="365F91" w:themeColor="accent1" w:themeShade="BF"/>
        </w:rPr>
        <w:t>unit prices:  Difference-in-difference estimates using 2004/05 – 2018/19 administrative data</w:t>
      </w:r>
    </w:p>
    <w:tbl>
      <w:tblPr>
        <w:tblW w:w="5000" w:type="pct"/>
        <w:tblLook w:val="04A0" w:firstRow="1" w:lastRow="0" w:firstColumn="1" w:lastColumn="0" w:noHBand="0" w:noVBand="1"/>
      </w:tblPr>
      <w:tblGrid>
        <w:gridCol w:w="2212"/>
        <w:gridCol w:w="1704"/>
        <w:gridCol w:w="1704"/>
        <w:gridCol w:w="1704"/>
        <w:gridCol w:w="1702"/>
      </w:tblGrid>
      <w:tr w:rsidR="00B44672" w14:paraId="5A37B419" w14:textId="77777777" w:rsidTr="00662A66">
        <w:tc>
          <w:tcPr>
            <w:tcW w:w="1225" w:type="pct"/>
            <w:tcBorders>
              <w:top w:val="single" w:sz="4" w:space="0" w:color="auto"/>
              <w:left w:val="nil"/>
              <w:bottom w:val="nil"/>
              <w:right w:val="nil"/>
            </w:tcBorders>
          </w:tcPr>
          <w:p w14:paraId="2B37B13C"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tcBorders>
              <w:top w:val="single" w:sz="4" w:space="0" w:color="auto"/>
              <w:left w:val="nil"/>
              <w:bottom w:val="nil"/>
              <w:right w:val="nil"/>
            </w:tcBorders>
            <w:hideMark/>
          </w:tcPr>
          <w:p w14:paraId="12971F0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w:t>
            </w:r>
          </w:p>
        </w:tc>
        <w:tc>
          <w:tcPr>
            <w:tcW w:w="944" w:type="pct"/>
            <w:tcBorders>
              <w:top w:val="single" w:sz="4" w:space="0" w:color="auto"/>
              <w:left w:val="nil"/>
              <w:bottom w:val="nil"/>
              <w:right w:val="nil"/>
            </w:tcBorders>
            <w:hideMark/>
          </w:tcPr>
          <w:p w14:paraId="4A8DBC9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(2)</w:t>
            </w:r>
          </w:p>
        </w:tc>
        <w:tc>
          <w:tcPr>
            <w:tcW w:w="944" w:type="pct"/>
            <w:tcBorders>
              <w:top w:val="single" w:sz="4" w:space="0" w:color="auto"/>
              <w:left w:val="nil"/>
              <w:bottom w:val="nil"/>
              <w:right w:val="nil"/>
            </w:tcBorders>
            <w:hideMark/>
          </w:tcPr>
          <w:p w14:paraId="3A88A20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(3)</w:t>
            </w:r>
          </w:p>
        </w:tc>
        <w:tc>
          <w:tcPr>
            <w:tcW w:w="944" w:type="pct"/>
            <w:tcBorders>
              <w:top w:val="single" w:sz="4" w:space="0" w:color="auto"/>
              <w:left w:val="nil"/>
              <w:bottom w:val="nil"/>
              <w:right w:val="nil"/>
            </w:tcBorders>
            <w:hideMark/>
          </w:tcPr>
          <w:p w14:paraId="26BDCB9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w:t>
            </w:r>
          </w:p>
        </w:tc>
      </w:tr>
      <w:tr w:rsidR="00B44672" w14:paraId="3E24F74F" w14:textId="77777777" w:rsidTr="00662A66">
        <w:tc>
          <w:tcPr>
            <w:tcW w:w="1225" w:type="pct"/>
          </w:tcPr>
          <w:p w14:paraId="2604F9ED"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27F4C095"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c>
          <w:tcPr>
            <w:tcW w:w="944" w:type="pct"/>
            <w:hideMark/>
          </w:tcPr>
          <w:p w14:paraId="738CD28B"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c>
          <w:tcPr>
            <w:tcW w:w="944" w:type="pct"/>
            <w:hideMark/>
          </w:tcPr>
          <w:p w14:paraId="7C760418"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c>
          <w:tcPr>
            <w:tcW w:w="944" w:type="pct"/>
            <w:hideMark/>
          </w:tcPr>
          <w:p w14:paraId="5688189C"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r>
      <w:tr w:rsidR="00B44672" w14:paraId="69B830EC" w14:textId="77777777" w:rsidTr="00662A66">
        <w:tc>
          <w:tcPr>
            <w:tcW w:w="1225" w:type="pct"/>
          </w:tcPr>
          <w:p w14:paraId="2B3054FD"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783925B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43695D2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3C26D84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3943664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r>
      <w:tr w:rsidR="00B44672" w14:paraId="3CB9F395" w14:textId="77777777" w:rsidTr="00662A66">
        <w:tc>
          <w:tcPr>
            <w:tcW w:w="1225" w:type="pct"/>
            <w:tcBorders>
              <w:top w:val="single" w:sz="4" w:space="0" w:color="auto"/>
              <w:left w:val="nil"/>
              <w:bottom w:val="nil"/>
              <w:right w:val="nil"/>
            </w:tcBorders>
            <w:hideMark/>
          </w:tcPr>
          <w:p w14:paraId="5A39BA3B" w14:textId="77777777" w:rsidR="00B44672" w:rsidRDefault="00B44672" w:rsidP="00662A66">
            <w:pPr>
              <w:widowControl w:val="0"/>
              <w:autoSpaceDE w:val="0"/>
              <w:autoSpaceDN w:val="0"/>
              <w:adjustRightInd w:val="0"/>
              <w:spacing w:after="0"/>
              <w:rPr>
                <w:rFonts w:ascii="Times New Roman" w:hAnsi="Times New Roman" w:cs="Times New Roman"/>
              </w:rPr>
            </w:pPr>
            <w:r>
              <w:rPr>
                <w:rFonts w:ascii="Times New Roman" w:hAnsi="Times New Roman" w:cs="Times New Roman"/>
              </w:rPr>
              <w:t>ACT tax reform</w:t>
            </w:r>
          </w:p>
        </w:tc>
        <w:tc>
          <w:tcPr>
            <w:tcW w:w="944" w:type="pct"/>
            <w:tcBorders>
              <w:top w:val="single" w:sz="4" w:space="0" w:color="auto"/>
              <w:left w:val="nil"/>
              <w:bottom w:val="nil"/>
              <w:right w:val="nil"/>
            </w:tcBorders>
            <w:hideMark/>
          </w:tcPr>
          <w:p w14:paraId="73AA43D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-0.127*</w:t>
            </w:r>
          </w:p>
        </w:tc>
        <w:tc>
          <w:tcPr>
            <w:tcW w:w="944" w:type="pct"/>
            <w:tcBorders>
              <w:top w:val="single" w:sz="4" w:space="0" w:color="auto"/>
              <w:left w:val="nil"/>
              <w:bottom w:val="nil"/>
              <w:right w:val="nil"/>
            </w:tcBorders>
            <w:hideMark/>
          </w:tcPr>
          <w:p w14:paraId="65FAA51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0.046</w:t>
            </w:r>
          </w:p>
        </w:tc>
        <w:tc>
          <w:tcPr>
            <w:tcW w:w="944" w:type="pct"/>
            <w:tcBorders>
              <w:top w:val="single" w:sz="4" w:space="0" w:color="auto"/>
              <w:left w:val="nil"/>
              <w:bottom w:val="nil"/>
              <w:right w:val="nil"/>
            </w:tcBorders>
            <w:hideMark/>
          </w:tcPr>
          <w:p w14:paraId="5B9B5C1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-0.071</w:t>
            </w:r>
          </w:p>
        </w:tc>
        <w:tc>
          <w:tcPr>
            <w:tcW w:w="944" w:type="pct"/>
            <w:tcBorders>
              <w:top w:val="single" w:sz="4" w:space="0" w:color="auto"/>
              <w:left w:val="nil"/>
              <w:bottom w:val="nil"/>
              <w:right w:val="nil"/>
            </w:tcBorders>
            <w:hideMark/>
          </w:tcPr>
          <w:p w14:paraId="72297D5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0.086</w:t>
            </w:r>
          </w:p>
        </w:tc>
      </w:tr>
      <w:tr w:rsidR="00B44672" w14:paraId="07E59525" w14:textId="77777777" w:rsidTr="00662A66">
        <w:tc>
          <w:tcPr>
            <w:tcW w:w="1225" w:type="pct"/>
            <w:tcBorders>
              <w:top w:val="nil"/>
              <w:left w:val="nil"/>
              <w:bottom w:val="single" w:sz="4" w:space="0" w:color="auto"/>
              <w:right w:val="nil"/>
            </w:tcBorders>
          </w:tcPr>
          <w:p w14:paraId="44C25C8B"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Standard error</w:t>
            </w:r>
          </w:p>
        </w:tc>
        <w:tc>
          <w:tcPr>
            <w:tcW w:w="944" w:type="pct"/>
            <w:tcBorders>
              <w:top w:val="nil"/>
              <w:left w:val="nil"/>
              <w:bottom w:val="single" w:sz="4" w:space="0" w:color="auto"/>
              <w:right w:val="nil"/>
            </w:tcBorders>
            <w:hideMark/>
          </w:tcPr>
          <w:p w14:paraId="6F6509E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(0.057)</w:t>
            </w:r>
          </w:p>
        </w:tc>
        <w:tc>
          <w:tcPr>
            <w:tcW w:w="944" w:type="pct"/>
            <w:tcBorders>
              <w:top w:val="nil"/>
              <w:left w:val="nil"/>
              <w:bottom w:val="single" w:sz="4" w:space="0" w:color="auto"/>
              <w:right w:val="nil"/>
            </w:tcBorders>
            <w:hideMark/>
          </w:tcPr>
          <w:p w14:paraId="123AA33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(0.044)</w:t>
            </w:r>
          </w:p>
        </w:tc>
        <w:tc>
          <w:tcPr>
            <w:tcW w:w="944" w:type="pct"/>
            <w:tcBorders>
              <w:top w:val="nil"/>
              <w:left w:val="nil"/>
              <w:bottom w:val="single" w:sz="4" w:space="0" w:color="auto"/>
              <w:right w:val="nil"/>
            </w:tcBorders>
            <w:hideMark/>
          </w:tcPr>
          <w:p w14:paraId="6E95226A"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(0.126)</w:t>
            </w:r>
          </w:p>
        </w:tc>
        <w:tc>
          <w:tcPr>
            <w:tcW w:w="944" w:type="pct"/>
            <w:tcBorders>
              <w:top w:val="nil"/>
              <w:left w:val="nil"/>
              <w:bottom w:val="single" w:sz="4" w:space="0" w:color="auto"/>
              <w:right w:val="nil"/>
            </w:tcBorders>
            <w:hideMark/>
          </w:tcPr>
          <w:p w14:paraId="6A5632B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(0.110)</w:t>
            </w:r>
          </w:p>
        </w:tc>
      </w:tr>
      <w:tr w:rsidR="00B44672" w14:paraId="297BC816" w14:textId="77777777" w:rsidTr="00662A66">
        <w:tc>
          <w:tcPr>
            <w:tcW w:w="1225" w:type="pct"/>
            <w:tcBorders>
              <w:top w:val="single" w:sz="4" w:space="0" w:color="auto"/>
              <w:left w:val="nil"/>
              <w:bottom w:val="nil"/>
              <w:right w:val="nil"/>
            </w:tcBorders>
            <w:hideMark/>
          </w:tcPr>
          <w:p w14:paraId="0D97520F"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Time Fixed Effect</w:t>
            </w:r>
          </w:p>
        </w:tc>
        <w:tc>
          <w:tcPr>
            <w:tcW w:w="944" w:type="pct"/>
            <w:tcBorders>
              <w:top w:val="single" w:sz="4" w:space="0" w:color="auto"/>
              <w:left w:val="nil"/>
              <w:bottom w:val="nil"/>
              <w:right w:val="nil"/>
            </w:tcBorders>
            <w:hideMark/>
          </w:tcPr>
          <w:p w14:paraId="0133C3F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39F1D59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0D9CBDA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512592C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51D99338" w14:textId="77777777" w:rsidTr="00662A66">
        <w:tc>
          <w:tcPr>
            <w:tcW w:w="1225" w:type="pct"/>
            <w:hideMark/>
          </w:tcPr>
          <w:p w14:paraId="0CB7C2E5"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 Fixed Effects</w:t>
            </w:r>
          </w:p>
        </w:tc>
        <w:tc>
          <w:tcPr>
            <w:tcW w:w="944" w:type="pct"/>
            <w:hideMark/>
          </w:tcPr>
          <w:p w14:paraId="00BC88F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5BDE061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6F9BEB2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4B99442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55BCEB3A" w14:textId="77777777" w:rsidTr="00662A66">
        <w:tc>
          <w:tcPr>
            <w:tcW w:w="1225" w:type="pct"/>
            <w:hideMark/>
          </w:tcPr>
          <w:p w14:paraId="22F1A483"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Income)</w:t>
            </w:r>
          </w:p>
        </w:tc>
        <w:tc>
          <w:tcPr>
            <w:tcW w:w="944" w:type="pct"/>
            <w:hideMark/>
          </w:tcPr>
          <w:p w14:paraId="2B40EEE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751A38C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0A005BB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4ACA80D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7D4AD135" w14:textId="77777777" w:rsidTr="00662A66">
        <w:tc>
          <w:tcPr>
            <w:tcW w:w="1225" w:type="pct"/>
            <w:hideMark/>
          </w:tcPr>
          <w:p w14:paraId="4B990256"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Population)</w:t>
            </w:r>
          </w:p>
        </w:tc>
        <w:tc>
          <w:tcPr>
            <w:tcW w:w="944" w:type="pct"/>
            <w:hideMark/>
          </w:tcPr>
          <w:p w14:paraId="47FB772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1517122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3120F74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58BA473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7A1C41D2" w14:textId="77777777" w:rsidTr="00662A66">
        <w:tc>
          <w:tcPr>
            <w:tcW w:w="1225" w:type="pct"/>
            <w:hideMark/>
          </w:tcPr>
          <w:p w14:paraId="3A48E25A" w14:textId="77777777" w:rsidR="00B44672" w:rsidRDefault="00B44672">
            <w:pPr>
              <w:widowControl w:val="0"/>
              <w:autoSpaceDE w:val="0"/>
              <w:autoSpaceDN w:val="0"/>
              <w:adjustRightInd w:val="0"/>
              <w:spacing w:after="0"/>
              <w:rPr>
                <w:rFonts w:ascii="Times New Roman" w:hAnsi="Times New Roman" w:cs="Times New Roman"/>
              </w:rPr>
            </w:pPr>
            <w:proofErr w:type="spellStart"/>
            <w:proofErr w:type="gramStart"/>
            <w:r>
              <w:rPr>
                <w:rFonts w:ascii="Times New Roman" w:hAnsi="Times New Roman" w:cs="Times New Roman"/>
              </w:rPr>
              <w:t>adj.R</w:t>
            </w:r>
            <w:proofErr w:type="spellEnd"/>
            <w:proofErr w:type="gramEnd"/>
            <w:r>
              <w:rPr>
                <w:rFonts w:ascii="Times New Roman" w:hAnsi="Times New Roman" w:cs="Times New Roman"/>
              </w:rPr>
              <w:t>-squared</w:t>
            </w:r>
          </w:p>
        </w:tc>
        <w:tc>
          <w:tcPr>
            <w:tcW w:w="944" w:type="pct"/>
            <w:hideMark/>
          </w:tcPr>
          <w:p w14:paraId="1920798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0.663</w:t>
            </w:r>
          </w:p>
        </w:tc>
        <w:tc>
          <w:tcPr>
            <w:tcW w:w="944" w:type="pct"/>
            <w:hideMark/>
          </w:tcPr>
          <w:p w14:paraId="0DE2F9E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0.662</w:t>
            </w:r>
          </w:p>
        </w:tc>
        <w:tc>
          <w:tcPr>
            <w:tcW w:w="944" w:type="pct"/>
            <w:hideMark/>
          </w:tcPr>
          <w:p w14:paraId="579AB05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0.663</w:t>
            </w:r>
          </w:p>
        </w:tc>
        <w:tc>
          <w:tcPr>
            <w:tcW w:w="944" w:type="pct"/>
            <w:hideMark/>
          </w:tcPr>
          <w:p w14:paraId="646B0E9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0.662</w:t>
            </w:r>
          </w:p>
        </w:tc>
      </w:tr>
      <w:tr w:rsidR="00B44672" w14:paraId="236EE581" w14:textId="77777777" w:rsidTr="00662A66">
        <w:tc>
          <w:tcPr>
            <w:tcW w:w="1225" w:type="pct"/>
            <w:hideMark/>
          </w:tcPr>
          <w:p w14:paraId="29161C9C"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Observations</w:t>
            </w:r>
          </w:p>
        </w:tc>
        <w:tc>
          <w:tcPr>
            <w:tcW w:w="944" w:type="pct"/>
            <w:hideMark/>
          </w:tcPr>
          <w:p w14:paraId="5054684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64811</w:t>
            </w:r>
          </w:p>
        </w:tc>
        <w:tc>
          <w:tcPr>
            <w:tcW w:w="944" w:type="pct"/>
            <w:hideMark/>
          </w:tcPr>
          <w:p w14:paraId="51327E2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62692</w:t>
            </w:r>
          </w:p>
        </w:tc>
        <w:tc>
          <w:tcPr>
            <w:tcW w:w="944" w:type="pct"/>
            <w:hideMark/>
          </w:tcPr>
          <w:p w14:paraId="191EAE1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64811</w:t>
            </w:r>
          </w:p>
        </w:tc>
        <w:tc>
          <w:tcPr>
            <w:tcW w:w="944" w:type="pct"/>
            <w:hideMark/>
          </w:tcPr>
          <w:p w14:paraId="490A190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62692</w:t>
            </w:r>
          </w:p>
        </w:tc>
      </w:tr>
      <w:tr w:rsidR="00B44672" w14:paraId="1F7457FF" w14:textId="77777777" w:rsidTr="00662A66">
        <w:tc>
          <w:tcPr>
            <w:tcW w:w="1225" w:type="pct"/>
            <w:tcBorders>
              <w:top w:val="nil"/>
              <w:left w:val="nil"/>
              <w:bottom w:val="single" w:sz="4" w:space="0" w:color="auto"/>
              <w:right w:val="nil"/>
            </w:tcBorders>
            <w:hideMark/>
          </w:tcPr>
          <w:p w14:paraId="70675609"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lastRenderedPageBreak/>
              <w:t>Postcodes</w:t>
            </w:r>
          </w:p>
        </w:tc>
        <w:tc>
          <w:tcPr>
            <w:tcW w:w="944" w:type="pct"/>
            <w:tcBorders>
              <w:top w:val="nil"/>
              <w:left w:val="nil"/>
              <w:bottom w:val="single" w:sz="4" w:space="0" w:color="auto"/>
              <w:right w:val="nil"/>
            </w:tcBorders>
            <w:hideMark/>
          </w:tcPr>
          <w:p w14:paraId="475C7EB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494</w:t>
            </w:r>
          </w:p>
        </w:tc>
        <w:tc>
          <w:tcPr>
            <w:tcW w:w="944" w:type="pct"/>
            <w:tcBorders>
              <w:top w:val="nil"/>
              <w:left w:val="nil"/>
              <w:bottom w:val="single" w:sz="4" w:space="0" w:color="auto"/>
              <w:right w:val="nil"/>
            </w:tcBorders>
            <w:hideMark/>
          </w:tcPr>
          <w:p w14:paraId="4277396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493</w:t>
            </w:r>
          </w:p>
        </w:tc>
        <w:tc>
          <w:tcPr>
            <w:tcW w:w="944" w:type="pct"/>
            <w:tcBorders>
              <w:top w:val="nil"/>
              <w:left w:val="nil"/>
              <w:bottom w:val="single" w:sz="4" w:space="0" w:color="auto"/>
              <w:right w:val="nil"/>
            </w:tcBorders>
            <w:hideMark/>
          </w:tcPr>
          <w:p w14:paraId="72E12FD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494</w:t>
            </w:r>
          </w:p>
        </w:tc>
        <w:tc>
          <w:tcPr>
            <w:tcW w:w="944" w:type="pct"/>
            <w:tcBorders>
              <w:top w:val="nil"/>
              <w:left w:val="nil"/>
              <w:bottom w:val="single" w:sz="4" w:space="0" w:color="auto"/>
              <w:right w:val="nil"/>
            </w:tcBorders>
            <w:hideMark/>
          </w:tcPr>
          <w:p w14:paraId="43F4BFF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493</w:t>
            </w:r>
          </w:p>
        </w:tc>
      </w:tr>
    </w:tbl>
    <w:p w14:paraId="4D608423" w14:textId="77777777" w:rsidR="00B44672" w:rsidRDefault="00B44672" w:rsidP="00662A66">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Note: Standard error clusters at state-postcode level * p&lt;0.05, ** p&lt;0.01</w:t>
      </w:r>
    </w:p>
    <w:p w14:paraId="0ABA1CE4" w14:textId="77777777" w:rsidR="00B44672" w:rsidRDefault="00B44672" w:rsidP="00662A66">
      <w:pPr>
        <w:widowControl w:val="0"/>
        <w:autoSpaceDE w:val="0"/>
        <w:autoSpaceDN w:val="0"/>
        <w:adjustRightInd w:val="0"/>
        <w:spacing w:after="0"/>
        <w:rPr>
          <w:rFonts w:ascii="Times New Roman" w:hAnsi="Times New Roman" w:cs="Times New Roman"/>
          <w:sz w:val="20"/>
          <w:szCs w:val="20"/>
        </w:rPr>
      </w:pPr>
    </w:p>
    <w:p w14:paraId="20F31911" w14:textId="77777777" w:rsidR="00B44672" w:rsidRPr="00592171" w:rsidRDefault="00B44672" w:rsidP="00592171">
      <w:pPr>
        <w:rPr>
          <w:b/>
          <w:bCs/>
          <w:i/>
          <w:iCs/>
          <w:color w:val="365F91" w:themeColor="accent1" w:themeShade="BF"/>
        </w:rPr>
      </w:pPr>
      <w:r w:rsidRPr="00E20E98">
        <w:rPr>
          <w:b/>
          <w:bCs/>
          <w:i/>
          <w:iCs/>
          <w:color w:val="365F91" w:themeColor="accent1" w:themeShade="BF"/>
        </w:rPr>
        <w:t xml:space="preserve">Table </w:t>
      </w:r>
      <w:r>
        <w:rPr>
          <w:b/>
          <w:bCs/>
          <w:i/>
          <w:iCs/>
          <w:color w:val="365F91" w:themeColor="accent1" w:themeShade="BF"/>
        </w:rPr>
        <w:t xml:space="preserve">24 </w:t>
      </w:r>
      <w:r w:rsidRPr="00E20E98">
        <w:rPr>
          <w:b/>
          <w:bCs/>
          <w:i/>
          <w:iCs/>
          <w:color w:val="365F91" w:themeColor="accent1" w:themeShade="BF"/>
        </w:rPr>
        <w:t xml:space="preserve">- Tax reform effect on </w:t>
      </w:r>
      <w:r>
        <w:rPr>
          <w:b/>
          <w:bCs/>
          <w:i/>
          <w:iCs/>
          <w:color w:val="365F91" w:themeColor="accent1" w:themeShade="BF"/>
        </w:rPr>
        <w:t>number of house sales:  Difference-in-difference estimates using 2004/05 – 2018/19 administrative data</w:t>
      </w:r>
    </w:p>
    <w:tbl>
      <w:tblPr>
        <w:tblW w:w="5000" w:type="pct"/>
        <w:tblLook w:val="04A0" w:firstRow="1" w:lastRow="0" w:firstColumn="1" w:lastColumn="0" w:noHBand="0" w:noVBand="1"/>
      </w:tblPr>
      <w:tblGrid>
        <w:gridCol w:w="2212"/>
        <w:gridCol w:w="1704"/>
        <w:gridCol w:w="1704"/>
        <w:gridCol w:w="1704"/>
        <w:gridCol w:w="1702"/>
      </w:tblGrid>
      <w:tr w:rsidR="00B44672" w14:paraId="156C484B" w14:textId="77777777" w:rsidTr="00662A66">
        <w:tc>
          <w:tcPr>
            <w:tcW w:w="1225" w:type="pct"/>
            <w:tcBorders>
              <w:top w:val="single" w:sz="4" w:space="0" w:color="auto"/>
              <w:left w:val="nil"/>
              <w:bottom w:val="nil"/>
              <w:right w:val="nil"/>
            </w:tcBorders>
          </w:tcPr>
          <w:p w14:paraId="29156A88"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tcBorders>
              <w:top w:val="single" w:sz="4" w:space="0" w:color="auto"/>
              <w:left w:val="nil"/>
              <w:bottom w:val="nil"/>
              <w:right w:val="nil"/>
            </w:tcBorders>
            <w:hideMark/>
          </w:tcPr>
          <w:p w14:paraId="35A4B69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w:t>
            </w:r>
          </w:p>
        </w:tc>
        <w:tc>
          <w:tcPr>
            <w:tcW w:w="944" w:type="pct"/>
            <w:tcBorders>
              <w:top w:val="single" w:sz="4" w:space="0" w:color="auto"/>
              <w:left w:val="nil"/>
              <w:bottom w:val="nil"/>
              <w:right w:val="nil"/>
            </w:tcBorders>
            <w:hideMark/>
          </w:tcPr>
          <w:p w14:paraId="0AFD171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(2)</w:t>
            </w:r>
          </w:p>
        </w:tc>
        <w:tc>
          <w:tcPr>
            <w:tcW w:w="944" w:type="pct"/>
            <w:tcBorders>
              <w:top w:val="single" w:sz="4" w:space="0" w:color="auto"/>
              <w:left w:val="nil"/>
              <w:bottom w:val="nil"/>
              <w:right w:val="nil"/>
            </w:tcBorders>
            <w:hideMark/>
          </w:tcPr>
          <w:p w14:paraId="2A6AD61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(3)</w:t>
            </w:r>
          </w:p>
        </w:tc>
        <w:tc>
          <w:tcPr>
            <w:tcW w:w="944" w:type="pct"/>
            <w:tcBorders>
              <w:top w:val="single" w:sz="4" w:space="0" w:color="auto"/>
              <w:left w:val="nil"/>
              <w:bottom w:val="nil"/>
              <w:right w:val="nil"/>
            </w:tcBorders>
            <w:hideMark/>
          </w:tcPr>
          <w:p w14:paraId="5FA343C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w:t>
            </w:r>
          </w:p>
        </w:tc>
      </w:tr>
      <w:tr w:rsidR="00B44672" w14:paraId="70AC2F05" w14:textId="77777777" w:rsidTr="00662A66">
        <w:tc>
          <w:tcPr>
            <w:tcW w:w="1225" w:type="pct"/>
          </w:tcPr>
          <w:p w14:paraId="761E29A7"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7E30E5A6"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c>
          <w:tcPr>
            <w:tcW w:w="944" w:type="pct"/>
            <w:hideMark/>
          </w:tcPr>
          <w:p w14:paraId="34E7066B"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c>
          <w:tcPr>
            <w:tcW w:w="944" w:type="pct"/>
            <w:hideMark/>
          </w:tcPr>
          <w:p w14:paraId="1DEE0D1E"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c>
          <w:tcPr>
            <w:tcW w:w="944" w:type="pct"/>
            <w:hideMark/>
          </w:tcPr>
          <w:p w14:paraId="5079EDFF"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r>
      <w:tr w:rsidR="00B44672" w14:paraId="66B7C096" w14:textId="77777777" w:rsidTr="00662A66">
        <w:tc>
          <w:tcPr>
            <w:tcW w:w="1225" w:type="pct"/>
          </w:tcPr>
          <w:p w14:paraId="1894B56D"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1C00CB9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658E89F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2850829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33AF4A0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r>
      <w:tr w:rsidR="00B44672" w14:paraId="391129C1" w14:textId="77777777" w:rsidTr="00662A66">
        <w:tc>
          <w:tcPr>
            <w:tcW w:w="1225" w:type="pct"/>
            <w:tcBorders>
              <w:top w:val="single" w:sz="4" w:space="0" w:color="auto"/>
              <w:left w:val="nil"/>
              <w:bottom w:val="nil"/>
              <w:right w:val="nil"/>
            </w:tcBorders>
            <w:hideMark/>
          </w:tcPr>
          <w:p w14:paraId="326436B9" w14:textId="77777777" w:rsidR="00B44672" w:rsidRDefault="00B44672" w:rsidP="00662A66">
            <w:pPr>
              <w:widowControl w:val="0"/>
              <w:autoSpaceDE w:val="0"/>
              <w:autoSpaceDN w:val="0"/>
              <w:adjustRightInd w:val="0"/>
              <w:spacing w:after="0"/>
              <w:rPr>
                <w:rFonts w:ascii="Times New Roman" w:hAnsi="Times New Roman" w:cs="Times New Roman"/>
              </w:rPr>
            </w:pPr>
            <w:r>
              <w:rPr>
                <w:rFonts w:ascii="Times New Roman" w:hAnsi="Times New Roman" w:cs="Times New Roman"/>
              </w:rPr>
              <w:t>ACT tax reform</w:t>
            </w:r>
          </w:p>
        </w:tc>
        <w:tc>
          <w:tcPr>
            <w:tcW w:w="944" w:type="pct"/>
            <w:tcBorders>
              <w:top w:val="single" w:sz="4" w:space="0" w:color="auto"/>
              <w:left w:val="nil"/>
              <w:bottom w:val="nil"/>
              <w:right w:val="nil"/>
            </w:tcBorders>
            <w:hideMark/>
          </w:tcPr>
          <w:p w14:paraId="4994373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-0.121**</w:t>
            </w:r>
          </w:p>
        </w:tc>
        <w:tc>
          <w:tcPr>
            <w:tcW w:w="944" w:type="pct"/>
            <w:tcBorders>
              <w:top w:val="single" w:sz="4" w:space="0" w:color="auto"/>
              <w:left w:val="nil"/>
              <w:bottom w:val="nil"/>
              <w:right w:val="nil"/>
            </w:tcBorders>
            <w:hideMark/>
          </w:tcPr>
          <w:p w14:paraId="5616206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-0.094</w:t>
            </w:r>
          </w:p>
        </w:tc>
        <w:tc>
          <w:tcPr>
            <w:tcW w:w="944" w:type="pct"/>
            <w:tcBorders>
              <w:top w:val="single" w:sz="4" w:space="0" w:color="auto"/>
              <w:left w:val="nil"/>
              <w:bottom w:val="nil"/>
              <w:right w:val="nil"/>
            </w:tcBorders>
            <w:hideMark/>
          </w:tcPr>
          <w:p w14:paraId="29E6D65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-0.226**</w:t>
            </w:r>
          </w:p>
        </w:tc>
        <w:tc>
          <w:tcPr>
            <w:tcW w:w="944" w:type="pct"/>
            <w:tcBorders>
              <w:top w:val="single" w:sz="4" w:space="0" w:color="auto"/>
              <w:left w:val="nil"/>
              <w:bottom w:val="nil"/>
              <w:right w:val="nil"/>
            </w:tcBorders>
            <w:hideMark/>
          </w:tcPr>
          <w:p w14:paraId="17B9417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-0.193**</w:t>
            </w:r>
          </w:p>
        </w:tc>
      </w:tr>
      <w:tr w:rsidR="00B44672" w14:paraId="768C4F42" w14:textId="77777777" w:rsidTr="00662A66">
        <w:tc>
          <w:tcPr>
            <w:tcW w:w="1225" w:type="pct"/>
            <w:tcBorders>
              <w:top w:val="nil"/>
              <w:left w:val="nil"/>
              <w:bottom w:val="single" w:sz="4" w:space="0" w:color="auto"/>
              <w:right w:val="nil"/>
            </w:tcBorders>
          </w:tcPr>
          <w:p w14:paraId="627B9B71"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Standard error</w:t>
            </w:r>
          </w:p>
        </w:tc>
        <w:tc>
          <w:tcPr>
            <w:tcW w:w="944" w:type="pct"/>
            <w:tcBorders>
              <w:top w:val="nil"/>
              <w:left w:val="nil"/>
              <w:bottom w:val="single" w:sz="4" w:space="0" w:color="auto"/>
              <w:right w:val="nil"/>
            </w:tcBorders>
            <w:hideMark/>
          </w:tcPr>
          <w:p w14:paraId="3B071F1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(0.043)</w:t>
            </w:r>
          </w:p>
        </w:tc>
        <w:tc>
          <w:tcPr>
            <w:tcW w:w="944" w:type="pct"/>
            <w:tcBorders>
              <w:top w:val="nil"/>
              <w:left w:val="nil"/>
              <w:bottom w:val="single" w:sz="4" w:space="0" w:color="auto"/>
              <w:right w:val="nil"/>
            </w:tcBorders>
            <w:hideMark/>
          </w:tcPr>
          <w:p w14:paraId="1B404B1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(0.056)</w:t>
            </w:r>
          </w:p>
        </w:tc>
        <w:tc>
          <w:tcPr>
            <w:tcW w:w="944" w:type="pct"/>
            <w:tcBorders>
              <w:top w:val="nil"/>
              <w:left w:val="nil"/>
              <w:bottom w:val="single" w:sz="4" w:space="0" w:color="auto"/>
              <w:right w:val="nil"/>
            </w:tcBorders>
            <w:hideMark/>
          </w:tcPr>
          <w:p w14:paraId="0C8D586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(0.071)</w:t>
            </w:r>
          </w:p>
        </w:tc>
        <w:tc>
          <w:tcPr>
            <w:tcW w:w="944" w:type="pct"/>
            <w:tcBorders>
              <w:top w:val="nil"/>
              <w:left w:val="nil"/>
              <w:bottom w:val="single" w:sz="4" w:space="0" w:color="auto"/>
              <w:right w:val="nil"/>
            </w:tcBorders>
            <w:hideMark/>
          </w:tcPr>
          <w:p w14:paraId="2584E68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(0.047)</w:t>
            </w:r>
          </w:p>
        </w:tc>
      </w:tr>
      <w:tr w:rsidR="00B44672" w14:paraId="2BB22CB8" w14:textId="77777777" w:rsidTr="00662A66">
        <w:tc>
          <w:tcPr>
            <w:tcW w:w="1225" w:type="pct"/>
            <w:tcBorders>
              <w:top w:val="single" w:sz="4" w:space="0" w:color="auto"/>
              <w:left w:val="nil"/>
              <w:bottom w:val="nil"/>
              <w:right w:val="nil"/>
            </w:tcBorders>
            <w:hideMark/>
          </w:tcPr>
          <w:p w14:paraId="7FC99A19"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Time Fixed Effect</w:t>
            </w:r>
          </w:p>
        </w:tc>
        <w:tc>
          <w:tcPr>
            <w:tcW w:w="944" w:type="pct"/>
            <w:tcBorders>
              <w:top w:val="single" w:sz="4" w:space="0" w:color="auto"/>
              <w:left w:val="nil"/>
              <w:bottom w:val="nil"/>
              <w:right w:val="nil"/>
            </w:tcBorders>
            <w:hideMark/>
          </w:tcPr>
          <w:p w14:paraId="7429AC7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7DCB178A"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73530B2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53DEF6E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40307BF0" w14:textId="77777777" w:rsidTr="00662A66">
        <w:tc>
          <w:tcPr>
            <w:tcW w:w="1225" w:type="pct"/>
            <w:hideMark/>
          </w:tcPr>
          <w:p w14:paraId="6D6A68E8"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 Fixed Effects</w:t>
            </w:r>
          </w:p>
        </w:tc>
        <w:tc>
          <w:tcPr>
            <w:tcW w:w="944" w:type="pct"/>
            <w:hideMark/>
          </w:tcPr>
          <w:p w14:paraId="264772D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1E0E2F0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212ECF8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1BDB1E9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4D388225" w14:textId="77777777" w:rsidTr="00662A66">
        <w:tc>
          <w:tcPr>
            <w:tcW w:w="1225" w:type="pct"/>
            <w:hideMark/>
          </w:tcPr>
          <w:p w14:paraId="1F0F892C"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Income)</w:t>
            </w:r>
          </w:p>
        </w:tc>
        <w:tc>
          <w:tcPr>
            <w:tcW w:w="944" w:type="pct"/>
            <w:hideMark/>
          </w:tcPr>
          <w:p w14:paraId="320E0E7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604CB40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79A36C7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0D85486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36C26A39" w14:textId="77777777" w:rsidTr="00662A66">
        <w:tc>
          <w:tcPr>
            <w:tcW w:w="1225" w:type="pct"/>
            <w:hideMark/>
          </w:tcPr>
          <w:p w14:paraId="0BE5ABA6"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Population)</w:t>
            </w:r>
          </w:p>
        </w:tc>
        <w:tc>
          <w:tcPr>
            <w:tcW w:w="944" w:type="pct"/>
            <w:hideMark/>
          </w:tcPr>
          <w:p w14:paraId="04F6A97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05D1045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3EA1497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4C8C205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336A39FA" w14:textId="77777777" w:rsidTr="00662A66">
        <w:tc>
          <w:tcPr>
            <w:tcW w:w="1225" w:type="pct"/>
            <w:hideMark/>
          </w:tcPr>
          <w:p w14:paraId="5B71EFC3" w14:textId="77777777" w:rsidR="00B44672" w:rsidRDefault="00B44672">
            <w:pPr>
              <w:widowControl w:val="0"/>
              <w:autoSpaceDE w:val="0"/>
              <w:autoSpaceDN w:val="0"/>
              <w:adjustRightInd w:val="0"/>
              <w:spacing w:after="0"/>
              <w:rPr>
                <w:rFonts w:ascii="Times New Roman" w:hAnsi="Times New Roman" w:cs="Times New Roman"/>
              </w:rPr>
            </w:pPr>
            <w:proofErr w:type="spellStart"/>
            <w:proofErr w:type="gramStart"/>
            <w:r>
              <w:rPr>
                <w:rFonts w:ascii="Times New Roman" w:hAnsi="Times New Roman" w:cs="Times New Roman"/>
              </w:rPr>
              <w:t>adj.R</w:t>
            </w:r>
            <w:proofErr w:type="spellEnd"/>
            <w:proofErr w:type="gramEnd"/>
            <w:r>
              <w:rPr>
                <w:rFonts w:ascii="Times New Roman" w:hAnsi="Times New Roman" w:cs="Times New Roman"/>
              </w:rPr>
              <w:t>-squared</w:t>
            </w:r>
          </w:p>
        </w:tc>
        <w:tc>
          <w:tcPr>
            <w:tcW w:w="944" w:type="pct"/>
            <w:hideMark/>
          </w:tcPr>
          <w:p w14:paraId="3D07EAA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0.835</w:t>
            </w:r>
          </w:p>
        </w:tc>
        <w:tc>
          <w:tcPr>
            <w:tcW w:w="944" w:type="pct"/>
            <w:hideMark/>
          </w:tcPr>
          <w:p w14:paraId="73C0CD5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0.836</w:t>
            </w:r>
          </w:p>
        </w:tc>
        <w:tc>
          <w:tcPr>
            <w:tcW w:w="944" w:type="pct"/>
            <w:hideMark/>
          </w:tcPr>
          <w:p w14:paraId="4692A54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0.835</w:t>
            </w:r>
          </w:p>
        </w:tc>
        <w:tc>
          <w:tcPr>
            <w:tcW w:w="944" w:type="pct"/>
            <w:hideMark/>
          </w:tcPr>
          <w:p w14:paraId="02DB557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0.836</w:t>
            </w:r>
          </w:p>
        </w:tc>
      </w:tr>
      <w:tr w:rsidR="00B44672" w14:paraId="7E638ECF" w14:textId="77777777" w:rsidTr="00662A66">
        <w:tc>
          <w:tcPr>
            <w:tcW w:w="1225" w:type="pct"/>
            <w:hideMark/>
          </w:tcPr>
          <w:p w14:paraId="0D3F08D0"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Observations</w:t>
            </w:r>
          </w:p>
        </w:tc>
        <w:tc>
          <w:tcPr>
            <w:tcW w:w="944" w:type="pct"/>
            <w:hideMark/>
          </w:tcPr>
          <w:p w14:paraId="4641C7A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106556</w:t>
            </w:r>
          </w:p>
        </w:tc>
        <w:tc>
          <w:tcPr>
            <w:tcW w:w="944" w:type="pct"/>
            <w:hideMark/>
          </w:tcPr>
          <w:p w14:paraId="64949B4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103112</w:t>
            </w:r>
          </w:p>
        </w:tc>
        <w:tc>
          <w:tcPr>
            <w:tcW w:w="944" w:type="pct"/>
            <w:hideMark/>
          </w:tcPr>
          <w:p w14:paraId="341584DA"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106556</w:t>
            </w:r>
          </w:p>
        </w:tc>
        <w:tc>
          <w:tcPr>
            <w:tcW w:w="944" w:type="pct"/>
            <w:hideMark/>
          </w:tcPr>
          <w:p w14:paraId="3896706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103112</w:t>
            </w:r>
          </w:p>
        </w:tc>
      </w:tr>
      <w:tr w:rsidR="00B44672" w14:paraId="3858E2BA" w14:textId="77777777" w:rsidTr="00662A66">
        <w:tc>
          <w:tcPr>
            <w:tcW w:w="1225" w:type="pct"/>
            <w:tcBorders>
              <w:top w:val="nil"/>
              <w:left w:val="nil"/>
              <w:bottom w:val="single" w:sz="4" w:space="0" w:color="auto"/>
              <w:right w:val="nil"/>
            </w:tcBorders>
            <w:hideMark/>
          </w:tcPr>
          <w:p w14:paraId="4C6AA883"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Postcodes</w:t>
            </w:r>
          </w:p>
        </w:tc>
        <w:tc>
          <w:tcPr>
            <w:tcW w:w="944" w:type="pct"/>
            <w:tcBorders>
              <w:top w:val="nil"/>
              <w:left w:val="nil"/>
              <w:bottom w:val="single" w:sz="4" w:space="0" w:color="auto"/>
              <w:right w:val="nil"/>
            </w:tcBorders>
            <w:hideMark/>
          </w:tcPr>
          <w:p w14:paraId="32CF999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hideMark/>
          </w:tcPr>
          <w:p w14:paraId="6144BE5A"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hideMark/>
          </w:tcPr>
          <w:p w14:paraId="254763E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hideMark/>
          </w:tcPr>
          <w:p w14:paraId="3ECF78C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r>
    </w:tbl>
    <w:p w14:paraId="44FEC626" w14:textId="77777777" w:rsidR="00B44672" w:rsidRDefault="00B44672" w:rsidP="00662A66">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Note: Standard error clusters at state-postcode level * p&lt;0.05, ** p&lt;0.01</w:t>
      </w:r>
    </w:p>
    <w:p w14:paraId="7D046BB4" w14:textId="77777777" w:rsidR="00B44672" w:rsidRDefault="00B44672" w:rsidP="00650739"/>
    <w:p w14:paraId="2DA4D8AB" w14:textId="77777777" w:rsidR="00B44672" w:rsidRDefault="00B44672">
      <w:pPr>
        <w:jc w:val="left"/>
        <w:rPr>
          <w:b/>
          <w:bCs/>
          <w:i/>
          <w:iCs/>
          <w:color w:val="365F91" w:themeColor="accent1" w:themeShade="BF"/>
        </w:rPr>
      </w:pPr>
      <w:r>
        <w:rPr>
          <w:b/>
          <w:bCs/>
          <w:i/>
          <w:iCs/>
          <w:color w:val="365F91" w:themeColor="accent1" w:themeShade="BF"/>
        </w:rPr>
        <w:br w:type="page"/>
      </w:r>
    </w:p>
    <w:p w14:paraId="2818F0C3" w14:textId="77777777" w:rsidR="00B44672" w:rsidRPr="00592171" w:rsidRDefault="00B44672" w:rsidP="00592171">
      <w:pPr>
        <w:rPr>
          <w:b/>
          <w:bCs/>
          <w:i/>
          <w:iCs/>
          <w:color w:val="365F91" w:themeColor="accent1" w:themeShade="BF"/>
        </w:rPr>
      </w:pPr>
      <w:r w:rsidRPr="00E20E98">
        <w:rPr>
          <w:b/>
          <w:bCs/>
          <w:i/>
          <w:iCs/>
          <w:color w:val="365F91" w:themeColor="accent1" w:themeShade="BF"/>
        </w:rPr>
        <w:lastRenderedPageBreak/>
        <w:t xml:space="preserve">Table </w:t>
      </w:r>
      <w:r>
        <w:rPr>
          <w:b/>
          <w:bCs/>
          <w:i/>
          <w:iCs/>
          <w:color w:val="365F91" w:themeColor="accent1" w:themeShade="BF"/>
        </w:rPr>
        <w:t xml:space="preserve">25 </w:t>
      </w:r>
      <w:r w:rsidRPr="00E20E98">
        <w:rPr>
          <w:b/>
          <w:bCs/>
          <w:i/>
          <w:iCs/>
          <w:color w:val="365F91" w:themeColor="accent1" w:themeShade="BF"/>
        </w:rPr>
        <w:t xml:space="preserve">- Tax reform effect on </w:t>
      </w:r>
      <w:r>
        <w:rPr>
          <w:b/>
          <w:bCs/>
          <w:i/>
          <w:iCs/>
          <w:color w:val="365F91" w:themeColor="accent1" w:themeShade="BF"/>
        </w:rPr>
        <w:t>number of unit sales:  Difference-in-difference estimates using 2004/05 – 2018/19 administrative data</w:t>
      </w:r>
    </w:p>
    <w:tbl>
      <w:tblPr>
        <w:tblW w:w="5000" w:type="pct"/>
        <w:tblLook w:val="0000" w:firstRow="0" w:lastRow="0" w:firstColumn="0" w:lastColumn="0" w:noHBand="0" w:noVBand="0"/>
      </w:tblPr>
      <w:tblGrid>
        <w:gridCol w:w="2212"/>
        <w:gridCol w:w="1704"/>
        <w:gridCol w:w="1704"/>
        <w:gridCol w:w="1704"/>
        <w:gridCol w:w="1702"/>
      </w:tblGrid>
      <w:tr w:rsidR="00B44672" w14:paraId="665C86CC" w14:textId="77777777" w:rsidTr="00662A66">
        <w:tc>
          <w:tcPr>
            <w:tcW w:w="1225" w:type="pct"/>
            <w:tcBorders>
              <w:top w:val="single" w:sz="4" w:space="0" w:color="auto"/>
              <w:left w:val="nil"/>
              <w:bottom w:val="nil"/>
              <w:right w:val="nil"/>
            </w:tcBorders>
          </w:tcPr>
          <w:p w14:paraId="5FD93E1B" w14:textId="77777777" w:rsidR="00B44672" w:rsidRDefault="00B44672" w:rsidP="004F7976">
            <w:pPr>
              <w:widowControl w:val="0"/>
              <w:autoSpaceDE w:val="0"/>
              <w:autoSpaceDN w:val="0"/>
              <w:adjustRightInd w:val="0"/>
              <w:spacing w:after="0"/>
              <w:rPr>
                <w:rFonts w:ascii="Times New Roman" w:hAnsi="Times New Roman" w:cs="Times New Roman"/>
              </w:rPr>
            </w:pPr>
          </w:p>
        </w:tc>
        <w:tc>
          <w:tcPr>
            <w:tcW w:w="944" w:type="pct"/>
            <w:tcBorders>
              <w:top w:val="single" w:sz="4" w:space="0" w:color="auto"/>
              <w:left w:val="nil"/>
              <w:bottom w:val="nil"/>
              <w:right w:val="nil"/>
            </w:tcBorders>
          </w:tcPr>
          <w:p w14:paraId="2C3086C6"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w:t>
            </w:r>
          </w:p>
        </w:tc>
        <w:tc>
          <w:tcPr>
            <w:tcW w:w="944" w:type="pct"/>
            <w:tcBorders>
              <w:top w:val="single" w:sz="4" w:space="0" w:color="auto"/>
              <w:left w:val="nil"/>
              <w:bottom w:val="nil"/>
              <w:right w:val="nil"/>
            </w:tcBorders>
          </w:tcPr>
          <w:p w14:paraId="5CAF2229"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(2)</w:t>
            </w:r>
          </w:p>
        </w:tc>
        <w:tc>
          <w:tcPr>
            <w:tcW w:w="944" w:type="pct"/>
            <w:tcBorders>
              <w:top w:val="single" w:sz="4" w:space="0" w:color="auto"/>
              <w:left w:val="nil"/>
              <w:bottom w:val="nil"/>
              <w:right w:val="nil"/>
            </w:tcBorders>
          </w:tcPr>
          <w:p w14:paraId="45BE5CA1"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(3)</w:t>
            </w:r>
          </w:p>
        </w:tc>
        <w:tc>
          <w:tcPr>
            <w:tcW w:w="944" w:type="pct"/>
            <w:tcBorders>
              <w:top w:val="single" w:sz="4" w:space="0" w:color="auto"/>
              <w:left w:val="nil"/>
              <w:bottom w:val="nil"/>
              <w:right w:val="nil"/>
            </w:tcBorders>
          </w:tcPr>
          <w:p w14:paraId="32F46F3F"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w:t>
            </w:r>
          </w:p>
        </w:tc>
      </w:tr>
      <w:tr w:rsidR="00B44672" w14:paraId="75DCC003" w14:textId="77777777" w:rsidTr="00662A66">
        <w:tc>
          <w:tcPr>
            <w:tcW w:w="1225" w:type="pct"/>
            <w:tcBorders>
              <w:top w:val="nil"/>
              <w:left w:val="nil"/>
              <w:bottom w:val="nil"/>
              <w:right w:val="nil"/>
            </w:tcBorders>
          </w:tcPr>
          <w:p w14:paraId="06AC21D2" w14:textId="77777777" w:rsidR="00B44672" w:rsidRDefault="00B44672" w:rsidP="004F7976">
            <w:pPr>
              <w:widowControl w:val="0"/>
              <w:autoSpaceDE w:val="0"/>
              <w:autoSpaceDN w:val="0"/>
              <w:adjustRightInd w:val="0"/>
              <w:spacing w:after="0"/>
              <w:rPr>
                <w:rFonts w:ascii="Times New Roman" w:hAnsi="Times New Roman" w:cs="Times New Roman"/>
              </w:rPr>
            </w:pPr>
          </w:p>
        </w:tc>
        <w:tc>
          <w:tcPr>
            <w:tcW w:w="944" w:type="pct"/>
            <w:tcBorders>
              <w:top w:val="nil"/>
              <w:left w:val="nil"/>
              <w:bottom w:val="nil"/>
              <w:right w:val="nil"/>
            </w:tcBorders>
          </w:tcPr>
          <w:p w14:paraId="149A235F" w14:textId="77777777" w:rsidR="00B44672" w:rsidRDefault="00B44672" w:rsidP="004F7976">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c>
          <w:tcPr>
            <w:tcW w:w="944" w:type="pct"/>
            <w:tcBorders>
              <w:top w:val="nil"/>
              <w:left w:val="nil"/>
              <w:bottom w:val="nil"/>
              <w:right w:val="nil"/>
            </w:tcBorders>
          </w:tcPr>
          <w:p w14:paraId="784BC22F" w14:textId="77777777" w:rsidR="00B44672" w:rsidRDefault="00B44672" w:rsidP="004F7976">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c>
          <w:tcPr>
            <w:tcW w:w="944" w:type="pct"/>
            <w:tcBorders>
              <w:top w:val="nil"/>
              <w:left w:val="nil"/>
              <w:bottom w:val="nil"/>
              <w:right w:val="nil"/>
            </w:tcBorders>
          </w:tcPr>
          <w:p w14:paraId="0D657AA4" w14:textId="77777777" w:rsidR="00B44672" w:rsidRDefault="00B44672" w:rsidP="004F7976">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c>
          <w:tcPr>
            <w:tcW w:w="944" w:type="pct"/>
            <w:tcBorders>
              <w:top w:val="nil"/>
              <w:left w:val="nil"/>
              <w:bottom w:val="nil"/>
              <w:right w:val="nil"/>
            </w:tcBorders>
          </w:tcPr>
          <w:p w14:paraId="091E98E8" w14:textId="77777777" w:rsidR="00B44672" w:rsidRDefault="00B44672" w:rsidP="004F7976">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r>
      <w:tr w:rsidR="00B44672" w14:paraId="402F8B14" w14:textId="77777777" w:rsidTr="00662A66">
        <w:tc>
          <w:tcPr>
            <w:tcW w:w="1225" w:type="pct"/>
            <w:tcBorders>
              <w:top w:val="nil"/>
              <w:left w:val="nil"/>
              <w:bottom w:val="nil"/>
              <w:right w:val="nil"/>
            </w:tcBorders>
          </w:tcPr>
          <w:p w14:paraId="30BF3B16" w14:textId="77777777" w:rsidR="00B44672" w:rsidRDefault="00B44672" w:rsidP="004F7976">
            <w:pPr>
              <w:widowControl w:val="0"/>
              <w:autoSpaceDE w:val="0"/>
              <w:autoSpaceDN w:val="0"/>
              <w:adjustRightInd w:val="0"/>
              <w:spacing w:after="0"/>
              <w:rPr>
                <w:rFonts w:ascii="Times New Roman" w:hAnsi="Times New Roman" w:cs="Times New Roman"/>
              </w:rPr>
            </w:pPr>
          </w:p>
        </w:tc>
        <w:tc>
          <w:tcPr>
            <w:tcW w:w="944" w:type="pct"/>
            <w:tcBorders>
              <w:top w:val="nil"/>
              <w:left w:val="nil"/>
              <w:bottom w:val="nil"/>
              <w:right w:val="nil"/>
            </w:tcBorders>
          </w:tcPr>
          <w:p w14:paraId="334A888B"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tcBorders>
              <w:top w:val="nil"/>
              <w:left w:val="nil"/>
              <w:bottom w:val="nil"/>
              <w:right w:val="nil"/>
            </w:tcBorders>
          </w:tcPr>
          <w:p w14:paraId="4D651642"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tcBorders>
              <w:top w:val="nil"/>
              <w:left w:val="nil"/>
              <w:bottom w:val="nil"/>
              <w:right w:val="nil"/>
            </w:tcBorders>
          </w:tcPr>
          <w:p w14:paraId="3A13D30B"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tcBorders>
              <w:top w:val="nil"/>
              <w:left w:val="nil"/>
              <w:bottom w:val="nil"/>
              <w:right w:val="nil"/>
            </w:tcBorders>
          </w:tcPr>
          <w:p w14:paraId="25942A82"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r>
      <w:tr w:rsidR="00B44672" w14:paraId="27A63A4A" w14:textId="77777777" w:rsidTr="00662A66">
        <w:tc>
          <w:tcPr>
            <w:tcW w:w="1225" w:type="pct"/>
            <w:tcBorders>
              <w:top w:val="single" w:sz="4" w:space="0" w:color="auto"/>
              <w:left w:val="nil"/>
              <w:bottom w:val="nil"/>
              <w:right w:val="nil"/>
            </w:tcBorders>
          </w:tcPr>
          <w:p w14:paraId="7AF74D89" w14:textId="77777777" w:rsidR="00B44672" w:rsidRDefault="00B44672" w:rsidP="00662A66">
            <w:pPr>
              <w:widowControl w:val="0"/>
              <w:autoSpaceDE w:val="0"/>
              <w:autoSpaceDN w:val="0"/>
              <w:adjustRightInd w:val="0"/>
              <w:spacing w:after="0"/>
              <w:rPr>
                <w:rFonts w:ascii="Times New Roman" w:hAnsi="Times New Roman" w:cs="Times New Roman"/>
              </w:rPr>
            </w:pPr>
            <w:r>
              <w:rPr>
                <w:rFonts w:ascii="Times New Roman" w:hAnsi="Times New Roman" w:cs="Times New Roman"/>
              </w:rPr>
              <w:t>ACT tax reform</w:t>
            </w:r>
          </w:p>
        </w:tc>
        <w:tc>
          <w:tcPr>
            <w:tcW w:w="944" w:type="pct"/>
            <w:tcBorders>
              <w:top w:val="single" w:sz="4" w:space="0" w:color="auto"/>
              <w:left w:val="nil"/>
              <w:bottom w:val="nil"/>
              <w:right w:val="nil"/>
            </w:tcBorders>
          </w:tcPr>
          <w:p w14:paraId="7C6687B6"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0.226*</w:t>
            </w:r>
          </w:p>
        </w:tc>
        <w:tc>
          <w:tcPr>
            <w:tcW w:w="944" w:type="pct"/>
            <w:tcBorders>
              <w:top w:val="single" w:sz="4" w:space="0" w:color="auto"/>
              <w:left w:val="nil"/>
              <w:bottom w:val="nil"/>
              <w:right w:val="nil"/>
            </w:tcBorders>
          </w:tcPr>
          <w:p w14:paraId="04715692"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0.052</w:t>
            </w:r>
          </w:p>
        </w:tc>
        <w:tc>
          <w:tcPr>
            <w:tcW w:w="944" w:type="pct"/>
            <w:tcBorders>
              <w:top w:val="single" w:sz="4" w:space="0" w:color="auto"/>
              <w:left w:val="nil"/>
              <w:bottom w:val="nil"/>
              <w:right w:val="nil"/>
            </w:tcBorders>
          </w:tcPr>
          <w:p w14:paraId="0B12BF7D"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-0.104</w:t>
            </w:r>
          </w:p>
        </w:tc>
        <w:tc>
          <w:tcPr>
            <w:tcW w:w="944" w:type="pct"/>
            <w:tcBorders>
              <w:top w:val="single" w:sz="4" w:space="0" w:color="auto"/>
              <w:left w:val="nil"/>
              <w:bottom w:val="nil"/>
              <w:right w:val="nil"/>
            </w:tcBorders>
          </w:tcPr>
          <w:p w14:paraId="6948C479"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-0.271**</w:t>
            </w:r>
          </w:p>
        </w:tc>
      </w:tr>
      <w:tr w:rsidR="00B44672" w14:paraId="463888F1" w14:textId="77777777" w:rsidTr="00662A66">
        <w:tc>
          <w:tcPr>
            <w:tcW w:w="1225" w:type="pct"/>
            <w:tcBorders>
              <w:top w:val="nil"/>
              <w:left w:val="nil"/>
              <w:bottom w:val="single" w:sz="4" w:space="0" w:color="auto"/>
              <w:right w:val="nil"/>
            </w:tcBorders>
          </w:tcPr>
          <w:p w14:paraId="2F16E4AD" w14:textId="77777777" w:rsidR="00B44672" w:rsidRDefault="00B44672" w:rsidP="004F7976">
            <w:pPr>
              <w:widowControl w:val="0"/>
              <w:autoSpaceDE w:val="0"/>
              <w:autoSpaceDN w:val="0"/>
              <w:adjustRightInd w:val="0"/>
              <w:spacing w:after="0"/>
              <w:rPr>
                <w:rFonts w:ascii="Times New Roman" w:hAnsi="Times New Roman" w:cs="Times New Roman"/>
              </w:rPr>
            </w:pPr>
            <w:r>
              <w:rPr>
                <w:rFonts w:ascii="Times New Roman" w:hAnsi="Times New Roman" w:cs="Times New Roman"/>
              </w:rPr>
              <w:t>Standard error</w:t>
            </w:r>
          </w:p>
        </w:tc>
        <w:tc>
          <w:tcPr>
            <w:tcW w:w="944" w:type="pct"/>
            <w:tcBorders>
              <w:top w:val="nil"/>
              <w:left w:val="nil"/>
              <w:bottom w:val="single" w:sz="4" w:space="0" w:color="auto"/>
              <w:right w:val="nil"/>
            </w:tcBorders>
          </w:tcPr>
          <w:p w14:paraId="1C4F98BE"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(0.101)</w:t>
            </w:r>
          </w:p>
        </w:tc>
        <w:tc>
          <w:tcPr>
            <w:tcW w:w="944" w:type="pct"/>
            <w:tcBorders>
              <w:top w:val="nil"/>
              <w:left w:val="nil"/>
              <w:bottom w:val="single" w:sz="4" w:space="0" w:color="auto"/>
              <w:right w:val="nil"/>
            </w:tcBorders>
          </w:tcPr>
          <w:p w14:paraId="34A366F9"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(0.113)</w:t>
            </w:r>
          </w:p>
        </w:tc>
        <w:tc>
          <w:tcPr>
            <w:tcW w:w="944" w:type="pct"/>
            <w:tcBorders>
              <w:top w:val="nil"/>
              <w:left w:val="nil"/>
              <w:bottom w:val="single" w:sz="4" w:space="0" w:color="auto"/>
              <w:right w:val="nil"/>
            </w:tcBorders>
          </w:tcPr>
          <w:p w14:paraId="7BB22FE7"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(0.082)</w:t>
            </w:r>
          </w:p>
        </w:tc>
        <w:tc>
          <w:tcPr>
            <w:tcW w:w="944" w:type="pct"/>
            <w:tcBorders>
              <w:top w:val="nil"/>
              <w:left w:val="nil"/>
              <w:bottom w:val="single" w:sz="4" w:space="0" w:color="auto"/>
              <w:right w:val="nil"/>
            </w:tcBorders>
          </w:tcPr>
          <w:p w14:paraId="7DE49BC3"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(0.101)</w:t>
            </w:r>
          </w:p>
        </w:tc>
      </w:tr>
      <w:tr w:rsidR="00B44672" w14:paraId="33688284" w14:textId="77777777" w:rsidTr="00662A66">
        <w:tc>
          <w:tcPr>
            <w:tcW w:w="1225" w:type="pct"/>
            <w:tcBorders>
              <w:top w:val="single" w:sz="4" w:space="0" w:color="auto"/>
              <w:left w:val="nil"/>
              <w:bottom w:val="nil"/>
              <w:right w:val="nil"/>
            </w:tcBorders>
          </w:tcPr>
          <w:p w14:paraId="01EA5E32" w14:textId="77777777" w:rsidR="00B44672" w:rsidRDefault="00B44672" w:rsidP="004F7976">
            <w:pPr>
              <w:widowControl w:val="0"/>
              <w:autoSpaceDE w:val="0"/>
              <w:autoSpaceDN w:val="0"/>
              <w:adjustRightInd w:val="0"/>
              <w:spacing w:after="0"/>
              <w:rPr>
                <w:rFonts w:ascii="Times New Roman" w:hAnsi="Times New Roman" w:cs="Times New Roman"/>
              </w:rPr>
            </w:pPr>
            <w:r>
              <w:rPr>
                <w:rFonts w:ascii="Times New Roman" w:hAnsi="Times New Roman" w:cs="Times New Roman"/>
              </w:rPr>
              <w:t>Time Fixed Effect</w:t>
            </w:r>
          </w:p>
        </w:tc>
        <w:tc>
          <w:tcPr>
            <w:tcW w:w="944" w:type="pct"/>
            <w:tcBorders>
              <w:top w:val="single" w:sz="4" w:space="0" w:color="auto"/>
              <w:left w:val="nil"/>
              <w:bottom w:val="nil"/>
              <w:right w:val="nil"/>
            </w:tcBorders>
          </w:tcPr>
          <w:p w14:paraId="172C5312"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tcPr>
          <w:p w14:paraId="1A7BA825"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tcPr>
          <w:p w14:paraId="14EE4C51"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tcPr>
          <w:p w14:paraId="14F26DBC"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1A922789" w14:textId="77777777" w:rsidTr="00662A66">
        <w:tc>
          <w:tcPr>
            <w:tcW w:w="1225" w:type="pct"/>
            <w:tcBorders>
              <w:top w:val="nil"/>
              <w:left w:val="nil"/>
              <w:bottom w:val="nil"/>
              <w:right w:val="nil"/>
            </w:tcBorders>
          </w:tcPr>
          <w:p w14:paraId="4B63C4CA" w14:textId="77777777" w:rsidR="00B44672" w:rsidRDefault="00B44672" w:rsidP="004F7976">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 Fixed Effects</w:t>
            </w:r>
          </w:p>
        </w:tc>
        <w:tc>
          <w:tcPr>
            <w:tcW w:w="944" w:type="pct"/>
            <w:tcBorders>
              <w:top w:val="nil"/>
              <w:left w:val="nil"/>
              <w:bottom w:val="nil"/>
              <w:right w:val="nil"/>
            </w:tcBorders>
          </w:tcPr>
          <w:p w14:paraId="4D81541F"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758501D3"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0AA3F052"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4E472639"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3996019E" w14:textId="77777777" w:rsidTr="00662A66">
        <w:tc>
          <w:tcPr>
            <w:tcW w:w="1225" w:type="pct"/>
            <w:tcBorders>
              <w:top w:val="nil"/>
              <w:left w:val="nil"/>
              <w:bottom w:val="nil"/>
              <w:right w:val="nil"/>
            </w:tcBorders>
          </w:tcPr>
          <w:p w14:paraId="7403698A" w14:textId="77777777" w:rsidR="00B44672" w:rsidRDefault="00B44672" w:rsidP="004F7976">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Income)</w:t>
            </w:r>
          </w:p>
        </w:tc>
        <w:tc>
          <w:tcPr>
            <w:tcW w:w="944" w:type="pct"/>
            <w:tcBorders>
              <w:top w:val="nil"/>
              <w:left w:val="nil"/>
              <w:bottom w:val="nil"/>
              <w:right w:val="nil"/>
            </w:tcBorders>
          </w:tcPr>
          <w:p w14:paraId="41F4CADE"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tcBorders>
              <w:top w:val="nil"/>
              <w:left w:val="nil"/>
              <w:bottom w:val="nil"/>
              <w:right w:val="nil"/>
            </w:tcBorders>
          </w:tcPr>
          <w:p w14:paraId="67178AAD"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0D2FFB7F"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tcBorders>
              <w:top w:val="nil"/>
              <w:left w:val="nil"/>
              <w:bottom w:val="nil"/>
              <w:right w:val="nil"/>
            </w:tcBorders>
          </w:tcPr>
          <w:p w14:paraId="04CFF927"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3DC5EA5E" w14:textId="77777777" w:rsidTr="00662A66">
        <w:tc>
          <w:tcPr>
            <w:tcW w:w="1225" w:type="pct"/>
            <w:tcBorders>
              <w:top w:val="nil"/>
              <w:left w:val="nil"/>
              <w:bottom w:val="nil"/>
              <w:right w:val="nil"/>
            </w:tcBorders>
          </w:tcPr>
          <w:p w14:paraId="4AC8E9EF" w14:textId="77777777" w:rsidR="00B44672" w:rsidRDefault="00B44672" w:rsidP="004F7976">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Population)</w:t>
            </w:r>
          </w:p>
        </w:tc>
        <w:tc>
          <w:tcPr>
            <w:tcW w:w="944" w:type="pct"/>
            <w:tcBorders>
              <w:top w:val="nil"/>
              <w:left w:val="nil"/>
              <w:bottom w:val="nil"/>
              <w:right w:val="nil"/>
            </w:tcBorders>
          </w:tcPr>
          <w:p w14:paraId="18C34002"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tcBorders>
              <w:top w:val="nil"/>
              <w:left w:val="nil"/>
              <w:bottom w:val="nil"/>
              <w:right w:val="nil"/>
            </w:tcBorders>
          </w:tcPr>
          <w:p w14:paraId="157B3976"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tcBorders>
              <w:top w:val="nil"/>
              <w:left w:val="nil"/>
              <w:bottom w:val="nil"/>
              <w:right w:val="nil"/>
            </w:tcBorders>
          </w:tcPr>
          <w:p w14:paraId="33582834"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nil"/>
              <w:left w:val="nil"/>
              <w:bottom w:val="nil"/>
              <w:right w:val="nil"/>
            </w:tcBorders>
          </w:tcPr>
          <w:p w14:paraId="580B1F8B"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3B676B05" w14:textId="77777777" w:rsidTr="00662A66">
        <w:tc>
          <w:tcPr>
            <w:tcW w:w="1225" w:type="pct"/>
            <w:tcBorders>
              <w:top w:val="nil"/>
              <w:left w:val="nil"/>
              <w:bottom w:val="nil"/>
              <w:right w:val="nil"/>
            </w:tcBorders>
          </w:tcPr>
          <w:p w14:paraId="6CBCEDF0" w14:textId="77777777" w:rsidR="00B44672" w:rsidRDefault="00B44672" w:rsidP="004F7976">
            <w:pPr>
              <w:widowControl w:val="0"/>
              <w:autoSpaceDE w:val="0"/>
              <w:autoSpaceDN w:val="0"/>
              <w:adjustRightInd w:val="0"/>
              <w:spacing w:after="0"/>
              <w:rPr>
                <w:rFonts w:ascii="Times New Roman" w:hAnsi="Times New Roman" w:cs="Times New Roman"/>
              </w:rPr>
            </w:pPr>
            <w:proofErr w:type="spellStart"/>
            <w:proofErr w:type="gramStart"/>
            <w:r>
              <w:rPr>
                <w:rFonts w:ascii="Times New Roman" w:hAnsi="Times New Roman" w:cs="Times New Roman"/>
              </w:rPr>
              <w:t>adj.R</w:t>
            </w:r>
            <w:proofErr w:type="spellEnd"/>
            <w:proofErr w:type="gramEnd"/>
            <w:r>
              <w:rPr>
                <w:rFonts w:ascii="Times New Roman" w:hAnsi="Times New Roman" w:cs="Times New Roman"/>
              </w:rPr>
              <w:t>-squared</w:t>
            </w:r>
          </w:p>
        </w:tc>
        <w:tc>
          <w:tcPr>
            <w:tcW w:w="944" w:type="pct"/>
            <w:tcBorders>
              <w:top w:val="nil"/>
              <w:left w:val="nil"/>
              <w:bottom w:val="nil"/>
              <w:right w:val="nil"/>
            </w:tcBorders>
          </w:tcPr>
          <w:p w14:paraId="27010F91"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0.814</w:t>
            </w:r>
          </w:p>
        </w:tc>
        <w:tc>
          <w:tcPr>
            <w:tcW w:w="944" w:type="pct"/>
            <w:tcBorders>
              <w:top w:val="nil"/>
              <w:left w:val="nil"/>
              <w:bottom w:val="nil"/>
              <w:right w:val="nil"/>
            </w:tcBorders>
          </w:tcPr>
          <w:p w14:paraId="6EBEFF6C"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0.815</w:t>
            </w:r>
          </w:p>
        </w:tc>
        <w:tc>
          <w:tcPr>
            <w:tcW w:w="944" w:type="pct"/>
            <w:tcBorders>
              <w:top w:val="nil"/>
              <w:left w:val="nil"/>
              <w:bottom w:val="nil"/>
              <w:right w:val="nil"/>
            </w:tcBorders>
          </w:tcPr>
          <w:p w14:paraId="3059B298"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0.814</w:t>
            </w:r>
          </w:p>
        </w:tc>
        <w:tc>
          <w:tcPr>
            <w:tcW w:w="944" w:type="pct"/>
            <w:tcBorders>
              <w:top w:val="nil"/>
              <w:left w:val="nil"/>
              <w:bottom w:val="nil"/>
              <w:right w:val="nil"/>
            </w:tcBorders>
          </w:tcPr>
          <w:p w14:paraId="7C253B78"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0.815</w:t>
            </w:r>
          </w:p>
        </w:tc>
      </w:tr>
      <w:tr w:rsidR="00B44672" w14:paraId="0DB8FC72" w14:textId="77777777" w:rsidTr="00662A66">
        <w:tc>
          <w:tcPr>
            <w:tcW w:w="1225" w:type="pct"/>
            <w:tcBorders>
              <w:top w:val="nil"/>
              <w:left w:val="nil"/>
              <w:bottom w:val="nil"/>
              <w:right w:val="nil"/>
            </w:tcBorders>
          </w:tcPr>
          <w:p w14:paraId="0981858C" w14:textId="77777777" w:rsidR="00B44672" w:rsidRDefault="00B44672" w:rsidP="004F7976">
            <w:pPr>
              <w:widowControl w:val="0"/>
              <w:autoSpaceDE w:val="0"/>
              <w:autoSpaceDN w:val="0"/>
              <w:adjustRightInd w:val="0"/>
              <w:spacing w:after="0"/>
              <w:rPr>
                <w:rFonts w:ascii="Times New Roman" w:hAnsi="Times New Roman" w:cs="Times New Roman"/>
              </w:rPr>
            </w:pPr>
            <w:r>
              <w:rPr>
                <w:rFonts w:ascii="Times New Roman" w:hAnsi="Times New Roman" w:cs="Times New Roman"/>
              </w:rPr>
              <w:t>Observations</w:t>
            </w:r>
          </w:p>
        </w:tc>
        <w:tc>
          <w:tcPr>
            <w:tcW w:w="944" w:type="pct"/>
            <w:tcBorders>
              <w:top w:val="nil"/>
              <w:left w:val="nil"/>
              <w:bottom w:val="nil"/>
              <w:right w:val="nil"/>
            </w:tcBorders>
          </w:tcPr>
          <w:p w14:paraId="48ED0075"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64814</w:t>
            </w:r>
          </w:p>
        </w:tc>
        <w:tc>
          <w:tcPr>
            <w:tcW w:w="944" w:type="pct"/>
            <w:tcBorders>
              <w:top w:val="nil"/>
              <w:left w:val="nil"/>
              <w:bottom w:val="nil"/>
              <w:right w:val="nil"/>
            </w:tcBorders>
          </w:tcPr>
          <w:p w14:paraId="473775F9"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62693</w:t>
            </w:r>
          </w:p>
        </w:tc>
        <w:tc>
          <w:tcPr>
            <w:tcW w:w="944" w:type="pct"/>
            <w:tcBorders>
              <w:top w:val="nil"/>
              <w:left w:val="nil"/>
              <w:bottom w:val="nil"/>
              <w:right w:val="nil"/>
            </w:tcBorders>
          </w:tcPr>
          <w:p w14:paraId="35B5B9C2"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64814</w:t>
            </w:r>
          </w:p>
        </w:tc>
        <w:tc>
          <w:tcPr>
            <w:tcW w:w="944" w:type="pct"/>
            <w:tcBorders>
              <w:top w:val="nil"/>
              <w:left w:val="nil"/>
              <w:bottom w:val="nil"/>
              <w:right w:val="nil"/>
            </w:tcBorders>
          </w:tcPr>
          <w:p w14:paraId="17A41B53"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62693</w:t>
            </w:r>
          </w:p>
        </w:tc>
      </w:tr>
      <w:tr w:rsidR="00B44672" w14:paraId="1D48DE34" w14:textId="77777777" w:rsidTr="00662A66">
        <w:tc>
          <w:tcPr>
            <w:tcW w:w="1225" w:type="pct"/>
            <w:tcBorders>
              <w:top w:val="nil"/>
              <w:left w:val="nil"/>
              <w:bottom w:val="single" w:sz="4" w:space="0" w:color="auto"/>
              <w:right w:val="nil"/>
            </w:tcBorders>
          </w:tcPr>
          <w:p w14:paraId="0CB96B39" w14:textId="77777777" w:rsidR="00B44672" w:rsidRDefault="00B44672" w:rsidP="004F7976">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Postcodes</w:t>
            </w:r>
          </w:p>
        </w:tc>
        <w:tc>
          <w:tcPr>
            <w:tcW w:w="944" w:type="pct"/>
            <w:tcBorders>
              <w:top w:val="nil"/>
              <w:left w:val="nil"/>
              <w:bottom w:val="single" w:sz="4" w:space="0" w:color="auto"/>
              <w:right w:val="nil"/>
            </w:tcBorders>
          </w:tcPr>
          <w:p w14:paraId="405319F6"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494</w:t>
            </w:r>
          </w:p>
        </w:tc>
        <w:tc>
          <w:tcPr>
            <w:tcW w:w="944" w:type="pct"/>
            <w:tcBorders>
              <w:top w:val="nil"/>
              <w:left w:val="nil"/>
              <w:bottom w:val="single" w:sz="4" w:space="0" w:color="auto"/>
              <w:right w:val="nil"/>
            </w:tcBorders>
          </w:tcPr>
          <w:p w14:paraId="4F17CB4E"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493</w:t>
            </w:r>
          </w:p>
        </w:tc>
        <w:tc>
          <w:tcPr>
            <w:tcW w:w="944" w:type="pct"/>
            <w:tcBorders>
              <w:top w:val="nil"/>
              <w:left w:val="nil"/>
              <w:bottom w:val="single" w:sz="4" w:space="0" w:color="auto"/>
              <w:right w:val="nil"/>
            </w:tcBorders>
          </w:tcPr>
          <w:p w14:paraId="5EDF607A"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494</w:t>
            </w:r>
          </w:p>
        </w:tc>
        <w:tc>
          <w:tcPr>
            <w:tcW w:w="944" w:type="pct"/>
            <w:tcBorders>
              <w:top w:val="nil"/>
              <w:left w:val="nil"/>
              <w:bottom w:val="single" w:sz="4" w:space="0" w:color="auto"/>
              <w:right w:val="nil"/>
            </w:tcBorders>
          </w:tcPr>
          <w:p w14:paraId="3A850CCD" w14:textId="77777777" w:rsidR="00B44672" w:rsidRDefault="00B44672" w:rsidP="004F797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493</w:t>
            </w:r>
          </w:p>
        </w:tc>
      </w:tr>
    </w:tbl>
    <w:p w14:paraId="0F81408B" w14:textId="77777777" w:rsidR="00B44672" w:rsidRDefault="00B44672" w:rsidP="00662A66">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Note: Standard error clusters at state-postcode level * p&lt;0.05, ** p&lt;0.01</w:t>
      </w:r>
    </w:p>
    <w:p w14:paraId="6C95CB31" w14:textId="77777777" w:rsidR="00B44672" w:rsidRDefault="00B44672" w:rsidP="00650739"/>
    <w:p w14:paraId="49A10791" w14:textId="77777777" w:rsidR="00B44672" w:rsidRDefault="00B44672" w:rsidP="00662A66">
      <w:pPr>
        <w:pStyle w:val="BodyText"/>
      </w:pPr>
    </w:p>
    <w:p w14:paraId="41AC2DC0" w14:textId="77777777" w:rsidR="00B44672" w:rsidRDefault="00B44672" w:rsidP="00662A66">
      <w:pPr>
        <w:pStyle w:val="BodyText"/>
      </w:pPr>
      <w:r>
        <w:t>As discussed above, due to the introduction of t</w:t>
      </w:r>
      <w:r w:rsidRPr="009E769F">
        <w:t>he Barrier Free Model</w:t>
      </w:r>
      <w:r>
        <w:t xml:space="preserve"> in 2017, we might be concerned about the last two years of our sample driving the results</w:t>
      </w:r>
      <w:proofErr w:type="gramStart"/>
      <w:r>
        <w:t>, in particular, for</w:t>
      </w:r>
      <w:proofErr w:type="gramEnd"/>
      <w:r>
        <w:t xml:space="preserve"> the unit market. </w:t>
      </w:r>
      <w:proofErr w:type="gramStart"/>
      <w:r>
        <w:t>Similar to</w:t>
      </w:r>
      <w:proofErr w:type="gramEnd"/>
      <w:r>
        <w:t xml:space="preserve"> the regression above for the C</w:t>
      </w:r>
      <w:r w:rsidRPr="00D67DFC">
        <w:t xml:space="preserve">oreLogic data </w:t>
      </w:r>
      <w:r>
        <w:t>we</w:t>
      </w:r>
      <w:r w:rsidRPr="00D67DFC">
        <w:t xml:space="preserve"> </w:t>
      </w:r>
      <w:r>
        <w:t>now</w:t>
      </w:r>
      <w:r w:rsidRPr="00D67DFC">
        <w:t xml:space="preserve"> check that our results are not sensitive to excluding those years</w:t>
      </w:r>
      <w:r>
        <w:t xml:space="preserve"> by re-estimating the model using a subsample of the data excluding the last two years. The results are reported in in the tables below (not in the main report) and are qualitatively and quantitatively </w:t>
      </w:r>
      <w:proofErr w:type="gramStart"/>
      <w:r>
        <w:t>similar to</w:t>
      </w:r>
      <w:proofErr w:type="gramEnd"/>
      <w:r>
        <w:t xml:space="preserve"> the full sample results. </w:t>
      </w:r>
    </w:p>
    <w:p w14:paraId="0564040F" w14:textId="77777777" w:rsidR="00B44672" w:rsidRDefault="00B44672" w:rsidP="005738A2">
      <w:pPr>
        <w:rPr>
          <w:b/>
          <w:bCs/>
          <w:i/>
          <w:iCs/>
          <w:color w:val="365F91" w:themeColor="accent1" w:themeShade="BF"/>
        </w:rPr>
      </w:pPr>
    </w:p>
    <w:p w14:paraId="68FC56BD" w14:textId="77777777" w:rsidR="00B44672" w:rsidRDefault="00B44672" w:rsidP="005738A2">
      <w:pPr>
        <w:rPr>
          <w:b/>
          <w:bCs/>
          <w:i/>
          <w:iCs/>
          <w:color w:val="365F91" w:themeColor="accent1" w:themeShade="BF"/>
        </w:rPr>
      </w:pPr>
      <w:r w:rsidRPr="00E20E98">
        <w:rPr>
          <w:b/>
          <w:bCs/>
          <w:i/>
          <w:iCs/>
          <w:color w:val="365F91" w:themeColor="accent1" w:themeShade="BF"/>
        </w:rPr>
        <w:t xml:space="preserve">Table </w:t>
      </w:r>
      <w:r>
        <w:rPr>
          <w:b/>
          <w:bCs/>
          <w:i/>
          <w:iCs/>
          <w:color w:val="365F91" w:themeColor="accent1" w:themeShade="BF"/>
        </w:rPr>
        <w:t xml:space="preserve">26 </w:t>
      </w:r>
      <w:r w:rsidRPr="00E20E98">
        <w:rPr>
          <w:b/>
          <w:bCs/>
          <w:i/>
          <w:iCs/>
          <w:color w:val="365F91" w:themeColor="accent1" w:themeShade="BF"/>
        </w:rPr>
        <w:t>- Tax reform effect on hous</w:t>
      </w:r>
      <w:r>
        <w:rPr>
          <w:b/>
          <w:bCs/>
          <w:i/>
          <w:iCs/>
          <w:color w:val="365F91" w:themeColor="accent1" w:themeShade="BF"/>
        </w:rPr>
        <w:t>ing market:  Difference-in-difference estimates using 2004/05 – 2016/17 administrative data</w:t>
      </w:r>
    </w:p>
    <w:tbl>
      <w:tblPr>
        <w:tblW w:w="5000" w:type="pct"/>
        <w:tblLook w:val="04A0" w:firstRow="1" w:lastRow="0" w:firstColumn="1" w:lastColumn="0" w:noHBand="0" w:noVBand="1"/>
      </w:tblPr>
      <w:tblGrid>
        <w:gridCol w:w="2212"/>
        <w:gridCol w:w="1704"/>
        <w:gridCol w:w="1704"/>
        <w:gridCol w:w="1704"/>
        <w:gridCol w:w="1702"/>
      </w:tblGrid>
      <w:tr w:rsidR="00B44672" w14:paraId="7BB88406" w14:textId="77777777" w:rsidTr="00161431">
        <w:tc>
          <w:tcPr>
            <w:tcW w:w="1225" w:type="pct"/>
            <w:tcBorders>
              <w:top w:val="single" w:sz="4" w:space="0" w:color="auto"/>
              <w:left w:val="nil"/>
              <w:bottom w:val="nil"/>
              <w:right w:val="nil"/>
            </w:tcBorders>
          </w:tcPr>
          <w:p w14:paraId="33987FB4"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tcBorders>
              <w:top w:val="single" w:sz="4" w:space="0" w:color="auto"/>
              <w:left w:val="nil"/>
              <w:bottom w:val="nil"/>
              <w:right w:val="nil"/>
            </w:tcBorders>
            <w:hideMark/>
          </w:tcPr>
          <w:p w14:paraId="7C67FD9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w:t>
            </w:r>
          </w:p>
        </w:tc>
        <w:tc>
          <w:tcPr>
            <w:tcW w:w="944" w:type="pct"/>
            <w:tcBorders>
              <w:top w:val="single" w:sz="4" w:space="0" w:color="auto"/>
              <w:left w:val="nil"/>
              <w:bottom w:val="nil"/>
              <w:right w:val="nil"/>
            </w:tcBorders>
            <w:hideMark/>
          </w:tcPr>
          <w:p w14:paraId="3C77BA6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(2)</w:t>
            </w:r>
          </w:p>
        </w:tc>
        <w:tc>
          <w:tcPr>
            <w:tcW w:w="944" w:type="pct"/>
            <w:tcBorders>
              <w:top w:val="single" w:sz="4" w:space="0" w:color="auto"/>
              <w:left w:val="nil"/>
              <w:bottom w:val="nil"/>
              <w:right w:val="nil"/>
            </w:tcBorders>
            <w:hideMark/>
          </w:tcPr>
          <w:p w14:paraId="5837F97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(3)</w:t>
            </w:r>
          </w:p>
        </w:tc>
        <w:tc>
          <w:tcPr>
            <w:tcW w:w="943" w:type="pct"/>
            <w:tcBorders>
              <w:top w:val="single" w:sz="4" w:space="0" w:color="auto"/>
              <w:left w:val="nil"/>
              <w:bottom w:val="nil"/>
              <w:right w:val="nil"/>
            </w:tcBorders>
            <w:hideMark/>
          </w:tcPr>
          <w:p w14:paraId="766AD69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w:t>
            </w:r>
          </w:p>
        </w:tc>
      </w:tr>
      <w:tr w:rsidR="00B44672" w14:paraId="4604C71E" w14:textId="77777777" w:rsidTr="00161431">
        <w:tc>
          <w:tcPr>
            <w:tcW w:w="1225" w:type="pct"/>
          </w:tcPr>
          <w:p w14:paraId="70ADDA87"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58A57317"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c>
          <w:tcPr>
            <w:tcW w:w="944" w:type="pct"/>
            <w:hideMark/>
          </w:tcPr>
          <w:p w14:paraId="5E3D118B"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c>
          <w:tcPr>
            <w:tcW w:w="944" w:type="pct"/>
            <w:hideMark/>
          </w:tcPr>
          <w:p w14:paraId="67D6F9AE"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c>
          <w:tcPr>
            <w:tcW w:w="943" w:type="pct"/>
            <w:hideMark/>
          </w:tcPr>
          <w:p w14:paraId="3D356F8A"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r>
      <w:tr w:rsidR="00B44672" w14:paraId="295F3B86" w14:textId="77777777" w:rsidTr="00161431">
        <w:tc>
          <w:tcPr>
            <w:tcW w:w="1225" w:type="pct"/>
          </w:tcPr>
          <w:p w14:paraId="40579667"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7B31B25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3C9404B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1586524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3" w:type="pct"/>
            <w:hideMark/>
          </w:tcPr>
          <w:p w14:paraId="5D0F273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r>
      <w:tr w:rsidR="00B44672" w14:paraId="00CB6FDE" w14:textId="77777777" w:rsidTr="00161431">
        <w:tc>
          <w:tcPr>
            <w:tcW w:w="1225" w:type="pct"/>
            <w:tcBorders>
              <w:top w:val="single" w:sz="4" w:space="0" w:color="auto"/>
              <w:left w:val="nil"/>
              <w:bottom w:val="nil"/>
              <w:right w:val="nil"/>
            </w:tcBorders>
            <w:hideMark/>
          </w:tcPr>
          <w:p w14:paraId="457B4A69"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ACT tax reform</w:t>
            </w:r>
          </w:p>
        </w:tc>
        <w:tc>
          <w:tcPr>
            <w:tcW w:w="944" w:type="pct"/>
            <w:tcBorders>
              <w:top w:val="single" w:sz="4" w:space="0" w:color="auto"/>
              <w:left w:val="nil"/>
              <w:bottom w:val="nil"/>
              <w:right w:val="nil"/>
            </w:tcBorders>
            <w:hideMark/>
          </w:tcPr>
          <w:p w14:paraId="25E289F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-0.221**</w:t>
            </w:r>
          </w:p>
        </w:tc>
        <w:tc>
          <w:tcPr>
            <w:tcW w:w="944" w:type="pct"/>
            <w:tcBorders>
              <w:top w:val="single" w:sz="4" w:space="0" w:color="auto"/>
              <w:left w:val="nil"/>
              <w:bottom w:val="nil"/>
              <w:right w:val="nil"/>
            </w:tcBorders>
            <w:hideMark/>
          </w:tcPr>
          <w:p w14:paraId="7ED3B12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-0.050</w:t>
            </w:r>
          </w:p>
        </w:tc>
        <w:tc>
          <w:tcPr>
            <w:tcW w:w="944" w:type="pct"/>
            <w:tcBorders>
              <w:top w:val="single" w:sz="4" w:space="0" w:color="auto"/>
              <w:left w:val="nil"/>
              <w:bottom w:val="nil"/>
              <w:right w:val="nil"/>
            </w:tcBorders>
            <w:hideMark/>
          </w:tcPr>
          <w:p w14:paraId="1A41137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-0.394**</w:t>
            </w:r>
          </w:p>
        </w:tc>
        <w:tc>
          <w:tcPr>
            <w:tcW w:w="943" w:type="pct"/>
            <w:tcBorders>
              <w:top w:val="single" w:sz="4" w:space="0" w:color="auto"/>
              <w:left w:val="nil"/>
              <w:bottom w:val="nil"/>
              <w:right w:val="nil"/>
            </w:tcBorders>
            <w:hideMark/>
          </w:tcPr>
          <w:p w14:paraId="4D95A44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-0.224**</w:t>
            </w:r>
          </w:p>
        </w:tc>
      </w:tr>
      <w:tr w:rsidR="00B44672" w14:paraId="2AE9898E" w14:textId="77777777" w:rsidTr="00161431">
        <w:tc>
          <w:tcPr>
            <w:tcW w:w="1225" w:type="pct"/>
            <w:tcBorders>
              <w:top w:val="nil"/>
              <w:left w:val="nil"/>
              <w:bottom w:val="single" w:sz="4" w:space="0" w:color="auto"/>
              <w:right w:val="nil"/>
            </w:tcBorders>
          </w:tcPr>
          <w:p w14:paraId="178F3CBE"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Standard error</w:t>
            </w:r>
          </w:p>
        </w:tc>
        <w:tc>
          <w:tcPr>
            <w:tcW w:w="944" w:type="pct"/>
            <w:tcBorders>
              <w:top w:val="nil"/>
              <w:left w:val="nil"/>
              <w:bottom w:val="single" w:sz="4" w:space="0" w:color="auto"/>
              <w:right w:val="nil"/>
            </w:tcBorders>
            <w:hideMark/>
          </w:tcPr>
          <w:p w14:paraId="6D19F52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(0.047)</w:t>
            </w:r>
          </w:p>
        </w:tc>
        <w:tc>
          <w:tcPr>
            <w:tcW w:w="944" w:type="pct"/>
            <w:tcBorders>
              <w:top w:val="nil"/>
              <w:left w:val="nil"/>
              <w:bottom w:val="single" w:sz="4" w:space="0" w:color="auto"/>
              <w:right w:val="nil"/>
            </w:tcBorders>
            <w:hideMark/>
          </w:tcPr>
          <w:p w14:paraId="17DDC97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(0.074)</w:t>
            </w:r>
          </w:p>
        </w:tc>
        <w:tc>
          <w:tcPr>
            <w:tcW w:w="944" w:type="pct"/>
            <w:tcBorders>
              <w:top w:val="nil"/>
              <w:left w:val="nil"/>
              <w:bottom w:val="single" w:sz="4" w:space="0" w:color="auto"/>
              <w:right w:val="nil"/>
            </w:tcBorders>
            <w:hideMark/>
          </w:tcPr>
          <w:p w14:paraId="3287C88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(0.057)</w:t>
            </w:r>
          </w:p>
        </w:tc>
        <w:tc>
          <w:tcPr>
            <w:tcW w:w="943" w:type="pct"/>
            <w:tcBorders>
              <w:top w:val="nil"/>
              <w:left w:val="nil"/>
              <w:bottom w:val="single" w:sz="4" w:space="0" w:color="auto"/>
              <w:right w:val="nil"/>
            </w:tcBorders>
            <w:hideMark/>
          </w:tcPr>
          <w:p w14:paraId="1E25CB0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(0.048)</w:t>
            </w:r>
          </w:p>
        </w:tc>
      </w:tr>
      <w:tr w:rsidR="00B44672" w14:paraId="4FFB85BB" w14:textId="77777777" w:rsidTr="00161431">
        <w:tc>
          <w:tcPr>
            <w:tcW w:w="1225" w:type="pct"/>
            <w:tcBorders>
              <w:top w:val="single" w:sz="4" w:space="0" w:color="auto"/>
              <w:left w:val="nil"/>
              <w:bottom w:val="nil"/>
              <w:right w:val="nil"/>
            </w:tcBorders>
            <w:hideMark/>
          </w:tcPr>
          <w:p w14:paraId="5C4EDC29"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Time Fixed Effect</w:t>
            </w:r>
          </w:p>
        </w:tc>
        <w:tc>
          <w:tcPr>
            <w:tcW w:w="944" w:type="pct"/>
            <w:tcBorders>
              <w:top w:val="single" w:sz="4" w:space="0" w:color="auto"/>
              <w:left w:val="nil"/>
              <w:bottom w:val="nil"/>
              <w:right w:val="nil"/>
            </w:tcBorders>
            <w:hideMark/>
          </w:tcPr>
          <w:p w14:paraId="5860E6F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188A467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0BBCF7F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3" w:type="pct"/>
            <w:tcBorders>
              <w:top w:val="single" w:sz="4" w:space="0" w:color="auto"/>
              <w:left w:val="nil"/>
              <w:bottom w:val="nil"/>
              <w:right w:val="nil"/>
            </w:tcBorders>
            <w:hideMark/>
          </w:tcPr>
          <w:p w14:paraId="6B81072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7F32E68B" w14:textId="77777777" w:rsidTr="00161431">
        <w:tc>
          <w:tcPr>
            <w:tcW w:w="1225" w:type="pct"/>
            <w:hideMark/>
          </w:tcPr>
          <w:p w14:paraId="7F4643CD"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 Fixed Effects</w:t>
            </w:r>
          </w:p>
        </w:tc>
        <w:tc>
          <w:tcPr>
            <w:tcW w:w="944" w:type="pct"/>
            <w:hideMark/>
          </w:tcPr>
          <w:p w14:paraId="45A40CC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418A169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699072F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3" w:type="pct"/>
            <w:hideMark/>
          </w:tcPr>
          <w:p w14:paraId="65977A1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2F5537ED" w14:textId="77777777" w:rsidTr="00161431">
        <w:tc>
          <w:tcPr>
            <w:tcW w:w="1225" w:type="pct"/>
            <w:hideMark/>
          </w:tcPr>
          <w:p w14:paraId="5EC352D0"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Income)</w:t>
            </w:r>
          </w:p>
        </w:tc>
        <w:tc>
          <w:tcPr>
            <w:tcW w:w="944" w:type="pct"/>
            <w:hideMark/>
          </w:tcPr>
          <w:p w14:paraId="064CDA3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4D5B617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45B7000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3" w:type="pct"/>
            <w:hideMark/>
          </w:tcPr>
          <w:p w14:paraId="1887DDD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3159823F" w14:textId="77777777" w:rsidTr="00161431">
        <w:tc>
          <w:tcPr>
            <w:tcW w:w="1225" w:type="pct"/>
            <w:hideMark/>
          </w:tcPr>
          <w:p w14:paraId="734F3DE2"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Population)</w:t>
            </w:r>
          </w:p>
        </w:tc>
        <w:tc>
          <w:tcPr>
            <w:tcW w:w="944" w:type="pct"/>
            <w:hideMark/>
          </w:tcPr>
          <w:p w14:paraId="42060F8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7D8F3EDA"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7B6B3EF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3" w:type="pct"/>
            <w:hideMark/>
          </w:tcPr>
          <w:p w14:paraId="5C5B305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395C1F23" w14:textId="77777777" w:rsidTr="00161431">
        <w:tc>
          <w:tcPr>
            <w:tcW w:w="1225" w:type="pct"/>
            <w:hideMark/>
          </w:tcPr>
          <w:p w14:paraId="51E6772A" w14:textId="77777777" w:rsidR="00B44672" w:rsidRDefault="00B44672">
            <w:pPr>
              <w:widowControl w:val="0"/>
              <w:autoSpaceDE w:val="0"/>
              <w:autoSpaceDN w:val="0"/>
              <w:adjustRightInd w:val="0"/>
              <w:spacing w:after="0"/>
              <w:rPr>
                <w:rFonts w:ascii="Times New Roman" w:hAnsi="Times New Roman" w:cs="Times New Roman"/>
              </w:rPr>
            </w:pPr>
            <w:proofErr w:type="spellStart"/>
            <w:proofErr w:type="gramStart"/>
            <w:r>
              <w:rPr>
                <w:rFonts w:ascii="Times New Roman" w:hAnsi="Times New Roman" w:cs="Times New Roman"/>
              </w:rPr>
              <w:t>adj.R</w:t>
            </w:r>
            <w:proofErr w:type="spellEnd"/>
            <w:proofErr w:type="gramEnd"/>
            <w:r>
              <w:rPr>
                <w:rFonts w:ascii="Times New Roman" w:hAnsi="Times New Roman" w:cs="Times New Roman"/>
              </w:rPr>
              <w:t>-squared</w:t>
            </w:r>
          </w:p>
        </w:tc>
        <w:tc>
          <w:tcPr>
            <w:tcW w:w="944" w:type="pct"/>
            <w:hideMark/>
          </w:tcPr>
          <w:p w14:paraId="11765CA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0.753</w:t>
            </w:r>
          </w:p>
        </w:tc>
        <w:tc>
          <w:tcPr>
            <w:tcW w:w="944" w:type="pct"/>
            <w:hideMark/>
          </w:tcPr>
          <w:p w14:paraId="04CD36B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0.753</w:t>
            </w:r>
          </w:p>
        </w:tc>
        <w:tc>
          <w:tcPr>
            <w:tcW w:w="944" w:type="pct"/>
            <w:hideMark/>
          </w:tcPr>
          <w:p w14:paraId="4FB86E8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0.753</w:t>
            </w:r>
          </w:p>
        </w:tc>
        <w:tc>
          <w:tcPr>
            <w:tcW w:w="943" w:type="pct"/>
            <w:hideMark/>
          </w:tcPr>
          <w:p w14:paraId="71753AC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0.753</w:t>
            </w:r>
          </w:p>
        </w:tc>
      </w:tr>
      <w:tr w:rsidR="00B44672" w14:paraId="0E6CB4B8" w14:textId="77777777" w:rsidTr="00161431">
        <w:tc>
          <w:tcPr>
            <w:tcW w:w="1225" w:type="pct"/>
            <w:hideMark/>
          </w:tcPr>
          <w:p w14:paraId="1E234288"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Observations</w:t>
            </w:r>
          </w:p>
        </w:tc>
        <w:tc>
          <w:tcPr>
            <w:tcW w:w="944" w:type="pct"/>
            <w:hideMark/>
          </w:tcPr>
          <w:p w14:paraId="49BC137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92408</w:t>
            </w:r>
          </w:p>
        </w:tc>
        <w:tc>
          <w:tcPr>
            <w:tcW w:w="944" w:type="pct"/>
            <w:hideMark/>
          </w:tcPr>
          <w:p w14:paraId="4F431DE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92408</w:t>
            </w:r>
          </w:p>
        </w:tc>
        <w:tc>
          <w:tcPr>
            <w:tcW w:w="944" w:type="pct"/>
            <w:hideMark/>
          </w:tcPr>
          <w:p w14:paraId="5CDE51A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92408</w:t>
            </w:r>
          </w:p>
        </w:tc>
        <w:tc>
          <w:tcPr>
            <w:tcW w:w="943" w:type="pct"/>
            <w:hideMark/>
          </w:tcPr>
          <w:p w14:paraId="57EF326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92408</w:t>
            </w:r>
          </w:p>
        </w:tc>
      </w:tr>
      <w:tr w:rsidR="00B44672" w14:paraId="5EF0810D" w14:textId="77777777" w:rsidTr="00161431">
        <w:tc>
          <w:tcPr>
            <w:tcW w:w="1225" w:type="pct"/>
            <w:tcBorders>
              <w:top w:val="nil"/>
              <w:left w:val="nil"/>
              <w:bottom w:val="single" w:sz="4" w:space="0" w:color="auto"/>
              <w:right w:val="nil"/>
            </w:tcBorders>
            <w:hideMark/>
          </w:tcPr>
          <w:p w14:paraId="7B5DA585"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Postcodes</w:t>
            </w:r>
          </w:p>
        </w:tc>
        <w:tc>
          <w:tcPr>
            <w:tcW w:w="944" w:type="pct"/>
            <w:tcBorders>
              <w:top w:val="nil"/>
              <w:left w:val="nil"/>
              <w:bottom w:val="single" w:sz="4" w:space="0" w:color="auto"/>
              <w:right w:val="nil"/>
            </w:tcBorders>
            <w:hideMark/>
          </w:tcPr>
          <w:p w14:paraId="52A3E5B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hideMark/>
          </w:tcPr>
          <w:p w14:paraId="74B1586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hideMark/>
          </w:tcPr>
          <w:p w14:paraId="529951F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3" w:type="pct"/>
            <w:tcBorders>
              <w:top w:val="nil"/>
              <w:left w:val="nil"/>
              <w:bottom w:val="single" w:sz="4" w:space="0" w:color="auto"/>
              <w:right w:val="nil"/>
            </w:tcBorders>
            <w:hideMark/>
          </w:tcPr>
          <w:p w14:paraId="5EEA55F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r>
    </w:tbl>
    <w:p w14:paraId="4B93C2E3" w14:textId="77777777" w:rsidR="00B44672" w:rsidRDefault="00B44672" w:rsidP="005738A2">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Note: Standard error clusters at state-postcode level * p&lt;0.05, ** p&lt;0.01</w:t>
      </w:r>
    </w:p>
    <w:p w14:paraId="7EA85F45" w14:textId="77777777" w:rsidR="00B44672" w:rsidRPr="00656B30" w:rsidRDefault="00B44672" w:rsidP="005738A2"/>
    <w:p w14:paraId="1C5BCDFC" w14:textId="77777777" w:rsidR="00B44672" w:rsidRDefault="00B44672" w:rsidP="005738A2">
      <w:pPr>
        <w:rPr>
          <w:b/>
          <w:bCs/>
          <w:i/>
          <w:iCs/>
          <w:color w:val="365F91" w:themeColor="accent1" w:themeShade="BF"/>
        </w:rPr>
      </w:pPr>
      <w:r w:rsidRPr="00E20E98">
        <w:rPr>
          <w:b/>
          <w:bCs/>
          <w:i/>
          <w:iCs/>
          <w:color w:val="365F91" w:themeColor="accent1" w:themeShade="BF"/>
        </w:rPr>
        <w:lastRenderedPageBreak/>
        <w:t xml:space="preserve">Table </w:t>
      </w:r>
      <w:r>
        <w:rPr>
          <w:b/>
          <w:bCs/>
          <w:i/>
          <w:iCs/>
          <w:color w:val="365F91" w:themeColor="accent1" w:themeShade="BF"/>
        </w:rPr>
        <w:t xml:space="preserve">27 </w:t>
      </w:r>
      <w:r w:rsidRPr="00E20E98">
        <w:rPr>
          <w:b/>
          <w:bCs/>
          <w:i/>
          <w:iCs/>
          <w:color w:val="365F91" w:themeColor="accent1" w:themeShade="BF"/>
        </w:rPr>
        <w:t xml:space="preserve">- Tax reform effect on </w:t>
      </w:r>
      <w:r>
        <w:rPr>
          <w:b/>
          <w:bCs/>
          <w:i/>
          <w:iCs/>
          <w:color w:val="365F91" w:themeColor="accent1" w:themeShade="BF"/>
        </w:rPr>
        <w:t>unit market:  Difference-in-difference estimates using 2004/05 – 2016/17 administrative data</w:t>
      </w:r>
    </w:p>
    <w:tbl>
      <w:tblPr>
        <w:tblW w:w="5000" w:type="pct"/>
        <w:tblLook w:val="04A0" w:firstRow="1" w:lastRow="0" w:firstColumn="1" w:lastColumn="0" w:noHBand="0" w:noVBand="1"/>
      </w:tblPr>
      <w:tblGrid>
        <w:gridCol w:w="2212"/>
        <w:gridCol w:w="1704"/>
        <w:gridCol w:w="1704"/>
        <w:gridCol w:w="1704"/>
        <w:gridCol w:w="1702"/>
      </w:tblGrid>
      <w:tr w:rsidR="00B44672" w14:paraId="515DFC73" w14:textId="77777777" w:rsidTr="00161431">
        <w:tc>
          <w:tcPr>
            <w:tcW w:w="1225" w:type="pct"/>
            <w:tcBorders>
              <w:top w:val="single" w:sz="4" w:space="0" w:color="auto"/>
              <w:left w:val="nil"/>
              <w:bottom w:val="nil"/>
              <w:right w:val="nil"/>
            </w:tcBorders>
          </w:tcPr>
          <w:p w14:paraId="08F9F007"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tcBorders>
              <w:top w:val="single" w:sz="4" w:space="0" w:color="auto"/>
              <w:left w:val="nil"/>
              <w:bottom w:val="nil"/>
              <w:right w:val="nil"/>
            </w:tcBorders>
            <w:hideMark/>
          </w:tcPr>
          <w:p w14:paraId="7779E7D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w:t>
            </w:r>
          </w:p>
        </w:tc>
        <w:tc>
          <w:tcPr>
            <w:tcW w:w="944" w:type="pct"/>
            <w:tcBorders>
              <w:top w:val="single" w:sz="4" w:space="0" w:color="auto"/>
              <w:left w:val="nil"/>
              <w:bottom w:val="nil"/>
              <w:right w:val="nil"/>
            </w:tcBorders>
            <w:hideMark/>
          </w:tcPr>
          <w:p w14:paraId="1AC06F9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(2)</w:t>
            </w:r>
          </w:p>
        </w:tc>
        <w:tc>
          <w:tcPr>
            <w:tcW w:w="944" w:type="pct"/>
            <w:tcBorders>
              <w:top w:val="single" w:sz="4" w:space="0" w:color="auto"/>
              <w:left w:val="nil"/>
              <w:bottom w:val="nil"/>
              <w:right w:val="nil"/>
            </w:tcBorders>
            <w:hideMark/>
          </w:tcPr>
          <w:p w14:paraId="63859BCA"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(3)</w:t>
            </w:r>
          </w:p>
        </w:tc>
        <w:tc>
          <w:tcPr>
            <w:tcW w:w="944" w:type="pct"/>
            <w:tcBorders>
              <w:top w:val="single" w:sz="4" w:space="0" w:color="auto"/>
              <w:left w:val="nil"/>
              <w:bottom w:val="nil"/>
              <w:right w:val="nil"/>
            </w:tcBorders>
            <w:hideMark/>
          </w:tcPr>
          <w:p w14:paraId="17B68D7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w:t>
            </w:r>
          </w:p>
        </w:tc>
      </w:tr>
      <w:tr w:rsidR="00B44672" w14:paraId="19F37C05" w14:textId="77777777" w:rsidTr="00161431">
        <w:tc>
          <w:tcPr>
            <w:tcW w:w="1225" w:type="pct"/>
          </w:tcPr>
          <w:p w14:paraId="1DAAA909"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37238F45"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c>
          <w:tcPr>
            <w:tcW w:w="944" w:type="pct"/>
            <w:hideMark/>
          </w:tcPr>
          <w:p w14:paraId="6A3C0B1A"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c>
          <w:tcPr>
            <w:tcW w:w="944" w:type="pct"/>
            <w:hideMark/>
          </w:tcPr>
          <w:p w14:paraId="1C82D7C3"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c>
          <w:tcPr>
            <w:tcW w:w="944" w:type="pct"/>
            <w:hideMark/>
          </w:tcPr>
          <w:p w14:paraId="629C1C38"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Value)</w:t>
            </w:r>
          </w:p>
        </w:tc>
      </w:tr>
      <w:tr w:rsidR="00B44672" w14:paraId="06943B9A" w14:textId="77777777" w:rsidTr="00161431">
        <w:tc>
          <w:tcPr>
            <w:tcW w:w="1225" w:type="pct"/>
          </w:tcPr>
          <w:p w14:paraId="2CE97FF8"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14DF10C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4C9296C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2EAF21E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0FB3FA4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r>
      <w:tr w:rsidR="00B44672" w14:paraId="64F4863F" w14:textId="77777777" w:rsidTr="00161431">
        <w:tc>
          <w:tcPr>
            <w:tcW w:w="1225" w:type="pct"/>
            <w:tcBorders>
              <w:top w:val="single" w:sz="4" w:space="0" w:color="auto"/>
              <w:left w:val="nil"/>
              <w:bottom w:val="nil"/>
              <w:right w:val="nil"/>
            </w:tcBorders>
            <w:hideMark/>
          </w:tcPr>
          <w:p w14:paraId="7FBF27F5" w14:textId="77777777" w:rsidR="00B44672" w:rsidRDefault="00B44672" w:rsidP="00161431">
            <w:pPr>
              <w:widowControl w:val="0"/>
              <w:autoSpaceDE w:val="0"/>
              <w:autoSpaceDN w:val="0"/>
              <w:adjustRightInd w:val="0"/>
              <w:spacing w:after="0"/>
              <w:rPr>
                <w:rFonts w:ascii="Times New Roman" w:hAnsi="Times New Roman" w:cs="Times New Roman"/>
              </w:rPr>
            </w:pPr>
            <w:r>
              <w:rPr>
                <w:rFonts w:ascii="Times New Roman" w:hAnsi="Times New Roman" w:cs="Times New Roman"/>
              </w:rPr>
              <w:t>ACT tax reform</w:t>
            </w:r>
          </w:p>
        </w:tc>
        <w:tc>
          <w:tcPr>
            <w:tcW w:w="944" w:type="pct"/>
            <w:tcBorders>
              <w:top w:val="single" w:sz="4" w:space="0" w:color="auto"/>
              <w:left w:val="nil"/>
              <w:bottom w:val="nil"/>
              <w:right w:val="nil"/>
            </w:tcBorders>
            <w:hideMark/>
          </w:tcPr>
          <w:p w14:paraId="636CD7D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0.103</w:t>
            </w:r>
          </w:p>
        </w:tc>
        <w:tc>
          <w:tcPr>
            <w:tcW w:w="944" w:type="pct"/>
            <w:tcBorders>
              <w:top w:val="single" w:sz="4" w:space="0" w:color="auto"/>
              <w:left w:val="nil"/>
              <w:bottom w:val="nil"/>
              <w:right w:val="nil"/>
            </w:tcBorders>
            <w:hideMark/>
          </w:tcPr>
          <w:p w14:paraId="61A22ED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0.101</w:t>
            </w:r>
          </w:p>
        </w:tc>
        <w:tc>
          <w:tcPr>
            <w:tcW w:w="944" w:type="pct"/>
            <w:tcBorders>
              <w:top w:val="single" w:sz="4" w:space="0" w:color="auto"/>
              <w:left w:val="nil"/>
              <w:bottom w:val="nil"/>
              <w:right w:val="nil"/>
            </w:tcBorders>
            <w:hideMark/>
          </w:tcPr>
          <w:p w14:paraId="25EC147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-0.198</w:t>
            </w:r>
          </w:p>
        </w:tc>
        <w:tc>
          <w:tcPr>
            <w:tcW w:w="944" w:type="pct"/>
            <w:tcBorders>
              <w:top w:val="single" w:sz="4" w:space="0" w:color="auto"/>
              <w:left w:val="nil"/>
              <w:bottom w:val="nil"/>
              <w:right w:val="nil"/>
            </w:tcBorders>
            <w:hideMark/>
          </w:tcPr>
          <w:p w14:paraId="6CD93C8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-0.201</w:t>
            </w:r>
          </w:p>
        </w:tc>
      </w:tr>
      <w:tr w:rsidR="00B44672" w14:paraId="4476B904" w14:textId="77777777" w:rsidTr="00161431">
        <w:tc>
          <w:tcPr>
            <w:tcW w:w="1225" w:type="pct"/>
            <w:tcBorders>
              <w:top w:val="nil"/>
              <w:left w:val="nil"/>
              <w:bottom w:val="single" w:sz="4" w:space="0" w:color="auto"/>
              <w:right w:val="nil"/>
            </w:tcBorders>
          </w:tcPr>
          <w:p w14:paraId="13CF1281"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Standard error</w:t>
            </w:r>
          </w:p>
        </w:tc>
        <w:tc>
          <w:tcPr>
            <w:tcW w:w="944" w:type="pct"/>
            <w:tcBorders>
              <w:top w:val="nil"/>
              <w:left w:val="nil"/>
              <w:bottom w:val="single" w:sz="4" w:space="0" w:color="auto"/>
              <w:right w:val="nil"/>
            </w:tcBorders>
            <w:hideMark/>
          </w:tcPr>
          <w:p w14:paraId="0A059CC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(0.130)</w:t>
            </w:r>
          </w:p>
        </w:tc>
        <w:tc>
          <w:tcPr>
            <w:tcW w:w="944" w:type="pct"/>
            <w:tcBorders>
              <w:top w:val="nil"/>
              <w:left w:val="nil"/>
              <w:bottom w:val="single" w:sz="4" w:space="0" w:color="auto"/>
              <w:right w:val="nil"/>
            </w:tcBorders>
            <w:hideMark/>
          </w:tcPr>
          <w:p w14:paraId="145B734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(0.137)</w:t>
            </w:r>
          </w:p>
        </w:tc>
        <w:tc>
          <w:tcPr>
            <w:tcW w:w="944" w:type="pct"/>
            <w:tcBorders>
              <w:top w:val="nil"/>
              <w:left w:val="nil"/>
              <w:bottom w:val="single" w:sz="4" w:space="0" w:color="auto"/>
              <w:right w:val="nil"/>
            </w:tcBorders>
            <w:hideMark/>
          </w:tcPr>
          <w:p w14:paraId="13632CF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(0.164)</w:t>
            </w:r>
          </w:p>
        </w:tc>
        <w:tc>
          <w:tcPr>
            <w:tcW w:w="944" w:type="pct"/>
            <w:tcBorders>
              <w:top w:val="nil"/>
              <w:left w:val="nil"/>
              <w:bottom w:val="single" w:sz="4" w:space="0" w:color="auto"/>
              <w:right w:val="nil"/>
            </w:tcBorders>
            <w:hideMark/>
          </w:tcPr>
          <w:p w14:paraId="5EC19B7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(0.169)</w:t>
            </w:r>
          </w:p>
        </w:tc>
      </w:tr>
      <w:tr w:rsidR="00B44672" w14:paraId="205E3960" w14:textId="77777777" w:rsidTr="00161431">
        <w:tc>
          <w:tcPr>
            <w:tcW w:w="1225" w:type="pct"/>
            <w:tcBorders>
              <w:top w:val="single" w:sz="4" w:space="0" w:color="auto"/>
              <w:left w:val="nil"/>
              <w:bottom w:val="nil"/>
              <w:right w:val="nil"/>
            </w:tcBorders>
            <w:hideMark/>
          </w:tcPr>
          <w:p w14:paraId="19A4A78C"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Time Fixed Effect</w:t>
            </w:r>
          </w:p>
        </w:tc>
        <w:tc>
          <w:tcPr>
            <w:tcW w:w="944" w:type="pct"/>
            <w:tcBorders>
              <w:top w:val="single" w:sz="4" w:space="0" w:color="auto"/>
              <w:left w:val="nil"/>
              <w:bottom w:val="nil"/>
              <w:right w:val="nil"/>
            </w:tcBorders>
            <w:hideMark/>
          </w:tcPr>
          <w:p w14:paraId="5CBC583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4090EBD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12B4FB0A"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440F773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5604C3E8" w14:textId="77777777" w:rsidTr="00161431">
        <w:tc>
          <w:tcPr>
            <w:tcW w:w="1225" w:type="pct"/>
            <w:hideMark/>
          </w:tcPr>
          <w:p w14:paraId="59CBE606"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 Fixed Effects</w:t>
            </w:r>
          </w:p>
        </w:tc>
        <w:tc>
          <w:tcPr>
            <w:tcW w:w="944" w:type="pct"/>
            <w:hideMark/>
          </w:tcPr>
          <w:p w14:paraId="7E445F5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2009E99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37540C9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2E74E86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5A60401A" w14:textId="77777777" w:rsidTr="00161431">
        <w:tc>
          <w:tcPr>
            <w:tcW w:w="1225" w:type="pct"/>
            <w:hideMark/>
          </w:tcPr>
          <w:p w14:paraId="0FDC8B3A"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Income)</w:t>
            </w:r>
          </w:p>
        </w:tc>
        <w:tc>
          <w:tcPr>
            <w:tcW w:w="944" w:type="pct"/>
            <w:hideMark/>
          </w:tcPr>
          <w:p w14:paraId="1AD5F1C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1CA96AF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2A79290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052793D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2C9A725F" w14:textId="77777777" w:rsidTr="00161431">
        <w:tc>
          <w:tcPr>
            <w:tcW w:w="1225" w:type="pct"/>
            <w:hideMark/>
          </w:tcPr>
          <w:p w14:paraId="398815D7"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Population)</w:t>
            </w:r>
          </w:p>
        </w:tc>
        <w:tc>
          <w:tcPr>
            <w:tcW w:w="944" w:type="pct"/>
            <w:hideMark/>
          </w:tcPr>
          <w:p w14:paraId="34BA9E4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7656634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6B2B8D0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00CF527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30A228B8" w14:textId="77777777" w:rsidTr="00161431">
        <w:tc>
          <w:tcPr>
            <w:tcW w:w="1225" w:type="pct"/>
            <w:hideMark/>
          </w:tcPr>
          <w:p w14:paraId="3C227EA1" w14:textId="77777777" w:rsidR="00B44672" w:rsidRDefault="00B44672">
            <w:pPr>
              <w:widowControl w:val="0"/>
              <w:autoSpaceDE w:val="0"/>
              <w:autoSpaceDN w:val="0"/>
              <w:adjustRightInd w:val="0"/>
              <w:spacing w:after="0"/>
              <w:rPr>
                <w:rFonts w:ascii="Times New Roman" w:hAnsi="Times New Roman" w:cs="Times New Roman"/>
              </w:rPr>
            </w:pPr>
            <w:proofErr w:type="spellStart"/>
            <w:proofErr w:type="gramStart"/>
            <w:r>
              <w:rPr>
                <w:rFonts w:ascii="Times New Roman" w:hAnsi="Times New Roman" w:cs="Times New Roman"/>
              </w:rPr>
              <w:t>adj.R</w:t>
            </w:r>
            <w:proofErr w:type="spellEnd"/>
            <w:proofErr w:type="gramEnd"/>
            <w:r>
              <w:rPr>
                <w:rFonts w:ascii="Times New Roman" w:hAnsi="Times New Roman" w:cs="Times New Roman"/>
              </w:rPr>
              <w:t>-squared</w:t>
            </w:r>
          </w:p>
        </w:tc>
        <w:tc>
          <w:tcPr>
            <w:tcW w:w="944" w:type="pct"/>
            <w:hideMark/>
          </w:tcPr>
          <w:p w14:paraId="1260BCD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0.819</w:t>
            </w:r>
          </w:p>
        </w:tc>
        <w:tc>
          <w:tcPr>
            <w:tcW w:w="944" w:type="pct"/>
            <w:hideMark/>
          </w:tcPr>
          <w:p w14:paraId="24397E3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0.819</w:t>
            </w:r>
          </w:p>
        </w:tc>
        <w:tc>
          <w:tcPr>
            <w:tcW w:w="944" w:type="pct"/>
            <w:hideMark/>
          </w:tcPr>
          <w:p w14:paraId="4CACC6D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0.819</w:t>
            </w:r>
          </w:p>
        </w:tc>
        <w:tc>
          <w:tcPr>
            <w:tcW w:w="944" w:type="pct"/>
            <w:hideMark/>
          </w:tcPr>
          <w:p w14:paraId="1B5540C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0.819</w:t>
            </w:r>
          </w:p>
        </w:tc>
      </w:tr>
      <w:tr w:rsidR="00B44672" w14:paraId="2DDC24BE" w14:textId="77777777" w:rsidTr="00161431">
        <w:tc>
          <w:tcPr>
            <w:tcW w:w="1225" w:type="pct"/>
            <w:hideMark/>
          </w:tcPr>
          <w:p w14:paraId="5800F74E"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Observations</w:t>
            </w:r>
          </w:p>
        </w:tc>
        <w:tc>
          <w:tcPr>
            <w:tcW w:w="944" w:type="pct"/>
            <w:hideMark/>
          </w:tcPr>
          <w:p w14:paraId="381C4AB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56044</w:t>
            </w:r>
          </w:p>
        </w:tc>
        <w:tc>
          <w:tcPr>
            <w:tcW w:w="944" w:type="pct"/>
            <w:hideMark/>
          </w:tcPr>
          <w:p w14:paraId="306B577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56044</w:t>
            </w:r>
          </w:p>
        </w:tc>
        <w:tc>
          <w:tcPr>
            <w:tcW w:w="944" w:type="pct"/>
            <w:hideMark/>
          </w:tcPr>
          <w:p w14:paraId="2106B21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56044</w:t>
            </w:r>
          </w:p>
        </w:tc>
        <w:tc>
          <w:tcPr>
            <w:tcW w:w="944" w:type="pct"/>
            <w:hideMark/>
          </w:tcPr>
          <w:p w14:paraId="18EBEC7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56044</w:t>
            </w:r>
          </w:p>
        </w:tc>
      </w:tr>
      <w:tr w:rsidR="00B44672" w14:paraId="3A07D5D8" w14:textId="77777777" w:rsidTr="00161431">
        <w:tc>
          <w:tcPr>
            <w:tcW w:w="1225" w:type="pct"/>
            <w:tcBorders>
              <w:top w:val="nil"/>
              <w:left w:val="nil"/>
              <w:bottom w:val="single" w:sz="4" w:space="0" w:color="auto"/>
              <w:right w:val="nil"/>
            </w:tcBorders>
            <w:hideMark/>
          </w:tcPr>
          <w:p w14:paraId="717A62BD"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Postcodes</w:t>
            </w:r>
          </w:p>
        </w:tc>
        <w:tc>
          <w:tcPr>
            <w:tcW w:w="944" w:type="pct"/>
            <w:tcBorders>
              <w:top w:val="nil"/>
              <w:left w:val="nil"/>
              <w:bottom w:val="single" w:sz="4" w:space="0" w:color="auto"/>
              <w:right w:val="nil"/>
            </w:tcBorders>
            <w:hideMark/>
          </w:tcPr>
          <w:p w14:paraId="7F2AE51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492</w:t>
            </w:r>
          </w:p>
        </w:tc>
        <w:tc>
          <w:tcPr>
            <w:tcW w:w="944" w:type="pct"/>
            <w:tcBorders>
              <w:top w:val="nil"/>
              <w:left w:val="nil"/>
              <w:bottom w:val="single" w:sz="4" w:space="0" w:color="auto"/>
              <w:right w:val="nil"/>
            </w:tcBorders>
            <w:hideMark/>
          </w:tcPr>
          <w:p w14:paraId="2BA2B97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492</w:t>
            </w:r>
          </w:p>
        </w:tc>
        <w:tc>
          <w:tcPr>
            <w:tcW w:w="944" w:type="pct"/>
            <w:tcBorders>
              <w:top w:val="nil"/>
              <w:left w:val="nil"/>
              <w:bottom w:val="single" w:sz="4" w:space="0" w:color="auto"/>
              <w:right w:val="nil"/>
            </w:tcBorders>
            <w:hideMark/>
          </w:tcPr>
          <w:p w14:paraId="1CB28AB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492</w:t>
            </w:r>
          </w:p>
        </w:tc>
        <w:tc>
          <w:tcPr>
            <w:tcW w:w="944" w:type="pct"/>
            <w:tcBorders>
              <w:top w:val="nil"/>
              <w:left w:val="nil"/>
              <w:bottom w:val="single" w:sz="4" w:space="0" w:color="auto"/>
              <w:right w:val="nil"/>
            </w:tcBorders>
            <w:hideMark/>
          </w:tcPr>
          <w:p w14:paraId="0880389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492</w:t>
            </w:r>
          </w:p>
        </w:tc>
      </w:tr>
    </w:tbl>
    <w:p w14:paraId="59A382E7" w14:textId="77777777" w:rsidR="00B44672" w:rsidRDefault="00B44672" w:rsidP="005738A2">
      <w:pPr>
        <w:widowControl w:val="0"/>
        <w:autoSpaceDE w:val="0"/>
        <w:autoSpaceDN w:val="0"/>
        <w:adjustRightInd w:val="0"/>
        <w:spacing w:after="0"/>
        <w:rPr>
          <w:rFonts w:ascii="Times New Roman" w:hAnsi="Times New Roman" w:cs="Times New Roman"/>
          <w:sz w:val="20"/>
          <w:szCs w:val="20"/>
          <w:lang w:eastAsia="zh-CN"/>
        </w:rPr>
      </w:pPr>
      <w:r>
        <w:rPr>
          <w:rFonts w:ascii="Times New Roman" w:hAnsi="Times New Roman" w:cs="Times New Roman"/>
          <w:sz w:val="20"/>
          <w:szCs w:val="20"/>
        </w:rPr>
        <w:t>Note: Standard error clusters at state-postcode level * p&lt;0.05, ** p&lt;0.01</w:t>
      </w:r>
    </w:p>
    <w:p w14:paraId="70E1C409" w14:textId="77777777" w:rsidR="00B44672" w:rsidRPr="005738A2" w:rsidRDefault="00B44672" w:rsidP="00592171">
      <w:pPr>
        <w:rPr>
          <w:b/>
          <w:bCs/>
          <w:i/>
          <w:iCs/>
          <w:color w:val="365F91" w:themeColor="accent1" w:themeShade="BF"/>
        </w:rPr>
      </w:pPr>
    </w:p>
    <w:p w14:paraId="202A9198" w14:textId="77777777" w:rsidR="00B44672" w:rsidRPr="00592171" w:rsidRDefault="00B44672" w:rsidP="00592171">
      <w:pPr>
        <w:rPr>
          <w:b/>
          <w:bCs/>
          <w:i/>
          <w:iCs/>
          <w:color w:val="365F91" w:themeColor="accent1" w:themeShade="BF"/>
        </w:rPr>
      </w:pPr>
      <w:r w:rsidRPr="00E20E98">
        <w:rPr>
          <w:b/>
          <w:bCs/>
          <w:i/>
          <w:iCs/>
          <w:color w:val="365F91" w:themeColor="accent1" w:themeShade="BF"/>
        </w:rPr>
        <w:t xml:space="preserve">Table </w:t>
      </w:r>
      <w:r>
        <w:rPr>
          <w:b/>
          <w:bCs/>
          <w:i/>
          <w:iCs/>
          <w:color w:val="365F91" w:themeColor="accent1" w:themeShade="BF"/>
        </w:rPr>
        <w:t xml:space="preserve">28 </w:t>
      </w:r>
      <w:r w:rsidRPr="00E20E98">
        <w:rPr>
          <w:b/>
          <w:bCs/>
          <w:i/>
          <w:iCs/>
          <w:color w:val="365F91" w:themeColor="accent1" w:themeShade="BF"/>
        </w:rPr>
        <w:t xml:space="preserve">- Tax reform effect on </w:t>
      </w:r>
      <w:r>
        <w:rPr>
          <w:b/>
          <w:bCs/>
          <w:i/>
          <w:iCs/>
          <w:color w:val="365F91" w:themeColor="accent1" w:themeShade="BF"/>
        </w:rPr>
        <w:t>house prices:  Difference-in-difference estimates using 2004/05 – 2016/17 administrative data</w:t>
      </w:r>
    </w:p>
    <w:tbl>
      <w:tblPr>
        <w:tblW w:w="5000" w:type="pct"/>
        <w:tblLook w:val="04A0" w:firstRow="1" w:lastRow="0" w:firstColumn="1" w:lastColumn="0" w:noHBand="0" w:noVBand="1"/>
      </w:tblPr>
      <w:tblGrid>
        <w:gridCol w:w="2212"/>
        <w:gridCol w:w="1704"/>
        <w:gridCol w:w="1704"/>
        <w:gridCol w:w="1704"/>
        <w:gridCol w:w="1702"/>
      </w:tblGrid>
      <w:tr w:rsidR="00B44672" w14:paraId="510BF75F" w14:textId="77777777" w:rsidTr="00161431">
        <w:tc>
          <w:tcPr>
            <w:tcW w:w="1225" w:type="pct"/>
            <w:tcBorders>
              <w:top w:val="single" w:sz="4" w:space="0" w:color="auto"/>
              <w:left w:val="nil"/>
              <w:bottom w:val="nil"/>
              <w:right w:val="nil"/>
            </w:tcBorders>
          </w:tcPr>
          <w:p w14:paraId="1C2045AB"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tcBorders>
              <w:top w:val="single" w:sz="4" w:space="0" w:color="auto"/>
              <w:left w:val="nil"/>
              <w:bottom w:val="nil"/>
              <w:right w:val="nil"/>
            </w:tcBorders>
            <w:hideMark/>
          </w:tcPr>
          <w:p w14:paraId="1D1D759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w:t>
            </w:r>
          </w:p>
        </w:tc>
        <w:tc>
          <w:tcPr>
            <w:tcW w:w="944" w:type="pct"/>
            <w:tcBorders>
              <w:top w:val="single" w:sz="4" w:space="0" w:color="auto"/>
              <w:left w:val="nil"/>
              <w:bottom w:val="nil"/>
              <w:right w:val="nil"/>
            </w:tcBorders>
            <w:hideMark/>
          </w:tcPr>
          <w:p w14:paraId="0E3595E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(2)</w:t>
            </w:r>
          </w:p>
        </w:tc>
        <w:tc>
          <w:tcPr>
            <w:tcW w:w="944" w:type="pct"/>
            <w:tcBorders>
              <w:top w:val="single" w:sz="4" w:space="0" w:color="auto"/>
              <w:left w:val="nil"/>
              <w:bottom w:val="nil"/>
              <w:right w:val="nil"/>
            </w:tcBorders>
            <w:hideMark/>
          </w:tcPr>
          <w:p w14:paraId="38C4632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(3)</w:t>
            </w:r>
          </w:p>
        </w:tc>
        <w:tc>
          <w:tcPr>
            <w:tcW w:w="944" w:type="pct"/>
            <w:tcBorders>
              <w:top w:val="single" w:sz="4" w:space="0" w:color="auto"/>
              <w:left w:val="nil"/>
              <w:bottom w:val="nil"/>
              <w:right w:val="nil"/>
            </w:tcBorders>
            <w:hideMark/>
          </w:tcPr>
          <w:p w14:paraId="611DD89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w:t>
            </w:r>
          </w:p>
        </w:tc>
      </w:tr>
      <w:tr w:rsidR="00B44672" w14:paraId="108EB4FD" w14:textId="77777777" w:rsidTr="00161431">
        <w:tc>
          <w:tcPr>
            <w:tcW w:w="1225" w:type="pct"/>
          </w:tcPr>
          <w:p w14:paraId="531DC669"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38518E40"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c>
          <w:tcPr>
            <w:tcW w:w="944" w:type="pct"/>
            <w:hideMark/>
          </w:tcPr>
          <w:p w14:paraId="2BCAFA81"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c>
          <w:tcPr>
            <w:tcW w:w="944" w:type="pct"/>
            <w:hideMark/>
          </w:tcPr>
          <w:p w14:paraId="24F8E4C2"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c>
          <w:tcPr>
            <w:tcW w:w="944" w:type="pct"/>
            <w:hideMark/>
          </w:tcPr>
          <w:p w14:paraId="7B6C9B4C"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r>
      <w:tr w:rsidR="00B44672" w14:paraId="52754309" w14:textId="77777777" w:rsidTr="00161431">
        <w:tc>
          <w:tcPr>
            <w:tcW w:w="1225" w:type="pct"/>
          </w:tcPr>
          <w:p w14:paraId="4DC2037C"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270C810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25BE4F8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10FE603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09BDD3D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r>
      <w:tr w:rsidR="00B44672" w14:paraId="139B148C" w14:textId="77777777" w:rsidTr="00161431">
        <w:tc>
          <w:tcPr>
            <w:tcW w:w="1225" w:type="pct"/>
            <w:tcBorders>
              <w:top w:val="single" w:sz="4" w:space="0" w:color="auto"/>
              <w:left w:val="nil"/>
              <w:bottom w:val="nil"/>
              <w:right w:val="nil"/>
            </w:tcBorders>
            <w:hideMark/>
          </w:tcPr>
          <w:p w14:paraId="77999F3C" w14:textId="77777777" w:rsidR="00B44672" w:rsidRDefault="00B44672" w:rsidP="00161431">
            <w:pPr>
              <w:widowControl w:val="0"/>
              <w:autoSpaceDE w:val="0"/>
              <w:autoSpaceDN w:val="0"/>
              <w:adjustRightInd w:val="0"/>
              <w:spacing w:after="0"/>
              <w:rPr>
                <w:rFonts w:ascii="Times New Roman" w:hAnsi="Times New Roman" w:cs="Times New Roman"/>
              </w:rPr>
            </w:pPr>
            <w:r>
              <w:rPr>
                <w:rFonts w:ascii="Times New Roman" w:hAnsi="Times New Roman" w:cs="Times New Roman"/>
              </w:rPr>
              <w:t>ACT tax reform</w:t>
            </w:r>
          </w:p>
        </w:tc>
        <w:tc>
          <w:tcPr>
            <w:tcW w:w="944" w:type="pct"/>
            <w:tcBorders>
              <w:top w:val="single" w:sz="4" w:space="0" w:color="auto"/>
              <w:left w:val="nil"/>
              <w:bottom w:val="nil"/>
              <w:right w:val="nil"/>
            </w:tcBorders>
            <w:hideMark/>
          </w:tcPr>
          <w:p w14:paraId="5B7EC15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-0.072*</w:t>
            </w:r>
          </w:p>
        </w:tc>
        <w:tc>
          <w:tcPr>
            <w:tcW w:w="944" w:type="pct"/>
            <w:tcBorders>
              <w:top w:val="single" w:sz="4" w:space="0" w:color="auto"/>
              <w:left w:val="nil"/>
              <w:bottom w:val="nil"/>
              <w:right w:val="nil"/>
            </w:tcBorders>
            <w:hideMark/>
          </w:tcPr>
          <w:p w14:paraId="28CD4E0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0.064</w:t>
            </w:r>
          </w:p>
        </w:tc>
        <w:tc>
          <w:tcPr>
            <w:tcW w:w="944" w:type="pct"/>
            <w:tcBorders>
              <w:top w:val="single" w:sz="4" w:space="0" w:color="auto"/>
              <w:left w:val="nil"/>
              <w:bottom w:val="nil"/>
              <w:right w:val="nil"/>
            </w:tcBorders>
            <w:hideMark/>
          </w:tcPr>
          <w:p w14:paraId="6737275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-0.184**</w:t>
            </w:r>
          </w:p>
        </w:tc>
        <w:tc>
          <w:tcPr>
            <w:tcW w:w="944" w:type="pct"/>
            <w:tcBorders>
              <w:top w:val="single" w:sz="4" w:space="0" w:color="auto"/>
              <w:left w:val="nil"/>
              <w:bottom w:val="nil"/>
              <w:right w:val="nil"/>
            </w:tcBorders>
            <w:hideMark/>
          </w:tcPr>
          <w:p w14:paraId="49EC919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-0.048</w:t>
            </w:r>
          </w:p>
        </w:tc>
      </w:tr>
      <w:tr w:rsidR="00B44672" w14:paraId="10D430F2" w14:textId="77777777" w:rsidTr="00161431">
        <w:tc>
          <w:tcPr>
            <w:tcW w:w="1225" w:type="pct"/>
            <w:tcBorders>
              <w:top w:val="nil"/>
              <w:left w:val="nil"/>
              <w:bottom w:val="single" w:sz="4" w:space="0" w:color="auto"/>
              <w:right w:val="nil"/>
            </w:tcBorders>
          </w:tcPr>
          <w:p w14:paraId="3F6FF08A"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Standard error</w:t>
            </w:r>
          </w:p>
        </w:tc>
        <w:tc>
          <w:tcPr>
            <w:tcW w:w="944" w:type="pct"/>
            <w:tcBorders>
              <w:top w:val="nil"/>
              <w:left w:val="nil"/>
              <w:bottom w:val="single" w:sz="4" w:space="0" w:color="auto"/>
              <w:right w:val="nil"/>
            </w:tcBorders>
            <w:hideMark/>
          </w:tcPr>
          <w:p w14:paraId="446BA20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(0.028)</w:t>
            </w:r>
          </w:p>
        </w:tc>
        <w:tc>
          <w:tcPr>
            <w:tcW w:w="944" w:type="pct"/>
            <w:tcBorders>
              <w:top w:val="nil"/>
              <w:left w:val="nil"/>
              <w:bottom w:val="single" w:sz="4" w:space="0" w:color="auto"/>
              <w:right w:val="nil"/>
            </w:tcBorders>
            <w:hideMark/>
          </w:tcPr>
          <w:p w14:paraId="7033630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(0.041)</w:t>
            </w:r>
          </w:p>
        </w:tc>
        <w:tc>
          <w:tcPr>
            <w:tcW w:w="944" w:type="pct"/>
            <w:tcBorders>
              <w:top w:val="nil"/>
              <w:left w:val="nil"/>
              <w:bottom w:val="single" w:sz="4" w:space="0" w:color="auto"/>
              <w:right w:val="nil"/>
            </w:tcBorders>
            <w:hideMark/>
          </w:tcPr>
          <w:p w14:paraId="7E6AA26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(0.038)</w:t>
            </w:r>
          </w:p>
        </w:tc>
        <w:tc>
          <w:tcPr>
            <w:tcW w:w="944" w:type="pct"/>
            <w:tcBorders>
              <w:top w:val="nil"/>
              <w:left w:val="nil"/>
              <w:bottom w:val="single" w:sz="4" w:space="0" w:color="auto"/>
              <w:right w:val="nil"/>
            </w:tcBorders>
            <w:hideMark/>
          </w:tcPr>
          <w:p w14:paraId="5BE5900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(0.043)</w:t>
            </w:r>
          </w:p>
        </w:tc>
      </w:tr>
      <w:tr w:rsidR="00B44672" w14:paraId="049AFC53" w14:textId="77777777" w:rsidTr="00161431">
        <w:tc>
          <w:tcPr>
            <w:tcW w:w="1225" w:type="pct"/>
            <w:tcBorders>
              <w:top w:val="single" w:sz="4" w:space="0" w:color="auto"/>
              <w:left w:val="nil"/>
              <w:bottom w:val="nil"/>
              <w:right w:val="nil"/>
            </w:tcBorders>
            <w:hideMark/>
          </w:tcPr>
          <w:p w14:paraId="37666ECF"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Time Fixed Effect</w:t>
            </w:r>
          </w:p>
        </w:tc>
        <w:tc>
          <w:tcPr>
            <w:tcW w:w="944" w:type="pct"/>
            <w:tcBorders>
              <w:top w:val="single" w:sz="4" w:space="0" w:color="auto"/>
              <w:left w:val="nil"/>
              <w:bottom w:val="nil"/>
              <w:right w:val="nil"/>
            </w:tcBorders>
            <w:hideMark/>
          </w:tcPr>
          <w:p w14:paraId="6FB5CC3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2C67819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19E264A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1D3B3CD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59B52336" w14:textId="77777777" w:rsidTr="00161431">
        <w:tc>
          <w:tcPr>
            <w:tcW w:w="1225" w:type="pct"/>
            <w:hideMark/>
          </w:tcPr>
          <w:p w14:paraId="48CEB04D"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 Fixed Effects</w:t>
            </w:r>
          </w:p>
        </w:tc>
        <w:tc>
          <w:tcPr>
            <w:tcW w:w="944" w:type="pct"/>
            <w:hideMark/>
          </w:tcPr>
          <w:p w14:paraId="3C4E63F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265F084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26CE439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52030A7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79253479" w14:textId="77777777" w:rsidTr="00161431">
        <w:tc>
          <w:tcPr>
            <w:tcW w:w="1225" w:type="pct"/>
            <w:hideMark/>
          </w:tcPr>
          <w:p w14:paraId="1514C05C"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Income)</w:t>
            </w:r>
          </w:p>
        </w:tc>
        <w:tc>
          <w:tcPr>
            <w:tcW w:w="944" w:type="pct"/>
            <w:hideMark/>
          </w:tcPr>
          <w:p w14:paraId="582458E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057424D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53B6DE9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298547E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1D6F7341" w14:textId="77777777" w:rsidTr="00161431">
        <w:tc>
          <w:tcPr>
            <w:tcW w:w="1225" w:type="pct"/>
            <w:hideMark/>
          </w:tcPr>
          <w:p w14:paraId="235AFCF2"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Population)</w:t>
            </w:r>
          </w:p>
        </w:tc>
        <w:tc>
          <w:tcPr>
            <w:tcW w:w="944" w:type="pct"/>
            <w:hideMark/>
          </w:tcPr>
          <w:p w14:paraId="74A6947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359AC78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0DE4D99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1F7D1A8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3A0BDF80" w14:textId="77777777" w:rsidTr="00161431">
        <w:tc>
          <w:tcPr>
            <w:tcW w:w="1225" w:type="pct"/>
            <w:hideMark/>
          </w:tcPr>
          <w:p w14:paraId="57A53FA8" w14:textId="77777777" w:rsidR="00B44672" w:rsidRDefault="00B44672">
            <w:pPr>
              <w:widowControl w:val="0"/>
              <w:autoSpaceDE w:val="0"/>
              <w:autoSpaceDN w:val="0"/>
              <w:adjustRightInd w:val="0"/>
              <w:spacing w:after="0"/>
              <w:rPr>
                <w:rFonts w:ascii="Times New Roman" w:hAnsi="Times New Roman" w:cs="Times New Roman"/>
              </w:rPr>
            </w:pPr>
            <w:proofErr w:type="spellStart"/>
            <w:proofErr w:type="gramStart"/>
            <w:r>
              <w:rPr>
                <w:rFonts w:ascii="Times New Roman" w:hAnsi="Times New Roman" w:cs="Times New Roman"/>
              </w:rPr>
              <w:t>adj.R</w:t>
            </w:r>
            <w:proofErr w:type="spellEnd"/>
            <w:proofErr w:type="gramEnd"/>
            <w:r>
              <w:rPr>
                <w:rFonts w:ascii="Times New Roman" w:hAnsi="Times New Roman" w:cs="Times New Roman"/>
              </w:rPr>
              <w:t>-squared</w:t>
            </w:r>
          </w:p>
        </w:tc>
        <w:tc>
          <w:tcPr>
            <w:tcW w:w="944" w:type="pct"/>
            <w:hideMark/>
          </w:tcPr>
          <w:p w14:paraId="7987EEF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0.586</w:t>
            </w:r>
          </w:p>
        </w:tc>
        <w:tc>
          <w:tcPr>
            <w:tcW w:w="944" w:type="pct"/>
            <w:hideMark/>
          </w:tcPr>
          <w:p w14:paraId="6EE758E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0.586</w:t>
            </w:r>
          </w:p>
        </w:tc>
        <w:tc>
          <w:tcPr>
            <w:tcW w:w="944" w:type="pct"/>
            <w:hideMark/>
          </w:tcPr>
          <w:p w14:paraId="3C49F0A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0.586</w:t>
            </w:r>
          </w:p>
        </w:tc>
        <w:tc>
          <w:tcPr>
            <w:tcW w:w="944" w:type="pct"/>
            <w:hideMark/>
          </w:tcPr>
          <w:p w14:paraId="7BA3128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0.586</w:t>
            </w:r>
          </w:p>
        </w:tc>
      </w:tr>
      <w:tr w:rsidR="00B44672" w14:paraId="68E19158" w14:textId="77777777" w:rsidTr="00161431">
        <w:tc>
          <w:tcPr>
            <w:tcW w:w="1225" w:type="pct"/>
            <w:hideMark/>
          </w:tcPr>
          <w:p w14:paraId="748A0C89"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Observations</w:t>
            </w:r>
          </w:p>
        </w:tc>
        <w:tc>
          <w:tcPr>
            <w:tcW w:w="944" w:type="pct"/>
            <w:hideMark/>
          </w:tcPr>
          <w:p w14:paraId="6F0FD83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92408</w:t>
            </w:r>
          </w:p>
        </w:tc>
        <w:tc>
          <w:tcPr>
            <w:tcW w:w="944" w:type="pct"/>
            <w:hideMark/>
          </w:tcPr>
          <w:p w14:paraId="4DE64D9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92408</w:t>
            </w:r>
          </w:p>
        </w:tc>
        <w:tc>
          <w:tcPr>
            <w:tcW w:w="944" w:type="pct"/>
            <w:hideMark/>
          </w:tcPr>
          <w:p w14:paraId="173B2F5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92408</w:t>
            </w:r>
          </w:p>
        </w:tc>
        <w:tc>
          <w:tcPr>
            <w:tcW w:w="944" w:type="pct"/>
            <w:hideMark/>
          </w:tcPr>
          <w:p w14:paraId="5494BB4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92408</w:t>
            </w:r>
          </w:p>
        </w:tc>
      </w:tr>
      <w:tr w:rsidR="00B44672" w14:paraId="2FFEEF9F" w14:textId="77777777" w:rsidTr="00161431">
        <w:tc>
          <w:tcPr>
            <w:tcW w:w="1225" w:type="pct"/>
            <w:tcBorders>
              <w:top w:val="nil"/>
              <w:left w:val="nil"/>
              <w:bottom w:val="single" w:sz="4" w:space="0" w:color="auto"/>
              <w:right w:val="nil"/>
            </w:tcBorders>
            <w:hideMark/>
          </w:tcPr>
          <w:p w14:paraId="3091D528"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Postcodes</w:t>
            </w:r>
          </w:p>
        </w:tc>
        <w:tc>
          <w:tcPr>
            <w:tcW w:w="944" w:type="pct"/>
            <w:tcBorders>
              <w:top w:val="nil"/>
              <w:left w:val="nil"/>
              <w:bottom w:val="single" w:sz="4" w:space="0" w:color="auto"/>
              <w:right w:val="nil"/>
            </w:tcBorders>
            <w:hideMark/>
          </w:tcPr>
          <w:p w14:paraId="65AB207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hideMark/>
          </w:tcPr>
          <w:p w14:paraId="710A6E1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hideMark/>
          </w:tcPr>
          <w:p w14:paraId="382F67C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hideMark/>
          </w:tcPr>
          <w:p w14:paraId="0DAC8F3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r>
    </w:tbl>
    <w:p w14:paraId="623B7AE8" w14:textId="77777777" w:rsidR="00B44672" w:rsidRDefault="00B44672" w:rsidP="004F7976">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Note: Standard error clusters at state-postcode level * p&lt;0.05, ** p&lt;0.01</w:t>
      </w:r>
    </w:p>
    <w:p w14:paraId="1EE6EF73" w14:textId="77777777" w:rsidR="00B44672" w:rsidRDefault="00B44672" w:rsidP="00650739"/>
    <w:p w14:paraId="1C7CC81A" w14:textId="77777777" w:rsidR="00B44672" w:rsidRPr="00662A66" w:rsidRDefault="00B44672" w:rsidP="00650739"/>
    <w:p w14:paraId="7A153F32" w14:textId="77777777" w:rsidR="00B44672" w:rsidRPr="00592171" w:rsidRDefault="00B44672" w:rsidP="00592171">
      <w:pPr>
        <w:rPr>
          <w:b/>
          <w:bCs/>
          <w:i/>
          <w:iCs/>
          <w:color w:val="365F91" w:themeColor="accent1" w:themeShade="BF"/>
        </w:rPr>
      </w:pPr>
      <w:r w:rsidRPr="00E20E98">
        <w:rPr>
          <w:b/>
          <w:bCs/>
          <w:i/>
          <w:iCs/>
          <w:color w:val="365F91" w:themeColor="accent1" w:themeShade="BF"/>
        </w:rPr>
        <w:t xml:space="preserve">Table </w:t>
      </w:r>
      <w:r>
        <w:rPr>
          <w:b/>
          <w:bCs/>
          <w:i/>
          <w:iCs/>
          <w:color w:val="365F91" w:themeColor="accent1" w:themeShade="BF"/>
        </w:rPr>
        <w:t xml:space="preserve">29 </w:t>
      </w:r>
      <w:r w:rsidRPr="00E20E98">
        <w:rPr>
          <w:b/>
          <w:bCs/>
          <w:i/>
          <w:iCs/>
          <w:color w:val="365F91" w:themeColor="accent1" w:themeShade="BF"/>
        </w:rPr>
        <w:t xml:space="preserve">- Tax reform effect on </w:t>
      </w:r>
      <w:r>
        <w:rPr>
          <w:b/>
          <w:bCs/>
          <w:i/>
          <w:iCs/>
          <w:color w:val="365F91" w:themeColor="accent1" w:themeShade="BF"/>
        </w:rPr>
        <w:t>unit prices:  Difference-in-difference estimates using 2004/05 – 2016/17 administrative data</w:t>
      </w:r>
    </w:p>
    <w:tbl>
      <w:tblPr>
        <w:tblW w:w="5000" w:type="pct"/>
        <w:tblLook w:val="04A0" w:firstRow="1" w:lastRow="0" w:firstColumn="1" w:lastColumn="0" w:noHBand="0" w:noVBand="1"/>
      </w:tblPr>
      <w:tblGrid>
        <w:gridCol w:w="2212"/>
        <w:gridCol w:w="1704"/>
        <w:gridCol w:w="1704"/>
        <w:gridCol w:w="1704"/>
        <w:gridCol w:w="1702"/>
      </w:tblGrid>
      <w:tr w:rsidR="00B44672" w14:paraId="1F05B31C" w14:textId="77777777" w:rsidTr="00161431">
        <w:tc>
          <w:tcPr>
            <w:tcW w:w="1225" w:type="pct"/>
            <w:tcBorders>
              <w:top w:val="single" w:sz="4" w:space="0" w:color="auto"/>
              <w:left w:val="nil"/>
              <w:bottom w:val="nil"/>
              <w:right w:val="nil"/>
            </w:tcBorders>
          </w:tcPr>
          <w:p w14:paraId="1C265262"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tcBorders>
              <w:top w:val="single" w:sz="4" w:space="0" w:color="auto"/>
              <w:left w:val="nil"/>
              <w:bottom w:val="nil"/>
              <w:right w:val="nil"/>
            </w:tcBorders>
            <w:hideMark/>
          </w:tcPr>
          <w:p w14:paraId="05333EC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w:t>
            </w:r>
          </w:p>
        </w:tc>
        <w:tc>
          <w:tcPr>
            <w:tcW w:w="944" w:type="pct"/>
            <w:tcBorders>
              <w:top w:val="single" w:sz="4" w:space="0" w:color="auto"/>
              <w:left w:val="nil"/>
              <w:bottom w:val="nil"/>
              <w:right w:val="nil"/>
            </w:tcBorders>
            <w:hideMark/>
          </w:tcPr>
          <w:p w14:paraId="19FB8B6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(2)</w:t>
            </w:r>
          </w:p>
        </w:tc>
        <w:tc>
          <w:tcPr>
            <w:tcW w:w="944" w:type="pct"/>
            <w:tcBorders>
              <w:top w:val="single" w:sz="4" w:space="0" w:color="auto"/>
              <w:left w:val="nil"/>
              <w:bottom w:val="nil"/>
              <w:right w:val="nil"/>
            </w:tcBorders>
            <w:hideMark/>
          </w:tcPr>
          <w:p w14:paraId="622053C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(3)</w:t>
            </w:r>
          </w:p>
        </w:tc>
        <w:tc>
          <w:tcPr>
            <w:tcW w:w="944" w:type="pct"/>
            <w:tcBorders>
              <w:top w:val="single" w:sz="4" w:space="0" w:color="auto"/>
              <w:left w:val="nil"/>
              <w:bottom w:val="nil"/>
              <w:right w:val="nil"/>
            </w:tcBorders>
            <w:hideMark/>
          </w:tcPr>
          <w:p w14:paraId="0D3AACD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w:t>
            </w:r>
          </w:p>
        </w:tc>
      </w:tr>
      <w:tr w:rsidR="00B44672" w14:paraId="45A0E891" w14:textId="77777777" w:rsidTr="00161431">
        <w:tc>
          <w:tcPr>
            <w:tcW w:w="1225" w:type="pct"/>
          </w:tcPr>
          <w:p w14:paraId="38B50E71"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14F7D3A7"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c>
          <w:tcPr>
            <w:tcW w:w="944" w:type="pct"/>
            <w:hideMark/>
          </w:tcPr>
          <w:p w14:paraId="027F75E7"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c>
          <w:tcPr>
            <w:tcW w:w="944" w:type="pct"/>
            <w:hideMark/>
          </w:tcPr>
          <w:p w14:paraId="6EDAD64A"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c>
          <w:tcPr>
            <w:tcW w:w="944" w:type="pct"/>
            <w:hideMark/>
          </w:tcPr>
          <w:p w14:paraId="5C5BB7A4"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Price)</w:t>
            </w:r>
          </w:p>
        </w:tc>
      </w:tr>
      <w:tr w:rsidR="00B44672" w14:paraId="2F214202" w14:textId="77777777" w:rsidTr="00161431">
        <w:tc>
          <w:tcPr>
            <w:tcW w:w="1225" w:type="pct"/>
          </w:tcPr>
          <w:p w14:paraId="4906E249"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2823DBA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02AEFE1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0E56C9C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328839E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r>
      <w:tr w:rsidR="00B44672" w14:paraId="165D6348" w14:textId="77777777" w:rsidTr="00161431">
        <w:tc>
          <w:tcPr>
            <w:tcW w:w="1225" w:type="pct"/>
            <w:tcBorders>
              <w:top w:val="single" w:sz="4" w:space="0" w:color="auto"/>
              <w:left w:val="nil"/>
              <w:bottom w:val="nil"/>
              <w:right w:val="nil"/>
            </w:tcBorders>
            <w:hideMark/>
          </w:tcPr>
          <w:p w14:paraId="29EE1554" w14:textId="77777777" w:rsidR="00B44672" w:rsidRDefault="00B44672" w:rsidP="00161431">
            <w:pPr>
              <w:widowControl w:val="0"/>
              <w:autoSpaceDE w:val="0"/>
              <w:autoSpaceDN w:val="0"/>
              <w:adjustRightInd w:val="0"/>
              <w:spacing w:after="0"/>
              <w:rPr>
                <w:rFonts w:ascii="Times New Roman" w:hAnsi="Times New Roman" w:cs="Times New Roman"/>
              </w:rPr>
            </w:pPr>
            <w:r>
              <w:rPr>
                <w:rFonts w:ascii="Times New Roman" w:hAnsi="Times New Roman" w:cs="Times New Roman"/>
              </w:rPr>
              <w:t>ACT tax reform</w:t>
            </w:r>
          </w:p>
        </w:tc>
        <w:tc>
          <w:tcPr>
            <w:tcW w:w="944" w:type="pct"/>
            <w:tcBorders>
              <w:top w:val="single" w:sz="4" w:space="0" w:color="auto"/>
              <w:left w:val="nil"/>
              <w:bottom w:val="nil"/>
              <w:right w:val="nil"/>
            </w:tcBorders>
            <w:hideMark/>
          </w:tcPr>
          <w:p w14:paraId="2DB4FFB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-0.081</w:t>
            </w:r>
          </w:p>
        </w:tc>
        <w:tc>
          <w:tcPr>
            <w:tcW w:w="944" w:type="pct"/>
            <w:tcBorders>
              <w:top w:val="single" w:sz="4" w:space="0" w:color="auto"/>
              <w:left w:val="nil"/>
              <w:bottom w:val="nil"/>
              <w:right w:val="nil"/>
            </w:tcBorders>
            <w:hideMark/>
          </w:tcPr>
          <w:p w14:paraId="13C4202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0.075</w:t>
            </w:r>
          </w:p>
        </w:tc>
        <w:tc>
          <w:tcPr>
            <w:tcW w:w="944" w:type="pct"/>
            <w:tcBorders>
              <w:top w:val="single" w:sz="4" w:space="0" w:color="auto"/>
              <w:left w:val="nil"/>
              <w:bottom w:val="nil"/>
              <w:right w:val="nil"/>
            </w:tcBorders>
            <w:hideMark/>
          </w:tcPr>
          <w:p w14:paraId="6611280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-0.095</w:t>
            </w:r>
          </w:p>
        </w:tc>
        <w:tc>
          <w:tcPr>
            <w:tcW w:w="944" w:type="pct"/>
            <w:tcBorders>
              <w:top w:val="single" w:sz="4" w:space="0" w:color="auto"/>
              <w:left w:val="nil"/>
              <w:bottom w:val="nil"/>
              <w:right w:val="nil"/>
            </w:tcBorders>
            <w:hideMark/>
          </w:tcPr>
          <w:p w14:paraId="3B390ABA"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0.062</w:t>
            </w:r>
          </w:p>
        </w:tc>
      </w:tr>
      <w:tr w:rsidR="00B44672" w14:paraId="5A4615B7" w14:textId="77777777" w:rsidTr="00161431">
        <w:tc>
          <w:tcPr>
            <w:tcW w:w="1225" w:type="pct"/>
            <w:tcBorders>
              <w:top w:val="nil"/>
              <w:left w:val="nil"/>
              <w:bottom w:val="single" w:sz="4" w:space="0" w:color="auto"/>
              <w:right w:val="nil"/>
            </w:tcBorders>
          </w:tcPr>
          <w:p w14:paraId="17B66F3D"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Standard error</w:t>
            </w:r>
          </w:p>
        </w:tc>
        <w:tc>
          <w:tcPr>
            <w:tcW w:w="944" w:type="pct"/>
            <w:tcBorders>
              <w:top w:val="nil"/>
              <w:left w:val="nil"/>
              <w:bottom w:val="single" w:sz="4" w:space="0" w:color="auto"/>
              <w:right w:val="nil"/>
            </w:tcBorders>
            <w:hideMark/>
          </w:tcPr>
          <w:p w14:paraId="4CD645D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(0.060)</w:t>
            </w:r>
          </w:p>
        </w:tc>
        <w:tc>
          <w:tcPr>
            <w:tcW w:w="944" w:type="pct"/>
            <w:tcBorders>
              <w:top w:val="nil"/>
              <w:left w:val="nil"/>
              <w:bottom w:val="single" w:sz="4" w:space="0" w:color="auto"/>
              <w:right w:val="nil"/>
            </w:tcBorders>
            <w:hideMark/>
          </w:tcPr>
          <w:p w14:paraId="5341F1F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(0.046)</w:t>
            </w:r>
          </w:p>
        </w:tc>
        <w:tc>
          <w:tcPr>
            <w:tcW w:w="944" w:type="pct"/>
            <w:tcBorders>
              <w:top w:val="nil"/>
              <w:left w:val="nil"/>
              <w:bottom w:val="single" w:sz="4" w:space="0" w:color="auto"/>
              <w:right w:val="nil"/>
            </w:tcBorders>
            <w:hideMark/>
          </w:tcPr>
          <w:p w14:paraId="23EB842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(0.136)</w:t>
            </w:r>
          </w:p>
        </w:tc>
        <w:tc>
          <w:tcPr>
            <w:tcW w:w="944" w:type="pct"/>
            <w:tcBorders>
              <w:top w:val="nil"/>
              <w:left w:val="nil"/>
              <w:bottom w:val="single" w:sz="4" w:space="0" w:color="auto"/>
              <w:right w:val="nil"/>
            </w:tcBorders>
            <w:hideMark/>
          </w:tcPr>
          <w:p w14:paraId="1D3A226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(0.121)</w:t>
            </w:r>
          </w:p>
        </w:tc>
      </w:tr>
      <w:tr w:rsidR="00B44672" w14:paraId="168AB5ED" w14:textId="77777777" w:rsidTr="00161431">
        <w:tc>
          <w:tcPr>
            <w:tcW w:w="1225" w:type="pct"/>
            <w:tcBorders>
              <w:top w:val="single" w:sz="4" w:space="0" w:color="auto"/>
              <w:left w:val="nil"/>
              <w:bottom w:val="nil"/>
              <w:right w:val="nil"/>
            </w:tcBorders>
            <w:hideMark/>
          </w:tcPr>
          <w:p w14:paraId="4DBC00F2"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lastRenderedPageBreak/>
              <w:t>Time Fixed Effect</w:t>
            </w:r>
          </w:p>
        </w:tc>
        <w:tc>
          <w:tcPr>
            <w:tcW w:w="944" w:type="pct"/>
            <w:tcBorders>
              <w:top w:val="single" w:sz="4" w:space="0" w:color="auto"/>
              <w:left w:val="nil"/>
              <w:bottom w:val="nil"/>
              <w:right w:val="nil"/>
            </w:tcBorders>
            <w:hideMark/>
          </w:tcPr>
          <w:p w14:paraId="407D1A3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1A642CD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1019F58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4EEDDED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025D5AB6" w14:textId="77777777" w:rsidTr="00161431">
        <w:tc>
          <w:tcPr>
            <w:tcW w:w="1225" w:type="pct"/>
            <w:hideMark/>
          </w:tcPr>
          <w:p w14:paraId="6271F413"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 Fixed Effects</w:t>
            </w:r>
          </w:p>
        </w:tc>
        <w:tc>
          <w:tcPr>
            <w:tcW w:w="944" w:type="pct"/>
            <w:hideMark/>
          </w:tcPr>
          <w:p w14:paraId="48AD78D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42016DDA"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4BE0224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7090E99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39761EA0" w14:textId="77777777" w:rsidTr="00161431">
        <w:tc>
          <w:tcPr>
            <w:tcW w:w="1225" w:type="pct"/>
            <w:hideMark/>
          </w:tcPr>
          <w:p w14:paraId="526DB57C"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Income)</w:t>
            </w:r>
          </w:p>
        </w:tc>
        <w:tc>
          <w:tcPr>
            <w:tcW w:w="944" w:type="pct"/>
            <w:hideMark/>
          </w:tcPr>
          <w:p w14:paraId="55D826D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60562FC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657428A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344796E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74DC8C26" w14:textId="77777777" w:rsidTr="00161431">
        <w:tc>
          <w:tcPr>
            <w:tcW w:w="1225" w:type="pct"/>
            <w:hideMark/>
          </w:tcPr>
          <w:p w14:paraId="0381A4C3"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Population)</w:t>
            </w:r>
          </w:p>
        </w:tc>
        <w:tc>
          <w:tcPr>
            <w:tcW w:w="944" w:type="pct"/>
            <w:hideMark/>
          </w:tcPr>
          <w:p w14:paraId="1F9A8F0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076CDBC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76372C0A"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3DA16CE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2278A301" w14:textId="77777777" w:rsidTr="00161431">
        <w:tc>
          <w:tcPr>
            <w:tcW w:w="1225" w:type="pct"/>
            <w:hideMark/>
          </w:tcPr>
          <w:p w14:paraId="4BF975A8" w14:textId="77777777" w:rsidR="00B44672" w:rsidRDefault="00B44672">
            <w:pPr>
              <w:widowControl w:val="0"/>
              <w:autoSpaceDE w:val="0"/>
              <w:autoSpaceDN w:val="0"/>
              <w:adjustRightInd w:val="0"/>
              <w:spacing w:after="0"/>
              <w:rPr>
                <w:rFonts w:ascii="Times New Roman" w:hAnsi="Times New Roman" w:cs="Times New Roman"/>
              </w:rPr>
            </w:pPr>
            <w:proofErr w:type="spellStart"/>
            <w:proofErr w:type="gramStart"/>
            <w:r>
              <w:rPr>
                <w:rFonts w:ascii="Times New Roman" w:hAnsi="Times New Roman" w:cs="Times New Roman"/>
              </w:rPr>
              <w:t>adj.R</w:t>
            </w:r>
            <w:proofErr w:type="spellEnd"/>
            <w:proofErr w:type="gramEnd"/>
            <w:r>
              <w:rPr>
                <w:rFonts w:ascii="Times New Roman" w:hAnsi="Times New Roman" w:cs="Times New Roman"/>
              </w:rPr>
              <w:t>-squared</w:t>
            </w:r>
          </w:p>
        </w:tc>
        <w:tc>
          <w:tcPr>
            <w:tcW w:w="944" w:type="pct"/>
            <w:hideMark/>
          </w:tcPr>
          <w:p w14:paraId="3C237E9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0.643</w:t>
            </w:r>
          </w:p>
        </w:tc>
        <w:tc>
          <w:tcPr>
            <w:tcW w:w="944" w:type="pct"/>
            <w:hideMark/>
          </w:tcPr>
          <w:p w14:paraId="38BBD7B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0.644</w:t>
            </w:r>
          </w:p>
        </w:tc>
        <w:tc>
          <w:tcPr>
            <w:tcW w:w="944" w:type="pct"/>
            <w:hideMark/>
          </w:tcPr>
          <w:p w14:paraId="194F938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0.643</w:t>
            </w:r>
          </w:p>
        </w:tc>
        <w:tc>
          <w:tcPr>
            <w:tcW w:w="944" w:type="pct"/>
            <w:hideMark/>
          </w:tcPr>
          <w:p w14:paraId="1CDB41D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0.644</w:t>
            </w:r>
          </w:p>
        </w:tc>
      </w:tr>
      <w:tr w:rsidR="00B44672" w14:paraId="59B7958A" w14:textId="77777777" w:rsidTr="00161431">
        <w:tc>
          <w:tcPr>
            <w:tcW w:w="1225" w:type="pct"/>
            <w:hideMark/>
          </w:tcPr>
          <w:p w14:paraId="09121A0F"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Observations</w:t>
            </w:r>
          </w:p>
        </w:tc>
        <w:tc>
          <w:tcPr>
            <w:tcW w:w="944" w:type="pct"/>
            <w:hideMark/>
          </w:tcPr>
          <w:p w14:paraId="167E69E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56044</w:t>
            </w:r>
          </w:p>
        </w:tc>
        <w:tc>
          <w:tcPr>
            <w:tcW w:w="944" w:type="pct"/>
            <w:hideMark/>
          </w:tcPr>
          <w:p w14:paraId="0AB0613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56044</w:t>
            </w:r>
          </w:p>
        </w:tc>
        <w:tc>
          <w:tcPr>
            <w:tcW w:w="944" w:type="pct"/>
            <w:hideMark/>
          </w:tcPr>
          <w:p w14:paraId="2B8F10B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56044</w:t>
            </w:r>
          </w:p>
        </w:tc>
        <w:tc>
          <w:tcPr>
            <w:tcW w:w="944" w:type="pct"/>
            <w:hideMark/>
          </w:tcPr>
          <w:p w14:paraId="2A82099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56044</w:t>
            </w:r>
          </w:p>
        </w:tc>
      </w:tr>
      <w:tr w:rsidR="00B44672" w14:paraId="068EA966" w14:textId="77777777" w:rsidTr="00161431">
        <w:tc>
          <w:tcPr>
            <w:tcW w:w="1225" w:type="pct"/>
            <w:tcBorders>
              <w:top w:val="nil"/>
              <w:left w:val="nil"/>
              <w:bottom w:val="single" w:sz="4" w:space="0" w:color="auto"/>
              <w:right w:val="nil"/>
            </w:tcBorders>
            <w:hideMark/>
          </w:tcPr>
          <w:p w14:paraId="72F0B03D"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Postcodes</w:t>
            </w:r>
          </w:p>
        </w:tc>
        <w:tc>
          <w:tcPr>
            <w:tcW w:w="944" w:type="pct"/>
            <w:tcBorders>
              <w:top w:val="nil"/>
              <w:left w:val="nil"/>
              <w:bottom w:val="single" w:sz="4" w:space="0" w:color="auto"/>
              <w:right w:val="nil"/>
            </w:tcBorders>
            <w:hideMark/>
          </w:tcPr>
          <w:p w14:paraId="16A5FD9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492</w:t>
            </w:r>
          </w:p>
        </w:tc>
        <w:tc>
          <w:tcPr>
            <w:tcW w:w="944" w:type="pct"/>
            <w:tcBorders>
              <w:top w:val="nil"/>
              <w:left w:val="nil"/>
              <w:bottom w:val="single" w:sz="4" w:space="0" w:color="auto"/>
              <w:right w:val="nil"/>
            </w:tcBorders>
            <w:hideMark/>
          </w:tcPr>
          <w:p w14:paraId="78FE2CD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492</w:t>
            </w:r>
          </w:p>
        </w:tc>
        <w:tc>
          <w:tcPr>
            <w:tcW w:w="944" w:type="pct"/>
            <w:tcBorders>
              <w:top w:val="nil"/>
              <w:left w:val="nil"/>
              <w:bottom w:val="single" w:sz="4" w:space="0" w:color="auto"/>
              <w:right w:val="nil"/>
            </w:tcBorders>
            <w:hideMark/>
          </w:tcPr>
          <w:p w14:paraId="4A0B540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492</w:t>
            </w:r>
          </w:p>
        </w:tc>
        <w:tc>
          <w:tcPr>
            <w:tcW w:w="944" w:type="pct"/>
            <w:tcBorders>
              <w:top w:val="nil"/>
              <w:left w:val="nil"/>
              <w:bottom w:val="single" w:sz="4" w:space="0" w:color="auto"/>
              <w:right w:val="nil"/>
            </w:tcBorders>
            <w:hideMark/>
          </w:tcPr>
          <w:p w14:paraId="2FA275D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492</w:t>
            </w:r>
          </w:p>
        </w:tc>
      </w:tr>
    </w:tbl>
    <w:p w14:paraId="2A0552B2" w14:textId="77777777" w:rsidR="00B44672" w:rsidRDefault="00B44672" w:rsidP="004F7976">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Note: Standard error clusters at state-postcode level * p&lt;0.05, ** p&lt;0.01</w:t>
      </w:r>
    </w:p>
    <w:p w14:paraId="294249B0" w14:textId="77777777" w:rsidR="00B44672" w:rsidRDefault="00B44672" w:rsidP="004F7976">
      <w:pPr>
        <w:widowControl w:val="0"/>
        <w:autoSpaceDE w:val="0"/>
        <w:autoSpaceDN w:val="0"/>
        <w:adjustRightInd w:val="0"/>
        <w:spacing w:after="0"/>
        <w:rPr>
          <w:rFonts w:ascii="Times New Roman" w:hAnsi="Times New Roman" w:cs="Times New Roman"/>
        </w:rPr>
      </w:pPr>
    </w:p>
    <w:p w14:paraId="6F11A24D" w14:textId="77777777" w:rsidR="00B44672" w:rsidRPr="00592171" w:rsidRDefault="00B44672" w:rsidP="00592171">
      <w:pPr>
        <w:rPr>
          <w:b/>
          <w:bCs/>
          <w:i/>
          <w:iCs/>
          <w:color w:val="365F91" w:themeColor="accent1" w:themeShade="BF"/>
        </w:rPr>
      </w:pPr>
      <w:r w:rsidRPr="00E20E98">
        <w:rPr>
          <w:b/>
          <w:bCs/>
          <w:i/>
          <w:iCs/>
          <w:color w:val="365F91" w:themeColor="accent1" w:themeShade="BF"/>
        </w:rPr>
        <w:t xml:space="preserve">Table </w:t>
      </w:r>
      <w:r>
        <w:rPr>
          <w:b/>
          <w:bCs/>
          <w:i/>
          <w:iCs/>
          <w:color w:val="365F91" w:themeColor="accent1" w:themeShade="BF"/>
        </w:rPr>
        <w:t xml:space="preserve">30 </w:t>
      </w:r>
      <w:r w:rsidRPr="00E20E98">
        <w:rPr>
          <w:b/>
          <w:bCs/>
          <w:i/>
          <w:iCs/>
          <w:color w:val="365F91" w:themeColor="accent1" w:themeShade="BF"/>
        </w:rPr>
        <w:t xml:space="preserve">- Tax reform effect on </w:t>
      </w:r>
      <w:r>
        <w:rPr>
          <w:b/>
          <w:bCs/>
          <w:i/>
          <w:iCs/>
          <w:color w:val="365F91" w:themeColor="accent1" w:themeShade="BF"/>
        </w:rPr>
        <w:t>house sales:  Difference-in-difference estimates using 2004/05 – 2016/17 administrative data</w:t>
      </w:r>
    </w:p>
    <w:tbl>
      <w:tblPr>
        <w:tblW w:w="5000" w:type="pct"/>
        <w:tblLook w:val="04A0" w:firstRow="1" w:lastRow="0" w:firstColumn="1" w:lastColumn="0" w:noHBand="0" w:noVBand="1"/>
      </w:tblPr>
      <w:tblGrid>
        <w:gridCol w:w="2212"/>
        <w:gridCol w:w="1704"/>
        <w:gridCol w:w="1704"/>
        <w:gridCol w:w="1704"/>
        <w:gridCol w:w="1702"/>
      </w:tblGrid>
      <w:tr w:rsidR="00B44672" w14:paraId="7B67CDB8" w14:textId="77777777" w:rsidTr="00161431">
        <w:tc>
          <w:tcPr>
            <w:tcW w:w="1225" w:type="pct"/>
            <w:tcBorders>
              <w:top w:val="single" w:sz="4" w:space="0" w:color="auto"/>
              <w:left w:val="nil"/>
              <w:bottom w:val="nil"/>
              <w:right w:val="nil"/>
            </w:tcBorders>
          </w:tcPr>
          <w:p w14:paraId="128C5B1D"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tcBorders>
              <w:top w:val="single" w:sz="4" w:space="0" w:color="auto"/>
              <w:left w:val="nil"/>
              <w:bottom w:val="nil"/>
              <w:right w:val="nil"/>
            </w:tcBorders>
            <w:hideMark/>
          </w:tcPr>
          <w:p w14:paraId="2D9013D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w:t>
            </w:r>
          </w:p>
        </w:tc>
        <w:tc>
          <w:tcPr>
            <w:tcW w:w="944" w:type="pct"/>
            <w:tcBorders>
              <w:top w:val="single" w:sz="4" w:space="0" w:color="auto"/>
              <w:left w:val="nil"/>
              <w:bottom w:val="nil"/>
              <w:right w:val="nil"/>
            </w:tcBorders>
            <w:hideMark/>
          </w:tcPr>
          <w:p w14:paraId="0B55202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(2)</w:t>
            </w:r>
          </w:p>
        </w:tc>
        <w:tc>
          <w:tcPr>
            <w:tcW w:w="944" w:type="pct"/>
            <w:tcBorders>
              <w:top w:val="single" w:sz="4" w:space="0" w:color="auto"/>
              <w:left w:val="nil"/>
              <w:bottom w:val="nil"/>
              <w:right w:val="nil"/>
            </w:tcBorders>
            <w:hideMark/>
          </w:tcPr>
          <w:p w14:paraId="5BC043B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(3)</w:t>
            </w:r>
          </w:p>
        </w:tc>
        <w:tc>
          <w:tcPr>
            <w:tcW w:w="944" w:type="pct"/>
            <w:tcBorders>
              <w:top w:val="single" w:sz="4" w:space="0" w:color="auto"/>
              <w:left w:val="nil"/>
              <w:bottom w:val="nil"/>
              <w:right w:val="nil"/>
            </w:tcBorders>
            <w:hideMark/>
          </w:tcPr>
          <w:p w14:paraId="79F3073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w:t>
            </w:r>
          </w:p>
        </w:tc>
      </w:tr>
      <w:tr w:rsidR="00B44672" w14:paraId="7D7CC588" w14:textId="77777777" w:rsidTr="00161431">
        <w:tc>
          <w:tcPr>
            <w:tcW w:w="1225" w:type="pct"/>
          </w:tcPr>
          <w:p w14:paraId="584C13D6"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79A1ECA7"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c>
          <w:tcPr>
            <w:tcW w:w="944" w:type="pct"/>
            <w:hideMark/>
          </w:tcPr>
          <w:p w14:paraId="5400C2CB"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c>
          <w:tcPr>
            <w:tcW w:w="944" w:type="pct"/>
            <w:hideMark/>
          </w:tcPr>
          <w:p w14:paraId="3C3DD6F7"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c>
          <w:tcPr>
            <w:tcW w:w="944" w:type="pct"/>
            <w:hideMark/>
          </w:tcPr>
          <w:p w14:paraId="2B6C86D1"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r>
      <w:tr w:rsidR="00B44672" w14:paraId="60E4E2AE" w14:textId="77777777" w:rsidTr="00161431">
        <w:tc>
          <w:tcPr>
            <w:tcW w:w="1225" w:type="pct"/>
          </w:tcPr>
          <w:p w14:paraId="36B2E8CB"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08998D4A"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05CE05A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4BBCCE1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253AEEB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r>
      <w:tr w:rsidR="00B44672" w14:paraId="53465B56" w14:textId="77777777" w:rsidTr="00161431">
        <w:tc>
          <w:tcPr>
            <w:tcW w:w="1225" w:type="pct"/>
            <w:tcBorders>
              <w:top w:val="single" w:sz="4" w:space="0" w:color="auto"/>
              <w:left w:val="nil"/>
              <w:bottom w:val="nil"/>
              <w:right w:val="nil"/>
            </w:tcBorders>
            <w:hideMark/>
          </w:tcPr>
          <w:p w14:paraId="47D9253F" w14:textId="77777777" w:rsidR="00B44672" w:rsidRDefault="00B44672" w:rsidP="00161431">
            <w:pPr>
              <w:widowControl w:val="0"/>
              <w:autoSpaceDE w:val="0"/>
              <w:autoSpaceDN w:val="0"/>
              <w:adjustRightInd w:val="0"/>
              <w:spacing w:after="0"/>
              <w:rPr>
                <w:rFonts w:ascii="Times New Roman" w:hAnsi="Times New Roman" w:cs="Times New Roman"/>
              </w:rPr>
            </w:pPr>
            <w:r>
              <w:rPr>
                <w:rFonts w:ascii="Times New Roman" w:hAnsi="Times New Roman" w:cs="Times New Roman"/>
              </w:rPr>
              <w:t>ACT tax reform</w:t>
            </w:r>
          </w:p>
        </w:tc>
        <w:tc>
          <w:tcPr>
            <w:tcW w:w="944" w:type="pct"/>
            <w:tcBorders>
              <w:top w:val="single" w:sz="4" w:space="0" w:color="auto"/>
              <w:left w:val="nil"/>
              <w:bottom w:val="nil"/>
              <w:right w:val="nil"/>
            </w:tcBorders>
            <w:hideMark/>
          </w:tcPr>
          <w:p w14:paraId="7076BB46"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-0.148**</w:t>
            </w:r>
          </w:p>
        </w:tc>
        <w:tc>
          <w:tcPr>
            <w:tcW w:w="944" w:type="pct"/>
            <w:tcBorders>
              <w:top w:val="single" w:sz="4" w:space="0" w:color="auto"/>
              <w:left w:val="nil"/>
              <w:bottom w:val="nil"/>
              <w:right w:val="nil"/>
            </w:tcBorders>
            <w:hideMark/>
          </w:tcPr>
          <w:p w14:paraId="15FB610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-0.114</w:t>
            </w:r>
          </w:p>
        </w:tc>
        <w:tc>
          <w:tcPr>
            <w:tcW w:w="944" w:type="pct"/>
            <w:tcBorders>
              <w:top w:val="single" w:sz="4" w:space="0" w:color="auto"/>
              <w:left w:val="nil"/>
              <w:bottom w:val="nil"/>
              <w:right w:val="nil"/>
            </w:tcBorders>
            <w:hideMark/>
          </w:tcPr>
          <w:p w14:paraId="67C5C89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-0.210*</w:t>
            </w:r>
          </w:p>
        </w:tc>
        <w:tc>
          <w:tcPr>
            <w:tcW w:w="944" w:type="pct"/>
            <w:tcBorders>
              <w:top w:val="single" w:sz="4" w:space="0" w:color="auto"/>
              <w:left w:val="nil"/>
              <w:bottom w:val="nil"/>
              <w:right w:val="nil"/>
            </w:tcBorders>
            <w:hideMark/>
          </w:tcPr>
          <w:p w14:paraId="29AC550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-0.175**</w:t>
            </w:r>
          </w:p>
        </w:tc>
      </w:tr>
      <w:tr w:rsidR="00B44672" w14:paraId="0F5095E0" w14:textId="77777777" w:rsidTr="00161431">
        <w:tc>
          <w:tcPr>
            <w:tcW w:w="1225" w:type="pct"/>
            <w:tcBorders>
              <w:top w:val="nil"/>
              <w:left w:val="nil"/>
              <w:bottom w:val="single" w:sz="4" w:space="0" w:color="auto"/>
              <w:right w:val="nil"/>
            </w:tcBorders>
          </w:tcPr>
          <w:p w14:paraId="4D2AC6C3"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Standard error</w:t>
            </w:r>
          </w:p>
        </w:tc>
        <w:tc>
          <w:tcPr>
            <w:tcW w:w="944" w:type="pct"/>
            <w:tcBorders>
              <w:top w:val="nil"/>
              <w:left w:val="nil"/>
              <w:bottom w:val="single" w:sz="4" w:space="0" w:color="auto"/>
              <w:right w:val="nil"/>
            </w:tcBorders>
            <w:hideMark/>
          </w:tcPr>
          <w:p w14:paraId="7D17FC7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(0.042)</w:t>
            </w:r>
          </w:p>
        </w:tc>
        <w:tc>
          <w:tcPr>
            <w:tcW w:w="944" w:type="pct"/>
            <w:tcBorders>
              <w:top w:val="nil"/>
              <w:left w:val="nil"/>
              <w:bottom w:val="single" w:sz="4" w:space="0" w:color="auto"/>
              <w:right w:val="nil"/>
            </w:tcBorders>
            <w:hideMark/>
          </w:tcPr>
          <w:p w14:paraId="1C3DEC2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(0.058)</w:t>
            </w:r>
          </w:p>
        </w:tc>
        <w:tc>
          <w:tcPr>
            <w:tcW w:w="944" w:type="pct"/>
            <w:tcBorders>
              <w:top w:val="nil"/>
              <w:left w:val="nil"/>
              <w:bottom w:val="single" w:sz="4" w:space="0" w:color="auto"/>
              <w:right w:val="nil"/>
            </w:tcBorders>
            <w:hideMark/>
          </w:tcPr>
          <w:p w14:paraId="0E9861C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(0.082)</w:t>
            </w:r>
          </w:p>
        </w:tc>
        <w:tc>
          <w:tcPr>
            <w:tcW w:w="944" w:type="pct"/>
            <w:tcBorders>
              <w:top w:val="nil"/>
              <w:left w:val="nil"/>
              <w:bottom w:val="single" w:sz="4" w:space="0" w:color="auto"/>
              <w:right w:val="nil"/>
            </w:tcBorders>
            <w:hideMark/>
          </w:tcPr>
          <w:p w14:paraId="06EB636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(0.054)</w:t>
            </w:r>
          </w:p>
        </w:tc>
      </w:tr>
      <w:tr w:rsidR="00B44672" w14:paraId="5AEF0F74" w14:textId="77777777" w:rsidTr="00161431">
        <w:tc>
          <w:tcPr>
            <w:tcW w:w="1225" w:type="pct"/>
            <w:tcBorders>
              <w:top w:val="single" w:sz="4" w:space="0" w:color="auto"/>
              <w:left w:val="nil"/>
              <w:bottom w:val="nil"/>
              <w:right w:val="nil"/>
            </w:tcBorders>
            <w:hideMark/>
          </w:tcPr>
          <w:p w14:paraId="21925BBD"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Time Fixed Effect</w:t>
            </w:r>
          </w:p>
        </w:tc>
        <w:tc>
          <w:tcPr>
            <w:tcW w:w="944" w:type="pct"/>
            <w:tcBorders>
              <w:top w:val="single" w:sz="4" w:space="0" w:color="auto"/>
              <w:left w:val="nil"/>
              <w:bottom w:val="nil"/>
              <w:right w:val="nil"/>
            </w:tcBorders>
            <w:hideMark/>
          </w:tcPr>
          <w:p w14:paraId="06D61F5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5F7C9FC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4B0B3D7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094298D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45917807" w14:textId="77777777" w:rsidTr="00161431">
        <w:tc>
          <w:tcPr>
            <w:tcW w:w="1225" w:type="pct"/>
            <w:hideMark/>
          </w:tcPr>
          <w:p w14:paraId="2030C5AF"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 Fixed Effects</w:t>
            </w:r>
          </w:p>
        </w:tc>
        <w:tc>
          <w:tcPr>
            <w:tcW w:w="944" w:type="pct"/>
            <w:hideMark/>
          </w:tcPr>
          <w:p w14:paraId="0A1C9DA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06D993D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6408ABF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3BB90F6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52A25DF6" w14:textId="77777777" w:rsidTr="00161431">
        <w:tc>
          <w:tcPr>
            <w:tcW w:w="1225" w:type="pct"/>
            <w:hideMark/>
          </w:tcPr>
          <w:p w14:paraId="78B67D8E"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Income)</w:t>
            </w:r>
          </w:p>
        </w:tc>
        <w:tc>
          <w:tcPr>
            <w:tcW w:w="944" w:type="pct"/>
            <w:hideMark/>
          </w:tcPr>
          <w:p w14:paraId="0BFBA8B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5083951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62FBB12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6CC8138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27D0CB81" w14:textId="77777777" w:rsidTr="00161431">
        <w:tc>
          <w:tcPr>
            <w:tcW w:w="1225" w:type="pct"/>
            <w:hideMark/>
          </w:tcPr>
          <w:p w14:paraId="39FB957D"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Population)</w:t>
            </w:r>
          </w:p>
        </w:tc>
        <w:tc>
          <w:tcPr>
            <w:tcW w:w="944" w:type="pct"/>
            <w:hideMark/>
          </w:tcPr>
          <w:p w14:paraId="03A29E3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109BD07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44981E39"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1ACC39C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1BFC301E" w14:textId="77777777" w:rsidTr="00161431">
        <w:tc>
          <w:tcPr>
            <w:tcW w:w="1225" w:type="pct"/>
            <w:hideMark/>
          </w:tcPr>
          <w:p w14:paraId="101BC94A" w14:textId="77777777" w:rsidR="00B44672" w:rsidRDefault="00B44672">
            <w:pPr>
              <w:widowControl w:val="0"/>
              <w:autoSpaceDE w:val="0"/>
              <w:autoSpaceDN w:val="0"/>
              <w:adjustRightInd w:val="0"/>
              <w:spacing w:after="0"/>
              <w:rPr>
                <w:rFonts w:ascii="Times New Roman" w:hAnsi="Times New Roman" w:cs="Times New Roman"/>
              </w:rPr>
            </w:pPr>
            <w:proofErr w:type="spellStart"/>
            <w:proofErr w:type="gramStart"/>
            <w:r>
              <w:rPr>
                <w:rFonts w:ascii="Times New Roman" w:hAnsi="Times New Roman" w:cs="Times New Roman"/>
              </w:rPr>
              <w:t>adj.R</w:t>
            </w:r>
            <w:proofErr w:type="spellEnd"/>
            <w:proofErr w:type="gramEnd"/>
            <w:r>
              <w:rPr>
                <w:rFonts w:ascii="Times New Roman" w:hAnsi="Times New Roman" w:cs="Times New Roman"/>
              </w:rPr>
              <w:t>-squared</w:t>
            </w:r>
          </w:p>
        </w:tc>
        <w:tc>
          <w:tcPr>
            <w:tcW w:w="944" w:type="pct"/>
            <w:hideMark/>
          </w:tcPr>
          <w:p w14:paraId="1505E2E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0.838</w:t>
            </w:r>
          </w:p>
        </w:tc>
        <w:tc>
          <w:tcPr>
            <w:tcW w:w="944" w:type="pct"/>
            <w:hideMark/>
          </w:tcPr>
          <w:p w14:paraId="1DDF0C5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0.838</w:t>
            </w:r>
          </w:p>
        </w:tc>
        <w:tc>
          <w:tcPr>
            <w:tcW w:w="944" w:type="pct"/>
            <w:hideMark/>
          </w:tcPr>
          <w:p w14:paraId="10E93D9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0.838</w:t>
            </w:r>
          </w:p>
        </w:tc>
        <w:tc>
          <w:tcPr>
            <w:tcW w:w="944" w:type="pct"/>
            <w:hideMark/>
          </w:tcPr>
          <w:p w14:paraId="5EEBED5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0.838</w:t>
            </w:r>
          </w:p>
        </w:tc>
      </w:tr>
      <w:tr w:rsidR="00B44672" w14:paraId="4819D410" w14:textId="77777777" w:rsidTr="00161431">
        <w:tc>
          <w:tcPr>
            <w:tcW w:w="1225" w:type="pct"/>
            <w:hideMark/>
          </w:tcPr>
          <w:p w14:paraId="34CEB3C2"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Observations</w:t>
            </w:r>
          </w:p>
        </w:tc>
        <w:tc>
          <w:tcPr>
            <w:tcW w:w="944" w:type="pct"/>
            <w:hideMark/>
          </w:tcPr>
          <w:p w14:paraId="78D2F08A"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92408</w:t>
            </w:r>
          </w:p>
        </w:tc>
        <w:tc>
          <w:tcPr>
            <w:tcW w:w="944" w:type="pct"/>
            <w:hideMark/>
          </w:tcPr>
          <w:p w14:paraId="4F62E0E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92408</w:t>
            </w:r>
          </w:p>
        </w:tc>
        <w:tc>
          <w:tcPr>
            <w:tcW w:w="944" w:type="pct"/>
            <w:hideMark/>
          </w:tcPr>
          <w:p w14:paraId="1F5A169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92408</w:t>
            </w:r>
          </w:p>
        </w:tc>
        <w:tc>
          <w:tcPr>
            <w:tcW w:w="944" w:type="pct"/>
            <w:hideMark/>
          </w:tcPr>
          <w:p w14:paraId="5E218C8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92408</w:t>
            </w:r>
          </w:p>
        </w:tc>
      </w:tr>
      <w:tr w:rsidR="00B44672" w14:paraId="752AE27F" w14:textId="77777777" w:rsidTr="00161431">
        <w:tc>
          <w:tcPr>
            <w:tcW w:w="1225" w:type="pct"/>
            <w:tcBorders>
              <w:top w:val="nil"/>
              <w:left w:val="nil"/>
              <w:bottom w:val="single" w:sz="4" w:space="0" w:color="auto"/>
              <w:right w:val="nil"/>
            </w:tcBorders>
            <w:hideMark/>
          </w:tcPr>
          <w:p w14:paraId="21E957A9"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Postcodes</w:t>
            </w:r>
          </w:p>
        </w:tc>
        <w:tc>
          <w:tcPr>
            <w:tcW w:w="944" w:type="pct"/>
            <w:tcBorders>
              <w:top w:val="nil"/>
              <w:left w:val="nil"/>
              <w:bottom w:val="single" w:sz="4" w:space="0" w:color="auto"/>
              <w:right w:val="nil"/>
            </w:tcBorders>
            <w:hideMark/>
          </w:tcPr>
          <w:p w14:paraId="0FD4ACD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hideMark/>
          </w:tcPr>
          <w:p w14:paraId="6CF666C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hideMark/>
          </w:tcPr>
          <w:p w14:paraId="43D2AC00"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c>
          <w:tcPr>
            <w:tcW w:w="944" w:type="pct"/>
            <w:tcBorders>
              <w:top w:val="nil"/>
              <w:left w:val="nil"/>
              <w:bottom w:val="single" w:sz="4" w:space="0" w:color="auto"/>
              <w:right w:val="nil"/>
            </w:tcBorders>
            <w:hideMark/>
          </w:tcPr>
          <w:p w14:paraId="041D5AA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651</w:t>
            </w:r>
          </w:p>
        </w:tc>
      </w:tr>
    </w:tbl>
    <w:p w14:paraId="094026B0" w14:textId="77777777" w:rsidR="00B44672" w:rsidRDefault="00B44672" w:rsidP="004F7976">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Note: Standard error clusters at state-postcode level * p&lt;0.05, ** p&lt;0.01</w:t>
      </w:r>
    </w:p>
    <w:p w14:paraId="7D18EDD9" w14:textId="77777777" w:rsidR="00B44672" w:rsidRDefault="00B44672" w:rsidP="00161431">
      <w:pPr>
        <w:jc w:val="left"/>
        <w:rPr>
          <w:b/>
          <w:bCs/>
          <w:i/>
          <w:iCs/>
          <w:color w:val="365F91" w:themeColor="accent1" w:themeShade="BF"/>
        </w:rPr>
      </w:pPr>
    </w:p>
    <w:p w14:paraId="40699BB6" w14:textId="77777777" w:rsidR="00B44672" w:rsidRDefault="00B44672" w:rsidP="00161431">
      <w:pPr>
        <w:jc w:val="left"/>
        <w:rPr>
          <w:b/>
          <w:bCs/>
          <w:i/>
          <w:iCs/>
          <w:color w:val="365F91" w:themeColor="accent1" w:themeShade="BF"/>
        </w:rPr>
      </w:pPr>
    </w:p>
    <w:p w14:paraId="2E8774F4" w14:textId="77777777" w:rsidR="00B44672" w:rsidRPr="00592171" w:rsidRDefault="00B44672" w:rsidP="00161431">
      <w:pPr>
        <w:jc w:val="left"/>
        <w:rPr>
          <w:b/>
          <w:bCs/>
          <w:i/>
          <w:iCs/>
          <w:color w:val="365F91" w:themeColor="accent1" w:themeShade="BF"/>
        </w:rPr>
      </w:pPr>
      <w:r w:rsidRPr="00E20E98">
        <w:rPr>
          <w:b/>
          <w:bCs/>
          <w:i/>
          <w:iCs/>
          <w:color w:val="365F91" w:themeColor="accent1" w:themeShade="BF"/>
        </w:rPr>
        <w:t xml:space="preserve">Table </w:t>
      </w:r>
      <w:r>
        <w:rPr>
          <w:b/>
          <w:bCs/>
          <w:i/>
          <w:iCs/>
          <w:color w:val="365F91" w:themeColor="accent1" w:themeShade="BF"/>
        </w:rPr>
        <w:t xml:space="preserve">31 </w:t>
      </w:r>
      <w:r w:rsidRPr="00E20E98">
        <w:rPr>
          <w:b/>
          <w:bCs/>
          <w:i/>
          <w:iCs/>
          <w:color w:val="365F91" w:themeColor="accent1" w:themeShade="BF"/>
        </w:rPr>
        <w:t xml:space="preserve">- Tax reform effect on </w:t>
      </w:r>
      <w:r>
        <w:rPr>
          <w:b/>
          <w:bCs/>
          <w:i/>
          <w:iCs/>
          <w:color w:val="365F91" w:themeColor="accent1" w:themeShade="BF"/>
        </w:rPr>
        <w:t>unit sales:  Difference-in-difference estimates using 2004/05 – 2016/17 administrative data</w:t>
      </w:r>
    </w:p>
    <w:tbl>
      <w:tblPr>
        <w:tblW w:w="5000" w:type="pct"/>
        <w:tblLook w:val="04A0" w:firstRow="1" w:lastRow="0" w:firstColumn="1" w:lastColumn="0" w:noHBand="0" w:noVBand="1"/>
      </w:tblPr>
      <w:tblGrid>
        <w:gridCol w:w="2212"/>
        <w:gridCol w:w="1704"/>
        <w:gridCol w:w="1704"/>
        <w:gridCol w:w="1704"/>
        <w:gridCol w:w="1702"/>
      </w:tblGrid>
      <w:tr w:rsidR="00B44672" w14:paraId="18F8FAAE" w14:textId="77777777" w:rsidTr="00161431">
        <w:tc>
          <w:tcPr>
            <w:tcW w:w="1225" w:type="pct"/>
            <w:tcBorders>
              <w:top w:val="single" w:sz="4" w:space="0" w:color="auto"/>
              <w:left w:val="nil"/>
              <w:bottom w:val="nil"/>
              <w:right w:val="nil"/>
            </w:tcBorders>
          </w:tcPr>
          <w:p w14:paraId="1D9E7455" w14:textId="77777777" w:rsidR="00B44672" w:rsidRPr="00161431" w:rsidRDefault="00B44672">
            <w:pPr>
              <w:widowControl w:val="0"/>
              <w:autoSpaceDE w:val="0"/>
              <w:autoSpaceDN w:val="0"/>
              <w:adjustRightInd w:val="0"/>
              <w:spacing w:after="0"/>
              <w:rPr>
                <w:rFonts w:ascii="Times New Roman" w:hAnsi="Times New Roman" w:cs="Times New Roman"/>
              </w:rPr>
            </w:pPr>
          </w:p>
        </w:tc>
        <w:tc>
          <w:tcPr>
            <w:tcW w:w="944" w:type="pct"/>
            <w:tcBorders>
              <w:top w:val="single" w:sz="4" w:space="0" w:color="auto"/>
              <w:left w:val="nil"/>
              <w:bottom w:val="nil"/>
              <w:right w:val="nil"/>
            </w:tcBorders>
            <w:hideMark/>
          </w:tcPr>
          <w:p w14:paraId="62E1A37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w:t>
            </w:r>
          </w:p>
        </w:tc>
        <w:tc>
          <w:tcPr>
            <w:tcW w:w="944" w:type="pct"/>
            <w:tcBorders>
              <w:top w:val="single" w:sz="4" w:space="0" w:color="auto"/>
              <w:left w:val="nil"/>
              <w:bottom w:val="nil"/>
              <w:right w:val="nil"/>
            </w:tcBorders>
            <w:hideMark/>
          </w:tcPr>
          <w:p w14:paraId="0549DE9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(2)</w:t>
            </w:r>
          </w:p>
        </w:tc>
        <w:tc>
          <w:tcPr>
            <w:tcW w:w="944" w:type="pct"/>
            <w:tcBorders>
              <w:top w:val="single" w:sz="4" w:space="0" w:color="auto"/>
              <w:left w:val="nil"/>
              <w:bottom w:val="nil"/>
              <w:right w:val="nil"/>
            </w:tcBorders>
            <w:hideMark/>
          </w:tcPr>
          <w:p w14:paraId="7DEDC53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(3)</w:t>
            </w:r>
          </w:p>
        </w:tc>
        <w:tc>
          <w:tcPr>
            <w:tcW w:w="944" w:type="pct"/>
            <w:tcBorders>
              <w:top w:val="single" w:sz="4" w:space="0" w:color="auto"/>
              <w:left w:val="nil"/>
              <w:bottom w:val="nil"/>
              <w:right w:val="nil"/>
            </w:tcBorders>
            <w:hideMark/>
          </w:tcPr>
          <w:p w14:paraId="25B4825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w:t>
            </w:r>
          </w:p>
        </w:tc>
      </w:tr>
      <w:tr w:rsidR="00B44672" w14:paraId="12B140B7" w14:textId="77777777" w:rsidTr="00161431">
        <w:tc>
          <w:tcPr>
            <w:tcW w:w="1225" w:type="pct"/>
          </w:tcPr>
          <w:p w14:paraId="22B5AC18"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2E97E81E"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c>
          <w:tcPr>
            <w:tcW w:w="944" w:type="pct"/>
            <w:hideMark/>
          </w:tcPr>
          <w:p w14:paraId="14B080BF"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c>
          <w:tcPr>
            <w:tcW w:w="944" w:type="pct"/>
            <w:hideMark/>
          </w:tcPr>
          <w:p w14:paraId="5247DB8E"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c>
          <w:tcPr>
            <w:tcW w:w="944" w:type="pct"/>
            <w:hideMark/>
          </w:tcPr>
          <w:p w14:paraId="29BEAAF5" w14:textId="77777777" w:rsidR="00B44672" w:rsidRDefault="00B44672">
            <w:pPr>
              <w:widowControl w:val="0"/>
              <w:autoSpaceDE w:val="0"/>
              <w:autoSpaceDN w:val="0"/>
              <w:adjustRightInd w:val="0"/>
              <w:spacing w:after="0"/>
              <w:jc w:val="center"/>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Sales Numbers)</w:t>
            </w:r>
          </w:p>
        </w:tc>
      </w:tr>
      <w:tr w:rsidR="00B44672" w14:paraId="630DF9F5" w14:textId="77777777" w:rsidTr="00161431">
        <w:tc>
          <w:tcPr>
            <w:tcW w:w="1225" w:type="pct"/>
          </w:tcPr>
          <w:p w14:paraId="350C5970" w14:textId="77777777" w:rsidR="00B44672" w:rsidRDefault="00B44672">
            <w:pPr>
              <w:widowControl w:val="0"/>
              <w:autoSpaceDE w:val="0"/>
              <w:autoSpaceDN w:val="0"/>
              <w:adjustRightInd w:val="0"/>
              <w:spacing w:after="0"/>
              <w:rPr>
                <w:rFonts w:ascii="Times New Roman" w:hAnsi="Times New Roman" w:cs="Times New Roman"/>
              </w:rPr>
            </w:pPr>
          </w:p>
        </w:tc>
        <w:tc>
          <w:tcPr>
            <w:tcW w:w="944" w:type="pct"/>
            <w:hideMark/>
          </w:tcPr>
          <w:p w14:paraId="35CFF6E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0640C8C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7E6241B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c>
          <w:tcPr>
            <w:tcW w:w="944" w:type="pct"/>
            <w:hideMark/>
          </w:tcPr>
          <w:p w14:paraId="1A81079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b/se</w:t>
            </w:r>
          </w:p>
        </w:tc>
      </w:tr>
      <w:tr w:rsidR="00B44672" w14:paraId="16750E08" w14:textId="77777777" w:rsidTr="00161431">
        <w:tc>
          <w:tcPr>
            <w:tcW w:w="1225" w:type="pct"/>
            <w:tcBorders>
              <w:top w:val="single" w:sz="4" w:space="0" w:color="auto"/>
              <w:left w:val="nil"/>
              <w:bottom w:val="nil"/>
              <w:right w:val="nil"/>
            </w:tcBorders>
            <w:hideMark/>
          </w:tcPr>
          <w:p w14:paraId="2A3B29BC" w14:textId="77777777" w:rsidR="00B44672" w:rsidRDefault="00B44672" w:rsidP="00161431">
            <w:pPr>
              <w:widowControl w:val="0"/>
              <w:autoSpaceDE w:val="0"/>
              <w:autoSpaceDN w:val="0"/>
              <w:adjustRightInd w:val="0"/>
              <w:spacing w:after="0"/>
              <w:rPr>
                <w:rFonts w:ascii="Times New Roman" w:hAnsi="Times New Roman" w:cs="Times New Roman"/>
              </w:rPr>
            </w:pPr>
            <w:r>
              <w:rPr>
                <w:rFonts w:ascii="Times New Roman" w:hAnsi="Times New Roman" w:cs="Times New Roman"/>
              </w:rPr>
              <w:t>ACT tax reform</w:t>
            </w:r>
          </w:p>
        </w:tc>
        <w:tc>
          <w:tcPr>
            <w:tcW w:w="944" w:type="pct"/>
            <w:tcBorders>
              <w:top w:val="single" w:sz="4" w:space="0" w:color="auto"/>
              <w:left w:val="nil"/>
              <w:bottom w:val="nil"/>
              <w:right w:val="nil"/>
            </w:tcBorders>
            <w:hideMark/>
          </w:tcPr>
          <w:p w14:paraId="3ABCE33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0.184</w:t>
            </w:r>
          </w:p>
        </w:tc>
        <w:tc>
          <w:tcPr>
            <w:tcW w:w="944" w:type="pct"/>
            <w:tcBorders>
              <w:top w:val="single" w:sz="4" w:space="0" w:color="auto"/>
              <w:left w:val="nil"/>
              <w:bottom w:val="nil"/>
              <w:right w:val="nil"/>
            </w:tcBorders>
            <w:hideMark/>
          </w:tcPr>
          <w:p w14:paraId="7B64BD1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0.025</w:t>
            </w:r>
          </w:p>
        </w:tc>
        <w:tc>
          <w:tcPr>
            <w:tcW w:w="944" w:type="pct"/>
            <w:tcBorders>
              <w:top w:val="single" w:sz="4" w:space="0" w:color="auto"/>
              <w:left w:val="nil"/>
              <w:bottom w:val="nil"/>
              <w:right w:val="nil"/>
            </w:tcBorders>
            <w:hideMark/>
          </w:tcPr>
          <w:p w14:paraId="62B729F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-0.103</w:t>
            </w:r>
          </w:p>
        </w:tc>
        <w:tc>
          <w:tcPr>
            <w:tcW w:w="944" w:type="pct"/>
            <w:tcBorders>
              <w:top w:val="single" w:sz="4" w:space="0" w:color="auto"/>
              <w:left w:val="nil"/>
              <w:bottom w:val="nil"/>
              <w:right w:val="nil"/>
            </w:tcBorders>
            <w:hideMark/>
          </w:tcPr>
          <w:p w14:paraId="27D0F5DE"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-0.263**</w:t>
            </w:r>
          </w:p>
        </w:tc>
      </w:tr>
      <w:tr w:rsidR="00B44672" w14:paraId="7AA003B9" w14:textId="77777777" w:rsidTr="00161431">
        <w:tc>
          <w:tcPr>
            <w:tcW w:w="1225" w:type="pct"/>
            <w:tcBorders>
              <w:top w:val="nil"/>
              <w:left w:val="nil"/>
              <w:bottom w:val="single" w:sz="4" w:space="0" w:color="auto"/>
              <w:right w:val="nil"/>
            </w:tcBorders>
          </w:tcPr>
          <w:p w14:paraId="23A80E38"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Standard error</w:t>
            </w:r>
          </w:p>
        </w:tc>
        <w:tc>
          <w:tcPr>
            <w:tcW w:w="944" w:type="pct"/>
            <w:tcBorders>
              <w:top w:val="nil"/>
              <w:left w:val="nil"/>
              <w:bottom w:val="single" w:sz="4" w:space="0" w:color="auto"/>
              <w:right w:val="nil"/>
            </w:tcBorders>
            <w:hideMark/>
          </w:tcPr>
          <w:p w14:paraId="01362E7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(0.114)</w:t>
            </w:r>
          </w:p>
        </w:tc>
        <w:tc>
          <w:tcPr>
            <w:tcW w:w="944" w:type="pct"/>
            <w:tcBorders>
              <w:top w:val="nil"/>
              <w:left w:val="nil"/>
              <w:bottom w:val="single" w:sz="4" w:space="0" w:color="auto"/>
              <w:right w:val="nil"/>
            </w:tcBorders>
            <w:hideMark/>
          </w:tcPr>
          <w:p w14:paraId="16A281C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(0.122)</w:t>
            </w:r>
          </w:p>
        </w:tc>
        <w:tc>
          <w:tcPr>
            <w:tcW w:w="944" w:type="pct"/>
            <w:tcBorders>
              <w:top w:val="nil"/>
              <w:left w:val="nil"/>
              <w:bottom w:val="single" w:sz="4" w:space="0" w:color="auto"/>
              <w:right w:val="nil"/>
            </w:tcBorders>
            <w:hideMark/>
          </w:tcPr>
          <w:p w14:paraId="735A49C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(0.080)</w:t>
            </w:r>
          </w:p>
        </w:tc>
        <w:tc>
          <w:tcPr>
            <w:tcW w:w="944" w:type="pct"/>
            <w:tcBorders>
              <w:top w:val="nil"/>
              <w:left w:val="nil"/>
              <w:bottom w:val="single" w:sz="4" w:space="0" w:color="auto"/>
              <w:right w:val="nil"/>
            </w:tcBorders>
            <w:hideMark/>
          </w:tcPr>
          <w:p w14:paraId="69CD0E0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(0.097)</w:t>
            </w:r>
          </w:p>
        </w:tc>
      </w:tr>
      <w:tr w:rsidR="00B44672" w14:paraId="775DDCF3" w14:textId="77777777" w:rsidTr="00161431">
        <w:tc>
          <w:tcPr>
            <w:tcW w:w="1225" w:type="pct"/>
            <w:tcBorders>
              <w:top w:val="single" w:sz="4" w:space="0" w:color="auto"/>
              <w:left w:val="nil"/>
              <w:bottom w:val="nil"/>
              <w:right w:val="nil"/>
            </w:tcBorders>
            <w:hideMark/>
          </w:tcPr>
          <w:p w14:paraId="67BBC099"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Time Fixed Effect</w:t>
            </w:r>
          </w:p>
        </w:tc>
        <w:tc>
          <w:tcPr>
            <w:tcW w:w="944" w:type="pct"/>
            <w:tcBorders>
              <w:top w:val="single" w:sz="4" w:space="0" w:color="auto"/>
              <w:left w:val="nil"/>
              <w:bottom w:val="nil"/>
              <w:right w:val="nil"/>
            </w:tcBorders>
            <w:hideMark/>
          </w:tcPr>
          <w:p w14:paraId="28D8991B"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18766D6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124F3ADF"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tcBorders>
              <w:top w:val="single" w:sz="4" w:space="0" w:color="auto"/>
              <w:left w:val="nil"/>
              <w:bottom w:val="nil"/>
              <w:right w:val="nil"/>
            </w:tcBorders>
            <w:hideMark/>
          </w:tcPr>
          <w:p w14:paraId="0492309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4F42EA1A" w14:textId="77777777" w:rsidTr="00161431">
        <w:tc>
          <w:tcPr>
            <w:tcW w:w="1225" w:type="pct"/>
            <w:hideMark/>
          </w:tcPr>
          <w:p w14:paraId="66F251E8"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 Fixed Effects</w:t>
            </w:r>
          </w:p>
        </w:tc>
        <w:tc>
          <w:tcPr>
            <w:tcW w:w="944" w:type="pct"/>
            <w:hideMark/>
          </w:tcPr>
          <w:p w14:paraId="793D266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39F6C6D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4B37BB9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342374C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39628141" w14:textId="77777777" w:rsidTr="00161431">
        <w:tc>
          <w:tcPr>
            <w:tcW w:w="1225" w:type="pct"/>
            <w:hideMark/>
          </w:tcPr>
          <w:p w14:paraId="551BC70E"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Income)</w:t>
            </w:r>
          </w:p>
        </w:tc>
        <w:tc>
          <w:tcPr>
            <w:tcW w:w="944" w:type="pct"/>
            <w:hideMark/>
          </w:tcPr>
          <w:p w14:paraId="25B0353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73F70DC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67D829A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6AC241C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54380041" w14:textId="77777777" w:rsidTr="00161431">
        <w:tc>
          <w:tcPr>
            <w:tcW w:w="1225" w:type="pct"/>
            <w:hideMark/>
          </w:tcPr>
          <w:p w14:paraId="13056E29" w14:textId="77777777" w:rsidR="00B44672" w:rsidRDefault="00B44672">
            <w:pPr>
              <w:widowControl w:val="0"/>
              <w:autoSpaceDE w:val="0"/>
              <w:autoSpaceDN w:val="0"/>
              <w:adjustRightInd w:val="0"/>
              <w:spacing w:after="0"/>
              <w:rPr>
                <w:rFonts w:ascii="Times New Roman" w:hAnsi="Times New Roman" w:cs="Times New Roman"/>
              </w:rPr>
            </w:pPr>
            <w:proofErr w:type="gramStart"/>
            <w:r>
              <w:rPr>
                <w:rFonts w:ascii="Times New Roman" w:hAnsi="Times New Roman" w:cs="Times New Roman"/>
              </w:rPr>
              <w:t>Log(</w:t>
            </w:r>
            <w:proofErr w:type="gramEnd"/>
            <w:r>
              <w:rPr>
                <w:rFonts w:ascii="Times New Roman" w:hAnsi="Times New Roman" w:cs="Times New Roman"/>
              </w:rPr>
              <w:t>Population)</w:t>
            </w:r>
          </w:p>
        </w:tc>
        <w:tc>
          <w:tcPr>
            <w:tcW w:w="944" w:type="pct"/>
            <w:hideMark/>
          </w:tcPr>
          <w:p w14:paraId="525FE2A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4387E123"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No</w:t>
            </w:r>
          </w:p>
        </w:tc>
        <w:tc>
          <w:tcPr>
            <w:tcW w:w="944" w:type="pct"/>
            <w:hideMark/>
          </w:tcPr>
          <w:p w14:paraId="4ED4D0D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c>
          <w:tcPr>
            <w:tcW w:w="944" w:type="pct"/>
            <w:hideMark/>
          </w:tcPr>
          <w:p w14:paraId="555C626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Yes</w:t>
            </w:r>
          </w:p>
        </w:tc>
      </w:tr>
      <w:tr w:rsidR="00B44672" w14:paraId="07965578" w14:textId="77777777" w:rsidTr="00161431">
        <w:tc>
          <w:tcPr>
            <w:tcW w:w="1225" w:type="pct"/>
            <w:hideMark/>
          </w:tcPr>
          <w:p w14:paraId="036E9A9A" w14:textId="77777777" w:rsidR="00B44672" w:rsidRDefault="00B44672">
            <w:pPr>
              <w:widowControl w:val="0"/>
              <w:autoSpaceDE w:val="0"/>
              <w:autoSpaceDN w:val="0"/>
              <w:adjustRightInd w:val="0"/>
              <w:spacing w:after="0"/>
              <w:rPr>
                <w:rFonts w:ascii="Times New Roman" w:hAnsi="Times New Roman" w:cs="Times New Roman"/>
              </w:rPr>
            </w:pPr>
            <w:proofErr w:type="spellStart"/>
            <w:proofErr w:type="gramStart"/>
            <w:r>
              <w:rPr>
                <w:rFonts w:ascii="Times New Roman" w:hAnsi="Times New Roman" w:cs="Times New Roman"/>
              </w:rPr>
              <w:t>adj.R</w:t>
            </w:r>
            <w:proofErr w:type="spellEnd"/>
            <w:proofErr w:type="gramEnd"/>
            <w:r>
              <w:rPr>
                <w:rFonts w:ascii="Times New Roman" w:hAnsi="Times New Roman" w:cs="Times New Roman"/>
              </w:rPr>
              <w:t>-squared</w:t>
            </w:r>
          </w:p>
        </w:tc>
        <w:tc>
          <w:tcPr>
            <w:tcW w:w="944" w:type="pct"/>
            <w:hideMark/>
          </w:tcPr>
          <w:p w14:paraId="452DC96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0.817</w:t>
            </w:r>
          </w:p>
        </w:tc>
        <w:tc>
          <w:tcPr>
            <w:tcW w:w="944" w:type="pct"/>
            <w:hideMark/>
          </w:tcPr>
          <w:p w14:paraId="08937A5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0.817</w:t>
            </w:r>
          </w:p>
        </w:tc>
        <w:tc>
          <w:tcPr>
            <w:tcW w:w="944" w:type="pct"/>
            <w:hideMark/>
          </w:tcPr>
          <w:p w14:paraId="1CC9F962"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0.817</w:t>
            </w:r>
          </w:p>
        </w:tc>
        <w:tc>
          <w:tcPr>
            <w:tcW w:w="944" w:type="pct"/>
            <w:hideMark/>
          </w:tcPr>
          <w:p w14:paraId="0B70F5E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0.817</w:t>
            </w:r>
          </w:p>
        </w:tc>
      </w:tr>
      <w:tr w:rsidR="00B44672" w14:paraId="0D3EEA72" w14:textId="77777777" w:rsidTr="00161431">
        <w:tc>
          <w:tcPr>
            <w:tcW w:w="1225" w:type="pct"/>
            <w:hideMark/>
          </w:tcPr>
          <w:p w14:paraId="2D599910"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Observations</w:t>
            </w:r>
          </w:p>
        </w:tc>
        <w:tc>
          <w:tcPr>
            <w:tcW w:w="944" w:type="pct"/>
            <w:hideMark/>
          </w:tcPr>
          <w:p w14:paraId="6151C4B1"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56044</w:t>
            </w:r>
          </w:p>
        </w:tc>
        <w:tc>
          <w:tcPr>
            <w:tcW w:w="944" w:type="pct"/>
            <w:hideMark/>
          </w:tcPr>
          <w:p w14:paraId="18F397E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56044</w:t>
            </w:r>
          </w:p>
        </w:tc>
        <w:tc>
          <w:tcPr>
            <w:tcW w:w="944" w:type="pct"/>
            <w:hideMark/>
          </w:tcPr>
          <w:p w14:paraId="5416B448"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56044</w:t>
            </w:r>
          </w:p>
        </w:tc>
        <w:tc>
          <w:tcPr>
            <w:tcW w:w="944" w:type="pct"/>
            <w:hideMark/>
          </w:tcPr>
          <w:p w14:paraId="060F1FAD"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56044</w:t>
            </w:r>
          </w:p>
        </w:tc>
      </w:tr>
      <w:tr w:rsidR="00B44672" w14:paraId="7A7CFA05" w14:textId="77777777" w:rsidTr="00161431">
        <w:tc>
          <w:tcPr>
            <w:tcW w:w="1225" w:type="pct"/>
            <w:tcBorders>
              <w:top w:val="nil"/>
              <w:left w:val="nil"/>
              <w:bottom w:val="single" w:sz="4" w:space="0" w:color="auto"/>
              <w:right w:val="nil"/>
            </w:tcBorders>
            <w:hideMark/>
          </w:tcPr>
          <w:p w14:paraId="41B4CC8A" w14:textId="77777777" w:rsidR="00B44672" w:rsidRDefault="00B44672">
            <w:pPr>
              <w:widowControl w:val="0"/>
              <w:autoSpaceDE w:val="0"/>
              <w:autoSpaceDN w:val="0"/>
              <w:adjustRightInd w:val="0"/>
              <w:spacing w:after="0"/>
              <w:rPr>
                <w:rFonts w:ascii="Times New Roman" w:hAnsi="Times New Roman" w:cs="Times New Roman"/>
              </w:rPr>
            </w:pPr>
            <w:r>
              <w:rPr>
                <w:rFonts w:ascii="Times New Roman" w:hAnsi="Times New Roman" w:cs="Times New Roman"/>
              </w:rPr>
              <w:t>Postcodes</w:t>
            </w:r>
          </w:p>
        </w:tc>
        <w:tc>
          <w:tcPr>
            <w:tcW w:w="944" w:type="pct"/>
            <w:tcBorders>
              <w:top w:val="nil"/>
              <w:left w:val="nil"/>
              <w:bottom w:val="single" w:sz="4" w:space="0" w:color="auto"/>
              <w:right w:val="nil"/>
            </w:tcBorders>
            <w:hideMark/>
          </w:tcPr>
          <w:p w14:paraId="50179BA7"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492</w:t>
            </w:r>
          </w:p>
        </w:tc>
        <w:tc>
          <w:tcPr>
            <w:tcW w:w="944" w:type="pct"/>
            <w:tcBorders>
              <w:top w:val="nil"/>
              <w:left w:val="nil"/>
              <w:bottom w:val="single" w:sz="4" w:space="0" w:color="auto"/>
              <w:right w:val="nil"/>
            </w:tcBorders>
            <w:hideMark/>
          </w:tcPr>
          <w:p w14:paraId="34BB477C"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492</w:t>
            </w:r>
          </w:p>
        </w:tc>
        <w:tc>
          <w:tcPr>
            <w:tcW w:w="944" w:type="pct"/>
            <w:tcBorders>
              <w:top w:val="nil"/>
              <w:left w:val="nil"/>
              <w:bottom w:val="single" w:sz="4" w:space="0" w:color="auto"/>
              <w:right w:val="nil"/>
            </w:tcBorders>
            <w:hideMark/>
          </w:tcPr>
          <w:p w14:paraId="0FB23684"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492</w:t>
            </w:r>
          </w:p>
        </w:tc>
        <w:tc>
          <w:tcPr>
            <w:tcW w:w="944" w:type="pct"/>
            <w:tcBorders>
              <w:top w:val="nil"/>
              <w:left w:val="nil"/>
              <w:bottom w:val="single" w:sz="4" w:space="0" w:color="auto"/>
              <w:right w:val="nil"/>
            </w:tcBorders>
            <w:hideMark/>
          </w:tcPr>
          <w:p w14:paraId="42E230F5" w14:textId="77777777" w:rsidR="00B44672" w:rsidRDefault="00B44672">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492</w:t>
            </w:r>
          </w:p>
        </w:tc>
      </w:tr>
    </w:tbl>
    <w:p w14:paraId="27909BE9" w14:textId="77777777" w:rsidR="00B44672" w:rsidRDefault="00B44672" w:rsidP="004F7976">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Note: Standard error clusters at state-postcode level * p&lt;0.05, ** p&lt;0.01</w:t>
      </w:r>
    </w:p>
    <w:p w14:paraId="71BA0A7D" w14:textId="77777777" w:rsidR="00B44672" w:rsidRPr="001C38F5" w:rsidRDefault="00B44672" w:rsidP="0029189E"/>
    <w:p w14:paraId="31071272" w14:textId="77777777" w:rsidR="00B44672" w:rsidRPr="000D61D1" w:rsidRDefault="00B44672" w:rsidP="00EE0D25">
      <w:pPr>
        <w:pStyle w:val="BodyText"/>
        <w:rPr>
          <w:lang w:val="en-AU"/>
        </w:rPr>
      </w:pPr>
    </w:p>
    <w:sectPr w:rsidR="00B44672" w:rsidRPr="000D61D1">
      <w:headerReference w:type="default" r:id="rId28"/>
      <w:footerReference w:type="even"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54F5A" w14:textId="77777777" w:rsidR="00B72CA7" w:rsidRDefault="00B72CA7" w:rsidP="00FD0C23">
      <w:pPr>
        <w:spacing w:after="0"/>
      </w:pPr>
      <w:r>
        <w:separator/>
      </w:r>
    </w:p>
  </w:endnote>
  <w:endnote w:type="continuationSeparator" w:id="0">
    <w:p w14:paraId="2C186CAB" w14:textId="77777777" w:rsidR="00B72CA7" w:rsidRDefault="00B72CA7" w:rsidP="00FD0C23">
      <w:pPr>
        <w:spacing w:after="0"/>
      </w:pPr>
      <w:r>
        <w:continuationSeparator/>
      </w:r>
    </w:p>
  </w:endnote>
  <w:endnote w:type="continuationNotice" w:id="1">
    <w:p w14:paraId="67EAFCF8" w14:textId="77777777" w:rsidR="00B72CA7" w:rsidRDefault="00B72C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0318035"/>
      <w:docPartObj>
        <w:docPartGallery w:val="Page Numbers (Bottom of Page)"/>
        <w:docPartUnique/>
      </w:docPartObj>
    </w:sdtPr>
    <w:sdtEndPr>
      <w:rPr>
        <w:rStyle w:val="PageNumber"/>
      </w:rPr>
    </w:sdtEndPr>
    <w:sdtContent>
      <w:p w14:paraId="67899A8B" w14:textId="4047397F" w:rsidR="00B72CA7" w:rsidRDefault="00B72CA7" w:rsidP="000C53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FF2535" w14:textId="77777777" w:rsidR="00B72CA7" w:rsidRDefault="00B72CA7" w:rsidP="00517F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7838959"/>
      <w:docPartObj>
        <w:docPartGallery w:val="Page Numbers (Bottom of Page)"/>
        <w:docPartUnique/>
      </w:docPartObj>
    </w:sdtPr>
    <w:sdtEndPr>
      <w:rPr>
        <w:rStyle w:val="PageNumber"/>
      </w:rPr>
    </w:sdtEndPr>
    <w:sdtContent>
      <w:p w14:paraId="6A662922" w14:textId="5AA87723" w:rsidR="00B72CA7" w:rsidRDefault="00B72CA7" w:rsidP="000C53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sdtContent>
  </w:sdt>
  <w:p w14:paraId="656793BB" w14:textId="77777777" w:rsidR="00B72CA7" w:rsidRDefault="00B72CA7" w:rsidP="00517F0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7FEA6" w14:textId="77777777" w:rsidR="00B72CA7" w:rsidRDefault="00B72CA7" w:rsidP="00FD0C23">
      <w:pPr>
        <w:spacing w:after="0"/>
      </w:pPr>
      <w:r>
        <w:separator/>
      </w:r>
    </w:p>
  </w:footnote>
  <w:footnote w:type="continuationSeparator" w:id="0">
    <w:p w14:paraId="4410F35B" w14:textId="77777777" w:rsidR="00B72CA7" w:rsidRDefault="00B72CA7" w:rsidP="00FD0C23">
      <w:pPr>
        <w:spacing w:after="0"/>
      </w:pPr>
      <w:r>
        <w:continuationSeparator/>
      </w:r>
    </w:p>
  </w:footnote>
  <w:footnote w:type="continuationNotice" w:id="1">
    <w:p w14:paraId="26984173" w14:textId="77777777" w:rsidR="00B72CA7" w:rsidRDefault="00B72CA7">
      <w:pPr>
        <w:spacing w:after="0"/>
      </w:pPr>
    </w:p>
  </w:footnote>
  <w:footnote w:id="2">
    <w:p w14:paraId="224EBD05" w14:textId="77777777" w:rsidR="00B72CA7" w:rsidRPr="00364B29" w:rsidRDefault="00B72CA7" w:rsidP="003C620A">
      <w:pPr>
        <w:pStyle w:val="FootnoteText"/>
        <w:rPr>
          <w:lang w:val="en-AU"/>
        </w:rPr>
      </w:pPr>
      <w:r>
        <w:rPr>
          <w:rStyle w:val="FootnoteReference"/>
        </w:rPr>
        <w:footnoteRef/>
      </w:r>
      <w:r>
        <w:t xml:space="preserve"> </w:t>
      </w:r>
      <w:r>
        <w:rPr>
          <w:lang w:val="en-AU"/>
        </w:rPr>
        <w:t>The technical term on the survey we use is “income units”. More than one family can form a household.</w:t>
      </w:r>
    </w:p>
  </w:footnote>
  <w:footnote w:id="3">
    <w:p w14:paraId="41B623EF" w14:textId="77777777" w:rsidR="00B72CA7" w:rsidRPr="00AD69AA" w:rsidRDefault="00B72CA7" w:rsidP="003C620A">
      <w:pPr>
        <w:pStyle w:val="FootnoteText"/>
        <w:rPr>
          <w:lang w:val="en-AU"/>
        </w:rPr>
      </w:pPr>
      <w:r>
        <w:rPr>
          <w:rStyle w:val="FootnoteReference"/>
        </w:rPr>
        <w:footnoteRef/>
      </w:r>
      <w:r>
        <w:t xml:space="preserve"> </w:t>
      </w:r>
      <w:r>
        <w:rPr>
          <w:lang w:val="en-AU"/>
        </w:rPr>
        <w:t xml:space="preserve">Other requirements for reduced stamp duty and FHOG were also applied, including income, house value, etc. </w:t>
      </w:r>
      <w:r>
        <w:t xml:space="preserve">Stamp duty concession and FHOG for first home buyers was also only available for new houses from 2013 to June 2019, and this has also been incorporated into our </w:t>
      </w:r>
      <w:proofErr w:type="gramStart"/>
      <w:r>
        <w:t>modelling.</w:t>
      </w:r>
      <w:r>
        <w:rPr>
          <w:lang w:val="en-AU"/>
        </w:rPr>
        <w:t>These</w:t>
      </w:r>
      <w:proofErr w:type="gramEnd"/>
      <w:r>
        <w:rPr>
          <w:lang w:val="en-AU"/>
        </w:rPr>
        <w:t xml:space="preserve"> criteria are described in the technical paper. </w:t>
      </w:r>
    </w:p>
  </w:footnote>
  <w:footnote w:id="4">
    <w:p w14:paraId="12FF282F" w14:textId="4D3B00AB" w:rsidR="00B72CA7" w:rsidRPr="00767C5E" w:rsidRDefault="00B72CA7" w:rsidP="0016647F">
      <w:pPr>
        <w:pStyle w:val="FootnoteText"/>
      </w:pPr>
      <w:r>
        <w:rPr>
          <w:rStyle w:val="FootnoteReference"/>
        </w:rPr>
        <w:footnoteRef/>
      </w:r>
      <w:r>
        <w:t xml:space="preserve"> </w:t>
      </w:r>
      <w:r w:rsidRPr="00767C5E">
        <w:t xml:space="preserve">This is the so called </w:t>
      </w:r>
      <w:r>
        <w:t>“</w:t>
      </w:r>
      <w:r w:rsidRPr="00767C5E">
        <w:t>common trends</w:t>
      </w:r>
      <w:r>
        <w:t>”</w:t>
      </w:r>
      <w:r w:rsidRPr="00767C5E">
        <w:t xml:space="preserve"> assumption and key to the identification strategy.</w:t>
      </w:r>
    </w:p>
  </w:footnote>
  <w:footnote w:id="5">
    <w:p w14:paraId="61B561BF" w14:textId="05D2A74E" w:rsidR="00B72CA7" w:rsidRPr="00B90612" w:rsidRDefault="00B72CA7" w:rsidP="0016647F">
      <w:pPr>
        <w:pStyle w:val="FootnoteText"/>
      </w:pPr>
      <w:r>
        <w:rPr>
          <w:rStyle w:val="FootnoteReference"/>
        </w:rPr>
        <w:footnoteRef/>
      </w:r>
      <w:r>
        <w:t xml:space="preserve"> </w:t>
      </w:r>
      <w:r w:rsidRPr="00B90612">
        <w:t xml:space="preserve">The population data </w:t>
      </w:r>
      <w:r>
        <w:t>are taken</w:t>
      </w:r>
      <w:r w:rsidRPr="00B90612">
        <w:t xml:space="preserve"> from ABS Table 3101</w:t>
      </w:r>
      <w:r>
        <w:t>,</w:t>
      </w:r>
      <w:r w:rsidRPr="00B90612">
        <w:t xml:space="preserve"> </w:t>
      </w:r>
      <w:r>
        <w:t xml:space="preserve">accessed via the </w:t>
      </w:r>
      <w:proofErr w:type="spellStart"/>
      <w:r>
        <w:t>ABS.Stat</w:t>
      </w:r>
      <w:proofErr w:type="spellEnd"/>
      <w:r>
        <w:t xml:space="preserve"> Metadata, </w:t>
      </w:r>
      <w:r w:rsidRPr="00B90612">
        <w:t xml:space="preserve">and </w:t>
      </w:r>
      <w:r>
        <w:t>contain</w:t>
      </w:r>
      <w:r w:rsidRPr="00B90612">
        <w:t xml:space="preserve"> quarterly </w:t>
      </w:r>
      <w:r>
        <w:t xml:space="preserve">estimates of residential </w:t>
      </w:r>
      <w:r w:rsidRPr="00B90612">
        <w:t xml:space="preserve">population by </w:t>
      </w:r>
      <w:r>
        <w:t>State</w:t>
      </w:r>
      <w:r w:rsidRPr="00B90612">
        <w:t>s.</w:t>
      </w:r>
      <w:r>
        <w:t xml:space="preserve"> For monthly data analysis, we use the estimated population for a quarter for the three months covering that quarter. </w:t>
      </w:r>
    </w:p>
  </w:footnote>
  <w:footnote w:id="6">
    <w:p w14:paraId="0673D1F4" w14:textId="3EA41CDA" w:rsidR="00B72CA7" w:rsidRPr="002A07F4" w:rsidRDefault="00B72CA7" w:rsidP="0016647F">
      <w:pPr>
        <w:pStyle w:val="FootnoteText"/>
      </w:pPr>
      <w:r>
        <w:rPr>
          <w:rStyle w:val="FootnoteReference"/>
        </w:rPr>
        <w:footnoteRef/>
      </w:r>
      <w:r>
        <w:t xml:space="preserve"> The disposable income data are taken from ABS Tables 6523.0, which contains annual State level data for the Financial Years 1994-95 through 2018-19 (latest release), although with some gaps.   The gaps in the disposable income data are </w:t>
      </w:r>
      <w:r w:rsidRPr="007D0DAF">
        <w:t>linear</w:t>
      </w:r>
      <w:r>
        <w:t xml:space="preserve">ly interpolated using the Stata command </w:t>
      </w:r>
      <w:proofErr w:type="spellStart"/>
      <w:r w:rsidRPr="007D0DAF">
        <w:rPr>
          <w:i/>
        </w:rPr>
        <w:t>ipolate</w:t>
      </w:r>
      <w:proofErr w:type="spellEnd"/>
      <w:r>
        <w:t>.</w:t>
      </w:r>
    </w:p>
  </w:footnote>
  <w:footnote w:id="7">
    <w:p w14:paraId="64123026" w14:textId="43C4C90A" w:rsidR="00B72CA7" w:rsidRPr="00BB4E4B" w:rsidRDefault="00B72CA7">
      <w:pPr>
        <w:pStyle w:val="FootnoteText"/>
      </w:pPr>
      <w:r>
        <w:rPr>
          <w:rStyle w:val="FootnoteReference"/>
        </w:rPr>
        <w:footnoteRef/>
      </w:r>
      <w:r>
        <w:t xml:space="preserve"> This data taken </w:t>
      </w:r>
      <w:proofErr w:type="gramStart"/>
      <w:r>
        <w:t>from  the</w:t>
      </w:r>
      <w:proofErr w:type="gramEnd"/>
      <w:r>
        <w:t xml:space="preserve"> APS webpage: </w:t>
      </w:r>
      <w:r w:rsidRPr="00BB4E4B">
        <w:t>https://www.apsc.gov.au/aps-data-release-and-statistical-bulletins</w:t>
      </w:r>
      <w:r>
        <w:t xml:space="preserve"> </w:t>
      </w:r>
    </w:p>
  </w:footnote>
  <w:footnote w:id="8">
    <w:p w14:paraId="4D427DF5" w14:textId="7C248A75" w:rsidR="00B72CA7" w:rsidRPr="008D5EE0" w:rsidRDefault="00B72CA7" w:rsidP="0016647F">
      <w:pPr>
        <w:pStyle w:val="FootnoteText"/>
        <w:rPr>
          <w:lang w:val="en-AU"/>
        </w:rPr>
      </w:pPr>
      <w:r>
        <w:rPr>
          <w:rStyle w:val="FootnoteReference"/>
        </w:rPr>
        <w:footnoteRef/>
      </w:r>
      <w:r>
        <w:t xml:space="preserve"> </w:t>
      </w:r>
      <w:r w:rsidRPr="008D5EE0">
        <w:t xml:space="preserve">Suburb is the smallest geography region in the </w:t>
      </w:r>
      <w:r>
        <w:t>Australian Standard Geographical Classification (</w:t>
      </w:r>
      <w:r w:rsidRPr="008D5EE0">
        <w:t>ASGC</w:t>
      </w:r>
      <w:r>
        <w:t>)</w:t>
      </w:r>
      <w:r w:rsidRPr="008D5EE0">
        <w:t xml:space="preserve"> geography hierarchy</w:t>
      </w:r>
      <w:r>
        <w:t>.</w:t>
      </w:r>
    </w:p>
  </w:footnote>
  <w:footnote w:id="9">
    <w:p w14:paraId="6385094D" w14:textId="3822D28F" w:rsidR="00B72CA7" w:rsidRPr="004E149D" w:rsidRDefault="00B72CA7">
      <w:pPr>
        <w:pStyle w:val="FootnoteText"/>
      </w:pPr>
      <w:r>
        <w:rPr>
          <w:rStyle w:val="FootnoteReference"/>
        </w:rPr>
        <w:footnoteRef/>
      </w:r>
      <w:r>
        <w:t xml:space="preserve"> About 2/3 of these are observations on housing sales and 1/3 are unit sales. </w:t>
      </w:r>
    </w:p>
  </w:footnote>
  <w:footnote w:id="10">
    <w:p w14:paraId="54BDBD51" w14:textId="65D9E2E6" w:rsidR="00B72CA7" w:rsidRPr="007F194C" w:rsidRDefault="00B72CA7">
      <w:pPr>
        <w:pStyle w:val="FootnoteText"/>
      </w:pPr>
      <w:r>
        <w:rPr>
          <w:rStyle w:val="FootnoteReference"/>
        </w:rPr>
        <w:footnoteRef/>
      </w:r>
      <w:r>
        <w:t xml:space="preserve"> </w:t>
      </w:r>
      <w:r w:rsidRPr="007F194C">
        <w:t xml:space="preserve">See Figure </w:t>
      </w:r>
      <w:r>
        <w:t>6</w:t>
      </w:r>
      <w:r w:rsidRPr="007F194C">
        <w:t xml:space="preserve"> in the </w:t>
      </w:r>
      <w:r>
        <w:t xml:space="preserve">technical </w:t>
      </w:r>
      <w:r w:rsidRPr="007F194C">
        <w:t>appendix.</w:t>
      </w:r>
    </w:p>
  </w:footnote>
  <w:footnote w:id="11">
    <w:p w14:paraId="038F48FB" w14:textId="77777777" w:rsidR="00B72CA7" w:rsidRDefault="00B72CA7" w:rsidP="0016647F">
      <w:pPr>
        <w:pStyle w:val="FootnoteText"/>
      </w:pPr>
      <w:r>
        <w:rPr>
          <w:rStyle w:val="FootnoteReference"/>
        </w:rPr>
        <w:footnoteRef/>
      </w:r>
      <w:r>
        <w:t xml:space="preserve"> The exact elasticity of a dummy variable coefficient in a log-log specification can be calculated as e</w:t>
      </w:r>
      <w:r w:rsidRPr="00116C52">
        <w:rPr>
          <w:vertAlign w:val="superscript"/>
        </w:rPr>
        <w:t>-0.2</w:t>
      </w:r>
      <w:r>
        <w:rPr>
          <w:vertAlign w:val="superscript"/>
        </w:rPr>
        <w:t>74</w:t>
      </w:r>
      <w:r>
        <w:t xml:space="preserve"> -1 = -0.24 which for small coefficients is close to the original value but with larger absolute coefficients this the difference will not be negligible. </w:t>
      </w:r>
    </w:p>
  </w:footnote>
  <w:footnote w:id="12">
    <w:p w14:paraId="5313E3B7" w14:textId="5199DDCA" w:rsidR="00B72CA7" w:rsidRPr="000B7067" w:rsidRDefault="00B72CA7">
      <w:pPr>
        <w:pStyle w:val="FootnoteText"/>
        <w:rPr>
          <w:lang w:val="en-AU"/>
        </w:rPr>
      </w:pPr>
      <w:r>
        <w:rPr>
          <w:rStyle w:val="FootnoteReference"/>
        </w:rPr>
        <w:footnoteRef/>
      </w:r>
      <w:r>
        <w:t xml:space="preserve"> </w:t>
      </w:r>
      <w:r w:rsidRPr="000B7067">
        <w:t>The reform dummy is a variable which is one for all months after the start of the reform and zero before.</w:t>
      </w:r>
    </w:p>
  </w:footnote>
  <w:footnote w:id="13">
    <w:p w14:paraId="4F769ADB" w14:textId="75EC786E" w:rsidR="00B72CA7" w:rsidRPr="000B7067" w:rsidRDefault="00B72CA7" w:rsidP="000B7067">
      <w:pPr>
        <w:pStyle w:val="FootnoteText"/>
      </w:pPr>
      <w:r>
        <w:rPr>
          <w:rStyle w:val="FootnoteReference"/>
        </w:rPr>
        <w:footnoteRef/>
      </w:r>
      <w:r>
        <w:t xml:space="preserve"> </w:t>
      </w:r>
      <w:r w:rsidRPr="000B7067">
        <w:t xml:space="preserve">The reform trend is a trend variable that starts with the introduction of the reform and </w:t>
      </w:r>
      <w:r>
        <w:t xml:space="preserve">is </w:t>
      </w:r>
      <w:r w:rsidRPr="000B7067">
        <w:t xml:space="preserve">zero in </w:t>
      </w:r>
      <w:r>
        <w:t xml:space="preserve">the </w:t>
      </w:r>
      <w:r w:rsidRPr="000B7067">
        <w:t xml:space="preserve">months prior to the reform. </w:t>
      </w:r>
    </w:p>
  </w:footnote>
  <w:footnote w:id="14">
    <w:p w14:paraId="65C2945C" w14:textId="5B5F370F" w:rsidR="00B72CA7" w:rsidRPr="00BD57D5" w:rsidRDefault="00B72CA7">
      <w:pPr>
        <w:pStyle w:val="FootnoteText"/>
      </w:pPr>
      <w:r>
        <w:rPr>
          <w:rStyle w:val="FootnoteReference"/>
        </w:rPr>
        <w:footnoteRef/>
      </w:r>
      <w:r>
        <w:t xml:space="preserve"> See Davidoff and </w:t>
      </w:r>
      <w:r w:rsidRPr="00BD57D5">
        <w:t>Leigh (2013) Economic Record, 89(286): 396-410</w:t>
      </w:r>
      <w:r>
        <w:t xml:space="preserve">. For the purely mechanical effect, free of any behavioural adjustments, we assume that at least 80% of the tax incidence lies with the sellers. </w:t>
      </w:r>
    </w:p>
  </w:footnote>
  <w:footnote w:id="15">
    <w:p w14:paraId="75F0615B" w14:textId="77777777" w:rsidR="00B72CA7" w:rsidRDefault="00B72CA7" w:rsidP="006408D2">
      <w:pPr>
        <w:pStyle w:val="FootnoteText"/>
      </w:pPr>
      <w:r>
        <w:rPr>
          <w:rStyle w:val="FootnoteReference"/>
        </w:rPr>
        <w:footnoteRef/>
      </w:r>
      <w:r>
        <w:t xml:space="preserve"> The</w:t>
      </w:r>
      <w:r w:rsidRPr="009F406A">
        <w:t xml:space="preserve"> </w:t>
      </w:r>
      <w:r>
        <w:t xml:space="preserve">overall sales </w:t>
      </w:r>
      <w:r w:rsidRPr="009F406A">
        <w:t xml:space="preserve">value </w:t>
      </w:r>
      <w:r>
        <w:t>is calculated</w:t>
      </w:r>
      <w:r w:rsidRPr="009F406A">
        <w:t xml:space="preserve"> </w:t>
      </w:r>
      <w:proofErr w:type="gramStart"/>
      <w:r>
        <w:t>on the basis of</w:t>
      </w:r>
      <w:proofErr w:type="gramEnd"/>
      <w:r>
        <w:t xml:space="preserve"> </w:t>
      </w:r>
      <w:r w:rsidRPr="009F406A">
        <w:t>number</w:t>
      </w:r>
      <w:r>
        <w:t xml:space="preserve"> of</w:t>
      </w:r>
      <w:r w:rsidRPr="009F406A">
        <w:t xml:space="preserve"> </w:t>
      </w:r>
      <w:r>
        <w:t xml:space="preserve">sales times price. </w:t>
      </w:r>
    </w:p>
  </w:footnote>
  <w:footnote w:id="16">
    <w:p w14:paraId="4C925446" w14:textId="77777777" w:rsidR="00B44672" w:rsidRDefault="00B44672">
      <w:pPr>
        <w:pStyle w:val="FootnoteText"/>
      </w:pPr>
      <w:r>
        <w:rPr>
          <w:rStyle w:val="FootnoteReference"/>
        </w:rPr>
        <w:footnoteRef/>
      </w:r>
      <w:r>
        <w:t xml:space="preserve"> National Centre for Social and Economic Modelling, University of Canberra</w:t>
      </w:r>
    </w:p>
  </w:footnote>
  <w:footnote w:id="17">
    <w:p w14:paraId="24B7EEFA" w14:textId="77777777" w:rsidR="00B44672" w:rsidRDefault="00B44672">
      <w:pPr>
        <w:pStyle w:val="FootnoteText"/>
      </w:pPr>
      <w:r>
        <w:rPr>
          <w:rStyle w:val="FootnoteReference"/>
        </w:rPr>
        <w:footnoteRef/>
      </w:r>
      <w:r>
        <w:t xml:space="preserve"> A small proportion of these renters may own a property, which </w:t>
      </w:r>
      <w:proofErr w:type="spellStart"/>
      <w:r>
        <w:t>can not</w:t>
      </w:r>
      <w:proofErr w:type="spellEnd"/>
      <w:r>
        <w:t xml:space="preserve"> be identified in our sample due to lack of information.</w:t>
      </w:r>
    </w:p>
  </w:footnote>
  <w:footnote w:id="18">
    <w:p w14:paraId="3F57B5BA" w14:textId="77777777" w:rsidR="00B44672" w:rsidRDefault="00B44672">
      <w:pPr>
        <w:pStyle w:val="FootnoteText"/>
      </w:pPr>
      <w:r>
        <w:rPr>
          <w:rStyle w:val="FootnoteReference"/>
        </w:rPr>
        <w:footnoteRef/>
      </w:r>
      <w:r>
        <w:t xml:space="preserve"> Stamp duty concession and FHOG for first home buyers was only available for new properties from 2013 to June 2019, and this has also been incorporated into our modelling.</w:t>
      </w:r>
    </w:p>
  </w:footnote>
  <w:footnote w:id="19">
    <w:p w14:paraId="22E3704C" w14:textId="77777777" w:rsidR="00B44672" w:rsidRDefault="00B44672">
      <w:pPr>
        <w:pStyle w:val="FootnoteText"/>
      </w:pPr>
      <w:r>
        <w:rPr>
          <w:rStyle w:val="FootnoteReference"/>
        </w:rPr>
        <w:footnoteRef/>
      </w:r>
      <w:r>
        <w:t xml:space="preserve"> As is the convention, the WPI measure, which is collected from the ABS data, is December quarter percentage change from the corresponding quarter of the previous year, for total hourly rates of pay excluding bonuses for all industries in the ACT.</w:t>
      </w:r>
    </w:p>
  </w:footnote>
  <w:footnote w:id="20">
    <w:p w14:paraId="0A57D147" w14:textId="77777777" w:rsidR="00B44672" w:rsidRDefault="00B44672">
      <w:pPr>
        <w:pStyle w:val="FootnoteText"/>
      </w:pPr>
      <w:r>
        <w:rPr>
          <w:rStyle w:val="FootnoteReference"/>
        </w:rPr>
        <w:footnoteRef/>
      </w:r>
      <w:r>
        <w:t xml:space="preserve"> This threshold remained unchanged since 2007-08.</w:t>
      </w:r>
    </w:p>
  </w:footnote>
  <w:footnote w:id="21">
    <w:p w14:paraId="66045713" w14:textId="77777777" w:rsidR="00B44672" w:rsidRDefault="00B44672">
      <w:pPr>
        <w:pStyle w:val="FootnoteText"/>
      </w:pPr>
      <w:r>
        <w:rPr>
          <w:rStyle w:val="FootnoteReference"/>
        </w:rPr>
        <w:footnoteRef/>
      </w:r>
      <w:r>
        <w:t xml:space="preserve"> In 2017-18, to </w:t>
      </w:r>
      <w:proofErr w:type="gramStart"/>
      <w:r>
        <w:t>provide assistance</w:t>
      </w:r>
      <w:proofErr w:type="gramEnd"/>
      <w:r>
        <w:t xml:space="preserve"> with the higher increase in general rates for units as a result of changes in the calculation method (CCM), the Government provided a one-off $100 rates rebate to all units in this year. Because we assume that there is no change in the general rates calculation for residential units in this year due to lack of information, we do not </w:t>
      </w:r>
      <w:proofErr w:type="gramStart"/>
      <w:r>
        <w:t>take into account</w:t>
      </w:r>
      <w:proofErr w:type="gramEnd"/>
      <w:r>
        <w:t xml:space="preserve"> these changes in both the old and new tax policies.</w:t>
      </w:r>
    </w:p>
  </w:footnote>
  <w:footnote w:id="22">
    <w:p w14:paraId="4F8D5C47" w14:textId="77777777" w:rsidR="00B44672" w:rsidRDefault="00B44672">
      <w:pPr>
        <w:pStyle w:val="FootnoteText"/>
      </w:pPr>
      <w:r>
        <w:rPr>
          <w:rStyle w:val="FootnoteReference"/>
        </w:rPr>
        <w:footnoteRef/>
      </w:r>
      <w:r>
        <w:t xml:space="preserve"> From 1 July 2019, there is no longer an upper value threshold.</w:t>
      </w:r>
    </w:p>
  </w:footnote>
  <w:footnote w:id="23">
    <w:p w14:paraId="7D19EA9A" w14:textId="77777777" w:rsidR="00B44672" w:rsidRDefault="00B44672">
      <w:pPr>
        <w:pStyle w:val="FootnoteText"/>
      </w:pPr>
      <w:r>
        <w:rPr>
          <w:rStyle w:val="FootnoteReference"/>
        </w:rPr>
        <w:footnoteRef/>
      </w:r>
      <w:r>
        <w:t xml:space="preserve"> See </w:t>
      </w:r>
      <w:proofErr w:type="spellStart"/>
      <w:r>
        <w:t>Buis</w:t>
      </w:r>
      <w:proofErr w:type="spellEnd"/>
      <w:r>
        <w:t xml:space="preserve"> (</w:t>
      </w:r>
      <w:proofErr w:type="gramStart"/>
      <w:r>
        <w:t>2007)[</w:t>
      </w:r>
      <w:proofErr w:type="gramEnd"/>
      <w:r>
        <w:t xml:space="preserve">‘Stata tip 48: Discrete uses for uniform’, </w:t>
      </w:r>
      <w:r>
        <w:rPr>
          <w:i/>
        </w:rPr>
        <w:t>The Stata Journal</w:t>
      </w:r>
      <w:r>
        <w:t xml:space="preserve"> 7(3), 434–435] for more details.</w:t>
      </w:r>
    </w:p>
  </w:footnote>
  <w:footnote w:id="24">
    <w:p w14:paraId="664A1BD7" w14:textId="77777777" w:rsidR="00B44672" w:rsidRDefault="00B44672">
      <w:pPr>
        <w:pStyle w:val="FootnoteText"/>
      </w:pPr>
      <w:r>
        <w:rPr>
          <w:rStyle w:val="FootnoteReference"/>
        </w:rPr>
        <w:footnoteRef/>
      </w:r>
      <w:r>
        <w:t xml:space="preserve"> We follow the method suggested by Wood and Ong (2008).</w:t>
      </w:r>
    </w:p>
  </w:footnote>
  <w:footnote w:id="25">
    <w:p w14:paraId="441AF7B9" w14:textId="77777777" w:rsidR="00B44672" w:rsidRDefault="00B44672">
      <w:pPr>
        <w:pStyle w:val="FootnoteText"/>
      </w:pPr>
      <w:r>
        <w:rPr>
          <w:rStyle w:val="FootnoteReference"/>
        </w:rPr>
        <w:footnoteRef/>
      </w:r>
      <w:r>
        <w:t xml:space="preserve"> To simplify our model, we assume that only homeowners who do not own any other property intend to buy a rental property or change their home.</w:t>
      </w:r>
    </w:p>
  </w:footnote>
  <w:footnote w:id="26">
    <w:p w14:paraId="7A9F5443" w14:textId="77777777" w:rsidR="00B44672" w:rsidRDefault="00B44672" w:rsidP="009746CE">
      <w:pPr>
        <w:pStyle w:val="FootnoteText"/>
      </w:pPr>
      <w:r>
        <w:rPr>
          <w:rStyle w:val="FootnoteReference"/>
        </w:rPr>
        <w:footnoteRef/>
      </w:r>
      <w:r>
        <w:t xml:space="preserve"> </w:t>
      </w:r>
      <w:r w:rsidRPr="00642BF8">
        <w:t>https://www.corelogic.com.au/about-us</w:t>
      </w:r>
    </w:p>
  </w:footnote>
  <w:footnote w:id="27">
    <w:p w14:paraId="4D7081A7" w14:textId="77777777" w:rsidR="00B44672" w:rsidRPr="008D5EE0" w:rsidRDefault="00B44672" w:rsidP="009746CE">
      <w:pPr>
        <w:pStyle w:val="FootnoteText"/>
      </w:pPr>
      <w:r>
        <w:rPr>
          <w:rStyle w:val="FootnoteReference"/>
        </w:rPr>
        <w:footnoteRef/>
      </w:r>
      <w:r>
        <w:t xml:space="preserve"> </w:t>
      </w:r>
      <w:r w:rsidRPr="008D5EE0">
        <w:t>Suburb is the smallest geography region in the ASGC geography hierarchy</w:t>
      </w:r>
      <w:r>
        <w:t>.</w:t>
      </w:r>
    </w:p>
  </w:footnote>
  <w:footnote w:id="28">
    <w:p w14:paraId="702AD27C" w14:textId="77777777" w:rsidR="00B44672" w:rsidRDefault="00B44672" w:rsidP="009746CE">
      <w:pPr>
        <w:pStyle w:val="FootnoteText"/>
      </w:pPr>
      <w:r>
        <w:rPr>
          <w:rStyle w:val="FootnoteReference"/>
        </w:rPr>
        <w:footnoteRef/>
      </w:r>
      <w:r>
        <w:t xml:space="preserve"> Note we are not concerned with deflating sale prices for our econometric analysis as we employ time specific effects that will account for national inflation. The ABS </w:t>
      </w:r>
      <w:proofErr w:type="gramStart"/>
      <w:r>
        <w:t>does</w:t>
      </w:r>
      <w:proofErr w:type="gramEnd"/>
      <w:r>
        <w:t xml:space="preserve"> not provide State level inflation series. One other avenue we have not taken is to use a price index of capital cities.</w:t>
      </w:r>
    </w:p>
  </w:footnote>
  <w:footnote w:id="29">
    <w:p w14:paraId="35D9D1B0" w14:textId="77777777" w:rsidR="00B44672" w:rsidRDefault="00B44672">
      <w:pPr>
        <w:pStyle w:val="FootnoteText"/>
      </w:pPr>
      <w:r>
        <w:rPr>
          <w:rStyle w:val="FootnoteReference"/>
        </w:rPr>
        <w:footnoteRef/>
      </w:r>
      <w:r>
        <w:t xml:space="preserve"> The</w:t>
      </w:r>
      <w:r w:rsidRPr="009F406A">
        <w:t xml:space="preserve"> </w:t>
      </w:r>
      <w:r>
        <w:t xml:space="preserve">overall sales </w:t>
      </w:r>
      <w:r w:rsidRPr="009F406A">
        <w:t xml:space="preserve">value </w:t>
      </w:r>
      <w:r>
        <w:t>is calculated</w:t>
      </w:r>
      <w:r w:rsidRPr="009F406A">
        <w:t xml:space="preserve"> </w:t>
      </w:r>
      <w:proofErr w:type="gramStart"/>
      <w:r>
        <w:t>on the basis of</w:t>
      </w:r>
      <w:proofErr w:type="gramEnd"/>
      <w:r>
        <w:t xml:space="preserve"> </w:t>
      </w:r>
      <w:r w:rsidRPr="009F406A">
        <w:t xml:space="preserve">number </w:t>
      </w:r>
      <w:r>
        <w:t xml:space="preserve">sales times price.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D9596" w14:textId="77777777" w:rsidR="00B72CA7" w:rsidRDefault="00B72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EE8E747E"/>
    <w:lvl w:ilvl="0">
      <w:start w:val="1"/>
      <w:numFmt w:val="decimal"/>
      <w:lvlText w:val="%1."/>
      <w:lvlJc w:val="left"/>
      <w:pPr>
        <w:ind w:left="360" w:hanging="36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7C"/>
    <w:multiLevelType w:val="singleLevel"/>
    <w:tmpl w:val="B418ACC8"/>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E092D16A"/>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5BB82D96"/>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DA6AA172"/>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97C8460C"/>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358BA80"/>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BF648C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6AE8654"/>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1CACA1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7BF03C1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4C73E31"/>
    <w:multiLevelType w:val="hybridMultilevel"/>
    <w:tmpl w:val="5D0CE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17ABA"/>
    <w:multiLevelType w:val="multilevel"/>
    <w:tmpl w:val="D690F51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3" w15:restartNumberingAfterBreak="0">
    <w:nsid w:val="18B74915"/>
    <w:multiLevelType w:val="hybridMultilevel"/>
    <w:tmpl w:val="114CD63A"/>
    <w:lvl w:ilvl="0" w:tplc="023C3636">
      <w:start w:val="1"/>
      <w:numFmt w:val="bullet"/>
      <w:pStyle w:val="List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87F4B06"/>
    <w:multiLevelType w:val="multilevel"/>
    <w:tmpl w:val="30E07C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1AE401"/>
    <w:multiLevelType w:val="multilevel"/>
    <w:tmpl w:val="D46262E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36273ED0"/>
    <w:multiLevelType w:val="hybridMultilevel"/>
    <w:tmpl w:val="8EEA2D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BA179A"/>
    <w:multiLevelType w:val="hybridMultilevel"/>
    <w:tmpl w:val="21AAE5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99C529A"/>
    <w:multiLevelType w:val="multilevel"/>
    <w:tmpl w:val="EE8E747E"/>
    <w:lvl w:ilvl="0">
      <w:start w:val="1"/>
      <w:numFmt w:val="decimal"/>
      <w:lvlText w:val="%1."/>
      <w:lvlJc w:val="left"/>
      <w:pPr>
        <w:ind w:left="360" w:hanging="36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9" w15:restartNumberingAfterBreak="0">
    <w:nsid w:val="4B7C079A"/>
    <w:multiLevelType w:val="hybridMultilevel"/>
    <w:tmpl w:val="65C00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43050E"/>
    <w:multiLevelType w:val="hybridMultilevel"/>
    <w:tmpl w:val="80EAF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A6222B"/>
    <w:multiLevelType w:val="multilevel"/>
    <w:tmpl w:val="D6BEEEC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21E58C9"/>
    <w:multiLevelType w:val="hybridMultilevel"/>
    <w:tmpl w:val="B13A8E38"/>
    <w:lvl w:ilvl="0" w:tplc="16CE1D2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B407FC"/>
    <w:multiLevelType w:val="hybridMultilevel"/>
    <w:tmpl w:val="06C07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BEE26B4"/>
    <w:multiLevelType w:val="hybridMultilevel"/>
    <w:tmpl w:val="E6E68446"/>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3"/>
  </w:num>
  <w:num w:numId="13">
    <w:abstractNumId w:val="15"/>
  </w:num>
  <w:num w:numId="14">
    <w:abstractNumId w:val="24"/>
  </w:num>
  <w:num w:numId="15">
    <w:abstractNumId w:val="20"/>
  </w:num>
  <w:num w:numId="16">
    <w:abstractNumId w:val="21"/>
  </w:num>
  <w:num w:numId="17">
    <w:abstractNumId w:val="12"/>
  </w:num>
  <w:num w:numId="18">
    <w:abstractNumId w:val="18"/>
  </w:num>
  <w:num w:numId="19">
    <w:abstractNumId w:val="14"/>
  </w:num>
  <w:num w:numId="20">
    <w:abstractNumId w:val="17"/>
  </w:num>
  <w:num w:numId="21">
    <w:abstractNumId w:val="16"/>
  </w:num>
  <w:num w:numId="22">
    <w:abstractNumId w:val="11"/>
  </w:num>
  <w:num w:numId="23">
    <w:abstractNumId w:val="22"/>
  </w:num>
  <w:num w:numId="24">
    <w:abstractNumId w:val="2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912"/>
    <w:rsid w:val="00000EA0"/>
    <w:rsid w:val="000078AA"/>
    <w:rsid w:val="00013D3D"/>
    <w:rsid w:val="000144EC"/>
    <w:rsid w:val="00017EDB"/>
    <w:rsid w:val="00023032"/>
    <w:rsid w:val="000236D7"/>
    <w:rsid w:val="00027D5D"/>
    <w:rsid w:val="00031DD3"/>
    <w:rsid w:val="00034BEA"/>
    <w:rsid w:val="0004184A"/>
    <w:rsid w:val="00042350"/>
    <w:rsid w:val="00046A38"/>
    <w:rsid w:val="00052227"/>
    <w:rsid w:val="00055399"/>
    <w:rsid w:val="00056C50"/>
    <w:rsid w:val="00057EAC"/>
    <w:rsid w:val="0006066F"/>
    <w:rsid w:val="0006386B"/>
    <w:rsid w:val="0006511F"/>
    <w:rsid w:val="0007755C"/>
    <w:rsid w:val="000775B8"/>
    <w:rsid w:val="00077EDA"/>
    <w:rsid w:val="000830AC"/>
    <w:rsid w:val="0008796C"/>
    <w:rsid w:val="000934DB"/>
    <w:rsid w:val="00093A8B"/>
    <w:rsid w:val="000965F4"/>
    <w:rsid w:val="000A048D"/>
    <w:rsid w:val="000B65FB"/>
    <w:rsid w:val="000B7067"/>
    <w:rsid w:val="000C2B95"/>
    <w:rsid w:val="000C3BF3"/>
    <w:rsid w:val="000C3D04"/>
    <w:rsid w:val="000C531F"/>
    <w:rsid w:val="000C57CC"/>
    <w:rsid w:val="000C5BBF"/>
    <w:rsid w:val="000C5FE9"/>
    <w:rsid w:val="000D52D4"/>
    <w:rsid w:val="000D61D1"/>
    <w:rsid w:val="000E340C"/>
    <w:rsid w:val="000F06B9"/>
    <w:rsid w:val="000F1601"/>
    <w:rsid w:val="000F18B3"/>
    <w:rsid w:val="000F396E"/>
    <w:rsid w:val="00103497"/>
    <w:rsid w:val="00103A32"/>
    <w:rsid w:val="0011157E"/>
    <w:rsid w:val="00116EFF"/>
    <w:rsid w:val="0011794E"/>
    <w:rsid w:val="0012073E"/>
    <w:rsid w:val="001242D8"/>
    <w:rsid w:val="001278C6"/>
    <w:rsid w:val="00131387"/>
    <w:rsid w:val="00131D91"/>
    <w:rsid w:val="00134312"/>
    <w:rsid w:val="001379A2"/>
    <w:rsid w:val="00140D89"/>
    <w:rsid w:val="001513AA"/>
    <w:rsid w:val="001531E6"/>
    <w:rsid w:val="00155A11"/>
    <w:rsid w:val="00155C6A"/>
    <w:rsid w:val="00156378"/>
    <w:rsid w:val="00160D4C"/>
    <w:rsid w:val="00161DA3"/>
    <w:rsid w:val="0016340D"/>
    <w:rsid w:val="0016401D"/>
    <w:rsid w:val="0016647F"/>
    <w:rsid w:val="00170913"/>
    <w:rsid w:val="00170E36"/>
    <w:rsid w:val="00173AB7"/>
    <w:rsid w:val="001759A0"/>
    <w:rsid w:val="00175A0A"/>
    <w:rsid w:val="001825EC"/>
    <w:rsid w:val="00187866"/>
    <w:rsid w:val="001903F7"/>
    <w:rsid w:val="00190C4C"/>
    <w:rsid w:val="001922CF"/>
    <w:rsid w:val="001935C8"/>
    <w:rsid w:val="001957D5"/>
    <w:rsid w:val="001A22F4"/>
    <w:rsid w:val="001A31AD"/>
    <w:rsid w:val="001A4D10"/>
    <w:rsid w:val="001A5955"/>
    <w:rsid w:val="001B1D56"/>
    <w:rsid w:val="001B4C05"/>
    <w:rsid w:val="001B50A4"/>
    <w:rsid w:val="001C35DC"/>
    <w:rsid w:val="001C45CD"/>
    <w:rsid w:val="001C5578"/>
    <w:rsid w:val="001C570F"/>
    <w:rsid w:val="001C57D4"/>
    <w:rsid w:val="001C7868"/>
    <w:rsid w:val="001D1F3E"/>
    <w:rsid w:val="001D5402"/>
    <w:rsid w:val="001D770C"/>
    <w:rsid w:val="001E1321"/>
    <w:rsid w:val="001E3B45"/>
    <w:rsid w:val="001E4D5F"/>
    <w:rsid w:val="001F02DE"/>
    <w:rsid w:val="001F411F"/>
    <w:rsid w:val="001F67B3"/>
    <w:rsid w:val="00200EC4"/>
    <w:rsid w:val="00205CA4"/>
    <w:rsid w:val="002063BB"/>
    <w:rsid w:val="00207FEB"/>
    <w:rsid w:val="00210829"/>
    <w:rsid w:val="0021152A"/>
    <w:rsid w:val="00214C24"/>
    <w:rsid w:val="002167E8"/>
    <w:rsid w:val="00216E3F"/>
    <w:rsid w:val="002207D8"/>
    <w:rsid w:val="00222D9A"/>
    <w:rsid w:val="0022362A"/>
    <w:rsid w:val="002241C3"/>
    <w:rsid w:val="002278DC"/>
    <w:rsid w:val="00230200"/>
    <w:rsid w:val="002333F6"/>
    <w:rsid w:val="00235791"/>
    <w:rsid w:val="002374BA"/>
    <w:rsid w:val="00241677"/>
    <w:rsid w:val="00245CA4"/>
    <w:rsid w:val="002522A0"/>
    <w:rsid w:val="00252CC6"/>
    <w:rsid w:val="00261F3C"/>
    <w:rsid w:val="002705B0"/>
    <w:rsid w:val="002747F1"/>
    <w:rsid w:val="00281EBA"/>
    <w:rsid w:val="002823E4"/>
    <w:rsid w:val="002830FA"/>
    <w:rsid w:val="00284C42"/>
    <w:rsid w:val="00286A04"/>
    <w:rsid w:val="00291FDD"/>
    <w:rsid w:val="00293E7C"/>
    <w:rsid w:val="0029427F"/>
    <w:rsid w:val="002A07F4"/>
    <w:rsid w:val="002A157D"/>
    <w:rsid w:val="002A32BA"/>
    <w:rsid w:val="002A5BAA"/>
    <w:rsid w:val="002A6083"/>
    <w:rsid w:val="002B3AD1"/>
    <w:rsid w:val="002B578F"/>
    <w:rsid w:val="002B5D25"/>
    <w:rsid w:val="002B6577"/>
    <w:rsid w:val="002B7B15"/>
    <w:rsid w:val="002C0F74"/>
    <w:rsid w:val="002C14CA"/>
    <w:rsid w:val="002C35DC"/>
    <w:rsid w:val="002C3776"/>
    <w:rsid w:val="002C3D4E"/>
    <w:rsid w:val="002C4929"/>
    <w:rsid w:val="002C5040"/>
    <w:rsid w:val="002C6FCC"/>
    <w:rsid w:val="002D582E"/>
    <w:rsid w:val="002E199A"/>
    <w:rsid w:val="002F077A"/>
    <w:rsid w:val="002F5F69"/>
    <w:rsid w:val="0030360F"/>
    <w:rsid w:val="00305460"/>
    <w:rsid w:val="00313043"/>
    <w:rsid w:val="00314785"/>
    <w:rsid w:val="00314F9B"/>
    <w:rsid w:val="003175FE"/>
    <w:rsid w:val="003179D8"/>
    <w:rsid w:val="00323F13"/>
    <w:rsid w:val="00335DF1"/>
    <w:rsid w:val="00336268"/>
    <w:rsid w:val="00345F92"/>
    <w:rsid w:val="00352F3A"/>
    <w:rsid w:val="00353FD9"/>
    <w:rsid w:val="003606AA"/>
    <w:rsid w:val="00362F9C"/>
    <w:rsid w:val="00364B29"/>
    <w:rsid w:val="003704A9"/>
    <w:rsid w:val="0037297F"/>
    <w:rsid w:val="00376DE0"/>
    <w:rsid w:val="00384C2F"/>
    <w:rsid w:val="00387AE1"/>
    <w:rsid w:val="0039204E"/>
    <w:rsid w:val="00392A19"/>
    <w:rsid w:val="00394286"/>
    <w:rsid w:val="003968C2"/>
    <w:rsid w:val="003A02ED"/>
    <w:rsid w:val="003A5796"/>
    <w:rsid w:val="003B0D4E"/>
    <w:rsid w:val="003B0F66"/>
    <w:rsid w:val="003B2189"/>
    <w:rsid w:val="003B269B"/>
    <w:rsid w:val="003B5ED2"/>
    <w:rsid w:val="003B7992"/>
    <w:rsid w:val="003C0366"/>
    <w:rsid w:val="003C200D"/>
    <w:rsid w:val="003C258F"/>
    <w:rsid w:val="003C620A"/>
    <w:rsid w:val="003D09CB"/>
    <w:rsid w:val="003D133F"/>
    <w:rsid w:val="003D1F34"/>
    <w:rsid w:val="003E1595"/>
    <w:rsid w:val="003E54B0"/>
    <w:rsid w:val="003F25C8"/>
    <w:rsid w:val="003F2C54"/>
    <w:rsid w:val="003F3021"/>
    <w:rsid w:val="003F4E32"/>
    <w:rsid w:val="003F5D4A"/>
    <w:rsid w:val="00403F3D"/>
    <w:rsid w:val="0040541D"/>
    <w:rsid w:val="00410562"/>
    <w:rsid w:val="00412C14"/>
    <w:rsid w:val="00416E92"/>
    <w:rsid w:val="00423FC3"/>
    <w:rsid w:val="004251AF"/>
    <w:rsid w:val="00427D7D"/>
    <w:rsid w:val="004323D9"/>
    <w:rsid w:val="00432FAD"/>
    <w:rsid w:val="00434A1A"/>
    <w:rsid w:val="00441A3B"/>
    <w:rsid w:val="004438C5"/>
    <w:rsid w:val="004449B1"/>
    <w:rsid w:val="00444C30"/>
    <w:rsid w:val="00450847"/>
    <w:rsid w:val="00455B3A"/>
    <w:rsid w:val="00461BCF"/>
    <w:rsid w:val="0046643B"/>
    <w:rsid w:val="004677B0"/>
    <w:rsid w:val="00471082"/>
    <w:rsid w:val="004757D6"/>
    <w:rsid w:val="004823BA"/>
    <w:rsid w:val="0048390A"/>
    <w:rsid w:val="00485DD1"/>
    <w:rsid w:val="0048751A"/>
    <w:rsid w:val="0049634B"/>
    <w:rsid w:val="00497180"/>
    <w:rsid w:val="00497C6D"/>
    <w:rsid w:val="004A1A79"/>
    <w:rsid w:val="004A254C"/>
    <w:rsid w:val="004A2B82"/>
    <w:rsid w:val="004A347E"/>
    <w:rsid w:val="004A3682"/>
    <w:rsid w:val="004A3D6D"/>
    <w:rsid w:val="004A6D46"/>
    <w:rsid w:val="004A78BC"/>
    <w:rsid w:val="004B0538"/>
    <w:rsid w:val="004B37F9"/>
    <w:rsid w:val="004B41FE"/>
    <w:rsid w:val="004C2A40"/>
    <w:rsid w:val="004C2C4B"/>
    <w:rsid w:val="004C2C8D"/>
    <w:rsid w:val="004C5C06"/>
    <w:rsid w:val="004C6E9D"/>
    <w:rsid w:val="004C7994"/>
    <w:rsid w:val="004D689B"/>
    <w:rsid w:val="004D74B9"/>
    <w:rsid w:val="004E149D"/>
    <w:rsid w:val="004E373E"/>
    <w:rsid w:val="004E57A2"/>
    <w:rsid w:val="004E6121"/>
    <w:rsid w:val="004E77C8"/>
    <w:rsid w:val="004F2BCB"/>
    <w:rsid w:val="004F2D33"/>
    <w:rsid w:val="004F54AE"/>
    <w:rsid w:val="004F676E"/>
    <w:rsid w:val="005012E5"/>
    <w:rsid w:val="00502395"/>
    <w:rsid w:val="005060E0"/>
    <w:rsid w:val="00506F01"/>
    <w:rsid w:val="00507460"/>
    <w:rsid w:val="00512030"/>
    <w:rsid w:val="005144BA"/>
    <w:rsid w:val="00515CA7"/>
    <w:rsid w:val="00515DD3"/>
    <w:rsid w:val="00517F03"/>
    <w:rsid w:val="00521D3D"/>
    <w:rsid w:val="00523371"/>
    <w:rsid w:val="00523736"/>
    <w:rsid w:val="00526D5F"/>
    <w:rsid w:val="0053375E"/>
    <w:rsid w:val="00536D2D"/>
    <w:rsid w:val="00545C56"/>
    <w:rsid w:val="00547997"/>
    <w:rsid w:val="00547CCC"/>
    <w:rsid w:val="005507A0"/>
    <w:rsid w:val="00554BE5"/>
    <w:rsid w:val="00560587"/>
    <w:rsid w:val="00561E65"/>
    <w:rsid w:val="00567758"/>
    <w:rsid w:val="00570303"/>
    <w:rsid w:val="005742F4"/>
    <w:rsid w:val="0057454B"/>
    <w:rsid w:val="00575787"/>
    <w:rsid w:val="0058048C"/>
    <w:rsid w:val="00582655"/>
    <w:rsid w:val="005859B8"/>
    <w:rsid w:val="0059176E"/>
    <w:rsid w:val="00591921"/>
    <w:rsid w:val="005A102C"/>
    <w:rsid w:val="005A3160"/>
    <w:rsid w:val="005A4851"/>
    <w:rsid w:val="005A4AE0"/>
    <w:rsid w:val="005A731C"/>
    <w:rsid w:val="005B3678"/>
    <w:rsid w:val="005B42E2"/>
    <w:rsid w:val="005C58B0"/>
    <w:rsid w:val="005C5998"/>
    <w:rsid w:val="005C636F"/>
    <w:rsid w:val="005D27FA"/>
    <w:rsid w:val="005D542C"/>
    <w:rsid w:val="005E186C"/>
    <w:rsid w:val="005E1967"/>
    <w:rsid w:val="005E5741"/>
    <w:rsid w:val="005E673C"/>
    <w:rsid w:val="005E74B2"/>
    <w:rsid w:val="005F0B76"/>
    <w:rsid w:val="005F4D59"/>
    <w:rsid w:val="005F6812"/>
    <w:rsid w:val="00600A41"/>
    <w:rsid w:val="00602232"/>
    <w:rsid w:val="00603B33"/>
    <w:rsid w:val="00604AFF"/>
    <w:rsid w:val="00604D58"/>
    <w:rsid w:val="00607AAB"/>
    <w:rsid w:val="006135F9"/>
    <w:rsid w:val="00615E55"/>
    <w:rsid w:val="00630005"/>
    <w:rsid w:val="006408D2"/>
    <w:rsid w:val="00640C93"/>
    <w:rsid w:val="00642A78"/>
    <w:rsid w:val="00645315"/>
    <w:rsid w:val="00647F89"/>
    <w:rsid w:val="006507C8"/>
    <w:rsid w:val="00650A07"/>
    <w:rsid w:val="006515E3"/>
    <w:rsid w:val="00657B51"/>
    <w:rsid w:val="006601E7"/>
    <w:rsid w:val="006606FF"/>
    <w:rsid w:val="00661E15"/>
    <w:rsid w:val="0066225D"/>
    <w:rsid w:val="00664DE2"/>
    <w:rsid w:val="00670582"/>
    <w:rsid w:val="006755DC"/>
    <w:rsid w:val="00680F56"/>
    <w:rsid w:val="00686049"/>
    <w:rsid w:val="006860A7"/>
    <w:rsid w:val="00686B37"/>
    <w:rsid w:val="00690B05"/>
    <w:rsid w:val="00692A24"/>
    <w:rsid w:val="00694D45"/>
    <w:rsid w:val="00694FA0"/>
    <w:rsid w:val="00695800"/>
    <w:rsid w:val="00695ABD"/>
    <w:rsid w:val="006A41F9"/>
    <w:rsid w:val="006A5943"/>
    <w:rsid w:val="006A612A"/>
    <w:rsid w:val="006B0458"/>
    <w:rsid w:val="006B4A33"/>
    <w:rsid w:val="006B6EAC"/>
    <w:rsid w:val="006B7363"/>
    <w:rsid w:val="006C01D4"/>
    <w:rsid w:val="006D1006"/>
    <w:rsid w:val="006D231A"/>
    <w:rsid w:val="006D2CF2"/>
    <w:rsid w:val="006D3D08"/>
    <w:rsid w:val="006D5EE8"/>
    <w:rsid w:val="006D75A4"/>
    <w:rsid w:val="006D7F14"/>
    <w:rsid w:val="006E31A0"/>
    <w:rsid w:val="006E375F"/>
    <w:rsid w:val="006E4335"/>
    <w:rsid w:val="006E56C8"/>
    <w:rsid w:val="006E78CE"/>
    <w:rsid w:val="006F1A83"/>
    <w:rsid w:val="006F2CA9"/>
    <w:rsid w:val="0070020D"/>
    <w:rsid w:val="00701033"/>
    <w:rsid w:val="00702493"/>
    <w:rsid w:val="007100DF"/>
    <w:rsid w:val="007106DA"/>
    <w:rsid w:val="00712E49"/>
    <w:rsid w:val="0071536F"/>
    <w:rsid w:val="00716950"/>
    <w:rsid w:val="00716D36"/>
    <w:rsid w:val="00717734"/>
    <w:rsid w:val="00720D79"/>
    <w:rsid w:val="007231B6"/>
    <w:rsid w:val="00723804"/>
    <w:rsid w:val="007250EB"/>
    <w:rsid w:val="00727FDA"/>
    <w:rsid w:val="00735E3A"/>
    <w:rsid w:val="00740D1A"/>
    <w:rsid w:val="00745971"/>
    <w:rsid w:val="007508AC"/>
    <w:rsid w:val="0075515C"/>
    <w:rsid w:val="0076223E"/>
    <w:rsid w:val="007627FE"/>
    <w:rsid w:val="0076284F"/>
    <w:rsid w:val="00767301"/>
    <w:rsid w:val="0077580B"/>
    <w:rsid w:val="0078060F"/>
    <w:rsid w:val="00780755"/>
    <w:rsid w:val="007810BE"/>
    <w:rsid w:val="007825BB"/>
    <w:rsid w:val="007848C4"/>
    <w:rsid w:val="007850E7"/>
    <w:rsid w:val="00790AFC"/>
    <w:rsid w:val="00791C80"/>
    <w:rsid w:val="007954DC"/>
    <w:rsid w:val="00795E94"/>
    <w:rsid w:val="007A10E8"/>
    <w:rsid w:val="007A169B"/>
    <w:rsid w:val="007A35C3"/>
    <w:rsid w:val="007B37FC"/>
    <w:rsid w:val="007B4CB4"/>
    <w:rsid w:val="007B644D"/>
    <w:rsid w:val="007C11BD"/>
    <w:rsid w:val="007D1476"/>
    <w:rsid w:val="007D3620"/>
    <w:rsid w:val="007E460B"/>
    <w:rsid w:val="007E496C"/>
    <w:rsid w:val="007E7A88"/>
    <w:rsid w:val="007F194C"/>
    <w:rsid w:val="007F5836"/>
    <w:rsid w:val="007F60A4"/>
    <w:rsid w:val="007F7C70"/>
    <w:rsid w:val="008027EA"/>
    <w:rsid w:val="00807044"/>
    <w:rsid w:val="00810975"/>
    <w:rsid w:val="00810F6F"/>
    <w:rsid w:val="00826A4C"/>
    <w:rsid w:val="00831C8C"/>
    <w:rsid w:val="00832334"/>
    <w:rsid w:val="0083729D"/>
    <w:rsid w:val="00841EA3"/>
    <w:rsid w:val="00842282"/>
    <w:rsid w:val="00843A91"/>
    <w:rsid w:val="0084774E"/>
    <w:rsid w:val="00847DB8"/>
    <w:rsid w:val="0085261A"/>
    <w:rsid w:val="0085586D"/>
    <w:rsid w:val="00856A2A"/>
    <w:rsid w:val="00856B9C"/>
    <w:rsid w:val="0086033E"/>
    <w:rsid w:val="00860FE3"/>
    <w:rsid w:val="00862EE2"/>
    <w:rsid w:val="00865CB8"/>
    <w:rsid w:val="00866454"/>
    <w:rsid w:val="008672E7"/>
    <w:rsid w:val="00867645"/>
    <w:rsid w:val="00867C38"/>
    <w:rsid w:val="00870105"/>
    <w:rsid w:val="008703BD"/>
    <w:rsid w:val="0087638E"/>
    <w:rsid w:val="00881921"/>
    <w:rsid w:val="00881C9D"/>
    <w:rsid w:val="0088236D"/>
    <w:rsid w:val="0088416E"/>
    <w:rsid w:val="008921C0"/>
    <w:rsid w:val="00893912"/>
    <w:rsid w:val="00893D29"/>
    <w:rsid w:val="0089568C"/>
    <w:rsid w:val="008A47A2"/>
    <w:rsid w:val="008B13EA"/>
    <w:rsid w:val="008B16A0"/>
    <w:rsid w:val="008B372B"/>
    <w:rsid w:val="008C134B"/>
    <w:rsid w:val="008C2EE2"/>
    <w:rsid w:val="008C4166"/>
    <w:rsid w:val="008C7290"/>
    <w:rsid w:val="008D1414"/>
    <w:rsid w:val="008E2B90"/>
    <w:rsid w:val="008E2C12"/>
    <w:rsid w:val="008E3218"/>
    <w:rsid w:val="008E3223"/>
    <w:rsid w:val="008E499C"/>
    <w:rsid w:val="008E6151"/>
    <w:rsid w:val="008E6303"/>
    <w:rsid w:val="008F09E4"/>
    <w:rsid w:val="008F1DF3"/>
    <w:rsid w:val="008F4BBA"/>
    <w:rsid w:val="008F5444"/>
    <w:rsid w:val="008F656B"/>
    <w:rsid w:val="008F7911"/>
    <w:rsid w:val="009000F6"/>
    <w:rsid w:val="00901BC5"/>
    <w:rsid w:val="00910623"/>
    <w:rsid w:val="00910BF5"/>
    <w:rsid w:val="00914F65"/>
    <w:rsid w:val="009157CD"/>
    <w:rsid w:val="009163B9"/>
    <w:rsid w:val="009172FF"/>
    <w:rsid w:val="00931E5C"/>
    <w:rsid w:val="00932D95"/>
    <w:rsid w:val="0093467C"/>
    <w:rsid w:val="00934FA4"/>
    <w:rsid w:val="009354F8"/>
    <w:rsid w:val="00936D7D"/>
    <w:rsid w:val="00936E43"/>
    <w:rsid w:val="0094423A"/>
    <w:rsid w:val="0094605F"/>
    <w:rsid w:val="009463DE"/>
    <w:rsid w:val="0094672A"/>
    <w:rsid w:val="00951333"/>
    <w:rsid w:val="00952700"/>
    <w:rsid w:val="0095469E"/>
    <w:rsid w:val="009624B2"/>
    <w:rsid w:val="00964029"/>
    <w:rsid w:val="009653DC"/>
    <w:rsid w:val="00965B52"/>
    <w:rsid w:val="0096677E"/>
    <w:rsid w:val="009756CF"/>
    <w:rsid w:val="00977A64"/>
    <w:rsid w:val="00987910"/>
    <w:rsid w:val="009A232F"/>
    <w:rsid w:val="009B0FD7"/>
    <w:rsid w:val="009B1CFD"/>
    <w:rsid w:val="009B6079"/>
    <w:rsid w:val="009B6097"/>
    <w:rsid w:val="009B66A0"/>
    <w:rsid w:val="009B6935"/>
    <w:rsid w:val="009B793F"/>
    <w:rsid w:val="009C532C"/>
    <w:rsid w:val="009C5EBD"/>
    <w:rsid w:val="009C6754"/>
    <w:rsid w:val="009D4B18"/>
    <w:rsid w:val="009E4845"/>
    <w:rsid w:val="009F0B02"/>
    <w:rsid w:val="009F11C8"/>
    <w:rsid w:val="009F2F94"/>
    <w:rsid w:val="009F5B21"/>
    <w:rsid w:val="00A0026F"/>
    <w:rsid w:val="00A02A54"/>
    <w:rsid w:val="00A03840"/>
    <w:rsid w:val="00A07345"/>
    <w:rsid w:val="00A07A02"/>
    <w:rsid w:val="00A206B8"/>
    <w:rsid w:val="00A21509"/>
    <w:rsid w:val="00A22074"/>
    <w:rsid w:val="00A25C2F"/>
    <w:rsid w:val="00A30CBB"/>
    <w:rsid w:val="00A33849"/>
    <w:rsid w:val="00A356E9"/>
    <w:rsid w:val="00A407FF"/>
    <w:rsid w:val="00A40F5A"/>
    <w:rsid w:val="00A41D12"/>
    <w:rsid w:val="00A425E1"/>
    <w:rsid w:val="00A428B8"/>
    <w:rsid w:val="00A443F6"/>
    <w:rsid w:val="00A44EEF"/>
    <w:rsid w:val="00A5640A"/>
    <w:rsid w:val="00A6129D"/>
    <w:rsid w:val="00A61B04"/>
    <w:rsid w:val="00A6304C"/>
    <w:rsid w:val="00A72194"/>
    <w:rsid w:val="00A73127"/>
    <w:rsid w:val="00A73320"/>
    <w:rsid w:val="00A73737"/>
    <w:rsid w:val="00A73C8D"/>
    <w:rsid w:val="00A753F2"/>
    <w:rsid w:val="00A763B6"/>
    <w:rsid w:val="00A7673F"/>
    <w:rsid w:val="00A77825"/>
    <w:rsid w:val="00A80F5E"/>
    <w:rsid w:val="00A837F1"/>
    <w:rsid w:val="00A85096"/>
    <w:rsid w:val="00A867F5"/>
    <w:rsid w:val="00A91B02"/>
    <w:rsid w:val="00A925A3"/>
    <w:rsid w:val="00A93294"/>
    <w:rsid w:val="00A949CF"/>
    <w:rsid w:val="00AA1AAE"/>
    <w:rsid w:val="00AA516F"/>
    <w:rsid w:val="00AB2D58"/>
    <w:rsid w:val="00AB3195"/>
    <w:rsid w:val="00AB4509"/>
    <w:rsid w:val="00AB7763"/>
    <w:rsid w:val="00AC064C"/>
    <w:rsid w:val="00AC36A9"/>
    <w:rsid w:val="00AC4D90"/>
    <w:rsid w:val="00AD38F0"/>
    <w:rsid w:val="00AD5B9C"/>
    <w:rsid w:val="00AD69AA"/>
    <w:rsid w:val="00AE3D0E"/>
    <w:rsid w:val="00AE4A85"/>
    <w:rsid w:val="00AE79D2"/>
    <w:rsid w:val="00AE7D07"/>
    <w:rsid w:val="00AF4661"/>
    <w:rsid w:val="00AF5A2D"/>
    <w:rsid w:val="00AF7291"/>
    <w:rsid w:val="00B0070E"/>
    <w:rsid w:val="00B00DBC"/>
    <w:rsid w:val="00B02747"/>
    <w:rsid w:val="00B04B98"/>
    <w:rsid w:val="00B05315"/>
    <w:rsid w:val="00B06A62"/>
    <w:rsid w:val="00B06EFB"/>
    <w:rsid w:val="00B10218"/>
    <w:rsid w:val="00B2302C"/>
    <w:rsid w:val="00B2376F"/>
    <w:rsid w:val="00B25B31"/>
    <w:rsid w:val="00B267C9"/>
    <w:rsid w:val="00B26910"/>
    <w:rsid w:val="00B33E36"/>
    <w:rsid w:val="00B361F0"/>
    <w:rsid w:val="00B44672"/>
    <w:rsid w:val="00B44A28"/>
    <w:rsid w:val="00B4697F"/>
    <w:rsid w:val="00B476A3"/>
    <w:rsid w:val="00B47DCB"/>
    <w:rsid w:val="00B5069E"/>
    <w:rsid w:val="00B50EB0"/>
    <w:rsid w:val="00B549FA"/>
    <w:rsid w:val="00B64094"/>
    <w:rsid w:val="00B64B3D"/>
    <w:rsid w:val="00B66F40"/>
    <w:rsid w:val="00B72CA7"/>
    <w:rsid w:val="00B7413F"/>
    <w:rsid w:val="00B74364"/>
    <w:rsid w:val="00B804C2"/>
    <w:rsid w:val="00B83273"/>
    <w:rsid w:val="00B87ACE"/>
    <w:rsid w:val="00B90870"/>
    <w:rsid w:val="00B918B7"/>
    <w:rsid w:val="00B91EB7"/>
    <w:rsid w:val="00B92624"/>
    <w:rsid w:val="00B95B15"/>
    <w:rsid w:val="00B96F2D"/>
    <w:rsid w:val="00BA18F4"/>
    <w:rsid w:val="00BA21AB"/>
    <w:rsid w:val="00BB4E4B"/>
    <w:rsid w:val="00BC0682"/>
    <w:rsid w:val="00BD57D5"/>
    <w:rsid w:val="00BE7230"/>
    <w:rsid w:val="00BE7936"/>
    <w:rsid w:val="00BF09C3"/>
    <w:rsid w:val="00BF09CF"/>
    <w:rsid w:val="00BF258B"/>
    <w:rsid w:val="00BF36B7"/>
    <w:rsid w:val="00BF4944"/>
    <w:rsid w:val="00BF7013"/>
    <w:rsid w:val="00C0185A"/>
    <w:rsid w:val="00C02227"/>
    <w:rsid w:val="00C039F6"/>
    <w:rsid w:val="00C04B1F"/>
    <w:rsid w:val="00C05BD5"/>
    <w:rsid w:val="00C06606"/>
    <w:rsid w:val="00C1335C"/>
    <w:rsid w:val="00C13962"/>
    <w:rsid w:val="00C161A4"/>
    <w:rsid w:val="00C32C90"/>
    <w:rsid w:val="00C34472"/>
    <w:rsid w:val="00C428D3"/>
    <w:rsid w:val="00C53B3C"/>
    <w:rsid w:val="00C62D68"/>
    <w:rsid w:val="00C63CD4"/>
    <w:rsid w:val="00C70B18"/>
    <w:rsid w:val="00C717F6"/>
    <w:rsid w:val="00C733A7"/>
    <w:rsid w:val="00C76E8D"/>
    <w:rsid w:val="00C77297"/>
    <w:rsid w:val="00C81FDF"/>
    <w:rsid w:val="00C82632"/>
    <w:rsid w:val="00C82BAE"/>
    <w:rsid w:val="00C84801"/>
    <w:rsid w:val="00C85533"/>
    <w:rsid w:val="00C961CF"/>
    <w:rsid w:val="00C96569"/>
    <w:rsid w:val="00C975F1"/>
    <w:rsid w:val="00CA0140"/>
    <w:rsid w:val="00CA0D79"/>
    <w:rsid w:val="00CA2CD7"/>
    <w:rsid w:val="00CA68EE"/>
    <w:rsid w:val="00CA73B6"/>
    <w:rsid w:val="00CA78A6"/>
    <w:rsid w:val="00CB0952"/>
    <w:rsid w:val="00CB3790"/>
    <w:rsid w:val="00CB413E"/>
    <w:rsid w:val="00CC0463"/>
    <w:rsid w:val="00CC2823"/>
    <w:rsid w:val="00CD08E1"/>
    <w:rsid w:val="00CD4BA6"/>
    <w:rsid w:val="00CD5876"/>
    <w:rsid w:val="00CD6A85"/>
    <w:rsid w:val="00CE2F0E"/>
    <w:rsid w:val="00CE721A"/>
    <w:rsid w:val="00CE7841"/>
    <w:rsid w:val="00CF0D72"/>
    <w:rsid w:val="00CF256C"/>
    <w:rsid w:val="00CF2A7B"/>
    <w:rsid w:val="00CF30AA"/>
    <w:rsid w:val="00CF60B5"/>
    <w:rsid w:val="00D035F3"/>
    <w:rsid w:val="00D03F5A"/>
    <w:rsid w:val="00D051FD"/>
    <w:rsid w:val="00D10A4F"/>
    <w:rsid w:val="00D11DAC"/>
    <w:rsid w:val="00D14E0C"/>
    <w:rsid w:val="00D21B0C"/>
    <w:rsid w:val="00D2562B"/>
    <w:rsid w:val="00D25B98"/>
    <w:rsid w:val="00D32D4D"/>
    <w:rsid w:val="00D32F2D"/>
    <w:rsid w:val="00D33511"/>
    <w:rsid w:val="00D341DC"/>
    <w:rsid w:val="00D40DDB"/>
    <w:rsid w:val="00D418D1"/>
    <w:rsid w:val="00D454FD"/>
    <w:rsid w:val="00D4573D"/>
    <w:rsid w:val="00D45A28"/>
    <w:rsid w:val="00D45C8E"/>
    <w:rsid w:val="00D4659F"/>
    <w:rsid w:val="00D476CF"/>
    <w:rsid w:val="00D519C8"/>
    <w:rsid w:val="00D52AEF"/>
    <w:rsid w:val="00D52C1C"/>
    <w:rsid w:val="00D53F7F"/>
    <w:rsid w:val="00D636F8"/>
    <w:rsid w:val="00D64539"/>
    <w:rsid w:val="00D67308"/>
    <w:rsid w:val="00D711FA"/>
    <w:rsid w:val="00D72DAE"/>
    <w:rsid w:val="00D74AC9"/>
    <w:rsid w:val="00D80E7C"/>
    <w:rsid w:val="00D81212"/>
    <w:rsid w:val="00D81A8D"/>
    <w:rsid w:val="00D82C8E"/>
    <w:rsid w:val="00D87647"/>
    <w:rsid w:val="00D900F1"/>
    <w:rsid w:val="00D9207E"/>
    <w:rsid w:val="00D92600"/>
    <w:rsid w:val="00D93E13"/>
    <w:rsid w:val="00D967C0"/>
    <w:rsid w:val="00D96B6C"/>
    <w:rsid w:val="00DA0A32"/>
    <w:rsid w:val="00DA2D19"/>
    <w:rsid w:val="00DA363A"/>
    <w:rsid w:val="00DB7E0A"/>
    <w:rsid w:val="00DD3C6C"/>
    <w:rsid w:val="00DD447F"/>
    <w:rsid w:val="00DD696C"/>
    <w:rsid w:val="00DE0029"/>
    <w:rsid w:val="00DE28F2"/>
    <w:rsid w:val="00DE5229"/>
    <w:rsid w:val="00DE78D1"/>
    <w:rsid w:val="00DF1DDF"/>
    <w:rsid w:val="00DF37A2"/>
    <w:rsid w:val="00DF43C2"/>
    <w:rsid w:val="00DF5AA4"/>
    <w:rsid w:val="00DF5E10"/>
    <w:rsid w:val="00DF67BC"/>
    <w:rsid w:val="00DF6EE2"/>
    <w:rsid w:val="00E141C1"/>
    <w:rsid w:val="00E15871"/>
    <w:rsid w:val="00E16C60"/>
    <w:rsid w:val="00E23786"/>
    <w:rsid w:val="00E26B78"/>
    <w:rsid w:val="00E34CCE"/>
    <w:rsid w:val="00E3503F"/>
    <w:rsid w:val="00E354A9"/>
    <w:rsid w:val="00E40723"/>
    <w:rsid w:val="00E44F71"/>
    <w:rsid w:val="00E45E31"/>
    <w:rsid w:val="00E46E54"/>
    <w:rsid w:val="00E50094"/>
    <w:rsid w:val="00E50100"/>
    <w:rsid w:val="00E50BA7"/>
    <w:rsid w:val="00E50F2E"/>
    <w:rsid w:val="00E53602"/>
    <w:rsid w:val="00E575C5"/>
    <w:rsid w:val="00E5788B"/>
    <w:rsid w:val="00E62761"/>
    <w:rsid w:val="00E63C88"/>
    <w:rsid w:val="00E64554"/>
    <w:rsid w:val="00E800F4"/>
    <w:rsid w:val="00E803F4"/>
    <w:rsid w:val="00E81CAE"/>
    <w:rsid w:val="00E83EB4"/>
    <w:rsid w:val="00E841A8"/>
    <w:rsid w:val="00E9433F"/>
    <w:rsid w:val="00E96454"/>
    <w:rsid w:val="00EA19F5"/>
    <w:rsid w:val="00EA3DB6"/>
    <w:rsid w:val="00EB07ED"/>
    <w:rsid w:val="00EB0F84"/>
    <w:rsid w:val="00EB25DC"/>
    <w:rsid w:val="00EB6132"/>
    <w:rsid w:val="00EC0F8B"/>
    <w:rsid w:val="00EC270B"/>
    <w:rsid w:val="00EC28D9"/>
    <w:rsid w:val="00EC7F4A"/>
    <w:rsid w:val="00ED1B68"/>
    <w:rsid w:val="00ED2484"/>
    <w:rsid w:val="00ED2E84"/>
    <w:rsid w:val="00ED3C1A"/>
    <w:rsid w:val="00ED5A7C"/>
    <w:rsid w:val="00ED6958"/>
    <w:rsid w:val="00EE0477"/>
    <w:rsid w:val="00EE0D25"/>
    <w:rsid w:val="00EE32E5"/>
    <w:rsid w:val="00EF3365"/>
    <w:rsid w:val="00EF3900"/>
    <w:rsid w:val="00EF4967"/>
    <w:rsid w:val="00EF4BED"/>
    <w:rsid w:val="00EF5161"/>
    <w:rsid w:val="00EF7C24"/>
    <w:rsid w:val="00F01ECE"/>
    <w:rsid w:val="00F04B93"/>
    <w:rsid w:val="00F0743B"/>
    <w:rsid w:val="00F120FE"/>
    <w:rsid w:val="00F124AE"/>
    <w:rsid w:val="00F12BB7"/>
    <w:rsid w:val="00F15819"/>
    <w:rsid w:val="00F17514"/>
    <w:rsid w:val="00F20E2E"/>
    <w:rsid w:val="00F23E8E"/>
    <w:rsid w:val="00F24B5B"/>
    <w:rsid w:val="00F25F34"/>
    <w:rsid w:val="00F31982"/>
    <w:rsid w:val="00F31BC2"/>
    <w:rsid w:val="00F3280B"/>
    <w:rsid w:val="00F3294E"/>
    <w:rsid w:val="00F33374"/>
    <w:rsid w:val="00F37CA4"/>
    <w:rsid w:val="00F37FE0"/>
    <w:rsid w:val="00F40059"/>
    <w:rsid w:val="00F51BBB"/>
    <w:rsid w:val="00F568B3"/>
    <w:rsid w:val="00F56CC6"/>
    <w:rsid w:val="00F56F62"/>
    <w:rsid w:val="00F60761"/>
    <w:rsid w:val="00F63CD1"/>
    <w:rsid w:val="00F64C17"/>
    <w:rsid w:val="00F7196C"/>
    <w:rsid w:val="00F72992"/>
    <w:rsid w:val="00F741AE"/>
    <w:rsid w:val="00F77AEC"/>
    <w:rsid w:val="00F80064"/>
    <w:rsid w:val="00F850F7"/>
    <w:rsid w:val="00F869BE"/>
    <w:rsid w:val="00F8784B"/>
    <w:rsid w:val="00F91734"/>
    <w:rsid w:val="00F97CAB"/>
    <w:rsid w:val="00FB2B0A"/>
    <w:rsid w:val="00FB3206"/>
    <w:rsid w:val="00FB7BAD"/>
    <w:rsid w:val="00FC0A5C"/>
    <w:rsid w:val="00FC2116"/>
    <w:rsid w:val="00FD0C23"/>
    <w:rsid w:val="00FD1405"/>
    <w:rsid w:val="00FD712E"/>
    <w:rsid w:val="00FD7182"/>
    <w:rsid w:val="00FE4536"/>
    <w:rsid w:val="00FE454F"/>
    <w:rsid w:val="00FE6661"/>
    <w:rsid w:val="00FE6A7B"/>
    <w:rsid w:val="00FF0C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E2851"/>
  <w15:chartTrackingRefBased/>
  <w15:docId w15:val="{348D48E3-3C16-41A6-877A-7588DFB07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C23"/>
    <w:pPr>
      <w:spacing w:line="240" w:lineRule="auto"/>
      <w:jc w:val="both"/>
    </w:pPr>
    <w:rPr>
      <w:sz w:val="24"/>
      <w:szCs w:val="24"/>
      <w:lang w:val="en-US"/>
    </w:rPr>
  </w:style>
  <w:style w:type="paragraph" w:styleId="Heading1">
    <w:name w:val="heading 1"/>
    <w:basedOn w:val="Normal"/>
    <w:next w:val="BodyText"/>
    <w:link w:val="Heading1Char"/>
    <w:uiPriority w:val="9"/>
    <w:qFormat/>
    <w:rsid w:val="00FD0C23"/>
    <w:pPr>
      <w:keepNext/>
      <w:keepLines/>
      <w:spacing w:before="480" w:after="0"/>
      <w:outlineLvl w:val="0"/>
    </w:pPr>
    <w:rPr>
      <w:rFonts w:eastAsiaTheme="majorEastAsia" w:cstheme="majorBidi"/>
      <w:b/>
      <w:bCs/>
      <w:color w:val="345A8A" w:themeColor="accent1" w:themeShade="B5"/>
      <w:sz w:val="28"/>
      <w:szCs w:val="32"/>
    </w:rPr>
  </w:style>
  <w:style w:type="paragraph" w:styleId="Heading2">
    <w:name w:val="heading 2"/>
    <w:basedOn w:val="Normal"/>
    <w:next w:val="Normal"/>
    <w:link w:val="Heading2Char"/>
    <w:uiPriority w:val="9"/>
    <w:unhideWhenUsed/>
    <w:qFormat/>
    <w:rsid w:val="00FD0C2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D0C23"/>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FD0C2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BodyText"/>
    <w:link w:val="Heading5Char"/>
    <w:uiPriority w:val="9"/>
    <w:unhideWhenUsed/>
    <w:qFormat/>
    <w:rsid w:val="00FD0C23"/>
    <w:pPr>
      <w:keepNext/>
      <w:keepLines/>
      <w:spacing w:before="200" w:after="0"/>
      <w:outlineLvl w:val="4"/>
    </w:pPr>
    <w:rPr>
      <w:rFonts w:eastAsiaTheme="majorEastAsia" w:cstheme="majorBidi"/>
      <w:i/>
      <w:iCs/>
      <w:color w:val="4F81BD" w:themeColor="accent1"/>
    </w:rPr>
  </w:style>
  <w:style w:type="paragraph" w:styleId="Heading6">
    <w:name w:val="heading 6"/>
    <w:basedOn w:val="Normal"/>
    <w:next w:val="BodyText"/>
    <w:link w:val="Heading6Char"/>
    <w:uiPriority w:val="9"/>
    <w:unhideWhenUsed/>
    <w:qFormat/>
    <w:rsid w:val="00FD0C23"/>
    <w:pPr>
      <w:keepNext/>
      <w:keepLines/>
      <w:spacing w:before="200" w:after="0"/>
      <w:outlineLvl w:val="5"/>
    </w:pPr>
    <w:rPr>
      <w:rFonts w:eastAsiaTheme="majorEastAsia" w:cstheme="majorBidi"/>
      <w:color w:val="4F81BD" w:themeColor="accent1"/>
    </w:rPr>
  </w:style>
  <w:style w:type="paragraph" w:styleId="Heading7">
    <w:name w:val="heading 7"/>
    <w:basedOn w:val="Normal"/>
    <w:next w:val="BodyText"/>
    <w:link w:val="Heading7Char"/>
    <w:uiPriority w:val="9"/>
    <w:unhideWhenUsed/>
    <w:qFormat/>
    <w:rsid w:val="00FD0C23"/>
    <w:pPr>
      <w:keepNext/>
      <w:keepLines/>
      <w:spacing w:before="200" w:after="0"/>
      <w:outlineLvl w:val="6"/>
    </w:pPr>
    <w:rPr>
      <w:rFonts w:eastAsiaTheme="majorEastAsia" w:cstheme="majorBidi"/>
      <w:color w:val="4F81BD" w:themeColor="accent1"/>
    </w:rPr>
  </w:style>
  <w:style w:type="paragraph" w:styleId="Heading8">
    <w:name w:val="heading 8"/>
    <w:basedOn w:val="Normal"/>
    <w:next w:val="BodyText"/>
    <w:link w:val="Heading8Char"/>
    <w:uiPriority w:val="9"/>
    <w:unhideWhenUsed/>
    <w:qFormat/>
    <w:rsid w:val="00FD0C23"/>
    <w:pPr>
      <w:keepNext/>
      <w:keepLines/>
      <w:spacing w:before="200" w:after="0"/>
      <w:outlineLvl w:val="7"/>
    </w:pPr>
    <w:rPr>
      <w:rFonts w:eastAsiaTheme="majorEastAsia" w:cstheme="majorBidi"/>
      <w:color w:val="4F81BD" w:themeColor="accent1"/>
    </w:rPr>
  </w:style>
  <w:style w:type="paragraph" w:styleId="Heading9">
    <w:name w:val="heading 9"/>
    <w:basedOn w:val="Normal"/>
    <w:next w:val="BodyText"/>
    <w:link w:val="Heading9Char"/>
    <w:uiPriority w:val="9"/>
    <w:unhideWhenUsed/>
    <w:qFormat/>
    <w:rsid w:val="00FD0C23"/>
    <w:pPr>
      <w:keepNext/>
      <w:keepLines/>
      <w:spacing w:before="240" w:after="0"/>
      <w:jc w:val="center"/>
      <w:outlineLvl w:val="8"/>
    </w:pPr>
    <w:rPr>
      <w:rFonts w:eastAsiaTheme="majorEastAsia" w:cstheme="majorBidi"/>
      <w:b/>
      <w: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D0C23"/>
    <w:pPr>
      <w:spacing w:before="180" w:after="180"/>
    </w:pPr>
  </w:style>
  <w:style w:type="character" w:customStyle="1" w:styleId="BodyTextChar">
    <w:name w:val="Body Text Char"/>
    <w:basedOn w:val="DefaultParagraphFont"/>
    <w:link w:val="BodyText"/>
    <w:rsid w:val="00FD0C23"/>
    <w:rPr>
      <w:sz w:val="24"/>
      <w:szCs w:val="24"/>
      <w:lang w:val="en-US"/>
    </w:rPr>
  </w:style>
  <w:style w:type="character" w:customStyle="1" w:styleId="Heading1Char">
    <w:name w:val="Heading 1 Char"/>
    <w:basedOn w:val="DefaultParagraphFont"/>
    <w:link w:val="Heading1"/>
    <w:uiPriority w:val="9"/>
    <w:rsid w:val="00FD0C23"/>
    <w:rPr>
      <w:rFonts w:eastAsiaTheme="majorEastAsia" w:cstheme="majorBidi"/>
      <w:b/>
      <w:bCs/>
      <w:color w:val="345A8A" w:themeColor="accent1" w:themeShade="B5"/>
      <w:sz w:val="28"/>
      <w:szCs w:val="32"/>
      <w:lang w:val="en-US"/>
    </w:rPr>
  </w:style>
  <w:style w:type="character" w:customStyle="1" w:styleId="Heading2Char">
    <w:name w:val="Heading 2 Char"/>
    <w:basedOn w:val="DefaultParagraphFont"/>
    <w:link w:val="Heading2"/>
    <w:uiPriority w:val="9"/>
    <w:rsid w:val="00FD0C23"/>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rsid w:val="00FD0C23"/>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rsid w:val="00FD0C23"/>
    <w:rPr>
      <w:rFonts w:asciiTheme="majorHAnsi" w:eastAsiaTheme="majorEastAsia" w:hAnsiTheme="majorHAnsi" w:cstheme="majorBidi"/>
      <w:i/>
      <w:iCs/>
      <w:color w:val="365F91" w:themeColor="accent1" w:themeShade="BF"/>
      <w:sz w:val="24"/>
      <w:szCs w:val="24"/>
      <w:lang w:val="en-US"/>
    </w:rPr>
  </w:style>
  <w:style w:type="character" w:customStyle="1" w:styleId="Heading5Char">
    <w:name w:val="Heading 5 Char"/>
    <w:basedOn w:val="DefaultParagraphFont"/>
    <w:link w:val="Heading5"/>
    <w:uiPriority w:val="9"/>
    <w:rsid w:val="00FD0C23"/>
    <w:rPr>
      <w:rFonts w:eastAsiaTheme="majorEastAsia" w:cstheme="majorBidi"/>
      <w:i/>
      <w:iCs/>
      <w:color w:val="4F81BD" w:themeColor="accent1"/>
      <w:sz w:val="24"/>
      <w:szCs w:val="24"/>
      <w:lang w:val="en-US"/>
    </w:rPr>
  </w:style>
  <w:style w:type="character" w:customStyle="1" w:styleId="Heading6Char">
    <w:name w:val="Heading 6 Char"/>
    <w:basedOn w:val="DefaultParagraphFont"/>
    <w:link w:val="Heading6"/>
    <w:uiPriority w:val="9"/>
    <w:rsid w:val="00FD0C23"/>
    <w:rPr>
      <w:rFonts w:eastAsiaTheme="majorEastAsia" w:cstheme="majorBidi"/>
      <w:color w:val="4F81BD" w:themeColor="accent1"/>
      <w:sz w:val="24"/>
      <w:szCs w:val="24"/>
      <w:lang w:val="en-US"/>
    </w:rPr>
  </w:style>
  <w:style w:type="character" w:customStyle="1" w:styleId="Heading7Char">
    <w:name w:val="Heading 7 Char"/>
    <w:basedOn w:val="DefaultParagraphFont"/>
    <w:link w:val="Heading7"/>
    <w:uiPriority w:val="9"/>
    <w:rsid w:val="00FD0C23"/>
    <w:rPr>
      <w:rFonts w:eastAsiaTheme="majorEastAsia" w:cstheme="majorBidi"/>
      <w:color w:val="4F81BD" w:themeColor="accent1"/>
      <w:sz w:val="24"/>
      <w:szCs w:val="24"/>
      <w:lang w:val="en-US"/>
    </w:rPr>
  </w:style>
  <w:style w:type="character" w:customStyle="1" w:styleId="Heading8Char">
    <w:name w:val="Heading 8 Char"/>
    <w:basedOn w:val="DefaultParagraphFont"/>
    <w:link w:val="Heading8"/>
    <w:uiPriority w:val="9"/>
    <w:rsid w:val="00FD0C23"/>
    <w:rPr>
      <w:rFonts w:eastAsiaTheme="majorEastAsia" w:cstheme="majorBidi"/>
      <w:color w:val="4F81BD" w:themeColor="accent1"/>
      <w:sz w:val="24"/>
      <w:szCs w:val="24"/>
      <w:lang w:val="en-US"/>
    </w:rPr>
  </w:style>
  <w:style w:type="character" w:customStyle="1" w:styleId="Heading9Char">
    <w:name w:val="Heading 9 Char"/>
    <w:basedOn w:val="DefaultParagraphFont"/>
    <w:link w:val="Heading9"/>
    <w:uiPriority w:val="9"/>
    <w:rsid w:val="00FD0C23"/>
    <w:rPr>
      <w:rFonts w:eastAsiaTheme="majorEastAsia" w:cstheme="majorBidi"/>
      <w:b/>
      <w:i/>
      <w:color w:val="365F91" w:themeColor="accent1" w:themeShade="BF"/>
      <w:sz w:val="24"/>
      <w:szCs w:val="24"/>
      <w:lang w:val="en-US"/>
    </w:rPr>
  </w:style>
  <w:style w:type="paragraph" w:styleId="BalloonText">
    <w:name w:val="Balloon Text"/>
    <w:basedOn w:val="Normal"/>
    <w:link w:val="BalloonTextChar"/>
    <w:uiPriority w:val="99"/>
    <w:semiHidden/>
    <w:unhideWhenUsed/>
    <w:rsid w:val="00FD0C2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C23"/>
    <w:rPr>
      <w:rFonts w:ascii="Segoe UI" w:hAnsi="Segoe UI" w:cs="Segoe UI"/>
      <w:sz w:val="18"/>
      <w:szCs w:val="18"/>
    </w:rPr>
  </w:style>
  <w:style w:type="paragraph" w:customStyle="1" w:styleId="FirstParagraph">
    <w:name w:val="First Paragraph"/>
    <w:basedOn w:val="BodyText"/>
    <w:next w:val="BodyText"/>
    <w:qFormat/>
    <w:rsid w:val="00FD0C23"/>
  </w:style>
  <w:style w:type="paragraph" w:styleId="FootnoteText">
    <w:name w:val="footnote text"/>
    <w:basedOn w:val="Normal"/>
    <w:link w:val="FootnoteTextChar"/>
    <w:uiPriority w:val="99"/>
    <w:unhideWhenUsed/>
    <w:qFormat/>
    <w:rsid w:val="00FD0C23"/>
    <w:pPr>
      <w:spacing w:after="60"/>
    </w:pPr>
    <w:rPr>
      <w:sz w:val="20"/>
    </w:rPr>
  </w:style>
  <w:style w:type="character" w:customStyle="1" w:styleId="FootnoteTextChar">
    <w:name w:val="Footnote Text Char"/>
    <w:basedOn w:val="DefaultParagraphFont"/>
    <w:link w:val="FootnoteText"/>
    <w:uiPriority w:val="99"/>
    <w:rsid w:val="00FD0C23"/>
    <w:rPr>
      <w:sz w:val="20"/>
      <w:szCs w:val="24"/>
      <w:lang w:val="en-US"/>
    </w:rPr>
  </w:style>
  <w:style w:type="character" w:styleId="FootnoteReference">
    <w:name w:val="footnote reference"/>
    <w:basedOn w:val="DefaultParagraphFont"/>
    <w:uiPriority w:val="99"/>
    <w:qFormat/>
    <w:rsid w:val="00FD0C23"/>
    <w:rPr>
      <w:i/>
      <w:vertAlign w:val="superscript"/>
    </w:rPr>
  </w:style>
  <w:style w:type="paragraph" w:customStyle="1" w:styleId="Compact">
    <w:name w:val="Compact"/>
    <w:basedOn w:val="BodyText"/>
    <w:qFormat/>
    <w:rsid w:val="00FD0C23"/>
    <w:pPr>
      <w:spacing w:before="10" w:after="10"/>
      <w:jc w:val="left"/>
    </w:pPr>
    <w:rPr>
      <w:sz w:val="22"/>
    </w:rPr>
  </w:style>
  <w:style w:type="paragraph" w:styleId="Title">
    <w:name w:val="Title"/>
    <w:basedOn w:val="Normal"/>
    <w:next w:val="BodyText"/>
    <w:link w:val="TitleChar"/>
    <w:uiPriority w:val="10"/>
    <w:qFormat/>
    <w:rsid w:val="00FD0C23"/>
    <w:pPr>
      <w:keepNext/>
      <w:keepLines/>
      <w:spacing w:before="480" w:after="240"/>
      <w:jc w:val="center"/>
    </w:pPr>
    <w:rPr>
      <w:rFonts w:eastAsiaTheme="majorEastAsia" w:cstheme="majorBidi"/>
      <w:b/>
      <w:bCs/>
      <w:color w:val="345A8A" w:themeColor="accent1" w:themeShade="B5"/>
      <w:sz w:val="32"/>
      <w:szCs w:val="36"/>
    </w:rPr>
  </w:style>
  <w:style w:type="character" w:customStyle="1" w:styleId="TitleChar">
    <w:name w:val="Title Char"/>
    <w:basedOn w:val="DefaultParagraphFont"/>
    <w:link w:val="Title"/>
    <w:uiPriority w:val="10"/>
    <w:rsid w:val="00FD0C23"/>
    <w:rPr>
      <w:rFonts w:eastAsiaTheme="majorEastAsia" w:cstheme="majorBidi"/>
      <w:b/>
      <w:bCs/>
      <w:color w:val="345A8A" w:themeColor="accent1" w:themeShade="B5"/>
      <w:sz w:val="32"/>
      <w:szCs w:val="36"/>
      <w:lang w:val="en-US"/>
    </w:rPr>
  </w:style>
  <w:style w:type="paragraph" w:styleId="Subtitle">
    <w:name w:val="Subtitle"/>
    <w:basedOn w:val="Title"/>
    <w:next w:val="BodyText"/>
    <w:link w:val="SubtitleChar"/>
    <w:qFormat/>
    <w:rsid w:val="00FD0C23"/>
    <w:pPr>
      <w:spacing w:before="240"/>
    </w:pPr>
    <w:rPr>
      <w:sz w:val="30"/>
      <w:szCs w:val="30"/>
    </w:rPr>
  </w:style>
  <w:style w:type="character" w:customStyle="1" w:styleId="SubtitleChar">
    <w:name w:val="Subtitle Char"/>
    <w:basedOn w:val="DefaultParagraphFont"/>
    <w:link w:val="Subtitle"/>
    <w:rsid w:val="00FD0C23"/>
    <w:rPr>
      <w:rFonts w:eastAsiaTheme="majorEastAsia" w:cstheme="majorBidi"/>
      <w:b/>
      <w:bCs/>
      <w:color w:val="345A8A" w:themeColor="accent1" w:themeShade="B5"/>
      <w:sz w:val="30"/>
      <w:szCs w:val="30"/>
      <w:lang w:val="en-US"/>
    </w:rPr>
  </w:style>
  <w:style w:type="paragraph" w:customStyle="1" w:styleId="Author">
    <w:name w:val="Author"/>
    <w:next w:val="BodyText"/>
    <w:qFormat/>
    <w:rsid w:val="00FD0C23"/>
    <w:pPr>
      <w:keepNext/>
      <w:keepLines/>
      <w:spacing w:line="240" w:lineRule="auto"/>
      <w:jc w:val="center"/>
    </w:pPr>
    <w:rPr>
      <w:sz w:val="24"/>
      <w:szCs w:val="24"/>
      <w:lang w:val="en-US"/>
    </w:rPr>
  </w:style>
  <w:style w:type="paragraph" w:styleId="Date">
    <w:name w:val="Date"/>
    <w:next w:val="BodyText"/>
    <w:link w:val="DateChar"/>
    <w:qFormat/>
    <w:rsid w:val="00FD0C23"/>
    <w:pPr>
      <w:keepNext/>
      <w:keepLines/>
      <w:spacing w:line="240" w:lineRule="auto"/>
      <w:jc w:val="center"/>
    </w:pPr>
    <w:rPr>
      <w:sz w:val="24"/>
      <w:szCs w:val="24"/>
      <w:lang w:val="en-US"/>
    </w:rPr>
  </w:style>
  <w:style w:type="character" w:customStyle="1" w:styleId="DateChar">
    <w:name w:val="Date Char"/>
    <w:basedOn w:val="DefaultParagraphFont"/>
    <w:link w:val="Date"/>
    <w:rsid w:val="00FD0C23"/>
    <w:rPr>
      <w:sz w:val="24"/>
      <w:szCs w:val="24"/>
      <w:lang w:val="en-US"/>
    </w:rPr>
  </w:style>
  <w:style w:type="paragraph" w:customStyle="1" w:styleId="Abstract">
    <w:name w:val="Abstract"/>
    <w:basedOn w:val="Normal"/>
    <w:next w:val="BodyText"/>
    <w:qFormat/>
    <w:rsid w:val="00FD0C23"/>
    <w:pPr>
      <w:keepNext/>
      <w:keepLines/>
      <w:spacing w:before="300" w:after="300"/>
      <w:ind w:left="567" w:right="567"/>
    </w:pPr>
    <w:rPr>
      <w:color w:val="1F497D" w:themeColor="text2"/>
      <w:sz w:val="20"/>
      <w:szCs w:val="20"/>
    </w:rPr>
  </w:style>
  <w:style w:type="paragraph" w:styleId="Bibliography">
    <w:name w:val="Bibliography"/>
    <w:basedOn w:val="Normal"/>
    <w:autoRedefine/>
    <w:qFormat/>
    <w:rsid w:val="00FD0C23"/>
  </w:style>
  <w:style w:type="paragraph" w:styleId="BlockText">
    <w:name w:val="Block Text"/>
    <w:basedOn w:val="BodyText"/>
    <w:next w:val="BodyText"/>
    <w:uiPriority w:val="9"/>
    <w:unhideWhenUsed/>
    <w:qFormat/>
    <w:rsid w:val="00FD0C23"/>
    <w:pPr>
      <w:spacing w:before="100" w:after="100"/>
      <w:jc w:val="left"/>
    </w:pPr>
    <w:rPr>
      <w:rFonts w:eastAsiaTheme="majorEastAsia" w:cstheme="majorBidi"/>
      <w:bCs/>
      <w:sz w:val="20"/>
      <w:szCs w:val="20"/>
    </w:rPr>
  </w:style>
  <w:style w:type="table" w:customStyle="1" w:styleId="Table">
    <w:name w:val="Table"/>
    <w:basedOn w:val="ScrollTableNormal"/>
    <w:semiHidden/>
    <w:unhideWhenUsed/>
    <w:qFormat/>
    <w:rsid w:val="00FD0C23"/>
    <w:tblPr>
      <w:tblBorders>
        <w:top w:val="single" w:sz="4" w:space="0" w:color="auto"/>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lastRow">
      <w:pPr>
        <w:wordWrap/>
        <w:spacing w:beforeLines="0" w:before="0" w:beforeAutospacing="0" w:afterLines="0" w:after="0" w:afterAutospacing="0"/>
      </w:pPr>
      <w:tblPr/>
      <w:tcPr>
        <w:tcBorders>
          <w:bottom w:val="single" w:sz="4" w:space="0" w:color="auto"/>
        </w:tcBorders>
      </w:tcPr>
    </w:tblStylePr>
    <w:tblStylePr w:type="firstCol">
      <w:pPr>
        <w:jc w:val="left"/>
      </w:pPr>
    </w:tblStylePr>
    <w:tblStylePr w:type="lastCol">
      <w:rPr>
        <w:rFonts w:asciiTheme="minorHAnsi" w:hAnsiTheme="minorHAnsi"/>
        <w:sz w:val="22"/>
      </w:rPr>
      <w:tblPr/>
      <w:tcPr>
        <w:tcBorders>
          <w:top w:val="nil"/>
          <w:left w:val="nil"/>
          <w:bottom w:val="single" w:sz="4" w:space="0" w:color="auto"/>
          <w:right w:val="nil"/>
          <w:insideH w:val="nil"/>
          <w:insideV w:val="nil"/>
          <w:tl2br w:val="nil"/>
          <w:tr2bl w:val="nil"/>
        </w:tcBorders>
      </w:tcPr>
    </w:tblStylePr>
  </w:style>
  <w:style w:type="table" w:customStyle="1" w:styleId="ScrollTableNormal">
    <w:name w:val="Scroll Table Normal"/>
    <w:basedOn w:val="TableNormal"/>
    <w:uiPriority w:val="99"/>
    <w:rsid w:val="00FD0C23"/>
    <w:pPr>
      <w:spacing w:after="0" w:line="240" w:lineRule="auto"/>
      <w:jc w:val="center"/>
    </w:pPr>
    <w:rPr>
      <w:szCs w:val="24"/>
      <w:lang w:val="en-US"/>
    </w:rPr>
    <w:tblPr/>
    <w:tcPr>
      <w:vAlign w:val="center"/>
    </w:tcPr>
    <w:tblStylePr w:type="firstRow">
      <w:tblPr/>
      <w:tcPr>
        <w:tcBorders>
          <w:top w:val="single" w:sz="4" w:space="0" w:color="auto"/>
          <w:bottom w:val="single" w:sz="4" w:space="0" w:color="auto"/>
        </w:tcBorders>
      </w:tcPr>
    </w:tblStylePr>
    <w:tblStylePr w:type="lastRow">
      <w:pPr>
        <w:wordWrap/>
        <w:spacing w:beforeLines="0" w:before="0" w:beforeAutospacing="0" w:afterLines="0" w:after="0" w:afterAutospacing="0"/>
      </w:pPr>
      <w:tblPr/>
      <w:tcPr>
        <w:tcBorders>
          <w:bottom w:val="single" w:sz="4" w:space="0" w:color="auto"/>
        </w:tcBorders>
      </w:tcPr>
    </w:tblStylePr>
    <w:tblStylePr w:type="firstCol">
      <w:pPr>
        <w:jc w:val="left"/>
      </w:pPr>
    </w:tblStylePr>
  </w:style>
  <w:style w:type="paragraph" w:customStyle="1" w:styleId="DefinitionTerm">
    <w:name w:val="Definition Term"/>
    <w:basedOn w:val="Normal"/>
    <w:next w:val="Definition"/>
    <w:rsid w:val="00FD0C23"/>
    <w:pPr>
      <w:keepNext/>
      <w:keepLines/>
      <w:spacing w:after="0"/>
    </w:pPr>
    <w:rPr>
      <w:b/>
    </w:rPr>
  </w:style>
  <w:style w:type="paragraph" w:customStyle="1" w:styleId="Definition">
    <w:name w:val="Definition"/>
    <w:basedOn w:val="Normal"/>
    <w:rsid w:val="00FD0C23"/>
  </w:style>
  <w:style w:type="paragraph" w:styleId="Caption">
    <w:name w:val="caption"/>
    <w:basedOn w:val="Normal"/>
    <w:link w:val="CaptionChar"/>
    <w:uiPriority w:val="35"/>
    <w:qFormat/>
    <w:rsid w:val="00FD0C23"/>
    <w:pPr>
      <w:spacing w:after="120"/>
      <w:jc w:val="center"/>
    </w:pPr>
    <w:rPr>
      <w:i/>
    </w:rPr>
  </w:style>
  <w:style w:type="character" w:customStyle="1" w:styleId="CaptionChar">
    <w:name w:val="Caption Char"/>
    <w:basedOn w:val="DefaultParagraphFont"/>
    <w:link w:val="Caption"/>
    <w:uiPriority w:val="35"/>
    <w:rsid w:val="00FD0C23"/>
    <w:rPr>
      <w:i/>
      <w:sz w:val="24"/>
      <w:szCs w:val="24"/>
      <w:lang w:val="en-US"/>
    </w:rPr>
  </w:style>
  <w:style w:type="paragraph" w:customStyle="1" w:styleId="TableCaption">
    <w:name w:val="Table Caption"/>
    <w:basedOn w:val="Caption"/>
    <w:qFormat/>
    <w:rsid w:val="00FD0C23"/>
    <w:pPr>
      <w:keepNext/>
    </w:pPr>
    <w:rPr>
      <w:b/>
      <w:color w:val="365F91" w:themeColor="accent1" w:themeShade="BF"/>
    </w:rPr>
  </w:style>
  <w:style w:type="paragraph" w:customStyle="1" w:styleId="ImageCaption">
    <w:name w:val="Image Caption"/>
    <w:basedOn w:val="Caption"/>
    <w:rsid w:val="00FD0C23"/>
    <w:rPr>
      <w:b/>
      <w:color w:val="365F91" w:themeColor="accent1" w:themeShade="BF"/>
    </w:rPr>
  </w:style>
  <w:style w:type="paragraph" w:customStyle="1" w:styleId="Figure">
    <w:name w:val="Figure"/>
    <w:basedOn w:val="Normal"/>
    <w:rsid w:val="00FD0C23"/>
    <w:pPr>
      <w:jc w:val="center"/>
    </w:pPr>
    <w:rPr>
      <w:b/>
      <w:i/>
      <w:color w:val="365F91" w:themeColor="accent1" w:themeShade="BF"/>
    </w:rPr>
  </w:style>
  <w:style w:type="paragraph" w:customStyle="1" w:styleId="CaptionedFigure">
    <w:name w:val="Captioned Figure"/>
    <w:basedOn w:val="Figure"/>
    <w:rsid w:val="00FD0C23"/>
    <w:pPr>
      <w:keepNext/>
    </w:pPr>
  </w:style>
  <w:style w:type="character" w:customStyle="1" w:styleId="VerbatimChar">
    <w:name w:val="Verbatim Char"/>
    <w:basedOn w:val="BodyTextChar"/>
    <w:link w:val="SourceCode"/>
    <w:rsid w:val="00FD0C23"/>
    <w:rPr>
      <w:rFonts w:ascii="Consolas" w:hAnsi="Consolas"/>
      <w:sz w:val="21"/>
      <w:szCs w:val="24"/>
      <w:lang w:val="en-US"/>
    </w:rPr>
  </w:style>
  <w:style w:type="paragraph" w:customStyle="1" w:styleId="SourceCode">
    <w:name w:val="Source Code"/>
    <w:basedOn w:val="Normal"/>
    <w:link w:val="VerbatimChar"/>
    <w:rsid w:val="00FD0C23"/>
    <w:pPr>
      <w:wordWrap w:val="0"/>
    </w:pPr>
    <w:rPr>
      <w:rFonts w:ascii="Consolas" w:hAnsi="Consolas"/>
      <w:sz w:val="21"/>
      <w:szCs w:val="22"/>
      <w:lang w:val="en-AU"/>
    </w:rPr>
  </w:style>
  <w:style w:type="character" w:styleId="Hyperlink">
    <w:name w:val="Hyperlink"/>
    <w:basedOn w:val="CaptionChar"/>
    <w:uiPriority w:val="99"/>
    <w:rsid w:val="00FD0C23"/>
    <w:rPr>
      <w:i/>
      <w:color w:val="4F81BD" w:themeColor="accent1"/>
      <w:sz w:val="24"/>
      <w:szCs w:val="24"/>
      <w:lang w:val="en-US"/>
    </w:rPr>
  </w:style>
  <w:style w:type="paragraph" w:styleId="TOCHeading">
    <w:name w:val="TOC Heading"/>
    <w:basedOn w:val="Heading1"/>
    <w:next w:val="BodyText"/>
    <w:uiPriority w:val="39"/>
    <w:unhideWhenUsed/>
    <w:qFormat/>
    <w:rsid w:val="00FD0C23"/>
    <w:pPr>
      <w:spacing w:before="240" w:line="259" w:lineRule="auto"/>
      <w:outlineLvl w:val="9"/>
    </w:pPr>
    <w:rPr>
      <w:bCs w:val="0"/>
      <w:color w:val="244061" w:themeColor="accent1" w:themeShade="80"/>
    </w:rPr>
  </w:style>
  <w:style w:type="character" w:customStyle="1" w:styleId="Underline">
    <w:name w:val="Underline"/>
    <w:basedOn w:val="DefaultParagraphFont"/>
    <w:uiPriority w:val="1"/>
    <w:qFormat/>
    <w:rsid w:val="00FD0C23"/>
    <w:rPr>
      <w:u w:val="single"/>
    </w:rPr>
  </w:style>
  <w:style w:type="character" w:customStyle="1" w:styleId="Highlight">
    <w:name w:val="Highlight"/>
    <w:basedOn w:val="Underline"/>
    <w:uiPriority w:val="1"/>
    <w:qFormat/>
    <w:rsid w:val="00FD0C23"/>
    <w:rPr>
      <w:u w:val="none"/>
      <w:bdr w:val="none" w:sz="0" w:space="0" w:color="auto"/>
      <w:shd w:val="clear" w:color="auto" w:fill="FFFF00"/>
    </w:rPr>
  </w:style>
  <w:style w:type="paragraph" w:customStyle="1" w:styleId="Style1">
    <w:name w:val="Style1"/>
    <w:basedOn w:val="BodyText"/>
    <w:qFormat/>
    <w:rsid w:val="00FD0C23"/>
  </w:style>
  <w:style w:type="character" w:styleId="Strong">
    <w:name w:val="Strong"/>
    <w:basedOn w:val="DefaultParagraphFont"/>
    <w:rsid w:val="00FD0C23"/>
    <w:rPr>
      <w:b/>
      <w:bCs/>
    </w:rPr>
  </w:style>
  <w:style w:type="character" w:styleId="LineNumber">
    <w:name w:val="line number"/>
    <w:basedOn w:val="DefaultParagraphFont"/>
    <w:unhideWhenUsed/>
    <w:rsid w:val="00FD0C23"/>
  </w:style>
  <w:style w:type="paragraph" w:styleId="ListBullet">
    <w:name w:val="List Bullet"/>
    <w:basedOn w:val="Style1"/>
    <w:unhideWhenUsed/>
    <w:rsid w:val="00FD0C23"/>
    <w:pPr>
      <w:numPr>
        <w:numId w:val="12"/>
      </w:numPr>
      <w:ind w:left="360"/>
    </w:pPr>
  </w:style>
  <w:style w:type="paragraph" w:styleId="ListBullet2">
    <w:name w:val="List Bullet 2"/>
    <w:basedOn w:val="Normal"/>
    <w:unhideWhenUsed/>
    <w:rsid w:val="00FD0C23"/>
    <w:pPr>
      <w:numPr>
        <w:numId w:val="3"/>
      </w:numPr>
      <w:contextualSpacing/>
    </w:pPr>
  </w:style>
  <w:style w:type="paragraph" w:styleId="ListBullet3">
    <w:name w:val="List Bullet 3"/>
    <w:basedOn w:val="ListBullet"/>
    <w:unhideWhenUsed/>
    <w:rsid w:val="00FD0C23"/>
    <w:pPr>
      <w:ind w:left="1080"/>
    </w:pPr>
  </w:style>
  <w:style w:type="paragraph" w:styleId="TOC9">
    <w:name w:val="toc 9"/>
    <w:basedOn w:val="Normal"/>
    <w:next w:val="Normal"/>
    <w:autoRedefine/>
    <w:unhideWhenUsed/>
    <w:rsid w:val="00FD0C23"/>
    <w:pPr>
      <w:spacing w:after="0"/>
      <w:ind w:left="1920"/>
      <w:jc w:val="left"/>
    </w:pPr>
    <w:rPr>
      <w:rFonts w:cstheme="minorHAnsi"/>
      <w:sz w:val="20"/>
      <w:szCs w:val="20"/>
    </w:rPr>
  </w:style>
  <w:style w:type="paragraph" w:styleId="TOC1">
    <w:name w:val="toc 1"/>
    <w:basedOn w:val="Normal"/>
    <w:next w:val="Normal"/>
    <w:autoRedefine/>
    <w:uiPriority w:val="39"/>
    <w:unhideWhenUsed/>
    <w:rsid w:val="00FD0C23"/>
    <w:pPr>
      <w:spacing w:before="120" w:after="0"/>
      <w:jc w:val="left"/>
    </w:pPr>
    <w:rPr>
      <w:rFonts w:cstheme="minorHAnsi"/>
      <w:b/>
      <w:bCs/>
      <w:i/>
      <w:iCs/>
    </w:rPr>
  </w:style>
  <w:style w:type="paragraph" w:styleId="TOAHeading">
    <w:name w:val="toa heading"/>
    <w:basedOn w:val="Normal"/>
    <w:next w:val="Normal"/>
    <w:unhideWhenUsed/>
    <w:rsid w:val="00FD0C23"/>
    <w:pPr>
      <w:spacing w:before="120"/>
    </w:pPr>
    <w:rPr>
      <w:rFonts w:eastAsiaTheme="majorEastAsia" w:cstheme="majorBidi"/>
      <w:b/>
      <w:bCs/>
    </w:rPr>
  </w:style>
  <w:style w:type="paragraph" w:styleId="Signature">
    <w:name w:val="Signature"/>
    <w:basedOn w:val="Normal"/>
    <w:link w:val="SignatureChar"/>
    <w:unhideWhenUsed/>
    <w:rsid w:val="00FD0C23"/>
    <w:pPr>
      <w:spacing w:after="0"/>
      <w:ind w:left="4252"/>
    </w:pPr>
  </w:style>
  <w:style w:type="character" w:customStyle="1" w:styleId="SignatureChar">
    <w:name w:val="Signature Char"/>
    <w:basedOn w:val="DefaultParagraphFont"/>
    <w:link w:val="Signature"/>
    <w:rsid w:val="00FD0C23"/>
    <w:rPr>
      <w:sz w:val="24"/>
      <w:szCs w:val="24"/>
      <w:lang w:val="en-US"/>
    </w:rPr>
  </w:style>
  <w:style w:type="paragraph" w:styleId="Salutation">
    <w:name w:val="Salutation"/>
    <w:basedOn w:val="Normal"/>
    <w:next w:val="Normal"/>
    <w:link w:val="SalutationChar"/>
    <w:unhideWhenUsed/>
    <w:rsid w:val="00FD0C23"/>
  </w:style>
  <w:style w:type="character" w:customStyle="1" w:styleId="SalutationChar">
    <w:name w:val="Salutation Char"/>
    <w:basedOn w:val="DefaultParagraphFont"/>
    <w:link w:val="Salutation"/>
    <w:rsid w:val="00FD0C23"/>
    <w:rPr>
      <w:sz w:val="24"/>
      <w:szCs w:val="24"/>
      <w:lang w:val="en-US"/>
    </w:rPr>
  </w:style>
  <w:style w:type="character" w:styleId="PageNumber">
    <w:name w:val="page number"/>
    <w:basedOn w:val="DefaultParagraphFont"/>
    <w:uiPriority w:val="99"/>
    <w:unhideWhenUsed/>
    <w:rsid w:val="00FD0C23"/>
    <w:rPr>
      <w:rFonts w:asciiTheme="minorHAnsi" w:hAnsiTheme="minorHAnsi"/>
      <w:sz w:val="24"/>
    </w:rPr>
  </w:style>
  <w:style w:type="paragraph" w:styleId="NoteHeading">
    <w:name w:val="Note Heading"/>
    <w:basedOn w:val="Normal"/>
    <w:next w:val="Normal"/>
    <w:link w:val="NoteHeadingChar"/>
    <w:unhideWhenUsed/>
    <w:rsid w:val="00FD0C23"/>
    <w:pPr>
      <w:spacing w:after="0"/>
    </w:pPr>
  </w:style>
  <w:style w:type="character" w:customStyle="1" w:styleId="NoteHeadingChar">
    <w:name w:val="Note Heading Char"/>
    <w:basedOn w:val="DefaultParagraphFont"/>
    <w:link w:val="NoteHeading"/>
    <w:rsid w:val="00FD0C23"/>
    <w:rPr>
      <w:sz w:val="24"/>
      <w:szCs w:val="24"/>
      <w:lang w:val="en-US"/>
    </w:rPr>
  </w:style>
  <w:style w:type="paragraph" w:styleId="NormalIndent">
    <w:name w:val="Normal Indent"/>
    <w:basedOn w:val="Normal"/>
    <w:unhideWhenUsed/>
    <w:rsid w:val="00FD0C23"/>
    <w:pPr>
      <w:ind w:left="720"/>
    </w:pPr>
  </w:style>
  <w:style w:type="paragraph" w:styleId="NormalWeb">
    <w:name w:val="Normal (Web)"/>
    <w:basedOn w:val="Normal"/>
    <w:unhideWhenUsed/>
    <w:rsid w:val="00FD0C23"/>
    <w:rPr>
      <w:rFonts w:ascii="Times New Roman" w:hAnsi="Times New Roman" w:cs="Times New Roman"/>
    </w:rPr>
  </w:style>
  <w:style w:type="paragraph" w:styleId="ListParagraph">
    <w:name w:val="List Paragraph"/>
    <w:basedOn w:val="Normal"/>
    <w:uiPriority w:val="34"/>
    <w:qFormat/>
    <w:rsid w:val="00FD0C23"/>
    <w:pPr>
      <w:ind w:left="720"/>
      <w:contextualSpacing/>
    </w:pPr>
  </w:style>
  <w:style w:type="paragraph" w:styleId="ListNumber5">
    <w:name w:val="List Number 5"/>
    <w:basedOn w:val="Normal"/>
    <w:rsid w:val="00FD0C23"/>
    <w:pPr>
      <w:numPr>
        <w:numId w:val="11"/>
      </w:numPr>
      <w:contextualSpacing/>
    </w:pPr>
  </w:style>
  <w:style w:type="paragraph" w:styleId="ListNumber4">
    <w:name w:val="List Number 4"/>
    <w:basedOn w:val="Normal"/>
    <w:unhideWhenUsed/>
    <w:rsid w:val="00FD0C23"/>
    <w:pPr>
      <w:numPr>
        <w:numId w:val="10"/>
      </w:numPr>
      <w:contextualSpacing/>
    </w:pPr>
  </w:style>
  <w:style w:type="paragraph" w:styleId="ListNumber2">
    <w:name w:val="List Number 2"/>
    <w:basedOn w:val="Normal"/>
    <w:rsid w:val="00FD0C23"/>
    <w:pPr>
      <w:numPr>
        <w:numId w:val="8"/>
      </w:numPr>
      <w:contextualSpacing/>
    </w:pPr>
  </w:style>
  <w:style w:type="paragraph" w:styleId="ListNumber3">
    <w:name w:val="List Number 3"/>
    <w:basedOn w:val="Normal"/>
    <w:unhideWhenUsed/>
    <w:rsid w:val="00FD0C23"/>
    <w:pPr>
      <w:numPr>
        <w:numId w:val="9"/>
      </w:numPr>
      <w:contextualSpacing/>
    </w:pPr>
  </w:style>
  <w:style w:type="paragraph" w:styleId="ListNumber">
    <w:name w:val="List Number"/>
    <w:basedOn w:val="Normal"/>
    <w:semiHidden/>
    <w:unhideWhenUsed/>
    <w:rsid w:val="00FD0C23"/>
    <w:pPr>
      <w:numPr>
        <w:numId w:val="7"/>
      </w:numPr>
      <w:contextualSpacing/>
    </w:pPr>
  </w:style>
  <w:style w:type="paragraph" w:styleId="ListContinue5">
    <w:name w:val="List Continue 5"/>
    <w:basedOn w:val="Normal"/>
    <w:unhideWhenUsed/>
    <w:rsid w:val="00FD0C23"/>
    <w:pPr>
      <w:spacing w:after="120"/>
      <w:ind w:left="1415"/>
      <w:contextualSpacing/>
    </w:pPr>
  </w:style>
  <w:style w:type="paragraph" w:styleId="ListContinue2">
    <w:name w:val="List Continue 2"/>
    <w:basedOn w:val="Normal"/>
    <w:unhideWhenUsed/>
    <w:rsid w:val="00FD0C23"/>
    <w:pPr>
      <w:spacing w:after="120"/>
      <w:ind w:left="566"/>
      <w:contextualSpacing/>
    </w:pPr>
  </w:style>
  <w:style w:type="paragraph" w:styleId="ListBullet5">
    <w:name w:val="List Bullet 5"/>
    <w:basedOn w:val="Normal"/>
    <w:semiHidden/>
    <w:unhideWhenUsed/>
    <w:rsid w:val="00FD0C23"/>
    <w:pPr>
      <w:numPr>
        <w:numId w:val="6"/>
      </w:numPr>
      <w:contextualSpacing/>
    </w:pPr>
  </w:style>
  <w:style w:type="paragraph" w:styleId="ListBullet4">
    <w:name w:val="List Bullet 4"/>
    <w:basedOn w:val="Normal"/>
    <w:semiHidden/>
    <w:unhideWhenUsed/>
    <w:rsid w:val="00FD0C23"/>
    <w:pPr>
      <w:numPr>
        <w:numId w:val="5"/>
      </w:numPr>
      <w:contextualSpacing/>
    </w:pPr>
  </w:style>
  <w:style w:type="paragraph" w:styleId="Index1">
    <w:name w:val="index 1"/>
    <w:basedOn w:val="Normal"/>
    <w:next w:val="Normal"/>
    <w:autoRedefine/>
    <w:unhideWhenUsed/>
    <w:rsid w:val="00FD0C23"/>
    <w:pPr>
      <w:spacing w:after="0"/>
      <w:ind w:left="240" w:hanging="240"/>
    </w:pPr>
  </w:style>
  <w:style w:type="paragraph" w:styleId="IndexHeading">
    <w:name w:val="index heading"/>
    <w:basedOn w:val="Normal"/>
    <w:next w:val="Index1"/>
    <w:unhideWhenUsed/>
    <w:rsid w:val="00FD0C23"/>
    <w:rPr>
      <w:rFonts w:asciiTheme="majorHAnsi" w:eastAsiaTheme="majorEastAsia" w:hAnsiTheme="majorHAnsi" w:cstheme="majorBidi"/>
      <w:b/>
      <w:bCs/>
    </w:rPr>
  </w:style>
  <w:style w:type="paragraph" w:styleId="Header">
    <w:name w:val="header"/>
    <w:basedOn w:val="Normal"/>
    <w:link w:val="HeaderChar"/>
    <w:uiPriority w:val="99"/>
    <w:unhideWhenUsed/>
    <w:rsid w:val="00FD0C23"/>
    <w:pPr>
      <w:tabs>
        <w:tab w:val="center" w:pos="4513"/>
        <w:tab w:val="right" w:pos="9026"/>
      </w:tabs>
      <w:spacing w:after="0"/>
    </w:pPr>
  </w:style>
  <w:style w:type="character" w:customStyle="1" w:styleId="HeaderChar">
    <w:name w:val="Header Char"/>
    <w:basedOn w:val="DefaultParagraphFont"/>
    <w:link w:val="Header"/>
    <w:uiPriority w:val="99"/>
    <w:rsid w:val="00FD0C23"/>
    <w:rPr>
      <w:sz w:val="24"/>
      <w:szCs w:val="24"/>
      <w:lang w:val="en-US"/>
    </w:rPr>
  </w:style>
  <w:style w:type="paragraph" w:styleId="Footer">
    <w:name w:val="footer"/>
    <w:basedOn w:val="Normal"/>
    <w:link w:val="FooterChar"/>
    <w:uiPriority w:val="99"/>
    <w:unhideWhenUsed/>
    <w:rsid w:val="00FD0C23"/>
    <w:pPr>
      <w:tabs>
        <w:tab w:val="center" w:pos="4513"/>
        <w:tab w:val="right" w:pos="9026"/>
      </w:tabs>
      <w:spacing w:after="0"/>
    </w:pPr>
  </w:style>
  <w:style w:type="character" w:customStyle="1" w:styleId="FooterChar">
    <w:name w:val="Footer Char"/>
    <w:basedOn w:val="DefaultParagraphFont"/>
    <w:link w:val="Footer"/>
    <w:uiPriority w:val="99"/>
    <w:rsid w:val="00FD0C23"/>
    <w:rPr>
      <w:sz w:val="24"/>
      <w:szCs w:val="24"/>
      <w:lang w:val="en-US"/>
    </w:rPr>
  </w:style>
  <w:style w:type="paragraph" w:styleId="EnvelopeReturn">
    <w:name w:val="envelope return"/>
    <w:basedOn w:val="Normal"/>
    <w:unhideWhenUsed/>
    <w:rsid w:val="00FD0C23"/>
    <w:pPr>
      <w:spacing w:after="0"/>
    </w:pPr>
    <w:rPr>
      <w:rFonts w:asciiTheme="majorHAnsi" w:eastAsiaTheme="majorEastAsia" w:hAnsiTheme="majorHAnsi" w:cstheme="majorBidi"/>
      <w:sz w:val="20"/>
      <w:szCs w:val="20"/>
    </w:rPr>
  </w:style>
  <w:style w:type="paragraph" w:styleId="EndnoteText">
    <w:name w:val="endnote text"/>
    <w:basedOn w:val="Normal"/>
    <w:link w:val="EndnoteTextChar"/>
    <w:unhideWhenUsed/>
    <w:rsid w:val="00FD0C23"/>
    <w:pPr>
      <w:spacing w:after="0"/>
    </w:pPr>
    <w:rPr>
      <w:sz w:val="20"/>
      <w:szCs w:val="20"/>
    </w:rPr>
  </w:style>
  <w:style w:type="character" w:customStyle="1" w:styleId="EndnoteTextChar">
    <w:name w:val="Endnote Text Char"/>
    <w:basedOn w:val="DefaultParagraphFont"/>
    <w:link w:val="EndnoteText"/>
    <w:rsid w:val="00FD0C23"/>
    <w:rPr>
      <w:sz w:val="20"/>
      <w:szCs w:val="20"/>
      <w:lang w:val="en-US"/>
    </w:rPr>
  </w:style>
  <w:style w:type="character" w:styleId="EndnoteReference">
    <w:name w:val="endnote reference"/>
    <w:basedOn w:val="DefaultParagraphFont"/>
    <w:unhideWhenUsed/>
    <w:rsid w:val="00FD0C23"/>
    <w:rPr>
      <w:vertAlign w:val="superscript"/>
    </w:rPr>
  </w:style>
  <w:style w:type="character" w:styleId="Emphasis">
    <w:name w:val="Emphasis"/>
    <w:basedOn w:val="DefaultParagraphFont"/>
    <w:rsid w:val="00FD0C23"/>
    <w:rPr>
      <w:i/>
      <w:iCs/>
    </w:rPr>
  </w:style>
  <w:style w:type="paragraph" w:styleId="BodyTextIndent2">
    <w:name w:val="Body Text Indent 2"/>
    <w:basedOn w:val="Normal"/>
    <w:link w:val="BodyTextIndent2Char"/>
    <w:unhideWhenUsed/>
    <w:rsid w:val="00FD0C23"/>
    <w:pPr>
      <w:spacing w:after="120" w:line="360" w:lineRule="auto"/>
      <w:ind w:left="283"/>
    </w:pPr>
  </w:style>
  <w:style w:type="character" w:customStyle="1" w:styleId="BodyTextIndent2Char">
    <w:name w:val="Body Text Indent 2 Char"/>
    <w:basedOn w:val="DefaultParagraphFont"/>
    <w:link w:val="BodyTextIndent2"/>
    <w:rsid w:val="00FD0C23"/>
    <w:rPr>
      <w:sz w:val="24"/>
      <w:szCs w:val="24"/>
      <w:lang w:val="en-US"/>
    </w:rPr>
  </w:style>
  <w:style w:type="paragraph" w:styleId="BodyTextIndent">
    <w:name w:val="Body Text Indent"/>
    <w:basedOn w:val="Normal"/>
    <w:link w:val="BodyTextIndentChar"/>
    <w:unhideWhenUsed/>
    <w:rsid w:val="00FD0C23"/>
    <w:pPr>
      <w:spacing w:after="120"/>
      <w:ind w:left="283"/>
    </w:pPr>
  </w:style>
  <w:style w:type="character" w:customStyle="1" w:styleId="BodyTextIndentChar">
    <w:name w:val="Body Text Indent Char"/>
    <w:basedOn w:val="DefaultParagraphFont"/>
    <w:link w:val="BodyTextIndent"/>
    <w:rsid w:val="00FD0C23"/>
    <w:rPr>
      <w:sz w:val="24"/>
      <w:szCs w:val="24"/>
      <w:lang w:val="en-US"/>
    </w:rPr>
  </w:style>
  <w:style w:type="character" w:customStyle="1" w:styleId="BodyTextFirstIndent2Char">
    <w:name w:val="Body Text First Indent 2 Char"/>
    <w:basedOn w:val="BodyTextIndentChar"/>
    <w:link w:val="BodyTextFirstIndent2"/>
    <w:semiHidden/>
    <w:rsid w:val="00FD0C23"/>
    <w:rPr>
      <w:sz w:val="24"/>
      <w:szCs w:val="24"/>
      <w:lang w:val="en-US"/>
    </w:rPr>
  </w:style>
  <w:style w:type="paragraph" w:styleId="BodyTextFirstIndent2">
    <w:name w:val="Body Text First Indent 2"/>
    <w:basedOn w:val="BodyTextIndent"/>
    <w:link w:val="BodyTextFirstIndent2Char"/>
    <w:semiHidden/>
    <w:unhideWhenUsed/>
    <w:rsid w:val="00FD0C23"/>
    <w:pPr>
      <w:spacing w:after="200"/>
      <w:ind w:left="360" w:firstLine="360"/>
    </w:pPr>
  </w:style>
  <w:style w:type="character" w:customStyle="1" w:styleId="BodyTextFirstIndentChar">
    <w:name w:val="Body Text First Indent Char"/>
    <w:basedOn w:val="BodyTextChar"/>
    <w:link w:val="BodyTextFirstIndent"/>
    <w:semiHidden/>
    <w:rsid w:val="00FD0C23"/>
    <w:rPr>
      <w:sz w:val="24"/>
      <w:szCs w:val="24"/>
      <w:lang w:val="en-US"/>
    </w:rPr>
  </w:style>
  <w:style w:type="paragraph" w:styleId="BodyTextFirstIndent">
    <w:name w:val="Body Text First Indent"/>
    <w:basedOn w:val="BodyText"/>
    <w:link w:val="BodyTextFirstIndentChar"/>
    <w:semiHidden/>
    <w:unhideWhenUsed/>
    <w:rsid w:val="00FD0C23"/>
    <w:pPr>
      <w:spacing w:before="0" w:after="200"/>
      <w:ind w:firstLine="360"/>
    </w:pPr>
  </w:style>
  <w:style w:type="character" w:customStyle="1" w:styleId="BodyText3Char">
    <w:name w:val="Body Text 3 Char"/>
    <w:basedOn w:val="DefaultParagraphFont"/>
    <w:link w:val="BodyText3"/>
    <w:semiHidden/>
    <w:rsid w:val="00FD0C23"/>
    <w:rPr>
      <w:sz w:val="16"/>
      <w:szCs w:val="16"/>
      <w:lang w:val="en-US"/>
    </w:rPr>
  </w:style>
  <w:style w:type="paragraph" w:styleId="BodyText3">
    <w:name w:val="Body Text 3"/>
    <w:basedOn w:val="Normal"/>
    <w:link w:val="BodyText3Char"/>
    <w:semiHidden/>
    <w:unhideWhenUsed/>
    <w:rsid w:val="00FD0C23"/>
    <w:pPr>
      <w:spacing w:after="120"/>
    </w:pPr>
    <w:rPr>
      <w:sz w:val="16"/>
      <w:szCs w:val="16"/>
    </w:rPr>
  </w:style>
  <w:style w:type="character" w:customStyle="1" w:styleId="BodyText2Char">
    <w:name w:val="Body Text 2 Char"/>
    <w:basedOn w:val="DefaultParagraphFont"/>
    <w:link w:val="BodyText2"/>
    <w:semiHidden/>
    <w:rsid w:val="00FD0C23"/>
    <w:rPr>
      <w:sz w:val="24"/>
      <w:szCs w:val="24"/>
      <w:lang w:val="en-US"/>
    </w:rPr>
  </w:style>
  <w:style w:type="paragraph" w:styleId="BodyText2">
    <w:name w:val="Body Text 2"/>
    <w:basedOn w:val="Normal"/>
    <w:link w:val="BodyText2Char"/>
    <w:semiHidden/>
    <w:unhideWhenUsed/>
    <w:rsid w:val="00FD0C23"/>
    <w:pPr>
      <w:spacing w:after="120" w:line="480" w:lineRule="auto"/>
    </w:pPr>
  </w:style>
  <w:style w:type="paragraph" w:styleId="Closing">
    <w:name w:val="Closing"/>
    <w:basedOn w:val="Normal"/>
    <w:link w:val="ClosingChar"/>
    <w:unhideWhenUsed/>
    <w:rsid w:val="00FD0C23"/>
    <w:pPr>
      <w:spacing w:after="0"/>
      <w:ind w:left="4252"/>
    </w:pPr>
  </w:style>
  <w:style w:type="character" w:customStyle="1" w:styleId="ClosingChar">
    <w:name w:val="Closing Char"/>
    <w:basedOn w:val="DefaultParagraphFont"/>
    <w:link w:val="Closing"/>
    <w:rsid w:val="00FD0C23"/>
    <w:rPr>
      <w:sz w:val="24"/>
      <w:szCs w:val="24"/>
      <w:lang w:val="en-US"/>
    </w:rPr>
  </w:style>
  <w:style w:type="paragraph" w:styleId="TOC5">
    <w:name w:val="toc 5"/>
    <w:basedOn w:val="Normal"/>
    <w:next w:val="Normal"/>
    <w:autoRedefine/>
    <w:unhideWhenUsed/>
    <w:rsid w:val="00FD0C23"/>
    <w:pPr>
      <w:spacing w:after="0"/>
      <w:ind w:left="960"/>
      <w:jc w:val="left"/>
    </w:pPr>
    <w:rPr>
      <w:rFonts w:cstheme="minorHAnsi"/>
      <w:sz w:val="20"/>
      <w:szCs w:val="20"/>
    </w:rPr>
  </w:style>
  <w:style w:type="character" w:customStyle="1" w:styleId="hljs-string">
    <w:name w:val="hljs-string"/>
    <w:basedOn w:val="DefaultParagraphFont"/>
    <w:rsid w:val="00FD0C23"/>
  </w:style>
  <w:style w:type="character" w:customStyle="1" w:styleId="KeywordTok">
    <w:name w:val="KeywordTok"/>
    <w:basedOn w:val="VerbatimChar"/>
    <w:rsid w:val="00FD0C23"/>
    <w:rPr>
      <w:rFonts w:ascii="Consolas" w:hAnsi="Consolas"/>
      <w:b/>
      <w:color w:val="007020"/>
      <w:sz w:val="21"/>
      <w:szCs w:val="24"/>
      <w:lang w:val="en-US"/>
    </w:rPr>
  </w:style>
  <w:style w:type="character" w:customStyle="1" w:styleId="DataTypeTok">
    <w:name w:val="DataTypeTok"/>
    <w:basedOn w:val="VerbatimChar"/>
    <w:rsid w:val="00FD0C23"/>
    <w:rPr>
      <w:rFonts w:ascii="Consolas" w:hAnsi="Consolas"/>
      <w:color w:val="902000"/>
      <w:sz w:val="21"/>
      <w:szCs w:val="24"/>
      <w:lang w:val="en-US"/>
    </w:rPr>
  </w:style>
  <w:style w:type="character" w:customStyle="1" w:styleId="DecValTok">
    <w:name w:val="DecValTok"/>
    <w:basedOn w:val="VerbatimChar"/>
    <w:rsid w:val="00FD0C23"/>
    <w:rPr>
      <w:rFonts w:ascii="Consolas" w:hAnsi="Consolas"/>
      <w:color w:val="40A070"/>
      <w:sz w:val="21"/>
      <w:szCs w:val="24"/>
      <w:lang w:val="en-US"/>
    </w:rPr>
  </w:style>
  <w:style w:type="character" w:customStyle="1" w:styleId="BaseNTok">
    <w:name w:val="BaseNTok"/>
    <w:basedOn w:val="VerbatimChar"/>
    <w:rsid w:val="00FD0C23"/>
    <w:rPr>
      <w:rFonts w:ascii="Consolas" w:hAnsi="Consolas"/>
      <w:color w:val="40A070"/>
      <w:sz w:val="21"/>
      <w:szCs w:val="24"/>
      <w:lang w:val="en-US"/>
    </w:rPr>
  </w:style>
  <w:style w:type="character" w:customStyle="1" w:styleId="FloatTok">
    <w:name w:val="FloatTok"/>
    <w:basedOn w:val="VerbatimChar"/>
    <w:rsid w:val="00FD0C23"/>
    <w:rPr>
      <w:rFonts w:ascii="Consolas" w:hAnsi="Consolas"/>
      <w:color w:val="40A070"/>
      <w:sz w:val="21"/>
      <w:szCs w:val="24"/>
      <w:lang w:val="en-US"/>
    </w:rPr>
  </w:style>
  <w:style w:type="character" w:customStyle="1" w:styleId="ConstantTok">
    <w:name w:val="ConstantTok"/>
    <w:basedOn w:val="VerbatimChar"/>
    <w:rsid w:val="00FD0C23"/>
    <w:rPr>
      <w:rFonts w:ascii="Consolas" w:hAnsi="Consolas"/>
      <w:color w:val="880000"/>
      <w:sz w:val="21"/>
      <w:szCs w:val="24"/>
      <w:lang w:val="en-US"/>
    </w:rPr>
  </w:style>
  <w:style w:type="character" w:customStyle="1" w:styleId="CharTok">
    <w:name w:val="CharTok"/>
    <w:basedOn w:val="VerbatimChar"/>
    <w:rsid w:val="00FD0C23"/>
    <w:rPr>
      <w:rFonts w:ascii="Consolas" w:hAnsi="Consolas"/>
      <w:color w:val="4070A0"/>
      <w:sz w:val="21"/>
      <w:szCs w:val="24"/>
      <w:lang w:val="en-US"/>
    </w:rPr>
  </w:style>
  <w:style w:type="character" w:customStyle="1" w:styleId="SpecialCharTok">
    <w:name w:val="SpecialCharTok"/>
    <w:basedOn w:val="VerbatimChar"/>
    <w:rsid w:val="00FD0C23"/>
    <w:rPr>
      <w:rFonts w:ascii="Consolas" w:hAnsi="Consolas"/>
      <w:color w:val="4070A0"/>
      <w:sz w:val="21"/>
      <w:szCs w:val="24"/>
      <w:lang w:val="en-US"/>
    </w:rPr>
  </w:style>
  <w:style w:type="character" w:customStyle="1" w:styleId="StringTok">
    <w:name w:val="StringTok"/>
    <w:basedOn w:val="VerbatimChar"/>
    <w:rsid w:val="00FD0C23"/>
    <w:rPr>
      <w:rFonts w:ascii="Consolas" w:hAnsi="Consolas"/>
      <w:color w:val="4070A0"/>
      <w:sz w:val="21"/>
      <w:szCs w:val="24"/>
      <w:lang w:val="en-US"/>
    </w:rPr>
  </w:style>
  <w:style w:type="character" w:customStyle="1" w:styleId="VerbatimStringTok">
    <w:name w:val="VerbatimStringTok"/>
    <w:basedOn w:val="VerbatimChar"/>
    <w:rsid w:val="00FD0C23"/>
    <w:rPr>
      <w:rFonts w:ascii="Consolas" w:hAnsi="Consolas"/>
      <w:color w:val="4070A0"/>
      <w:sz w:val="21"/>
      <w:szCs w:val="24"/>
      <w:lang w:val="en-US"/>
    </w:rPr>
  </w:style>
  <w:style w:type="character" w:customStyle="1" w:styleId="SpecialStringTok">
    <w:name w:val="SpecialStringTok"/>
    <w:basedOn w:val="VerbatimChar"/>
    <w:rsid w:val="00FD0C23"/>
    <w:rPr>
      <w:rFonts w:ascii="Consolas" w:hAnsi="Consolas"/>
      <w:color w:val="BB6688"/>
      <w:sz w:val="21"/>
      <w:szCs w:val="24"/>
      <w:lang w:val="en-US"/>
    </w:rPr>
  </w:style>
  <w:style w:type="character" w:customStyle="1" w:styleId="ImportTok">
    <w:name w:val="ImportTok"/>
    <w:basedOn w:val="VerbatimChar"/>
    <w:rsid w:val="00FD0C23"/>
    <w:rPr>
      <w:rFonts w:ascii="Consolas" w:hAnsi="Consolas"/>
      <w:sz w:val="21"/>
      <w:szCs w:val="24"/>
      <w:lang w:val="en-US"/>
    </w:rPr>
  </w:style>
  <w:style w:type="character" w:customStyle="1" w:styleId="CommentTok">
    <w:name w:val="CommentTok"/>
    <w:basedOn w:val="VerbatimChar"/>
    <w:rsid w:val="00FD0C23"/>
    <w:rPr>
      <w:rFonts w:ascii="Consolas" w:hAnsi="Consolas"/>
      <w:i/>
      <w:color w:val="60A0B0"/>
      <w:sz w:val="21"/>
      <w:szCs w:val="24"/>
      <w:lang w:val="en-US"/>
    </w:rPr>
  </w:style>
  <w:style w:type="character" w:customStyle="1" w:styleId="DocumentationTok">
    <w:name w:val="DocumentationTok"/>
    <w:basedOn w:val="VerbatimChar"/>
    <w:rsid w:val="00FD0C23"/>
    <w:rPr>
      <w:rFonts w:ascii="Consolas" w:hAnsi="Consolas"/>
      <w:i/>
      <w:color w:val="BA2121"/>
      <w:sz w:val="21"/>
      <w:szCs w:val="24"/>
      <w:lang w:val="en-US"/>
    </w:rPr>
  </w:style>
  <w:style w:type="character" w:customStyle="1" w:styleId="AnnotationTok">
    <w:name w:val="AnnotationTok"/>
    <w:basedOn w:val="VerbatimChar"/>
    <w:rsid w:val="00FD0C23"/>
    <w:rPr>
      <w:rFonts w:ascii="Consolas" w:hAnsi="Consolas"/>
      <w:b/>
      <w:i/>
      <w:color w:val="60A0B0"/>
      <w:sz w:val="21"/>
      <w:szCs w:val="24"/>
      <w:lang w:val="en-US"/>
    </w:rPr>
  </w:style>
  <w:style w:type="character" w:customStyle="1" w:styleId="CommentVarTok">
    <w:name w:val="CommentVarTok"/>
    <w:basedOn w:val="VerbatimChar"/>
    <w:rsid w:val="00FD0C23"/>
    <w:rPr>
      <w:rFonts w:ascii="Consolas" w:hAnsi="Consolas"/>
      <w:b/>
      <w:i/>
      <w:color w:val="60A0B0"/>
      <w:sz w:val="21"/>
      <w:szCs w:val="24"/>
      <w:lang w:val="en-US"/>
    </w:rPr>
  </w:style>
  <w:style w:type="character" w:customStyle="1" w:styleId="OtherTok">
    <w:name w:val="OtherTok"/>
    <w:basedOn w:val="VerbatimChar"/>
    <w:rsid w:val="00FD0C23"/>
    <w:rPr>
      <w:rFonts w:ascii="Consolas" w:hAnsi="Consolas"/>
      <w:color w:val="007020"/>
      <w:sz w:val="21"/>
      <w:szCs w:val="24"/>
      <w:lang w:val="en-US"/>
    </w:rPr>
  </w:style>
  <w:style w:type="character" w:customStyle="1" w:styleId="FunctionTok">
    <w:name w:val="FunctionTok"/>
    <w:basedOn w:val="VerbatimChar"/>
    <w:rsid w:val="00FD0C23"/>
    <w:rPr>
      <w:rFonts w:ascii="Consolas" w:hAnsi="Consolas"/>
      <w:color w:val="06287E"/>
      <w:sz w:val="21"/>
      <w:szCs w:val="24"/>
      <w:lang w:val="en-US"/>
    </w:rPr>
  </w:style>
  <w:style w:type="character" w:customStyle="1" w:styleId="VariableTok">
    <w:name w:val="VariableTok"/>
    <w:basedOn w:val="VerbatimChar"/>
    <w:rsid w:val="00FD0C23"/>
    <w:rPr>
      <w:rFonts w:ascii="Consolas" w:hAnsi="Consolas"/>
      <w:color w:val="19177C"/>
      <w:sz w:val="21"/>
      <w:szCs w:val="24"/>
      <w:lang w:val="en-US"/>
    </w:rPr>
  </w:style>
  <w:style w:type="character" w:customStyle="1" w:styleId="ControlFlowTok">
    <w:name w:val="ControlFlowTok"/>
    <w:basedOn w:val="VerbatimChar"/>
    <w:rsid w:val="00FD0C23"/>
    <w:rPr>
      <w:rFonts w:ascii="Consolas" w:hAnsi="Consolas"/>
      <w:b/>
      <w:color w:val="007020"/>
      <w:sz w:val="21"/>
      <w:szCs w:val="24"/>
      <w:lang w:val="en-US"/>
    </w:rPr>
  </w:style>
  <w:style w:type="character" w:customStyle="1" w:styleId="OperatorTok">
    <w:name w:val="OperatorTok"/>
    <w:basedOn w:val="VerbatimChar"/>
    <w:rsid w:val="00FD0C23"/>
    <w:rPr>
      <w:rFonts w:ascii="Consolas" w:hAnsi="Consolas"/>
      <w:color w:val="666666"/>
      <w:sz w:val="21"/>
      <w:szCs w:val="24"/>
      <w:lang w:val="en-US"/>
    </w:rPr>
  </w:style>
  <w:style w:type="character" w:customStyle="1" w:styleId="BuiltInTok">
    <w:name w:val="BuiltInTok"/>
    <w:basedOn w:val="VerbatimChar"/>
    <w:rsid w:val="00FD0C23"/>
    <w:rPr>
      <w:rFonts w:ascii="Consolas" w:hAnsi="Consolas"/>
      <w:sz w:val="21"/>
      <w:szCs w:val="24"/>
      <w:lang w:val="en-US"/>
    </w:rPr>
  </w:style>
  <w:style w:type="character" w:customStyle="1" w:styleId="ExtensionTok">
    <w:name w:val="ExtensionTok"/>
    <w:basedOn w:val="VerbatimChar"/>
    <w:rsid w:val="00FD0C23"/>
    <w:rPr>
      <w:rFonts w:ascii="Consolas" w:hAnsi="Consolas"/>
      <w:sz w:val="21"/>
      <w:szCs w:val="24"/>
      <w:lang w:val="en-US"/>
    </w:rPr>
  </w:style>
  <w:style w:type="character" w:customStyle="1" w:styleId="PreprocessorTok">
    <w:name w:val="PreprocessorTok"/>
    <w:basedOn w:val="VerbatimChar"/>
    <w:rsid w:val="00FD0C23"/>
    <w:rPr>
      <w:rFonts w:ascii="Consolas" w:hAnsi="Consolas"/>
      <w:color w:val="BC7A00"/>
      <w:sz w:val="21"/>
      <w:szCs w:val="24"/>
      <w:lang w:val="en-US"/>
    </w:rPr>
  </w:style>
  <w:style w:type="character" w:customStyle="1" w:styleId="AttributeTok">
    <w:name w:val="AttributeTok"/>
    <w:basedOn w:val="VerbatimChar"/>
    <w:rsid w:val="00FD0C23"/>
    <w:rPr>
      <w:rFonts w:ascii="Consolas" w:hAnsi="Consolas"/>
      <w:color w:val="7D9029"/>
      <w:sz w:val="21"/>
      <w:szCs w:val="24"/>
      <w:lang w:val="en-US"/>
    </w:rPr>
  </w:style>
  <w:style w:type="character" w:customStyle="1" w:styleId="RegionMarkerTok">
    <w:name w:val="RegionMarkerTok"/>
    <w:basedOn w:val="VerbatimChar"/>
    <w:rsid w:val="00FD0C23"/>
    <w:rPr>
      <w:rFonts w:ascii="Consolas" w:hAnsi="Consolas"/>
      <w:sz w:val="21"/>
      <w:szCs w:val="24"/>
      <w:lang w:val="en-US"/>
    </w:rPr>
  </w:style>
  <w:style w:type="character" w:customStyle="1" w:styleId="InformationTok">
    <w:name w:val="InformationTok"/>
    <w:basedOn w:val="VerbatimChar"/>
    <w:rsid w:val="00FD0C23"/>
    <w:rPr>
      <w:rFonts w:ascii="Consolas" w:hAnsi="Consolas"/>
      <w:b/>
      <w:i/>
      <w:color w:val="60A0B0"/>
      <w:sz w:val="21"/>
      <w:szCs w:val="24"/>
      <w:lang w:val="en-US"/>
    </w:rPr>
  </w:style>
  <w:style w:type="character" w:customStyle="1" w:styleId="WarningTok">
    <w:name w:val="WarningTok"/>
    <w:basedOn w:val="VerbatimChar"/>
    <w:rsid w:val="00FD0C23"/>
    <w:rPr>
      <w:rFonts w:ascii="Consolas" w:hAnsi="Consolas"/>
      <w:b/>
      <w:i/>
      <w:color w:val="60A0B0"/>
      <w:sz w:val="21"/>
      <w:szCs w:val="24"/>
      <w:lang w:val="en-US"/>
    </w:rPr>
  </w:style>
  <w:style w:type="character" w:customStyle="1" w:styleId="AlertTok">
    <w:name w:val="AlertTok"/>
    <w:basedOn w:val="VerbatimChar"/>
    <w:rsid w:val="00FD0C23"/>
    <w:rPr>
      <w:rFonts w:ascii="Consolas" w:hAnsi="Consolas"/>
      <w:b/>
      <w:color w:val="FF0000"/>
      <w:sz w:val="21"/>
      <w:szCs w:val="24"/>
      <w:lang w:val="en-US"/>
    </w:rPr>
  </w:style>
  <w:style w:type="character" w:customStyle="1" w:styleId="ErrorTok">
    <w:name w:val="ErrorTok"/>
    <w:basedOn w:val="VerbatimChar"/>
    <w:rsid w:val="00FD0C23"/>
    <w:rPr>
      <w:rFonts w:ascii="Consolas" w:hAnsi="Consolas"/>
      <w:b/>
      <w:color w:val="FF0000"/>
      <w:sz w:val="21"/>
      <w:szCs w:val="24"/>
      <w:lang w:val="en-US"/>
    </w:rPr>
  </w:style>
  <w:style w:type="character" w:customStyle="1" w:styleId="NormalTok">
    <w:name w:val="NormalTok"/>
    <w:basedOn w:val="VerbatimChar"/>
    <w:rsid w:val="00FD0C23"/>
    <w:rPr>
      <w:rFonts w:ascii="Consolas" w:hAnsi="Consolas"/>
      <w:sz w:val="21"/>
      <w:szCs w:val="24"/>
      <w:lang w:val="en-US"/>
    </w:rPr>
  </w:style>
  <w:style w:type="character" w:styleId="CommentReference">
    <w:name w:val="annotation reference"/>
    <w:basedOn w:val="DefaultParagraphFont"/>
    <w:uiPriority w:val="99"/>
    <w:semiHidden/>
    <w:unhideWhenUsed/>
    <w:rsid w:val="0007755C"/>
    <w:rPr>
      <w:sz w:val="16"/>
      <w:szCs w:val="16"/>
    </w:rPr>
  </w:style>
  <w:style w:type="paragraph" w:styleId="CommentText">
    <w:name w:val="annotation text"/>
    <w:basedOn w:val="Normal"/>
    <w:link w:val="CommentTextChar"/>
    <w:uiPriority w:val="99"/>
    <w:semiHidden/>
    <w:unhideWhenUsed/>
    <w:rsid w:val="0007755C"/>
    <w:rPr>
      <w:sz w:val="20"/>
      <w:szCs w:val="20"/>
    </w:rPr>
  </w:style>
  <w:style w:type="character" w:customStyle="1" w:styleId="CommentTextChar">
    <w:name w:val="Comment Text Char"/>
    <w:basedOn w:val="DefaultParagraphFont"/>
    <w:link w:val="CommentText"/>
    <w:uiPriority w:val="99"/>
    <w:semiHidden/>
    <w:rsid w:val="0007755C"/>
    <w:rPr>
      <w:sz w:val="20"/>
      <w:szCs w:val="20"/>
      <w:lang w:val="en-US"/>
    </w:rPr>
  </w:style>
  <w:style w:type="paragraph" w:styleId="CommentSubject">
    <w:name w:val="annotation subject"/>
    <w:basedOn w:val="CommentText"/>
    <w:next w:val="CommentText"/>
    <w:link w:val="CommentSubjectChar"/>
    <w:uiPriority w:val="99"/>
    <w:semiHidden/>
    <w:unhideWhenUsed/>
    <w:rsid w:val="0007755C"/>
    <w:rPr>
      <w:b/>
      <w:bCs/>
    </w:rPr>
  </w:style>
  <w:style w:type="character" w:customStyle="1" w:styleId="CommentSubjectChar">
    <w:name w:val="Comment Subject Char"/>
    <w:basedOn w:val="CommentTextChar"/>
    <w:link w:val="CommentSubject"/>
    <w:uiPriority w:val="99"/>
    <w:semiHidden/>
    <w:rsid w:val="0007755C"/>
    <w:rPr>
      <w:b/>
      <w:bCs/>
      <w:sz w:val="20"/>
      <w:szCs w:val="20"/>
      <w:lang w:val="en-US"/>
    </w:rPr>
  </w:style>
  <w:style w:type="table" w:styleId="ListTable6Colorful">
    <w:name w:val="List Table 6 Colorful"/>
    <w:basedOn w:val="TableNormal"/>
    <w:uiPriority w:val="51"/>
    <w:rsid w:val="00B10218"/>
    <w:pPr>
      <w:spacing w:after="0" w:line="240" w:lineRule="auto"/>
    </w:pPr>
    <w:rPr>
      <w:color w:val="000000" w:themeColor="text1"/>
      <w:sz w:val="24"/>
      <w:szCs w:val="24"/>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rsid w:val="00B1021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stomisedDefaultTableStyle">
    <w:name w:val="Customised Default Table Style"/>
    <w:basedOn w:val="TableNormal"/>
    <w:uiPriority w:val="99"/>
    <w:rsid w:val="00B10218"/>
    <w:pPr>
      <w:spacing w:after="0" w:line="240" w:lineRule="auto"/>
      <w:jc w:val="center"/>
    </w:pPr>
    <w:rPr>
      <w:sz w:val="24"/>
      <w:szCs w:val="24"/>
      <w:lang w:val="en-US"/>
    </w:rPr>
    <w:tblPr/>
    <w:tcPr>
      <w:vAlign w:val="center"/>
    </w:tcPr>
    <w:tblStylePr w:type="firstRow">
      <w:tblPr/>
      <w:tcPr>
        <w:tcBorders>
          <w:top w:val="single" w:sz="4" w:space="0" w:color="auto"/>
          <w:bottom w:val="single" w:sz="4" w:space="0" w:color="auto"/>
        </w:tcBorders>
      </w:tcPr>
    </w:tblStylePr>
    <w:tblStylePr w:type="lastRow">
      <w:tblPr/>
      <w:tcPr>
        <w:tcBorders>
          <w:bottom w:val="single" w:sz="4" w:space="0" w:color="auto"/>
        </w:tcBorders>
      </w:tcPr>
    </w:tblStylePr>
    <w:tblStylePr w:type="firstCol">
      <w:pPr>
        <w:jc w:val="left"/>
      </w:pPr>
    </w:tblStylePr>
  </w:style>
  <w:style w:type="table" w:customStyle="1" w:styleId="CustomizedDefaultTableStyle">
    <w:name w:val="Customized Default Table Style"/>
    <w:basedOn w:val="TableNormal"/>
    <w:uiPriority w:val="99"/>
    <w:rsid w:val="00B10218"/>
    <w:pPr>
      <w:spacing w:after="0" w:line="240" w:lineRule="auto"/>
      <w:jc w:val="center"/>
    </w:pPr>
    <w:rPr>
      <w:szCs w:val="24"/>
      <w:lang w:val="en-US"/>
    </w:rPr>
    <w:tblPr/>
    <w:tcPr>
      <w:vAlign w:val="center"/>
    </w:tcPr>
    <w:tblStylePr w:type="firstRow">
      <w:tblPr/>
      <w:tcPr>
        <w:tcBorders>
          <w:top w:val="single" w:sz="4" w:space="0" w:color="auto"/>
          <w:bottom w:val="single" w:sz="4" w:space="0" w:color="auto"/>
        </w:tcBorders>
      </w:tcPr>
    </w:tblStylePr>
    <w:tblStylePr w:type="lastRow">
      <w:tblPr/>
      <w:tcPr>
        <w:tcBorders>
          <w:bottom w:val="single" w:sz="4" w:space="0" w:color="auto"/>
        </w:tcBorders>
      </w:tcPr>
    </w:tblStylePr>
    <w:tblStylePr w:type="firstCol">
      <w:pPr>
        <w:jc w:val="left"/>
      </w:pPr>
      <w:tblPr/>
      <w:tcPr>
        <w:tcBorders>
          <w:top w:val="nil"/>
          <w:left w:val="nil"/>
          <w:bottom w:val="nil"/>
          <w:right w:val="nil"/>
          <w:insideH w:val="nil"/>
          <w:insideV w:val="nil"/>
          <w:tl2br w:val="nil"/>
          <w:tr2bl w:val="nil"/>
        </w:tcBorders>
      </w:tcPr>
    </w:tblStylePr>
    <w:tblStylePr w:type="lastCol">
      <w:tblPr/>
      <w:tcPr>
        <w:tcBorders>
          <w:top w:val="single" w:sz="4" w:space="0" w:color="auto"/>
        </w:tcBorders>
      </w:tcPr>
    </w:tblStylePr>
  </w:style>
  <w:style w:type="paragraph" w:styleId="TableofFigures">
    <w:name w:val="table of figures"/>
    <w:basedOn w:val="Normal"/>
    <w:next w:val="Normal"/>
    <w:unhideWhenUsed/>
    <w:rsid w:val="00B10218"/>
    <w:pPr>
      <w:spacing w:after="0"/>
    </w:pPr>
  </w:style>
  <w:style w:type="character" w:styleId="PlaceholderText">
    <w:name w:val="Placeholder Text"/>
    <w:basedOn w:val="DefaultParagraphFont"/>
    <w:semiHidden/>
    <w:rsid w:val="00B10218"/>
    <w:rPr>
      <w:color w:val="808080"/>
    </w:rPr>
  </w:style>
  <w:style w:type="paragraph" w:styleId="ListContinue4">
    <w:name w:val="List Continue 4"/>
    <w:basedOn w:val="Normal"/>
    <w:semiHidden/>
    <w:unhideWhenUsed/>
    <w:rsid w:val="00B10218"/>
    <w:pPr>
      <w:spacing w:after="120"/>
      <w:ind w:left="1132"/>
      <w:contextualSpacing/>
    </w:pPr>
  </w:style>
  <w:style w:type="paragraph" w:styleId="ListContinue3">
    <w:name w:val="List Continue 3"/>
    <w:basedOn w:val="Normal"/>
    <w:semiHidden/>
    <w:unhideWhenUsed/>
    <w:rsid w:val="00B10218"/>
    <w:pPr>
      <w:spacing w:after="120"/>
      <w:ind w:left="849"/>
      <w:contextualSpacing/>
    </w:pPr>
  </w:style>
  <w:style w:type="paragraph" w:styleId="ListContinue">
    <w:name w:val="List Continue"/>
    <w:basedOn w:val="Normal"/>
    <w:semiHidden/>
    <w:unhideWhenUsed/>
    <w:rsid w:val="00B10218"/>
    <w:pPr>
      <w:spacing w:after="120"/>
      <w:ind w:left="283"/>
      <w:contextualSpacing/>
    </w:pPr>
  </w:style>
  <w:style w:type="table" w:styleId="PlainTable2">
    <w:name w:val="Plain Table 2"/>
    <w:basedOn w:val="TableNormal"/>
    <w:rsid w:val="00B10218"/>
    <w:pPr>
      <w:spacing w:after="0" w:line="240" w:lineRule="auto"/>
    </w:pPr>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Accent5">
    <w:name w:val="List Table 3 Accent 5"/>
    <w:basedOn w:val="TableNormal"/>
    <w:uiPriority w:val="48"/>
    <w:rsid w:val="00B10218"/>
    <w:pPr>
      <w:spacing w:after="0" w:line="240" w:lineRule="auto"/>
    </w:pPr>
    <w:rPr>
      <w:sz w:val="24"/>
      <w:szCs w:val="24"/>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aliases w:val="normal"/>
    <w:basedOn w:val="Table"/>
    <w:uiPriority w:val="49"/>
    <w:rsid w:val="00B10218"/>
    <w:rPr>
      <w:rFonts w:ascii="Arial Narrow" w:hAnsi="Arial Narrow"/>
    </w:rPr>
    <w:tblPr>
      <w:tblStyleRowBandSize w:val="1"/>
      <w:tblStyleColBandSize w:val="1"/>
      <w:jc w:val="center"/>
      <w:tblBorders>
        <w:top w:val="none" w:sz="0" w:space="0" w:color="auto"/>
        <w:bottom w:val="none" w:sz="0" w:space="0" w:color="auto"/>
      </w:tblBorders>
      <w:tblCellMar>
        <w:left w:w="28" w:type="dxa"/>
        <w:right w:w="28" w:type="dxa"/>
      </w:tblCellMar>
    </w:tblPr>
    <w:trPr>
      <w:jc w:val="center"/>
    </w:tr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l2br w:val="nil"/>
          <w:tr2bl w:val="nil"/>
        </w:tcBorders>
        <w:shd w:val="clear" w:color="auto" w:fill="4F81BD" w:themeFill="accent1"/>
      </w:tcPr>
    </w:tblStylePr>
    <w:tblStylePr w:type="lastRow">
      <w:pPr>
        <w:wordWrap/>
        <w:spacing w:beforeLines="0" w:before="0" w:beforeAutospacing="0" w:afterLines="0" w:after="0" w:afterAutospacing="0"/>
      </w:pPr>
      <w:rPr>
        <w:b w:val="0"/>
        <w:bCs/>
      </w:rPr>
      <w:tblPr/>
      <w:tcPr>
        <w:tcBorders>
          <w:top w:val="double" w:sz="4" w:space="0" w:color="95B3D7" w:themeColor="accent1" w:themeTint="99"/>
          <w:bottom w:val="single" w:sz="4" w:space="0" w:color="auto"/>
        </w:tcBorders>
      </w:tcPr>
    </w:tblStylePr>
    <w:tblStylePr w:type="firstCol">
      <w:pPr>
        <w:jc w:val="left"/>
      </w:pPr>
      <w:rPr>
        <w:b w:val="0"/>
        <w:bCs/>
      </w:rPr>
    </w:tblStylePr>
    <w:tblStylePr w:type="lastCol">
      <w:rPr>
        <w:rFonts w:asciiTheme="minorHAnsi" w:hAnsiTheme="minorHAnsi"/>
        <w:b w:val="0"/>
        <w:bCs/>
        <w:sz w:val="22"/>
      </w:rPr>
      <w:tblPr/>
      <w:tcPr>
        <w:tcBorders>
          <w:top w:val="nil"/>
          <w:left w:val="nil"/>
          <w:bottom w:val="single" w:sz="4" w:space="0" w:color="auto"/>
          <w:right w:val="nil"/>
          <w:insideH w:val="nil"/>
          <w:insideV w:val="nil"/>
          <w:tl2br w:val="nil"/>
          <w:tr2bl w:val="nil"/>
        </w:tcBorders>
      </w:tcPr>
    </w:tblStylePr>
    <w:tblStylePr w:type="band1Vert">
      <w:tblPr/>
      <w:tcPr>
        <w:shd w:val="clear" w:color="auto" w:fill="DBE5F1" w:themeFill="accent1" w:themeFillTint="33"/>
      </w:tcPr>
    </w:tblStylePr>
    <w:tblStylePr w:type="band1Horz">
      <w:rPr>
        <w:rFonts w:asciiTheme="minorHAnsi" w:hAnsiTheme="minorHAnsi"/>
        <w:b w:val="0"/>
      </w:rPr>
      <w:tblPr/>
      <w:tcPr>
        <w:shd w:val="clear" w:color="auto" w:fill="DBE5F1" w:themeFill="accent1" w:themeFillTint="33"/>
      </w:tcPr>
    </w:tblStylePr>
  </w:style>
  <w:style w:type="table" w:styleId="ListTable4-Accent5">
    <w:name w:val="List Table 4 Accent 5"/>
    <w:basedOn w:val="TableNormal"/>
    <w:uiPriority w:val="49"/>
    <w:rsid w:val="00B10218"/>
    <w:pPr>
      <w:spacing w:after="0" w:line="240" w:lineRule="auto"/>
    </w:pPr>
    <w:rPr>
      <w:sz w:val="24"/>
      <w:szCs w:val="24"/>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on">
    <w:name w:val="Revision"/>
    <w:hidden/>
    <w:uiPriority w:val="99"/>
    <w:semiHidden/>
    <w:rsid w:val="00497180"/>
    <w:pPr>
      <w:spacing w:after="0" w:line="240" w:lineRule="auto"/>
    </w:pPr>
    <w:rPr>
      <w:sz w:val="24"/>
      <w:szCs w:val="24"/>
      <w:lang w:val="en-US"/>
    </w:rPr>
  </w:style>
  <w:style w:type="paragraph" w:styleId="TOC2">
    <w:name w:val="toc 2"/>
    <w:basedOn w:val="Normal"/>
    <w:next w:val="Normal"/>
    <w:autoRedefine/>
    <w:uiPriority w:val="39"/>
    <w:unhideWhenUsed/>
    <w:rsid w:val="002A32BA"/>
    <w:pPr>
      <w:spacing w:before="120" w:after="0"/>
      <w:ind w:left="240"/>
      <w:jc w:val="left"/>
    </w:pPr>
    <w:rPr>
      <w:rFonts w:cstheme="minorHAnsi"/>
      <w:b/>
      <w:bCs/>
      <w:sz w:val="22"/>
      <w:szCs w:val="22"/>
    </w:rPr>
  </w:style>
  <w:style w:type="paragraph" w:styleId="TOC3">
    <w:name w:val="toc 3"/>
    <w:basedOn w:val="Normal"/>
    <w:next w:val="Normal"/>
    <w:autoRedefine/>
    <w:uiPriority w:val="39"/>
    <w:unhideWhenUsed/>
    <w:rsid w:val="002A32BA"/>
    <w:pPr>
      <w:spacing w:after="0"/>
      <w:ind w:left="480"/>
      <w:jc w:val="left"/>
    </w:pPr>
    <w:rPr>
      <w:rFonts w:cstheme="minorHAnsi"/>
      <w:sz w:val="20"/>
      <w:szCs w:val="20"/>
    </w:rPr>
  </w:style>
  <w:style w:type="paragraph" w:styleId="TOC4">
    <w:name w:val="toc 4"/>
    <w:basedOn w:val="Normal"/>
    <w:next w:val="Normal"/>
    <w:autoRedefine/>
    <w:uiPriority w:val="39"/>
    <w:semiHidden/>
    <w:unhideWhenUsed/>
    <w:rsid w:val="002A32BA"/>
    <w:pPr>
      <w:spacing w:after="0"/>
      <w:ind w:left="720"/>
      <w:jc w:val="left"/>
    </w:pPr>
    <w:rPr>
      <w:rFonts w:cstheme="minorHAnsi"/>
      <w:sz w:val="20"/>
      <w:szCs w:val="20"/>
    </w:rPr>
  </w:style>
  <w:style w:type="paragraph" w:styleId="TOC6">
    <w:name w:val="toc 6"/>
    <w:basedOn w:val="Normal"/>
    <w:next w:val="Normal"/>
    <w:autoRedefine/>
    <w:uiPriority w:val="39"/>
    <w:semiHidden/>
    <w:unhideWhenUsed/>
    <w:rsid w:val="002A32BA"/>
    <w:pPr>
      <w:spacing w:after="0"/>
      <w:ind w:left="1200"/>
      <w:jc w:val="left"/>
    </w:pPr>
    <w:rPr>
      <w:rFonts w:cstheme="minorHAnsi"/>
      <w:sz w:val="20"/>
      <w:szCs w:val="20"/>
    </w:rPr>
  </w:style>
  <w:style w:type="paragraph" w:styleId="TOC7">
    <w:name w:val="toc 7"/>
    <w:basedOn w:val="Normal"/>
    <w:next w:val="Normal"/>
    <w:autoRedefine/>
    <w:uiPriority w:val="39"/>
    <w:semiHidden/>
    <w:unhideWhenUsed/>
    <w:rsid w:val="002A32BA"/>
    <w:pPr>
      <w:spacing w:after="0"/>
      <w:ind w:left="1440"/>
      <w:jc w:val="left"/>
    </w:pPr>
    <w:rPr>
      <w:rFonts w:cstheme="minorHAnsi"/>
      <w:sz w:val="20"/>
      <w:szCs w:val="20"/>
    </w:rPr>
  </w:style>
  <w:style w:type="paragraph" w:styleId="TOC8">
    <w:name w:val="toc 8"/>
    <w:basedOn w:val="Normal"/>
    <w:next w:val="Normal"/>
    <w:autoRedefine/>
    <w:uiPriority w:val="39"/>
    <w:semiHidden/>
    <w:unhideWhenUsed/>
    <w:rsid w:val="002A32BA"/>
    <w:pPr>
      <w:spacing w:after="0"/>
      <w:ind w:left="1680"/>
      <w:jc w:val="left"/>
    </w:pPr>
    <w:rPr>
      <w:rFonts w:cstheme="minorHAnsi"/>
      <w:sz w:val="20"/>
      <w:szCs w:val="20"/>
    </w:rPr>
  </w:style>
  <w:style w:type="character" w:customStyle="1" w:styleId="BodyTextFirstIndent2Char1">
    <w:name w:val="Body Text First Indent 2 Char1"/>
    <w:basedOn w:val="BodyTextIndentChar"/>
    <w:uiPriority w:val="99"/>
    <w:semiHidden/>
    <w:rsid w:val="003C620A"/>
    <w:rPr>
      <w:sz w:val="24"/>
      <w:szCs w:val="24"/>
      <w:lang w:val="en-US"/>
    </w:rPr>
  </w:style>
  <w:style w:type="character" w:customStyle="1" w:styleId="BodyTextFirstIndentChar1">
    <w:name w:val="Body Text First Indent Char1"/>
    <w:basedOn w:val="BodyTextChar"/>
    <w:uiPriority w:val="99"/>
    <w:semiHidden/>
    <w:rsid w:val="003C620A"/>
    <w:rPr>
      <w:sz w:val="24"/>
      <w:szCs w:val="24"/>
      <w:lang w:val="en-US"/>
    </w:rPr>
  </w:style>
  <w:style w:type="character" w:customStyle="1" w:styleId="BodyText3Char1">
    <w:name w:val="Body Text 3 Char1"/>
    <w:basedOn w:val="DefaultParagraphFont"/>
    <w:uiPriority w:val="99"/>
    <w:semiHidden/>
    <w:rsid w:val="003C620A"/>
    <w:rPr>
      <w:sz w:val="16"/>
      <w:szCs w:val="16"/>
      <w:lang w:val="en-US"/>
    </w:rPr>
  </w:style>
  <w:style w:type="character" w:customStyle="1" w:styleId="BodyText2Char1">
    <w:name w:val="Body Text 2 Char1"/>
    <w:basedOn w:val="DefaultParagraphFont"/>
    <w:uiPriority w:val="99"/>
    <w:semiHidden/>
    <w:rsid w:val="003C620A"/>
    <w:rPr>
      <w:sz w:val="24"/>
      <w:szCs w:val="24"/>
      <w:lang w:val="en-US"/>
    </w:rPr>
  </w:style>
  <w:style w:type="paragraph" w:styleId="NoSpacing">
    <w:name w:val="No Spacing"/>
    <w:uiPriority w:val="1"/>
    <w:qFormat/>
    <w:rsid w:val="00B44672"/>
    <w:pPr>
      <w:spacing w:after="0" w:line="240" w:lineRule="auto"/>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45245">
      <w:bodyDiv w:val="1"/>
      <w:marLeft w:val="0"/>
      <w:marRight w:val="0"/>
      <w:marTop w:val="0"/>
      <w:marBottom w:val="0"/>
      <w:divBdr>
        <w:top w:val="none" w:sz="0" w:space="0" w:color="auto"/>
        <w:left w:val="none" w:sz="0" w:space="0" w:color="auto"/>
        <w:bottom w:val="none" w:sz="0" w:space="0" w:color="auto"/>
        <w:right w:val="none" w:sz="0" w:space="0" w:color="auto"/>
      </w:divBdr>
    </w:div>
    <w:div w:id="199437446">
      <w:bodyDiv w:val="1"/>
      <w:marLeft w:val="0"/>
      <w:marRight w:val="0"/>
      <w:marTop w:val="0"/>
      <w:marBottom w:val="0"/>
      <w:divBdr>
        <w:top w:val="none" w:sz="0" w:space="0" w:color="auto"/>
        <w:left w:val="none" w:sz="0" w:space="0" w:color="auto"/>
        <w:bottom w:val="none" w:sz="0" w:space="0" w:color="auto"/>
        <w:right w:val="none" w:sz="0" w:space="0" w:color="auto"/>
      </w:divBdr>
    </w:div>
    <w:div w:id="464858799">
      <w:bodyDiv w:val="1"/>
      <w:marLeft w:val="0"/>
      <w:marRight w:val="0"/>
      <w:marTop w:val="0"/>
      <w:marBottom w:val="0"/>
      <w:divBdr>
        <w:top w:val="none" w:sz="0" w:space="0" w:color="auto"/>
        <w:left w:val="none" w:sz="0" w:space="0" w:color="auto"/>
        <w:bottom w:val="none" w:sz="0" w:space="0" w:color="auto"/>
        <w:right w:val="none" w:sz="0" w:space="0" w:color="auto"/>
      </w:divBdr>
    </w:div>
    <w:div w:id="541526801">
      <w:bodyDiv w:val="1"/>
      <w:marLeft w:val="0"/>
      <w:marRight w:val="0"/>
      <w:marTop w:val="0"/>
      <w:marBottom w:val="0"/>
      <w:divBdr>
        <w:top w:val="none" w:sz="0" w:space="0" w:color="auto"/>
        <w:left w:val="none" w:sz="0" w:space="0" w:color="auto"/>
        <w:bottom w:val="none" w:sz="0" w:space="0" w:color="auto"/>
        <w:right w:val="none" w:sz="0" w:space="0" w:color="auto"/>
      </w:divBdr>
    </w:div>
    <w:div w:id="544877207">
      <w:bodyDiv w:val="1"/>
      <w:marLeft w:val="0"/>
      <w:marRight w:val="0"/>
      <w:marTop w:val="0"/>
      <w:marBottom w:val="0"/>
      <w:divBdr>
        <w:top w:val="none" w:sz="0" w:space="0" w:color="auto"/>
        <w:left w:val="none" w:sz="0" w:space="0" w:color="auto"/>
        <w:bottom w:val="none" w:sz="0" w:space="0" w:color="auto"/>
        <w:right w:val="none" w:sz="0" w:space="0" w:color="auto"/>
      </w:divBdr>
    </w:div>
    <w:div w:id="554775551">
      <w:bodyDiv w:val="1"/>
      <w:marLeft w:val="0"/>
      <w:marRight w:val="0"/>
      <w:marTop w:val="0"/>
      <w:marBottom w:val="0"/>
      <w:divBdr>
        <w:top w:val="none" w:sz="0" w:space="0" w:color="auto"/>
        <w:left w:val="none" w:sz="0" w:space="0" w:color="auto"/>
        <w:bottom w:val="none" w:sz="0" w:space="0" w:color="auto"/>
        <w:right w:val="none" w:sz="0" w:space="0" w:color="auto"/>
      </w:divBdr>
    </w:div>
    <w:div w:id="572935496">
      <w:bodyDiv w:val="1"/>
      <w:marLeft w:val="0"/>
      <w:marRight w:val="0"/>
      <w:marTop w:val="0"/>
      <w:marBottom w:val="0"/>
      <w:divBdr>
        <w:top w:val="none" w:sz="0" w:space="0" w:color="auto"/>
        <w:left w:val="none" w:sz="0" w:space="0" w:color="auto"/>
        <w:bottom w:val="none" w:sz="0" w:space="0" w:color="auto"/>
        <w:right w:val="none" w:sz="0" w:space="0" w:color="auto"/>
      </w:divBdr>
    </w:div>
    <w:div w:id="723911695">
      <w:bodyDiv w:val="1"/>
      <w:marLeft w:val="0"/>
      <w:marRight w:val="0"/>
      <w:marTop w:val="0"/>
      <w:marBottom w:val="0"/>
      <w:divBdr>
        <w:top w:val="none" w:sz="0" w:space="0" w:color="auto"/>
        <w:left w:val="none" w:sz="0" w:space="0" w:color="auto"/>
        <w:bottom w:val="none" w:sz="0" w:space="0" w:color="auto"/>
        <w:right w:val="none" w:sz="0" w:space="0" w:color="auto"/>
      </w:divBdr>
    </w:div>
    <w:div w:id="821310754">
      <w:bodyDiv w:val="1"/>
      <w:marLeft w:val="0"/>
      <w:marRight w:val="0"/>
      <w:marTop w:val="0"/>
      <w:marBottom w:val="0"/>
      <w:divBdr>
        <w:top w:val="none" w:sz="0" w:space="0" w:color="auto"/>
        <w:left w:val="none" w:sz="0" w:space="0" w:color="auto"/>
        <w:bottom w:val="none" w:sz="0" w:space="0" w:color="auto"/>
        <w:right w:val="none" w:sz="0" w:space="0" w:color="auto"/>
      </w:divBdr>
    </w:div>
    <w:div w:id="835413203">
      <w:bodyDiv w:val="1"/>
      <w:marLeft w:val="0"/>
      <w:marRight w:val="0"/>
      <w:marTop w:val="0"/>
      <w:marBottom w:val="0"/>
      <w:divBdr>
        <w:top w:val="none" w:sz="0" w:space="0" w:color="auto"/>
        <w:left w:val="none" w:sz="0" w:space="0" w:color="auto"/>
        <w:bottom w:val="none" w:sz="0" w:space="0" w:color="auto"/>
        <w:right w:val="none" w:sz="0" w:space="0" w:color="auto"/>
      </w:divBdr>
    </w:div>
    <w:div w:id="905803976">
      <w:bodyDiv w:val="1"/>
      <w:marLeft w:val="0"/>
      <w:marRight w:val="0"/>
      <w:marTop w:val="0"/>
      <w:marBottom w:val="0"/>
      <w:divBdr>
        <w:top w:val="none" w:sz="0" w:space="0" w:color="auto"/>
        <w:left w:val="none" w:sz="0" w:space="0" w:color="auto"/>
        <w:bottom w:val="none" w:sz="0" w:space="0" w:color="auto"/>
        <w:right w:val="none" w:sz="0" w:space="0" w:color="auto"/>
      </w:divBdr>
    </w:div>
    <w:div w:id="952784750">
      <w:bodyDiv w:val="1"/>
      <w:marLeft w:val="0"/>
      <w:marRight w:val="0"/>
      <w:marTop w:val="0"/>
      <w:marBottom w:val="0"/>
      <w:divBdr>
        <w:top w:val="none" w:sz="0" w:space="0" w:color="auto"/>
        <w:left w:val="none" w:sz="0" w:space="0" w:color="auto"/>
        <w:bottom w:val="none" w:sz="0" w:space="0" w:color="auto"/>
        <w:right w:val="none" w:sz="0" w:space="0" w:color="auto"/>
      </w:divBdr>
    </w:div>
    <w:div w:id="1128743770">
      <w:bodyDiv w:val="1"/>
      <w:marLeft w:val="0"/>
      <w:marRight w:val="0"/>
      <w:marTop w:val="0"/>
      <w:marBottom w:val="0"/>
      <w:divBdr>
        <w:top w:val="none" w:sz="0" w:space="0" w:color="auto"/>
        <w:left w:val="none" w:sz="0" w:space="0" w:color="auto"/>
        <w:bottom w:val="none" w:sz="0" w:space="0" w:color="auto"/>
        <w:right w:val="none" w:sz="0" w:space="0" w:color="auto"/>
      </w:divBdr>
    </w:div>
    <w:div w:id="1225333881">
      <w:bodyDiv w:val="1"/>
      <w:marLeft w:val="0"/>
      <w:marRight w:val="0"/>
      <w:marTop w:val="0"/>
      <w:marBottom w:val="0"/>
      <w:divBdr>
        <w:top w:val="none" w:sz="0" w:space="0" w:color="auto"/>
        <w:left w:val="none" w:sz="0" w:space="0" w:color="auto"/>
        <w:bottom w:val="none" w:sz="0" w:space="0" w:color="auto"/>
        <w:right w:val="none" w:sz="0" w:space="0" w:color="auto"/>
      </w:divBdr>
    </w:div>
    <w:div w:id="1253779345">
      <w:bodyDiv w:val="1"/>
      <w:marLeft w:val="0"/>
      <w:marRight w:val="0"/>
      <w:marTop w:val="0"/>
      <w:marBottom w:val="0"/>
      <w:divBdr>
        <w:top w:val="none" w:sz="0" w:space="0" w:color="auto"/>
        <w:left w:val="none" w:sz="0" w:space="0" w:color="auto"/>
        <w:bottom w:val="none" w:sz="0" w:space="0" w:color="auto"/>
        <w:right w:val="none" w:sz="0" w:space="0" w:color="auto"/>
      </w:divBdr>
    </w:div>
    <w:div w:id="1289319921">
      <w:bodyDiv w:val="1"/>
      <w:marLeft w:val="0"/>
      <w:marRight w:val="0"/>
      <w:marTop w:val="0"/>
      <w:marBottom w:val="0"/>
      <w:divBdr>
        <w:top w:val="none" w:sz="0" w:space="0" w:color="auto"/>
        <w:left w:val="none" w:sz="0" w:space="0" w:color="auto"/>
        <w:bottom w:val="none" w:sz="0" w:space="0" w:color="auto"/>
        <w:right w:val="none" w:sz="0" w:space="0" w:color="auto"/>
      </w:divBdr>
    </w:div>
    <w:div w:id="1333411893">
      <w:bodyDiv w:val="1"/>
      <w:marLeft w:val="0"/>
      <w:marRight w:val="0"/>
      <w:marTop w:val="0"/>
      <w:marBottom w:val="0"/>
      <w:divBdr>
        <w:top w:val="none" w:sz="0" w:space="0" w:color="auto"/>
        <w:left w:val="none" w:sz="0" w:space="0" w:color="auto"/>
        <w:bottom w:val="none" w:sz="0" w:space="0" w:color="auto"/>
        <w:right w:val="none" w:sz="0" w:space="0" w:color="auto"/>
      </w:divBdr>
    </w:div>
    <w:div w:id="1336960481">
      <w:bodyDiv w:val="1"/>
      <w:marLeft w:val="0"/>
      <w:marRight w:val="0"/>
      <w:marTop w:val="0"/>
      <w:marBottom w:val="0"/>
      <w:divBdr>
        <w:top w:val="none" w:sz="0" w:space="0" w:color="auto"/>
        <w:left w:val="none" w:sz="0" w:space="0" w:color="auto"/>
        <w:bottom w:val="none" w:sz="0" w:space="0" w:color="auto"/>
        <w:right w:val="none" w:sz="0" w:space="0" w:color="auto"/>
      </w:divBdr>
    </w:div>
    <w:div w:id="1356997001">
      <w:bodyDiv w:val="1"/>
      <w:marLeft w:val="0"/>
      <w:marRight w:val="0"/>
      <w:marTop w:val="0"/>
      <w:marBottom w:val="0"/>
      <w:divBdr>
        <w:top w:val="none" w:sz="0" w:space="0" w:color="auto"/>
        <w:left w:val="none" w:sz="0" w:space="0" w:color="auto"/>
        <w:bottom w:val="none" w:sz="0" w:space="0" w:color="auto"/>
        <w:right w:val="none" w:sz="0" w:space="0" w:color="auto"/>
      </w:divBdr>
    </w:div>
    <w:div w:id="1407459105">
      <w:bodyDiv w:val="1"/>
      <w:marLeft w:val="0"/>
      <w:marRight w:val="0"/>
      <w:marTop w:val="0"/>
      <w:marBottom w:val="0"/>
      <w:divBdr>
        <w:top w:val="none" w:sz="0" w:space="0" w:color="auto"/>
        <w:left w:val="none" w:sz="0" w:space="0" w:color="auto"/>
        <w:bottom w:val="none" w:sz="0" w:space="0" w:color="auto"/>
        <w:right w:val="none" w:sz="0" w:space="0" w:color="auto"/>
      </w:divBdr>
    </w:div>
    <w:div w:id="1575506969">
      <w:bodyDiv w:val="1"/>
      <w:marLeft w:val="0"/>
      <w:marRight w:val="0"/>
      <w:marTop w:val="0"/>
      <w:marBottom w:val="0"/>
      <w:divBdr>
        <w:top w:val="none" w:sz="0" w:space="0" w:color="auto"/>
        <w:left w:val="none" w:sz="0" w:space="0" w:color="auto"/>
        <w:bottom w:val="none" w:sz="0" w:space="0" w:color="auto"/>
        <w:right w:val="none" w:sz="0" w:space="0" w:color="auto"/>
      </w:divBdr>
    </w:div>
    <w:div w:id="1644002435">
      <w:bodyDiv w:val="1"/>
      <w:marLeft w:val="0"/>
      <w:marRight w:val="0"/>
      <w:marTop w:val="0"/>
      <w:marBottom w:val="0"/>
      <w:divBdr>
        <w:top w:val="none" w:sz="0" w:space="0" w:color="auto"/>
        <w:left w:val="none" w:sz="0" w:space="0" w:color="auto"/>
        <w:bottom w:val="none" w:sz="0" w:space="0" w:color="auto"/>
        <w:right w:val="none" w:sz="0" w:space="0" w:color="auto"/>
      </w:divBdr>
    </w:div>
    <w:div w:id="1967925992">
      <w:bodyDiv w:val="1"/>
      <w:marLeft w:val="0"/>
      <w:marRight w:val="0"/>
      <w:marTop w:val="0"/>
      <w:marBottom w:val="0"/>
      <w:divBdr>
        <w:top w:val="none" w:sz="0" w:space="0" w:color="auto"/>
        <w:left w:val="none" w:sz="0" w:space="0" w:color="auto"/>
        <w:bottom w:val="none" w:sz="0" w:space="0" w:color="auto"/>
        <w:right w:val="none" w:sz="0" w:space="0" w:color="auto"/>
      </w:divBdr>
    </w:div>
    <w:div w:id="2114782839">
      <w:bodyDiv w:val="1"/>
      <w:marLeft w:val="0"/>
      <w:marRight w:val="0"/>
      <w:marTop w:val="0"/>
      <w:marBottom w:val="0"/>
      <w:divBdr>
        <w:top w:val="none" w:sz="0" w:space="0" w:color="auto"/>
        <w:left w:val="none" w:sz="0" w:space="0" w:color="auto"/>
        <w:bottom w:val="none" w:sz="0" w:space="0" w:color="auto"/>
        <w:right w:val="none" w:sz="0" w:space="0" w:color="auto"/>
      </w:divBdr>
    </w:div>
    <w:div w:id="213883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omeloanexperts.com.au/wp-content/uploads/2019/09/CurrentMinimumLivingAllowances_June2019-HEM.pdf" TargetMode="External"/><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hyperlink" Target="https://www.homeloanexperts.com.au/wp-content/uploads/2019/09/CurrentMinimumLivingAllowances_June2019-HEM.pdf"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rmortgage.com.au/calculators/mortgage_insurance/"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alf%20Steinhauser\Documents\ANU%202018\TTPI\ACT%20Treasury%20Tax%20Reform%20Consulting%202019\Data\Difference%20Corelogic%20followup\CL_Data%20issue%20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alf%20Steinhauser\Documents\ANU%202018\TTPI\ACT%20Treasury%20Tax%20Reform%20Consulting%202019\Data\Difference%20Corelogic%20followup\CL_Data%20issue%20graph.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Difference in Number of Property Sales ACT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Corelogic Series</c:v>
          </c:tx>
          <c:spPr>
            <a:ln w="28575" cap="rnd">
              <a:solidFill>
                <a:schemeClr val="accent1"/>
              </a:solidFill>
              <a:round/>
            </a:ln>
            <a:effectLst/>
          </c:spPr>
          <c:marker>
            <c:symbol val="none"/>
          </c:marker>
          <c:cat>
            <c:strRef>
              <c:f>Sheet1!$E$1:$M$1</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Sheet1!$E$2:$M$2</c:f>
              <c:numCache>
                <c:formatCode>General</c:formatCode>
                <c:ptCount val="9"/>
                <c:pt idx="0">
                  <c:v>9770</c:v>
                </c:pt>
                <c:pt idx="1">
                  <c:v>8102</c:v>
                </c:pt>
                <c:pt idx="2">
                  <c:v>8157</c:v>
                </c:pt>
                <c:pt idx="3">
                  <c:v>8443</c:v>
                </c:pt>
                <c:pt idx="4">
                  <c:v>8110</c:v>
                </c:pt>
                <c:pt idx="5">
                  <c:v>7880</c:v>
                </c:pt>
                <c:pt idx="6">
                  <c:v>7672</c:v>
                </c:pt>
                <c:pt idx="7">
                  <c:v>7927</c:v>
                </c:pt>
                <c:pt idx="8">
                  <c:v>6729</c:v>
                </c:pt>
              </c:numCache>
            </c:numRef>
          </c:val>
          <c:smooth val="0"/>
          <c:extLst>
            <c:ext xmlns:c16="http://schemas.microsoft.com/office/drawing/2014/chart" uri="{C3380CC4-5D6E-409C-BE32-E72D297353CC}">
              <c16:uniqueId val="{00000000-6A87-4BF0-90A4-474ACC7C3FE6}"/>
            </c:ext>
          </c:extLst>
        </c:ser>
        <c:ser>
          <c:idx val="3"/>
          <c:order val="3"/>
          <c:tx>
            <c:v>Admin Data</c:v>
          </c:tx>
          <c:spPr>
            <a:ln w="28575" cap="rnd">
              <a:solidFill>
                <a:schemeClr val="accent4"/>
              </a:solidFill>
              <a:round/>
            </a:ln>
            <a:effectLst/>
          </c:spPr>
          <c:marker>
            <c:symbol val="none"/>
          </c:marker>
          <c:val>
            <c:numRef>
              <c:f>Sheet1!$E$3:$M$3</c:f>
              <c:numCache>
                <c:formatCode>#,##0</c:formatCode>
                <c:ptCount val="9"/>
                <c:pt idx="0">
                  <c:v>13730</c:v>
                </c:pt>
                <c:pt idx="1">
                  <c:v>12879</c:v>
                </c:pt>
                <c:pt idx="2">
                  <c:v>12571</c:v>
                </c:pt>
                <c:pt idx="3">
                  <c:v>14359</c:v>
                </c:pt>
                <c:pt idx="4">
                  <c:v>14547</c:v>
                </c:pt>
                <c:pt idx="5">
                  <c:v>15970</c:v>
                </c:pt>
                <c:pt idx="6">
                  <c:v>17070</c:v>
                </c:pt>
                <c:pt idx="7">
                  <c:v>13272</c:v>
                </c:pt>
                <c:pt idx="8">
                  <c:v>10165</c:v>
                </c:pt>
              </c:numCache>
            </c:numRef>
          </c:val>
          <c:smooth val="0"/>
          <c:extLst>
            <c:ext xmlns:c16="http://schemas.microsoft.com/office/drawing/2014/chart" uri="{C3380CC4-5D6E-409C-BE32-E72D297353CC}">
              <c16:uniqueId val="{00000001-6A87-4BF0-90A4-474ACC7C3FE6}"/>
            </c:ext>
          </c:extLst>
        </c:ser>
        <c:dLbls>
          <c:showLegendKey val="0"/>
          <c:showVal val="0"/>
          <c:showCatName val="0"/>
          <c:showSerName val="0"/>
          <c:showPercent val="0"/>
          <c:showBubbleSize val="0"/>
        </c:dLbls>
        <c:smooth val="0"/>
        <c:axId val="917301696"/>
        <c:axId val="674357392"/>
        <c:extLst>
          <c:ext xmlns:c15="http://schemas.microsoft.com/office/drawing/2012/chart" uri="{02D57815-91ED-43cb-92C2-25804820EDAC}">
            <c15:filteredLineSeries>
              <c15:ser>
                <c:idx val="1"/>
                <c:order val="1"/>
                <c:tx>
                  <c:v>based on contract date</c:v>
                </c:tx>
                <c:spPr>
                  <a:ln w="28575" cap="rnd">
                    <a:solidFill>
                      <a:schemeClr val="accent2"/>
                    </a:solidFill>
                    <a:round/>
                  </a:ln>
                  <a:effectLst/>
                </c:spPr>
                <c:marker>
                  <c:symbol val="none"/>
                </c:marker>
                <c:cat>
                  <c:strRef>
                    <c:extLst>
                      <c:ext uri="{02D57815-91ED-43cb-92C2-25804820EDAC}">
                        <c15:formulaRef>
                          <c15:sqref>Sheet1!$E$1:$M$1</c15:sqref>
                        </c15:formulaRef>
                      </c:ext>
                    </c:extLst>
                    <c:strCache>
                      <c:ptCount val="9"/>
                      <c:pt idx="0">
                        <c:v>2010/11</c:v>
                      </c:pt>
                      <c:pt idx="1">
                        <c:v>2011/12</c:v>
                      </c:pt>
                      <c:pt idx="2">
                        <c:v>2012/13</c:v>
                      </c:pt>
                      <c:pt idx="3">
                        <c:v>2013/14</c:v>
                      </c:pt>
                      <c:pt idx="4">
                        <c:v>2014/15</c:v>
                      </c:pt>
                      <c:pt idx="5">
                        <c:v>2015/16</c:v>
                      </c:pt>
                      <c:pt idx="6">
                        <c:v>2016/17</c:v>
                      </c:pt>
                      <c:pt idx="7">
                        <c:v>2017/18</c:v>
                      </c:pt>
                      <c:pt idx="8">
                        <c:v>2018/19</c:v>
                      </c:pt>
                    </c:strCache>
                  </c:strRef>
                </c:cat>
                <c:val>
                  <c:numRef>
                    <c:extLst>
                      <c:ext uri="{02D57815-91ED-43cb-92C2-25804820EDAC}">
                        <c15:formulaRef>
                          <c15:sqref>Sheet1!$E$4:$M$4</c15:sqref>
                        </c15:formulaRef>
                      </c:ext>
                    </c:extLst>
                    <c:numCache>
                      <c:formatCode>#,##0</c:formatCode>
                      <c:ptCount val="9"/>
                      <c:pt idx="0">
                        <c:v>12283</c:v>
                      </c:pt>
                      <c:pt idx="1">
                        <c:v>10527</c:v>
                      </c:pt>
                      <c:pt idx="2">
                        <c:v>10534</c:v>
                      </c:pt>
                      <c:pt idx="3">
                        <c:v>10883</c:v>
                      </c:pt>
                      <c:pt idx="4">
                        <c:v>11595</c:v>
                      </c:pt>
                      <c:pt idx="5">
                        <c:v>12014</c:v>
                      </c:pt>
                      <c:pt idx="6">
                        <c:v>13015</c:v>
                      </c:pt>
                      <c:pt idx="7">
                        <c:v>11411</c:v>
                      </c:pt>
                      <c:pt idx="8">
                        <c:v>8047</c:v>
                      </c:pt>
                    </c:numCache>
                  </c:numRef>
                </c:val>
                <c:smooth val="0"/>
                <c:extLst>
                  <c:ext xmlns:c16="http://schemas.microsoft.com/office/drawing/2014/chart" uri="{C3380CC4-5D6E-409C-BE32-E72D297353CC}">
                    <c16:uniqueId val="{00000002-6A87-4BF0-90A4-474ACC7C3FE6}"/>
                  </c:ext>
                </c:extLst>
              </c15:ser>
            </c15:filteredLineSeries>
            <c15:filteredLineSeries>
              <c15:ser>
                <c:idx val="2"/>
                <c:order val="2"/>
                <c:tx>
                  <c:v>based on transfer date</c:v>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Sheet1!$E$1:$M$1</c15:sqref>
                        </c15:formulaRef>
                      </c:ext>
                    </c:extLst>
                    <c:strCache>
                      <c:ptCount val="9"/>
                      <c:pt idx="0">
                        <c:v>2010/11</c:v>
                      </c:pt>
                      <c:pt idx="1">
                        <c:v>2011/12</c:v>
                      </c:pt>
                      <c:pt idx="2">
                        <c:v>2012/13</c:v>
                      </c:pt>
                      <c:pt idx="3">
                        <c:v>2013/14</c:v>
                      </c:pt>
                      <c:pt idx="4">
                        <c:v>2014/15</c:v>
                      </c:pt>
                      <c:pt idx="5">
                        <c:v>2015/16</c:v>
                      </c:pt>
                      <c:pt idx="6">
                        <c:v>2016/17</c:v>
                      </c:pt>
                      <c:pt idx="7">
                        <c:v>2017/18</c:v>
                      </c:pt>
                      <c:pt idx="8">
                        <c:v>2018/19</c:v>
                      </c:pt>
                    </c:strCache>
                  </c:strRef>
                </c:cat>
                <c:val>
                  <c:numRef>
                    <c:extLst xmlns:c15="http://schemas.microsoft.com/office/drawing/2012/chart">
                      <c:ext xmlns:c15="http://schemas.microsoft.com/office/drawing/2012/chart" uri="{02D57815-91ED-43cb-92C2-25804820EDAC}">
                        <c15:formulaRef>
                          <c15:sqref>Sheet1!$E$5:$M$5</c15:sqref>
                        </c15:formulaRef>
                      </c:ext>
                    </c:extLst>
                    <c:numCache>
                      <c:formatCode>#,##0</c:formatCode>
                      <c:ptCount val="9"/>
                      <c:pt idx="0">
                        <c:v>11062</c:v>
                      </c:pt>
                      <c:pt idx="1">
                        <c:v>11726</c:v>
                      </c:pt>
                      <c:pt idx="2">
                        <c:v>12322</c:v>
                      </c:pt>
                      <c:pt idx="3">
                        <c:v>11308</c:v>
                      </c:pt>
                      <c:pt idx="4">
                        <c:v>10713</c:v>
                      </c:pt>
                      <c:pt idx="5">
                        <c:v>11109</c:v>
                      </c:pt>
                      <c:pt idx="6">
                        <c:v>12915</c:v>
                      </c:pt>
                      <c:pt idx="7">
                        <c:v>13777</c:v>
                      </c:pt>
                      <c:pt idx="8">
                        <c:v>12676</c:v>
                      </c:pt>
                    </c:numCache>
                  </c:numRef>
                </c:val>
                <c:smooth val="0"/>
                <c:extLst xmlns:c15="http://schemas.microsoft.com/office/drawing/2012/chart">
                  <c:ext xmlns:c16="http://schemas.microsoft.com/office/drawing/2014/chart" uri="{C3380CC4-5D6E-409C-BE32-E72D297353CC}">
                    <c16:uniqueId val="{00000003-6A87-4BF0-90A4-474ACC7C3FE6}"/>
                  </c:ext>
                </c:extLst>
              </c15:ser>
            </c15:filteredLineSeries>
          </c:ext>
        </c:extLst>
      </c:lineChart>
      <c:catAx>
        <c:axId val="917301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Financial</a:t>
                </a:r>
                <a:r>
                  <a:rPr lang="en-AU" baseline="0"/>
                  <a:t> Year</a:t>
                </a:r>
                <a:endParaRPr lang="en-AU"/>
              </a:p>
            </c:rich>
          </c:tx>
          <c:layout>
            <c:manualLayout>
              <c:xMode val="edge"/>
              <c:yMode val="edge"/>
              <c:x val="0.40174850289832492"/>
              <c:y val="0.927986116404101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357392"/>
        <c:crosses val="autoZero"/>
        <c:auto val="1"/>
        <c:lblAlgn val="ctr"/>
        <c:lblOffset val="100"/>
        <c:tickLblSkip val="2"/>
        <c:noMultiLvlLbl val="0"/>
      </c:catAx>
      <c:valAx>
        <c:axId val="67435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Sales, annual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3016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Difference in Number of Property Sales NSW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Corelogic Series</c:v>
          </c:tx>
          <c:spPr>
            <a:ln w="28575" cap="rnd">
              <a:solidFill>
                <a:schemeClr val="accent1"/>
              </a:solidFill>
              <a:round/>
            </a:ln>
            <a:effectLst/>
          </c:spPr>
          <c:marker>
            <c:symbol val="none"/>
          </c:marker>
          <c:cat>
            <c:strRef>
              <c:f>Sheet1!$E$1:$M$1</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Sheet1!$T$3:$AB$3</c:f>
              <c:numCache>
                <c:formatCode>General</c:formatCode>
                <c:ptCount val="9"/>
                <c:pt idx="0">
                  <c:v>134712</c:v>
                </c:pt>
                <c:pt idx="1">
                  <c:v>139005</c:v>
                </c:pt>
                <c:pt idx="2">
                  <c:v>144772</c:v>
                </c:pt>
                <c:pt idx="3">
                  <c:v>175573</c:v>
                </c:pt>
                <c:pt idx="4">
                  <c:v>176197</c:v>
                </c:pt>
                <c:pt idx="5">
                  <c:v>159500</c:v>
                </c:pt>
                <c:pt idx="6">
                  <c:v>156591</c:v>
                </c:pt>
                <c:pt idx="7">
                  <c:v>143053</c:v>
                </c:pt>
                <c:pt idx="8">
                  <c:v>114425</c:v>
                </c:pt>
              </c:numCache>
            </c:numRef>
          </c:val>
          <c:smooth val="0"/>
          <c:extLst>
            <c:ext xmlns:c16="http://schemas.microsoft.com/office/drawing/2014/chart" uri="{C3380CC4-5D6E-409C-BE32-E72D297353CC}">
              <c16:uniqueId val="{00000000-5ED1-4137-AF97-21BBE8C85D92}"/>
            </c:ext>
          </c:extLst>
        </c:ser>
        <c:ser>
          <c:idx val="3"/>
          <c:order val="3"/>
          <c:tx>
            <c:v>Admin Data</c:v>
          </c:tx>
          <c:spPr>
            <a:ln w="28575" cap="rnd">
              <a:solidFill>
                <a:schemeClr val="accent4"/>
              </a:solidFill>
              <a:round/>
            </a:ln>
            <a:effectLst/>
          </c:spPr>
          <c:marker>
            <c:symbol val="none"/>
          </c:marker>
          <c:val>
            <c:numRef>
              <c:f>Sheet1!$T$2:$AB$2</c:f>
              <c:numCache>
                <c:formatCode>General</c:formatCode>
                <c:ptCount val="9"/>
                <c:pt idx="0">
                  <c:v>184781</c:v>
                </c:pt>
                <c:pt idx="1">
                  <c:v>181279</c:v>
                </c:pt>
                <c:pt idx="2">
                  <c:v>187655</c:v>
                </c:pt>
                <c:pt idx="3">
                  <c:v>265344</c:v>
                </c:pt>
                <c:pt idx="4">
                  <c:v>258203</c:v>
                </c:pt>
                <c:pt idx="5">
                  <c:v>223284</c:v>
                </c:pt>
                <c:pt idx="6">
                  <c:v>223329</c:v>
                </c:pt>
                <c:pt idx="7">
                  <c:v>192216</c:v>
                </c:pt>
                <c:pt idx="8">
                  <c:v>145661</c:v>
                </c:pt>
              </c:numCache>
            </c:numRef>
          </c:val>
          <c:smooth val="0"/>
          <c:extLst>
            <c:ext xmlns:c16="http://schemas.microsoft.com/office/drawing/2014/chart" uri="{C3380CC4-5D6E-409C-BE32-E72D297353CC}">
              <c16:uniqueId val="{00000001-5ED1-4137-AF97-21BBE8C85D92}"/>
            </c:ext>
          </c:extLst>
        </c:ser>
        <c:dLbls>
          <c:showLegendKey val="0"/>
          <c:showVal val="0"/>
          <c:showCatName val="0"/>
          <c:showSerName val="0"/>
          <c:showPercent val="0"/>
          <c:showBubbleSize val="0"/>
        </c:dLbls>
        <c:smooth val="0"/>
        <c:axId val="917301696"/>
        <c:axId val="674357392"/>
        <c:extLst>
          <c:ext xmlns:c15="http://schemas.microsoft.com/office/drawing/2012/chart" uri="{02D57815-91ED-43cb-92C2-25804820EDAC}">
            <c15:filteredLineSeries>
              <c15:ser>
                <c:idx val="1"/>
                <c:order val="1"/>
                <c:tx>
                  <c:v>based on contract date</c:v>
                </c:tx>
                <c:spPr>
                  <a:ln w="28575" cap="rnd">
                    <a:solidFill>
                      <a:schemeClr val="accent2"/>
                    </a:solidFill>
                    <a:round/>
                  </a:ln>
                  <a:effectLst/>
                </c:spPr>
                <c:marker>
                  <c:symbol val="none"/>
                </c:marker>
                <c:cat>
                  <c:strRef>
                    <c:extLst>
                      <c:ext uri="{02D57815-91ED-43cb-92C2-25804820EDAC}">
                        <c15:formulaRef>
                          <c15:sqref>Sheet1!$E$1:$M$1</c15:sqref>
                        </c15:formulaRef>
                      </c:ext>
                    </c:extLst>
                    <c:strCache>
                      <c:ptCount val="9"/>
                      <c:pt idx="0">
                        <c:v>2010/11</c:v>
                      </c:pt>
                      <c:pt idx="1">
                        <c:v>2011/12</c:v>
                      </c:pt>
                      <c:pt idx="2">
                        <c:v>2012/13</c:v>
                      </c:pt>
                      <c:pt idx="3">
                        <c:v>2013/14</c:v>
                      </c:pt>
                      <c:pt idx="4">
                        <c:v>2014/15</c:v>
                      </c:pt>
                      <c:pt idx="5">
                        <c:v>2015/16</c:v>
                      </c:pt>
                      <c:pt idx="6">
                        <c:v>2016/17</c:v>
                      </c:pt>
                      <c:pt idx="7">
                        <c:v>2017/18</c:v>
                      </c:pt>
                      <c:pt idx="8">
                        <c:v>2018/19</c:v>
                      </c:pt>
                    </c:strCache>
                  </c:strRef>
                </c:cat>
                <c:val>
                  <c:numRef>
                    <c:extLst>
                      <c:ext uri="{02D57815-91ED-43cb-92C2-25804820EDAC}">
                        <c15:formulaRef>
                          <c15:sqref>Sheet1!$E$4:$M$4</c15:sqref>
                        </c15:formulaRef>
                      </c:ext>
                    </c:extLst>
                    <c:numCache>
                      <c:formatCode>#,##0</c:formatCode>
                      <c:ptCount val="9"/>
                      <c:pt idx="0">
                        <c:v>12283</c:v>
                      </c:pt>
                      <c:pt idx="1">
                        <c:v>10527</c:v>
                      </c:pt>
                      <c:pt idx="2">
                        <c:v>10534</c:v>
                      </c:pt>
                      <c:pt idx="3">
                        <c:v>10883</c:v>
                      </c:pt>
                      <c:pt idx="4">
                        <c:v>11595</c:v>
                      </c:pt>
                      <c:pt idx="5">
                        <c:v>12014</c:v>
                      </c:pt>
                      <c:pt idx="6">
                        <c:v>13015</c:v>
                      </c:pt>
                      <c:pt idx="7">
                        <c:v>11411</c:v>
                      </c:pt>
                      <c:pt idx="8">
                        <c:v>8047</c:v>
                      </c:pt>
                    </c:numCache>
                  </c:numRef>
                </c:val>
                <c:smooth val="0"/>
                <c:extLst>
                  <c:ext xmlns:c16="http://schemas.microsoft.com/office/drawing/2014/chart" uri="{C3380CC4-5D6E-409C-BE32-E72D297353CC}">
                    <c16:uniqueId val="{00000002-5ED1-4137-AF97-21BBE8C85D92}"/>
                  </c:ext>
                </c:extLst>
              </c15:ser>
            </c15:filteredLineSeries>
            <c15:filteredLineSeries>
              <c15:ser>
                <c:idx val="2"/>
                <c:order val="2"/>
                <c:tx>
                  <c:v>based on transfer date</c:v>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Sheet1!$E$1:$M$1</c15:sqref>
                        </c15:formulaRef>
                      </c:ext>
                    </c:extLst>
                    <c:strCache>
                      <c:ptCount val="9"/>
                      <c:pt idx="0">
                        <c:v>2010/11</c:v>
                      </c:pt>
                      <c:pt idx="1">
                        <c:v>2011/12</c:v>
                      </c:pt>
                      <c:pt idx="2">
                        <c:v>2012/13</c:v>
                      </c:pt>
                      <c:pt idx="3">
                        <c:v>2013/14</c:v>
                      </c:pt>
                      <c:pt idx="4">
                        <c:v>2014/15</c:v>
                      </c:pt>
                      <c:pt idx="5">
                        <c:v>2015/16</c:v>
                      </c:pt>
                      <c:pt idx="6">
                        <c:v>2016/17</c:v>
                      </c:pt>
                      <c:pt idx="7">
                        <c:v>2017/18</c:v>
                      </c:pt>
                      <c:pt idx="8">
                        <c:v>2018/19</c:v>
                      </c:pt>
                    </c:strCache>
                  </c:strRef>
                </c:cat>
                <c:val>
                  <c:numRef>
                    <c:extLst xmlns:c15="http://schemas.microsoft.com/office/drawing/2012/chart">
                      <c:ext xmlns:c15="http://schemas.microsoft.com/office/drawing/2012/chart" uri="{02D57815-91ED-43cb-92C2-25804820EDAC}">
                        <c15:formulaRef>
                          <c15:sqref>Sheet1!$E$5:$M$5</c15:sqref>
                        </c15:formulaRef>
                      </c:ext>
                    </c:extLst>
                    <c:numCache>
                      <c:formatCode>#,##0</c:formatCode>
                      <c:ptCount val="9"/>
                      <c:pt idx="0">
                        <c:v>11062</c:v>
                      </c:pt>
                      <c:pt idx="1">
                        <c:v>11726</c:v>
                      </c:pt>
                      <c:pt idx="2">
                        <c:v>12322</c:v>
                      </c:pt>
                      <c:pt idx="3">
                        <c:v>11308</c:v>
                      </c:pt>
                      <c:pt idx="4">
                        <c:v>10713</c:v>
                      </c:pt>
                      <c:pt idx="5">
                        <c:v>11109</c:v>
                      </c:pt>
                      <c:pt idx="6">
                        <c:v>12915</c:v>
                      </c:pt>
                      <c:pt idx="7">
                        <c:v>13777</c:v>
                      </c:pt>
                      <c:pt idx="8">
                        <c:v>12676</c:v>
                      </c:pt>
                    </c:numCache>
                  </c:numRef>
                </c:val>
                <c:smooth val="0"/>
                <c:extLst xmlns:c15="http://schemas.microsoft.com/office/drawing/2012/chart">
                  <c:ext xmlns:c16="http://schemas.microsoft.com/office/drawing/2014/chart" uri="{C3380CC4-5D6E-409C-BE32-E72D297353CC}">
                    <c16:uniqueId val="{00000003-5ED1-4137-AF97-21BBE8C85D92}"/>
                  </c:ext>
                </c:extLst>
              </c15:ser>
            </c15:filteredLineSeries>
          </c:ext>
        </c:extLst>
      </c:lineChart>
      <c:catAx>
        <c:axId val="917301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Financial</a:t>
                </a:r>
                <a:r>
                  <a:rPr lang="en-AU" baseline="0"/>
                  <a:t> Year</a:t>
                </a:r>
                <a:endParaRPr lang="en-AU"/>
              </a:p>
            </c:rich>
          </c:tx>
          <c:layout>
            <c:manualLayout>
              <c:xMode val="edge"/>
              <c:yMode val="edge"/>
              <c:x val="0.40174850289832492"/>
              <c:y val="0.927986116404101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357392"/>
        <c:crosses val="autoZero"/>
        <c:auto val="1"/>
        <c:lblAlgn val="ctr"/>
        <c:lblOffset val="100"/>
        <c:tickLblSkip val="2"/>
        <c:noMultiLvlLbl val="0"/>
      </c:catAx>
      <c:valAx>
        <c:axId val="67435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Sales, annual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3016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6DE7BBECE55E43A600756C326DC1FF" ma:contentTypeVersion="14" ma:contentTypeDescription="Create a new document." ma:contentTypeScope="" ma:versionID="67948180170185eaf42caa652d07c928">
  <xsd:schema xmlns:xsd="http://www.w3.org/2001/XMLSchema" xmlns:xs="http://www.w3.org/2001/XMLSchema" xmlns:p="http://schemas.microsoft.com/office/2006/metadata/properties" xmlns:ns1="http://schemas.microsoft.com/sharepoint/v3" xmlns:ns3="ec27b657-e18b-4c7f-8d8f-2b748bc597de" xmlns:ns4="255f3369-7472-4182-86ee-86618c1cc8b9" targetNamespace="http://schemas.microsoft.com/office/2006/metadata/properties" ma:root="true" ma:fieldsID="e726b1869cd4452d7ddb7844c7c178dc" ns1:_="" ns3:_="" ns4:_="">
    <xsd:import namespace="http://schemas.microsoft.com/sharepoint/v3"/>
    <xsd:import namespace="ec27b657-e18b-4c7f-8d8f-2b748bc597de"/>
    <xsd:import namespace="255f3369-7472-4182-86ee-86618c1cc8b9"/>
    <xsd:element name="properties">
      <xsd:complexType>
        <xsd:sequence>
          <xsd:element name="documentManagement">
            <xsd:complexType>
              <xsd:all>
                <xsd:element ref="ns3:SharedWithUsers" minOccurs="0"/>
                <xsd:element ref="ns3:SharedWithDetail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27b657-e18b-4c7f-8d8f-2b748bc597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f3369-7472-4182-86ee-86618c1cc8b9"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3235F-2320-4C92-9C18-F5F08E0DC4EF}">
  <ds:schemaRefs>
    <ds:schemaRef ds:uri="http://schemas.microsoft.com/sharepoint/v3/contenttype/forms"/>
  </ds:schemaRefs>
</ds:datastoreItem>
</file>

<file path=customXml/itemProps2.xml><?xml version="1.0" encoding="utf-8"?>
<ds:datastoreItem xmlns:ds="http://schemas.openxmlformats.org/officeDocument/2006/customXml" ds:itemID="{E7C44632-55CF-44AB-B38D-F3B4EAB77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c27b657-e18b-4c7f-8d8f-2b748bc597de"/>
    <ds:schemaRef ds:uri="255f3369-7472-4182-86ee-86618c1cc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079AF9-526C-4AB0-B31E-E863CD37992E}">
  <ds:schemaRefs>
    <ds:schemaRef ds:uri="http://schemas.microsoft.com/office/2006/metadata/properties"/>
    <ds:schemaRef ds:uri="http://purl.org/dc/terms/"/>
    <ds:schemaRef ds:uri="http://schemas.microsoft.com/sharepoint/v3"/>
    <ds:schemaRef ds:uri="http://schemas.microsoft.com/office/2006/documentManagement/types"/>
    <ds:schemaRef ds:uri="255f3369-7472-4182-86ee-86618c1cc8b9"/>
    <ds:schemaRef ds:uri="ec27b657-e18b-4c7f-8d8f-2b748bc597de"/>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2793D68-E2FF-4E3B-9EEC-ECC98B5B5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38842</Words>
  <Characters>221401</Characters>
  <Application>Microsoft Office Word</Application>
  <DocSecurity>0</DocSecurity>
  <Lines>1845</Lines>
  <Paragraphs>519</Paragraphs>
  <ScaleCrop>false</ScaleCrop>
  <HeadingPairs>
    <vt:vector size="2" baseType="variant">
      <vt:variant>
        <vt:lpstr>Title</vt:lpstr>
      </vt:variant>
      <vt:variant>
        <vt:i4>1</vt:i4>
      </vt:variant>
    </vt:vector>
  </HeadingPairs>
  <TitlesOfParts>
    <vt:vector size="1" baseType="lpstr">
      <vt:lpstr>Analysis of the Impacts and Outcomes of the ACT Tax Reform</vt:lpstr>
    </vt:vector>
  </TitlesOfParts>
  <Company/>
  <LinksUpToDate>false</LinksUpToDate>
  <CharactersWithSpaces>259724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the Impacts and Outcomes of the ACT Tax Reform</dc:title>
  <dc:subject>Impacts and Outcomes of the ACT Tax Reform Program</dc:subject>
  <dc:creator>NATSEM, University of Canberra and TTPI, Australian National University</dc:creator>
  <cp:keywords>distributional impacts, equity and progressivity, property market, rental market</cp:keywords>
  <dc:description/>
  <cp:lastModifiedBy>Brown, NathanL</cp:lastModifiedBy>
  <cp:revision>2</cp:revision>
  <cp:lastPrinted>2020-08-25T00:52:00Z</cp:lastPrinted>
  <dcterms:created xsi:type="dcterms:W3CDTF">2020-08-26T07:09:00Z</dcterms:created>
  <dcterms:modified xsi:type="dcterms:W3CDTF">2020-08-26T07:09:00Z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http://www.zotero.org/styles/springer-socpsych-author-date</vt:lpwstr>
  </property>
  <property fmtid="{D5CDD505-2E9C-101B-9397-08002B2CF9AE}" pid="21" name="Mendeley Recent Style Name 9_1">
    <vt:lpwstr>Springer - SocPsych (author-date)</vt:lpwstr>
  </property>
  <property fmtid="{D5CDD505-2E9C-101B-9397-08002B2CF9AE}" pid="22" name="ContentTypeId">
    <vt:lpwstr>0x010100FC6DE7BBECE55E43A600756C326DC1FF</vt:lpwstr>
  </property>
</Properties>
</file>